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3" w:name="xdx_90B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val="false"/>
          <w:i w:val="false"/>
          <w:caps w:val="false"/>
          <w:smallCaps w:val="false"/>
          <w:sz w:val="20"/>
        </w:rPr>
        <w:t xml:space="preserve">June 30, </w:t>
      </w:r>
      <w:bookmarkStart w:id="5" w:name="xdx_905_edei--DocumentFiscalYearFocus_c2"/>
      <w:bookmarkEnd w:id="5"/>
      <w:r>
        <w:rPr>
          <w:rFonts w:ascii="Times New Roman;Times;Serif" w:hAnsi="Times New Roman;Times;Serif"/>
          <w:b w:val="false"/>
          <w:i w:val="false"/>
          <w:caps w:val="false"/>
          <w:smallCaps w:val="false"/>
          <w:sz w:val="20"/>
        </w:rPr>
        <w:t>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6" w:name="xdx_903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9_edei--EntityFileNumber_c20260101"/>
      <w:bookmarkEnd w:id="7"/>
      <w:r>
        <w:rPr>
          <w:rFonts w:ascii="Times New Roman;Times;Serif" w:hAnsi="Times New Roman;Times;Serif"/>
          <w:b w:val="false"/>
          <w:i w:val="false"/>
          <w:caps w:val="false"/>
          <w:smallCaps w:val="false"/>
          <w:sz w:val="20"/>
        </w:rPr>
        <w:t>001-32501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8" w:name="xdx_907_edei--EntityRegistrantName_c2026"/>
      <w:bookmarkEnd w:id="8"/>
      <w:r>
        <w:rPr>
          <w:rFonts w:ascii="Times New Roman;Times;Serif" w:hAnsi="Times New Roman;Times;Serif"/>
          <w:b/>
          <w:i w:val="false"/>
          <w:caps w:val="false"/>
          <w:smallCaps w:val="false"/>
          <w:sz w:val="36"/>
        </w:rPr>
        <w:t>REED’S, INC.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28" w:type="dxa"/>
          <w:right w:w="0" w:type="dxa"/>
        </w:tblCellMar>
      </w:tblPr>
      <w:tblGrid>
        <w:gridCol w:w="1205"/>
        <w:gridCol w:w="60"/>
        <w:gridCol w:w="153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C_edei--EntityIncorporationStateCo"/>
            <w:bookmarkEnd w:id="9"/>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F_edei--EntityTaxIdentificationNum"/>
            <w:bookmarkEnd w:id="10"/>
            <w:r>
              <w:rPr>
                <w:rFonts w:ascii="Times New Roman;Times;Serif" w:hAnsi="Times New Roman;Times;Serif"/>
                <w:b w:val="false"/>
                <w:i w:val="false"/>
                <w:caps w:val="false"/>
                <w:smallCaps w:val="false"/>
                <w:sz w:val="20"/>
              </w:rPr>
              <w:t>35-2177773</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bookmarkStart w:id="11" w:name="xdx_900_edei--EntityAddressAddressLine1_"/>
      <w:bookmarkEnd w:id="11"/>
      <w:r>
        <w:rPr>
          <w:rFonts w:ascii="Times New Roman;Times;Serif" w:hAnsi="Times New Roman;Times;Serif"/>
          <w:b w:val="false"/>
          <w:i w:val="false"/>
          <w:caps w:val="false"/>
          <w:smallCaps w:val="false"/>
          <w:sz w:val="20"/>
        </w:rPr>
        <w:t xml:space="preserve">501 Merritt 7 PH, </w:t>
      </w:r>
      <w:bookmarkStart w:id="12" w:name="xdx_90E_edei--EntityAddressCityOrTown_c2"/>
      <w:bookmarkEnd w:id="12"/>
      <w:r>
        <w:rPr>
          <w:rFonts w:ascii="Times New Roman;Times;Serif" w:hAnsi="Times New Roman;Times;Serif"/>
          <w:b w:val="false"/>
          <w:i w:val="false"/>
          <w:caps w:val="false"/>
          <w:smallCaps w:val="false"/>
          <w:sz w:val="20"/>
        </w:rPr>
        <w:t xml:space="preserve">Norwalk, </w:t>
      </w:r>
      <w:bookmarkStart w:id="13" w:name="xdx_909_edei--EntityAddressStateOrProvin"/>
      <w:bookmarkEnd w:id="13"/>
      <w:r>
        <w:rPr>
          <w:rFonts w:ascii="Times New Roman;Times;Serif" w:hAnsi="Times New Roman;Times;Serif"/>
          <w:b w:val="false"/>
          <w:i w:val="false"/>
          <w:caps w:val="false"/>
          <w:smallCaps w:val="false"/>
          <w:sz w:val="20"/>
        </w:rPr>
        <w:t xml:space="preserve">CT. </w:t>
      </w:r>
      <w:bookmarkStart w:id="14" w:name="xdx_900_edei--EntityAddressPostalZipCode"/>
      <w:bookmarkEnd w:id="14"/>
      <w:r>
        <w:rPr>
          <w:rFonts w:ascii="Times New Roman;Times;Serif" w:hAnsi="Times New Roman;Times;Serif"/>
          <w:b w:val="false"/>
          <w:i w:val="false"/>
          <w:caps w:val="false"/>
          <w:smallCaps w:val="false"/>
          <w:sz w:val="20"/>
        </w:rPr>
        <w:t>06851</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bookmarkStart w:id="15" w:name="xdx_903_edei--CityAreaCode_c20260101__20"/>
      <w:bookmarkEnd w:id="15"/>
      <w:r>
        <w:rPr>
          <w:rFonts w:ascii="Times New Roman;Times;Serif" w:hAnsi="Times New Roman;Times;Serif"/>
          <w:b w:val="false"/>
          <w:i w:val="false"/>
          <w:caps w:val="false"/>
          <w:smallCaps w:val="false"/>
          <w:sz w:val="20"/>
        </w:rPr>
        <w:t xml:space="preserve">(800) </w:t>
      </w:r>
      <w:bookmarkStart w:id="16" w:name="xdx_90B_edei--LocalPhoneNumber_c20260101"/>
      <w:bookmarkEnd w:id="16"/>
      <w:r>
        <w:rPr>
          <w:rFonts w:ascii="Times New Roman;Times;Serif" w:hAnsi="Times New Roman;Times;Serif"/>
          <w:b w:val="false"/>
          <w:i w:val="false"/>
          <w:caps w:val="false"/>
          <w:smallCaps w:val="false"/>
          <w:sz w:val="20"/>
        </w:rPr>
        <w:t>997-3337</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9000" w:type="dxa"/>
        <w:jc w:val="left"/>
        <w:tblInd w:w="0" w:type="dxa"/>
        <w:tblLayout w:type="fixed"/>
        <w:tblCellMar>
          <w:top w:w="0" w:type="dxa"/>
          <w:left w:w="0" w:type="dxa"/>
          <w:bottom w:w="28" w:type="dxa"/>
          <w:right w:w="0" w:type="dxa"/>
        </w:tblCellMar>
      </w:tblPr>
      <w:tblGrid>
        <w:gridCol w:w="3680"/>
        <w:gridCol w:w="60"/>
        <w:gridCol w:w="1415"/>
        <w:gridCol w:w="60"/>
        <w:gridCol w:w="3785"/>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each exchange on which registered</w:t>
            </w:r>
          </w:p>
        </w:tc>
      </w:tr>
      <w:tr>
        <w:trPr/>
        <w:tc>
          <w:tcPr>
            <w:tcW w:w="36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7" w:name="xdx_90C_edei--Security12bTitle_c2026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C_edei--TradingSymbol_c20260101__2"/>
            <w:bookmarkEnd w:id="18"/>
            <w:r>
              <w:rPr>
                <w:rFonts w:ascii="Times New Roman;Times;Serif" w:hAnsi="Times New Roman;Times;Serif"/>
                <w:b w:val="false"/>
                <w:i w:val="false"/>
                <w:caps w:val="false"/>
                <w:smallCaps w:val="false"/>
                <w:sz w:val="20"/>
              </w:rPr>
              <w:t xml:space="preserve">REED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9" w:name="xdx_90F_edei--SecurityExchangeName_c2026"/>
            <w:bookmarkEnd w:id="19"/>
            <w:r>
              <w:rPr>
                <w:rFonts w:ascii="Times New Roman;Times;Serif" w:hAnsi="Times New Roman;Times;Serif"/>
                <w:b w:val="false"/>
                <w:i w:val="false"/>
                <w:caps w:val="false"/>
                <w:smallCaps w:val="false"/>
                <w:sz w:val="20"/>
              </w:rPr>
              <w:t>NYSE American LLC</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0" w:name="xdx_902_edei--EntityCurrentReportingStat"/>
      <w:bookmarkEnd w:id="20"/>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1" w:name="xdx_905_edei--EntityInteractiveDataCurre"/>
      <w:bookmarkEnd w:id="21"/>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pBdr/>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585"/>
        <w:gridCol w:w="2525"/>
        <w:gridCol w:w="2045"/>
      </w:tblGrid>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0_edei--EntityFilerCategory_c20260"/>
            <w:bookmarkEnd w:id="22"/>
            <w:r>
              <w:rPr>
                <w:rFonts w:ascii="Times New Roman;Times;Serif" w:hAnsi="Times New Roman;Times;Serif"/>
                <w:b w:val="false"/>
                <w:i w:val="false"/>
                <w:caps w:val="false"/>
                <w:smallCaps w:val="false"/>
                <w:sz w:val="20"/>
              </w:rPr>
              <w:t>Non-Accelerated Filer ☒</w:t>
            </w:r>
          </w:p>
        </w:tc>
      </w:tr>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F_edei--EntitySmallBusiness_c20260"/>
            <w:bookmarkEnd w:id="23"/>
            <w:r>
              <w:rPr>
                <w:rFonts w:ascii="Times New Roman;Times;Serif" w:hAnsi="Times New Roman;Times;Serif"/>
                <w:b w:val="false"/>
                <w:i w:val="false"/>
                <w:caps w:val="false"/>
                <w:smallCaps w:val="false"/>
                <w:sz w:val="20"/>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E_edei--EntityEmergingGrowthCompan"/>
            <w:bookmarkEnd w:id="24"/>
            <w:r>
              <w:rPr>
                <w:rFonts w:ascii="Times New Roman;Times;Serif" w:hAnsi="Times New Roman;Times;Serif"/>
                <w:b w:val="false"/>
                <w:i w:val="false"/>
                <w:caps w:val="false"/>
                <w:smallCaps w:val="false"/>
                <w:sz w:val="20"/>
              </w:rPr>
              <w:t>☐</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is a shell company (as defined in Rule 12b-2 of the Exchange Act). Yes ☐ No </w:t>
      </w:r>
      <w:bookmarkStart w:id="25" w:name="xdx_908_edei--EntityShellCompany_dbF_c20"/>
      <w:bookmarkEnd w:id="25"/>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26" w:name="xdx_901_edei--EntityCommonStockSharesOut"/>
      <w:bookmarkEnd w:id="26"/>
      <w:r>
        <w:rPr>
          <w:rFonts w:ascii="Times New Roman;Times;Serif" w:hAnsi="Times New Roman;Times;Serif"/>
          <w:b w:val="false"/>
          <w:i w:val="false"/>
          <w:caps w:val="false"/>
          <w:smallCaps w:val="false"/>
          <w:sz w:val="20"/>
        </w:rPr>
        <w:t>11,857,086 shares of the Company’s common stock, par value $</w:t>
      </w:r>
      <w:bookmarkStart w:id="27" w:name="xdx_90A_edei--EntityListingParValuePerSh"/>
      <w:bookmarkEnd w:id="27"/>
      <w:r>
        <w:rPr>
          <w:rFonts w:ascii="Times New Roman;Times;Serif" w:hAnsi="Times New Roman;Times;Serif"/>
          <w:b w:val="false"/>
          <w:i w:val="false"/>
          <w:caps w:val="false"/>
          <w:smallCaps w:val="false"/>
          <w:sz w:val="20"/>
        </w:rPr>
        <w:t>.0001 per share, outstanding as of August 7, 2026.</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5"/>
        <w:gridCol w:w="290"/>
      </w:tblGrid>
      <w:tr>
        <w:trPr/>
        <w:tc>
          <w:tcPr>
            <w:tcW w:w="991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PART I - FINANCIAL INFORMATION</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Item 1. Condensed Consolidated Financial Statements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 June 30, 2026 (Unaudited) and December 31, 2025</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(Deficiency) for the three and six months ended June 30, 2026 and 2025 (Unaudited)</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three and six months ended June 30, 2026 and 2025 (Unaudited)</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PART II – OTHER INFORMATION</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5"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Item 6. Exhibits</w:t>
              </w:r>
            </w:hyperlink>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p>
      <w:pPr>
        <w:pStyle w:val="TextBody"/>
        <w:pBdr/>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2025 (“2025 Form 10-K”) as updated by “Part II, Item 1A” of this report, which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r>
        <w:rPr>
          <w:rFonts w:ascii="Times New Roman;Times;Serif" w:hAnsi="Times New Roman;Times;Serif"/>
          <w:b w:val="false"/>
          <w:i w:val="false"/>
          <w:caps w:val="false"/>
          <w:smallCaps w:val="false"/>
          <w:sz w:val="20"/>
        </w:rPr>
        <w:t> </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Part I – FINANCIAL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Item 1.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0" w:name="a_003"/>
      <w:bookmarkEnd w:id="30"/>
      <w:r>
        <w:rPr>
          <w:rFonts w:ascii="Times New Roman;Times;Serif" w:hAnsi="Times New Roman;Times;Serif"/>
          <w:b/>
          <w:i w:val="false"/>
          <w:caps w:val="false"/>
          <w:smallCaps w:val="false"/>
          <w:sz w:val="20"/>
        </w:rPr>
        <w:t>CONDENSED CONSOLIDATED BALANCE SHEETS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C_111_pn3n3_zjMHr1AWCrG2"/>
      <w:bookmarkStart w:id="32" w:name="xdx_30C_111_pn3n3_zjMHr1AWCrG2"/>
      <w:bookmarkEnd w:id="32"/>
    </w:p>
    <w:tbl>
      <w:tblPr>
        <w:tblW w:w="10205" w:type="dxa"/>
        <w:jc w:val="left"/>
        <w:tblInd w:w="0" w:type="dxa"/>
        <w:tblLayout w:type="fixed"/>
        <w:tblCellMar>
          <w:top w:w="0" w:type="dxa"/>
          <w:left w:w="0" w:type="dxa"/>
          <w:bottom w:w="0" w:type="dxa"/>
          <w:right w:w="0" w:type="dxa"/>
        </w:tblCellMar>
      </w:tblPr>
      <w:tblGrid>
        <w:gridCol w:w="7612"/>
        <w:gridCol w:w="60"/>
        <w:gridCol w:w="167"/>
        <w:gridCol w:w="1045"/>
        <w:gridCol w:w="95"/>
        <w:gridCol w:w="60"/>
        <w:gridCol w:w="145"/>
        <w:gridCol w:w="910"/>
        <w:gridCol w:w="111"/>
      </w:tblGrid>
      <w:tr>
        <w:trPr/>
        <w:tc>
          <w:tcPr>
            <w:tcW w:w="76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 w:name="xdx_49D_20260630_zlit3sVWD6Rf"/>
            <w:bookmarkEnd w:id="33"/>
          </w:p>
        </w:tc>
        <w:tc>
          <w:tcPr>
            <w:tcW w:w="1212"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5_20251231_zWqxKDA3wDcg"/>
            <w:bookmarkEnd w:id="34"/>
          </w:p>
        </w:tc>
        <w:tc>
          <w:tcPr>
            <w:tcW w:w="10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December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31, 2025</w:t>
            </w:r>
          </w:p>
        </w:tc>
        <w:tc>
          <w:tcPr>
            <w:tcW w:w="111" w:type="dxa"/>
            <w:tcBorders/>
            <w:vAlign w:val="center"/>
          </w:tcPr>
          <w:p>
            <w:pPr>
              <w:pStyle w:val="TableContents"/>
              <w:bidi w:val="0"/>
              <w:spacing w:before="0" w:after="283"/>
              <w:jc w:val="left"/>
              <w:rPr/>
            </w:pPr>
            <w:r>
              <w:rPr/>
              <w:t> </w:t>
            </w:r>
          </w:p>
        </w:tc>
      </w:tr>
      <w:tr>
        <w:trPr/>
        <w:tc>
          <w:tcPr>
            <w:tcW w:w="76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76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bookmarkStart w:id="35" w:name="xdx_400_eus-gaap--AssetsAbstract_iB_ztQk"/>
            <w:bookmarkEnd w:id="35"/>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6" w:name="xdx_406_eus-gaap--AssetsCurrentAbstract_"/>
            <w:bookmarkEnd w:id="36"/>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7" w:name="xdx_405_eus-gaap--Cash_i02I_maCzy7i_zeR2"/>
            <w:bookmarkEnd w:id="37"/>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10,424</w:t>
            </w:r>
          </w:p>
        </w:tc>
        <w:tc>
          <w:tcPr>
            <w:tcW w:w="111" w:type="dxa"/>
            <w:tcBorders/>
            <w:shd w:fill="CCEEFF" w:val="clear"/>
            <w:vAlign w:val="center"/>
          </w:tcPr>
          <w:p>
            <w:pPr>
              <w:pStyle w:val="TableContents"/>
              <w:bidi w:val="0"/>
              <w:spacing w:before="0" w:after="283"/>
              <w:jc w:val="left"/>
              <w:rPr/>
            </w:pPr>
            <w:r>
              <w:rPr/>
              <w:t> </w:t>
            </w:r>
            <w:bookmarkStart w:id="38" w:name="xdx_40B_eus-gaap--AccountsReceivableNetC"/>
            <w:bookmarkEnd w:id="38"/>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of $</w:t>
            </w:r>
            <w:bookmarkStart w:id="39" w:name="xdx_908_eus-gaap--AllowanceForDoubtfulAc"/>
            <w:bookmarkEnd w:id="39"/>
            <w:r>
              <w:rPr>
                <w:rFonts w:ascii="Times New Roman;Times;Serif" w:hAnsi="Times New Roman;Times;Serif"/>
              </w:rPr>
              <w:t>1,060 and $</w:t>
            </w:r>
            <w:bookmarkStart w:id="40" w:name="xdx_904_eus-gaap--AllowanceForDoubtfulAc"/>
            <w:bookmarkEnd w:id="40"/>
            <w:r>
              <w:rPr>
                <w:rFonts w:ascii="Times New Roman;Times;Serif" w:hAnsi="Times New Roman;Times;Serif"/>
              </w:rPr>
              <w:t>980, respectively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2,317</w:t>
            </w:r>
          </w:p>
        </w:tc>
        <w:tc>
          <w:tcPr>
            <w:tcW w:w="111" w:type="dxa"/>
            <w:tcBorders/>
            <w:shd w:fill="FFFFFF" w:val="clear"/>
            <w:vAlign w:val="center"/>
          </w:tcPr>
          <w:p>
            <w:pPr>
              <w:pStyle w:val="TableContents"/>
              <w:bidi w:val="0"/>
              <w:spacing w:before="0" w:after="283"/>
              <w:jc w:val="left"/>
              <w:rPr/>
            </w:pPr>
            <w:r>
              <w:rPr/>
              <w:t> </w:t>
            </w:r>
            <w:bookmarkStart w:id="41" w:name="xdx_405_eus-gaap--InventoryNet_i02I_maCz"/>
            <w:bookmarkEnd w:id="41"/>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8,046</w:t>
            </w:r>
          </w:p>
        </w:tc>
        <w:tc>
          <w:tcPr>
            <w:tcW w:w="111" w:type="dxa"/>
            <w:tcBorders/>
            <w:shd w:fill="CCEEFF" w:val="clear"/>
            <w:vAlign w:val="center"/>
          </w:tcPr>
          <w:p>
            <w:pPr>
              <w:pStyle w:val="TableContents"/>
              <w:bidi w:val="0"/>
              <w:spacing w:before="0" w:after="283"/>
              <w:jc w:val="left"/>
              <w:rPr/>
            </w:pPr>
            <w:r>
              <w:rPr/>
              <w:t> </w:t>
            </w:r>
            <w:bookmarkStart w:id="42" w:name="xdx_40A_eus-gaap--PrepaidExpenseAndOther"/>
            <w:bookmarkEnd w:id="42"/>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w:t>
            </w:r>
          </w:p>
        </w:tc>
        <w:tc>
          <w:tcPr>
            <w:tcW w:w="111" w:type="dxa"/>
            <w:tcBorders/>
            <w:shd w:fill="FFFFFF" w:val="clear"/>
            <w:vAlign w:val="center"/>
          </w:tcPr>
          <w:p>
            <w:pPr>
              <w:pStyle w:val="TableContents"/>
              <w:bidi w:val="0"/>
              <w:spacing w:before="0" w:after="283"/>
              <w:jc w:val="left"/>
              <w:rPr/>
            </w:pPr>
            <w:r>
              <w:rPr/>
              <w:t> </w:t>
            </w:r>
            <w:bookmarkStart w:id="43" w:name="xdx_403_eus-gaap--AssetsCurrent_i02TI_mt"/>
            <w:bookmarkEnd w:id="43"/>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current 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21,460</w:t>
            </w:r>
          </w:p>
        </w:tc>
        <w:tc>
          <w:tcPr>
            <w:tcW w:w="111" w:type="dxa"/>
            <w:tcBorders/>
            <w:shd w:fill="CCEEFF" w:val="clear"/>
            <w:vAlign w:val="center"/>
          </w:tcPr>
          <w:p>
            <w:pPr>
              <w:pStyle w:val="TableContents"/>
              <w:bidi w:val="0"/>
              <w:spacing w:before="0" w:after="283"/>
              <w:jc w:val="left"/>
              <w:rPr/>
            </w:pPr>
            <w:r>
              <w:rPr/>
              <w:t> </w:t>
            </w:r>
          </w:p>
        </w:tc>
      </w:tr>
      <w:tr>
        <w:trPr/>
        <w:tc>
          <w:tcPr>
            <w:tcW w:w="7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44" w:name="xdx_407_eus-gaap--PropertyPlantAndEquipm"/>
            <w:bookmarkEnd w:id="44"/>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 of accumulated depreciation of $</w:t>
            </w:r>
            <w:bookmarkStart w:id="45" w:name="xdx_907_eus-gaap--AccumulatedDepreciatio"/>
            <w:bookmarkEnd w:id="45"/>
            <w:r>
              <w:rPr>
                <w:rFonts w:ascii="Times New Roman;Times;Serif" w:hAnsi="Times New Roman;Times;Serif"/>
              </w:rPr>
              <w:t>864 and $</w:t>
            </w:r>
            <w:bookmarkStart w:id="46" w:name="xdx_90E_eus-gaap--AccumulatedDepreciatio"/>
            <w:bookmarkEnd w:id="46"/>
            <w:r>
              <w:rPr>
                <w:rFonts w:ascii="Times New Roman;Times;Serif" w:hAnsi="Times New Roman;Times;Serif"/>
              </w:rPr>
              <w:t>785, respectively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w:t>
            </w:r>
          </w:p>
        </w:tc>
        <w:tc>
          <w:tcPr>
            <w:tcW w:w="111" w:type="dxa"/>
            <w:tcBorders/>
            <w:shd w:fill="CCEEFF" w:val="clear"/>
            <w:vAlign w:val="center"/>
          </w:tcPr>
          <w:p>
            <w:pPr>
              <w:pStyle w:val="TableContents"/>
              <w:bidi w:val="0"/>
              <w:spacing w:before="0" w:after="283"/>
              <w:jc w:val="left"/>
              <w:rPr/>
            </w:pPr>
            <w:r>
              <w:rPr/>
              <w:t> </w:t>
            </w:r>
            <w:bookmarkStart w:id="47" w:name="xdx_40D_eus-gaap--IntangibleAssetsNetExc"/>
            <w:bookmarkEnd w:id="47"/>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111" w:type="dxa"/>
            <w:tcBorders/>
            <w:shd w:fill="FFFFFF" w:val="clear"/>
            <w:vAlign w:val="center"/>
          </w:tcPr>
          <w:p>
            <w:pPr>
              <w:pStyle w:val="TableContents"/>
              <w:bidi w:val="0"/>
              <w:spacing w:before="0" w:after="283"/>
              <w:jc w:val="left"/>
              <w:rPr/>
            </w:pPr>
            <w:r>
              <w:rPr/>
              <w:t> </w:t>
            </w:r>
            <w:bookmarkStart w:id="48" w:name="xdx_408_eus-gaap--Assets_i01TI_mtCzxyX_z"/>
            <w:bookmarkEnd w:id="48"/>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23,341</w:t>
            </w:r>
          </w:p>
        </w:tc>
        <w:tc>
          <w:tcPr>
            <w:tcW w:w="111" w:type="dxa"/>
            <w:tcBorders/>
            <w:shd w:fill="CCEEFF" w:val="clear"/>
            <w:vAlign w:val="center"/>
          </w:tcPr>
          <w:p>
            <w:pPr>
              <w:pStyle w:val="TableContents"/>
              <w:bidi w:val="0"/>
              <w:spacing w:before="0" w:after="283"/>
              <w:jc w:val="left"/>
              <w:rPr/>
            </w:pPr>
            <w:r>
              <w:rPr/>
              <w:t> </w:t>
            </w:r>
          </w:p>
        </w:tc>
      </w:tr>
      <w:tr>
        <w:trPr/>
        <w:tc>
          <w:tcPr>
            <w:tcW w:w="7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49" w:name="xdx_401_eus-gaap--LiabilitiesAndStockhol"/>
            <w:bookmarkEnd w:id="49"/>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(DEFICIENCY)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0" w:name="xdx_406_eus-gaap--LiabilitiesCurrentAbst"/>
            <w:bookmarkEnd w:id="50"/>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1" w:name="xdx_40E_eus-gaap--AccountsPayableCurrent"/>
            <w:bookmarkEnd w:id="51"/>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3,496</w:t>
            </w:r>
          </w:p>
        </w:tc>
        <w:tc>
          <w:tcPr>
            <w:tcW w:w="111" w:type="dxa"/>
            <w:tcBorders/>
            <w:shd w:fill="CCEEFF" w:val="clear"/>
            <w:vAlign w:val="center"/>
          </w:tcPr>
          <w:p>
            <w:pPr>
              <w:pStyle w:val="TableContents"/>
              <w:bidi w:val="0"/>
              <w:spacing w:before="0" w:after="283"/>
              <w:jc w:val="left"/>
              <w:rPr/>
            </w:pPr>
            <w:r>
              <w:rPr/>
              <w:t> </w:t>
            </w:r>
            <w:bookmarkStart w:id="52" w:name="xdx_40F_eus-gaap--AccruedLiabilitiesCurr"/>
            <w:bookmarkEnd w:id="52"/>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w:t>
            </w:r>
          </w:p>
        </w:tc>
        <w:tc>
          <w:tcPr>
            <w:tcW w:w="111" w:type="dxa"/>
            <w:tcBorders/>
            <w:shd w:fill="FFFFFF" w:val="clear"/>
            <w:vAlign w:val="center"/>
          </w:tcPr>
          <w:p>
            <w:pPr>
              <w:pStyle w:val="TableContents"/>
              <w:bidi w:val="0"/>
              <w:spacing w:before="0" w:after="283"/>
              <w:jc w:val="left"/>
              <w:rPr/>
            </w:pPr>
            <w:r>
              <w:rPr/>
              <w:t> </w:t>
            </w:r>
            <w:bookmarkStart w:id="53" w:name="xdx_407_eus-gaap--ContractWithCustomerLi"/>
            <w:bookmarkEnd w:id="53"/>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bookmarkStart w:id="54" w:name="xdx_402_eus-gaap--SecuredDebtCurrent_i02"/>
            <w:bookmarkEnd w:id="54"/>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secured loan, net of deferred financing costs of $</w:t>
            </w:r>
            <w:bookmarkStart w:id="55" w:name="xdx_905_eus-gaap--DeferredFinanceCostsNe"/>
            <w:bookmarkEnd w:id="55"/>
            <w:r>
              <w:rPr>
                <w:rFonts w:ascii="Times New Roman;Times;Serif" w:hAnsi="Times New Roman;Times;Serif"/>
              </w:rPr>
              <w:t>23 and $</w:t>
            </w:r>
            <w:bookmarkStart w:id="56" w:name="xdx_904_eus-gaap--DeferredFinanceCostsNe"/>
            <w:bookmarkEnd w:id="56"/>
            <w:r>
              <w:rPr>
                <w:rFonts w:ascii="Times New Roman;Times;Serif" w:hAnsi="Times New Roman;Times;Serif"/>
              </w:rPr>
              <w:t>68, respectively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9,182</w:t>
            </w:r>
          </w:p>
        </w:tc>
        <w:tc>
          <w:tcPr>
            <w:tcW w:w="111" w:type="dxa"/>
            <w:tcBorders/>
            <w:shd w:fill="FFFFFF" w:val="clear"/>
            <w:vAlign w:val="center"/>
          </w:tcPr>
          <w:p>
            <w:pPr>
              <w:pStyle w:val="TableContents"/>
              <w:bidi w:val="0"/>
              <w:spacing w:before="0" w:after="283"/>
              <w:jc w:val="left"/>
              <w:rPr/>
            </w:pPr>
            <w:r>
              <w:rPr/>
              <w:t> </w:t>
            </w:r>
            <w:bookmarkStart w:id="57" w:name="xdx_40B_eus-gaap--OperatingLeaseLiabilit"/>
            <w:bookmarkEnd w:id="57"/>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111" w:type="dxa"/>
            <w:tcBorders/>
            <w:shd w:fill="CCEEFF" w:val="clear"/>
            <w:vAlign w:val="center"/>
          </w:tcPr>
          <w:p>
            <w:pPr>
              <w:pStyle w:val="TableContents"/>
              <w:bidi w:val="0"/>
              <w:spacing w:before="0" w:after="283"/>
              <w:jc w:val="left"/>
              <w:rPr/>
            </w:pPr>
            <w:r>
              <w:rPr/>
              <w:t> </w:t>
            </w:r>
            <w:bookmarkStart w:id="58" w:name="xdx_40E_eus-gaap--LiabilitiesCurrent_i02"/>
            <w:bookmarkEnd w:id="58"/>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current liabilities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13,387</w:t>
            </w:r>
          </w:p>
        </w:tc>
        <w:tc>
          <w:tcPr>
            <w:tcW w:w="111" w:type="dxa"/>
            <w:tcBorders/>
            <w:shd w:fill="FFFFFF" w:val="clear"/>
            <w:vAlign w:val="center"/>
          </w:tcPr>
          <w:p>
            <w:pPr>
              <w:pStyle w:val="TableContents"/>
              <w:bidi w:val="0"/>
              <w:spacing w:before="0" w:after="283"/>
              <w:jc w:val="left"/>
              <w:rPr/>
            </w:pPr>
            <w:r>
              <w:rPr/>
              <w:t> </w:t>
            </w:r>
          </w:p>
        </w:tc>
      </w:tr>
      <w:tr>
        <w:trPr/>
        <w:tc>
          <w:tcPr>
            <w:tcW w:w="7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9" w:name="xdx_400_eus-gaap--OperatingLeaseLiabilit"/>
            <w:bookmarkEnd w:id="59"/>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w:t>
            </w:r>
          </w:p>
        </w:tc>
        <w:tc>
          <w:tcPr>
            <w:tcW w:w="111" w:type="dxa"/>
            <w:tcBorders/>
            <w:shd w:fill="FFFFFF" w:val="clear"/>
            <w:vAlign w:val="center"/>
          </w:tcPr>
          <w:p>
            <w:pPr>
              <w:pStyle w:val="TableContents"/>
              <w:bidi w:val="0"/>
              <w:spacing w:before="0" w:after="283"/>
              <w:jc w:val="left"/>
              <w:rPr/>
            </w:pPr>
            <w:r>
              <w:rPr/>
              <w:t> </w:t>
            </w:r>
            <w:bookmarkStart w:id="60" w:name="xdx_40D_eus-gaap--Liabilities_i01TI_mtCz"/>
            <w:bookmarkEnd w:id="60"/>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14,190</w:t>
            </w:r>
          </w:p>
        </w:tc>
        <w:tc>
          <w:tcPr>
            <w:tcW w:w="111" w:type="dxa"/>
            <w:tcBorders/>
            <w:shd w:fill="CCEEFF" w:val="clear"/>
            <w:vAlign w:val="center"/>
          </w:tcPr>
          <w:p>
            <w:pPr>
              <w:pStyle w:val="TableContents"/>
              <w:bidi w:val="0"/>
              <w:spacing w:before="0" w:after="283"/>
              <w:jc w:val="left"/>
              <w:rPr/>
            </w:pPr>
            <w:r>
              <w:rPr/>
              <w:t> </w:t>
            </w:r>
          </w:p>
        </w:tc>
      </w:tr>
      <w:tr>
        <w:trPr/>
        <w:tc>
          <w:tcPr>
            <w:tcW w:w="7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1" w:name="xdx_40D_eus-gaap--StockholdersEquityAbst"/>
            <w:bookmarkEnd w:id="61"/>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 (deficiency):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2" w:name="xdx_406_eus-gaap--PreferredStockValue_i0"/>
            <w:bookmarkEnd w:id="62"/>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w:t>
            </w:r>
            <w:bookmarkStart w:id="63" w:name="xdx_90B_eus-gaap--PreferredStockParOrSta"/>
            <w:bookmarkStart w:id="64" w:name="xdx_902_eus-gaap--PreferredStockParOrSta"/>
            <w:bookmarkEnd w:id="63"/>
            <w:bookmarkEnd w:id="64"/>
            <w:r>
              <w:rPr>
                <w:rFonts w:ascii="Times New Roman;Times;Serif" w:hAnsi="Times New Roman;Times;Serif"/>
              </w:rPr>
              <w:t xml:space="preserve">10 par value, </w:t>
            </w:r>
            <w:bookmarkStart w:id="65" w:name="xdx_90B_eus-gaap--PreferredStockSharesAu"/>
            <w:bookmarkStart w:id="66" w:name="xdx_901_eus-gaap--PreferredStockSharesAu"/>
            <w:bookmarkEnd w:id="65"/>
            <w:bookmarkEnd w:id="66"/>
            <w:r>
              <w:rPr>
                <w:rFonts w:ascii="Times New Roman;Times;Serif" w:hAnsi="Times New Roman;Times;Serif"/>
              </w:rPr>
              <w:t xml:space="preserve">500,000 shares authorized, </w:t>
            </w:r>
            <w:bookmarkStart w:id="67" w:name="xdx_907_eus-gaap--PreferredStockSharesOu"/>
            <w:bookmarkStart w:id="68" w:name="xdx_90B_eus-gaap--PreferredStockSharesIs"/>
            <w:bookmarkStart w:id="69" w:name="xdx_908_eus-gaap--PreferredStockSharesOu"/>
            <w:bookmarkStart w:id="70" w:name="xdx_908_eus-gaap--PreferredStockSharesIs"/>
            <w:bookmarkEnd w:id="67"/>
            <w:bookmarkEnd w:id="68"/>
            <w:bookmarkEnd w:id="69"/>
            <w:bookmarkEnd w:id="70"/>
            <w:r>
              <w:rPr>
                <w:rFonts w:ascii="Times New Roman;Times;Serif" w:hAnsi="Times New Roman;Times;Serif"/>
              </w:rPr>
              <w:t>9,411 shares issued and outstanding</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111" w:type="dxa"/>
            <w:tcBorders/>
            <w:shd w:fill="FFFFFF" w:val="clear"/>
            <w:vAlign w:val="center"/>
          </w:tcPr>
          <w:p>
            <w:pPr>
              <w:pStyle w:val="TableContents"/>
              <w:bidi w:val="0"/>
              <w:spacing w:before="0" w:after="283"/>
              <w:jc w:val="left"/>
              <w:rPr/>
            </w:pPr>
            <w:r>
              <w:rPr/>
              <w:t> </w:t>
            </w:r>
            <w:bookmarkStart w:id="71" w:name="xdx_40B_eus-gaap--CommonStockValue_i02I_"/>
            <w:bookmarkEnd w:id="71"/>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2" w:name="xdx_90B_eus-gaap--CommonStockParOrStated"/>
            <w:bookmarkStart w:id="73" w:name="xdx_90A_eus-gaap--CommonStockParOrStated"/>
            <w:bookmarkEnd w:id="72"/>
            <w:bookmarkEnd w:id="73"/>
            <w:r>
              <w:rPr>
                <w:rFonts w:ascii="Times New Roman;Times;Serif" w:hAnsi="Times New Roman;Times;Serif"/>
              </w:rPr>
              <w:t>.0001 par value,</w:t>
            </w:r>
            <w:bookmarkStart w:id="74" w:name="xdx_90F_eus-gaap--CommonStockSharesAutho"/>
            <w:bookmarkEnd w:id="74"/>
            <w:r>
              <w:rPr>
                <w:rFonts w:ascii="Times New Roman;Times;Serif" w:hAnsi="Times New Roman;Times;Serif"/>
              </w:rPr>
              <w:t xml:space="preserve"> </w:t>
            </w:r>
            <w:bookmarkStart w:id="75" w:name="xdx_90E_eus-gaap--CommonStockSharesAutho"/>
            <w:bookmarkEnd w:id="75"/>
            <w:r>
              <w:rPr>
                <w:rFonts w:ascii="Times New Roman;Times;Serif" w:hAnsi="Times New Roman;Times;Serif"/>
              </w:rPr>
              <w:t xml:space="preserve">60,000,000 shares authorized; </w:t>
            </w:r>
            <w:bookmarkStart w:id="76" w:name="xdx_90D_eus-gaap--CommonStockSharesOutst"/>
            <w:bookmarkStart w:id="77" w:name="xdx_903_eus-gaap--CommonStockSharesIssue"/>
            <w:bookmarkEnd w:id="76"/>
            <w:bookmarkEnd w:id="77"/>
            <w:r>
              <w:rPr>
                <w:rFonts w:ascii="Times New Roman;Times;Serif" w:hAnsi="Times New Roman;Times;Serif"/>
              </w:rPr>
              <w:t xml:space="preserve">11,857,086 and </w:t>
            </w:r>
            <w:bookmarkStart w:id="78" w:name="xdx_906_eus-gaap--CommonStockSharesOutst"/>
            <w:bookmarkStart w:id="79" w:name="xdx_901_eus-gaap--CommonStockSharesIssue"/>
            <w:bookmarkEnd w:id="78"/>
            <w:bookmarkEnd w:id="79"/>
            <w:r>
              <w:rPr>
                <w:rFonts w:ascii="Times New Roman;Times;Serif" w:hAnsi="Times New Roman;Times;Serif"/>
              </w:rPr>
              <w:t>11,820,429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1" w:type="dxa"/>
            <w:tcBorders/>
            <w:shd w:fill="CCEEFF" w:val="clear"/>
            <w:vAlign w:val="center"/>
          </w:tcPr>
          <w:p>
            <w:pPr>
              <w:pStyle w:val="TableContents"/>
              <w:bidi w:val="0"/>
              <w:spacing w:before="0" w:after="283"/>
              <w:jc w:val="left"/>
              <w:rPr/>
            </w:pPr>
            <w:r>
              <w:rPr/>
              <w:t> </w:t>
            </w:r>
            <w:bookmarkStart w:id="80" w:name="xdx_404_eus-gaap--AdditionalPaidInCapita"/>
            <w:bookmarkEnd w:id="80"/>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176,783</w:t>
            </w:r>
          </w:p>
        </w:tc>
        <w:tc>
          <w:tcPr>
            <w:tcW w:w="111" w:type="dxa"/>
            <w:tcBorders/>
            <w:shd w:fill="FFFFFF" w:val="clear"/>
            <w:vAlign w:val="center"/>
          </w:tcPr>
          <w:p>
            <w:pPr>
              <w:pStyle w:val="TableContents"/>
              <w:bidi w:val="0"/>
              <w:spacing w:before="0" w:after="283"/>
              <w:jc w:val="left"/>
              <w:rPr/>
            </w:pPr>
            <w:r>
              <w:rPr/>
              <w:t> </w:t>
            </w:r>
            <w:bookmarkStart w:id="81" w:name="xdx_409_eus-gaap--RetainedEarningsAccumu"/>
            <w:bookmarkEnd w:id="81"/>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(178,468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(167,731</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2" w:name="xdx_405_eus-gaap--StockholdersEquity_i02"/>
            <w:bookmarkEnd w:id="82"/>
          </w:p>
        </w:tc>
      </w:tr>
      <w:tr>
        <w:trPr/>
        <w:tc>
          <w:tcPr>
            <w:tcW w:w="761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 (deficiency):</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9,151</w:t>
            </w:r>
          </w:p>
        </w:tc>
        <w:tc>
          <w:tcPr>
            <w:tcW w:w="111" w:type="dxa"/>
            <w:tcBorders/>
            <w:shd w:fill="FFFFFF" w:val="clear"/>
            <w:vAlign w:val="center"/>
          </w:tcPr>
          <w:p>
            <w:pPr>
              <w:pStyle w:val="TableContents"/>
              <w:bidi w:val="0"/>
              <w:spacing w:before="0" w:after="283"/>
              <w:jc w:val="left"/>
              <w:rPr/>
            </w:pPr>
            <w:r>
              <w:rPr/>
              <w:t> </w:t>
            </w:r>
            <w:bookmarkStart w:id="83" w:name="xdx_406_eus-gaap--LiabilitiesAndStockhol"/>
            <w:bookmarkEnd w:id="83"/>
          </w:p>
        </w:tc>
      </w:tr>
      <w:tr>
        <w:trPr/>
        <w:tc>
          <w:tcPr>
            <w:tcW w:w="76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 (deficiency):</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23,341</w:t>
            </w:r>
          </w:p>
        </w:tc>
        <w:tc>
          <w:tcPr>
            <w:tcW w:w="111"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84" w:name="a_004"/>
      <w:bookmarkEnd w:id="84"/>
      <w:r>
        <w:rPr>
          <w:rFonts w:ascii="Times New Roman;Times;Serif" w:hAnsi="Times New Roman;Times;Serif"/>
          <w:b/>
          <w:i w:val="false"/>
          <w:caps w:val="false"/>
          <w:smallCaps w:val="false"/>
          <w:sz w:val="20"/>
        </w:rPr>
        <w:t>CONDENSED CONSOLIDATED STATEMENTS OF OPERATIONS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5" w:name="xdx_30E_113_pn3n3_z664gFtA24Ta"/>
      <w:bookmarkStart w:id="86" w:name="xdx_30E_113_pn3n3_z664gFtA24Ta"/>
      <w:bookmarkEnd w:id="86"/>
    </w:p>
    <w:tbl>
      <w:tblPr>
        <w:tblW w:w="10205" w:type="dxa"/>
        <w:jc w:val="left"/>
        <w:tblInd w:w="0" w:type="dxa"/>
        <w:tblLayout w:type="fixed"/>
        <w:tblCellMar>
          <w:top w:w="0" w:type="dxa"/>
          <w:left w:w="0" w:type="dxa"/>
          <w:bottom w:w="0" w:type="dxa"/>
          <w:right w:w="0" w:type="dxa"/>
        </w:tblCellMar>
      </w:tblPr>
      <w:tblGrid>
        <w:gridCol w:w="4850"/>
        <w:gridCol w:w="60"/>
        <w:gridCol w:w="140"/>
        <w:gridCol w:w="1100"/>
        <w:gridCol w:w="95"/>
        <w:gridCol w:w="60"/>
        <w:gridCol w:w="140"/>
        <w:gridCol w:w="980"/>
        <w:gridCol w:w="95"/>
        <w:gridCol w:w="60"/>
        <w:gridCol w:w="140"/>
        <w:gridCol w:w="1100"/>
        <w:gridCol w:w="95"/>
        <w:gridCol w:w="60"/>
        <w:gridCol w:w="140"/>
        <w:gridCol w:w="980"/>
        <w:gridCol w:w="110"/>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7" w:name="xdx_49F_20260401__20260630_zqIb0cq1ojK7"/>
            <w:bookmarkEnd w:id="8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 w:name="xdx_494_20250401__20250630_zgElrNOQSnd6"/>
            <w:bookmarkEnd w:id="88"/>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D_20260101__20260630_z6mp9wHSO2Q4"/>
            <w:bookmarkEnd w:id="8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 w:name="xdx_498_20250101__20250630_zfY255OanRc3"/>
            <w:bookmarkEnd w:id="9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91" w:name="xdx_408_eus-gaap--RevenueFromContractWit"/>
            <w:bookmarkEnd w:id="91"/>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19,552</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2" w:name="xdx_40A_eus-gaap--CostOfGoodsAndServices"/>
            <w:bookmarkEnd w:id="92"/>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13,682</w:t>
            </w:r>
          </w:p>
        </w:tc>
        <w:tc>
          <w:tcPr>
            <w:tcW w:w="110" w:type="dxa"/>
            <w:tcBorders/>
            <w:shd w:fill="CCEEFF" w:val="clear"/>
            <w:vAlign w:val="center"/>
          </w:tcPr>
          <w:p>
            <w:pPr>
              <w:pStyle w:val="TableContents"/>
              <w:bidi w:val="0"/>
              <w:spacing w:before="0" w:after="283"/>
              <w:jc w:val="left"/>
              <w:rPr/>
            </w:pPr>
            <w:r>
              <w:rPr/>
              <w:t> </w:t>
            </w:r>
            <w:bookmarkStart w:id="93" w:name="xdx_40F_eus-gaap--OtherCostOfOperatingRe"/>
            <w:bookmarkEnd w:id="93"/>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write-offs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w:t>
            </w:r>
          </w:p>
        </w:tc>
        <w:tc>
          <w:tcPr>
            <w:tcW w:w="110" w:type="dxa"/>
            <w:tcBorders/>
            <w:shd w:fill="FFFFFF" w:val="clear"/>
            <w:vAlign w:val="center"/>
          </w:tcPr>
          <w:p>
            <w:pPr>
              <w:pStyle w:val="TableContents"/>
              <w:bidi w:val="0"/>
              <w:spacing w:before="0" w:after="283"/>
              <w:jc w:val="left"/>
              <w:rPr/>
            </w:pPr>
            <w:r>
              <w:rPr/>
              <w:t> </w:t>
            </w:r>
            <w:bookmarkStart w:id="94" w:name="xdx_409_eus-gaap--CostOfRevenue_iT_mtCOR"/>
            <w:bookmarkEnd w:id="94"/>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15,343</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 w:name="xdx_401_eus-gaap--GrossProfit_iT_maCzgBe"/>
            <w:bookmarkEnd w:id="95"/>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6" w:name="xdx_408_eus-gaap--OperatingExpensesAbstr"/>
            <w:bookmarkEnd w:id="96"/>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7" w:name="xdx_40B_ecustom--DeliveryAndHandlingExpe"/>
            <w:bookmarkEnd w:id="97"/>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3,199</w:t>
            </w:r>
          </w:p>
        </w:tc>
        <w:tc>
          <w:tcPr>
            <w:tcW w:w="110" w:type="dxa"/>
            <w:tcBorders/>
            <w:shd w:fill="FFFFFF" w:val="clear"/>
            <w:vAlign w:val="center"/>
          </w:tcPr>
          <w:p>
            <w:pPr>
              <w:pStyle w:val="TableContents"/>
              <w:bidi w:val="0"/>
              <w:spacing w:before="0" w:after="283"/>
              <w:jc w:val="left"/>
              <w:rPr/>
            </w:pPr>
            <w:r>
              <w:rPr/>
              <w:t> </w:t>
            </w:r>
            <w:bookmarkStart w:id="98" w:name="xdx_409_eus-gaap--SellingAndMarketingExp"/>
            <w:bookmarkEnd w:id="98"/>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2,773</w:t>
            </w:r>
          </w:p>
        </w:tc>
        <w:tc>
          <w:tcPr>
            <w:tcW w:w="110" w:type="dxa"/>
            <w:tcBorders/>
            <w:shd w:fill="CCEEFF" w:val="clear"/>
            <w:vAlign w:val="center"/>
          </w:tcPr>
          <w:p>
            <w:pPr>
              <w:pStyle w:val="TableContents"/>
              <w:bidi w:val="0"/>
              <w:spacing w:before="0" w:after="283"/>
              <w:jc w:val="left"/>
              <w:rPr/>
            </w:pPr>
            <w:r>
              <w:rPr/>
              <w:t> </w:t>
            </w:r>
            <w:bookmarkStart w:id="99" w:name="xdx_408_eus-gaap--GeneralAndAdministrati"/>
            <w:bookmarkEnd w:id="99"/>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5,772</w:t>
            </w:r>
          </w:p>
        </w:tc>
        <w:tc>
          <w:tcPr>
            <w:tcW w:w="110" w:type="dxa"/>
            <w:tcBorders/>
            <w:shd w:fill="FFFFFF" w:val="clear"/>
            <w:vAlign w:val="center"/>
          </w:tcPr>
          <w:p>
            <w:pPr>
              <w:pStyle w:val="TableContents"/>
              <w:bidi w:val="0"/>
              <w:spacing w:before="0" w:after="283"/>
              <w:jc w:val="left"/>
              <w:rPr/>
            </w:pPr>
            <w:r>
              <w:rPr/>
              <w:t> </w:t>
            </w:r>
            <w:bookmarkStart w:id="100" w:name="xdx_408_eus-gaap--OperatingExpenses_i01T"/>
            <w:bookmarkEnd w:id="100"/>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F_eus-gaap--OperatingIncomeLoss_iT"/>
            <w:bookmarkEnd w:id="101"/>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 w:name="xdx_407_eus-gaap--OtherIncome_maCzgEI_zP"/>
            <w:bookmarkEnd w:id="102"/>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110" w:type="dxa"/>
            <w:tcBorders/>
            <w:shd w:fill="CCEEFF" w:val="clear"/>
            <w:vAlign w:val="center"/>
          </w:tcPr>
          <w:p>
            <w:pPr>
              <w:pStyle w:val="TableContents"/>
              <w:bidi w:val="0"/>
              <w:spacing w:before="0" w:after="283"/>
              <w:jc w:val="left"/>
              <w:rPr/>
            </w:pPr>
            <w:r>
              <w:rPr/>
              <w:t> </w:t>
            </w:r>
            <w:bookmarkStart w:id="103" w:name="xdx_401_eus-gaap--InterestExpense_iN_di_"/>
            <w:bookmarkEnd w:id="103"/>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 w:name="xdx_406_eus-gaap--NetIncomeLoss_iT_mtCzg"/>
            <w:bookmarkEnd w:id="104"/>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 w:name="xdx_406_eus-gaap--PreferredStockDividend"/>
            <w:bookmarkEnd w:id="105"/>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 w:name="xdx_407_eus-gaap--NetIncomeLossAvailable"/>
            <w:bookmarkEnd w:id="106"/>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7" w:name="xdx_90F_eus-gaap--EarningsPerShareDilute"/>
            <w:bookmarkStart w:id="108" w:name="xdx_90D_eus-gaap--EarningsPerShareBasic_"/>
            <w:bookmarkEnd w:id="107"/>
            <w:bookmarkEnd w:id="108"/>
            <w:r>
              <w:rPr>
                <w:rFonts w:ascii="Times New Roman;Times;Serif" w:hAnsi="Times New Roman;Times;Serif"/>
              </w:rPr>
              <w:t>(0.36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9" w:name="xdx_901_eus-gaap--EarningsPerShareDilute"/>
            <w:bookmarkStart w:id="110" w:name="xdx_90A_eus-gaap--EarningsPerShareBasic_"/>
            <w:bookmarkEnd w:id="109"/>
            <w:bookmarkEnd w:id="110"/>
            <w:r>
              <w:rPr>
                <w:rFonts w:ascii="Times New Roman;Times;Serif" w:hAnsi="Times New Roman;Times;Serif"/>
              </w:rPr>
              <w:t>(0.78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11" w:name="xdx_909_eus-gaap--EarningsPerShareDilute"/>
            <w:bookmarkStart w:id="112" w:name="xdx_902_eus-gaap--EarningsPerShareBasic_"/>
            <w:bookmarkEnd w:id="111"/>
            <w:bookmarkEnd w:id="112"/>
            <w:r>
              <w:rPr>
                <w:rFonts w:ascii="Times New Roman;Times;Serif" w:hAnsi="Times New Roman;Times;Serif"/>
              </w:rPr>
              <w:t>(0.91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13" w:name="xdx_90C_eus-gaap--EarningsPerShareDilute"/>
            <w:bookmarkStart w:id="114" w:name="xdx_90E_eus-gaap--EarningsPerShareBasic_"/>
            <w:bookmarkEnd w:id="113"/>
            <w:bookmarkEnd w:id="114"/>
            <w:r>
              <w:rPr>
                <w:rFonts w:ascii="Times New Roman;Times;Serif" w:hAnsi="Times New Roman;Times;Serif"/>
              </w:rPr>
              <w:t>(1.06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bookmarkStart w:id="115" w:name="xdx_906_eus-gaap--WeightedAverageNumberO"/>
            <w:bookmarkStart w:id="116" w:name="xdx_905_eus-gaap--WeightedAverageNumberO"/>
            <w:bookmarkEnd w:id="115"/>
            <w:bookmarkEnd w:id="116"/>
            <w:r>
              <w:rPr>
                <w:rFonts w:ascii="Times New Roman;Times;Serif" w:hAnsi="Times New Roman;Times;Serif"/>
              </w:rPr>
              <w:t>11,846,210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bookmarkStart w:id="117" w:name="xdx_904_eus-gaap--WeightedAverageNumberO"/>
            <w:bookmarkStart w:id="118" w:name="xdx_907_eus-gaap--WeightedAverageNumberO"/>
            <w:bookmarkEnd w:id="117"/>
            <w:bookmarkEnd w:id="118"/>
            <w:r>
              <w:rPr>
                <w:rFonts w:ascii="Times New Roman;Times;Serif" w:hAnsi="Times New Roman;Times;Serif"/>
              </w:rPr>
              <w:t>7,727,840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bookmarkStart w:id="119" w:name="xdx_90F_eus-gaap--WeightedAverageNumberO"/>
            <w:bookmarkStart w:id="120" w:name="xdx_905_eus-gaap--WeightedAverageNumberO"/>
            <w:bookmarkEnd w:id="119"/>
            <w:bookmarkEnd w:id="120"/>
            <w:r>
              <w:rPr>
                <w:rFonts w:ascii="Times New Roman;Times;Serif" w:hAnsi="Times New Roman;Times;Serif"/>
              </w:rPr>
              <w:t>11,833,391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bookmarkStart w:id="121" w:name="xdx_90D_eus-gaap--WeightedAverageNumberO"/>
            <w:bookmarkStart w:id="122" w:name="xdx_902_eus-gaap--WeightedAverageNumberO"/>
            <w:bookmarkEnd w:id="121"/>
            <w:bookmarkEnd w:id="122"/>
            <w:r>
              <w:rPr>
                <w:rFonts w:ascii="Times New Roman;Times;Serif" w:hAnsi="Times New Roman;Times;Serif"/>
              </w:rPr>
              <w:t>7,645,316</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23" w:name="a_005"/>
      <w:bookmarkEnd w:id="123"/>
      <w:r>
        <w:rPr>
          <w:rFonts w:ascii="Times New Roman;Times;Serif" w:hAnsi="Times New Roman;Times;Serif"/>
          <w:b/>
          <w:i w:val="false"/>
          <w:caps w:val="false"/>
          <w:smallCaps w:val="false"/>
          <w:sz w:val="20"/>
        </w:rPr>
        <w:t>CONDENSED CONSOLIDATED STATEMENTS OF CHANGES IN STOCKHOLDERS’ EQUITY (DEFICIENCY)</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pBdr/>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4" w:name="xdx_302_114_pn3n3_z4VyZm9LnDm8"/>
      <w:bookmarkStart w:id="125" w:name="xdx_302_114_pn3n3_z4VyZm9LnDm8"/>
      <w:bookmarkEnd w:id="125"/>
    </w:p>
    <w:tbl>
      <w:tblPr>
        <w:tblW w:w="10205" w:type="dxa"/>
        <w:jc w:val="left"/>
        <w:tblInd w:w="0" w:type="dxa"/>
        <w:tblLayout w:type="fixed"/>
        <w:tblCellMar>
          <w:top w:w="0" w:type="dxa"/>
          <w:left w:w="0" w:type="dxa"/>
          <w:bottom w:w="0" w:type="dxa"/>
          <w:right w:w="0" w:type="dxa"/>
        </w:tblCellMar>
      </w:tblPr>
      <w:tblGrid>
        <w:gridCol w:w="1852"/>
        <w:gridCol w:w="60"/>
        <w:gridCol w:w="60"/>
        <w:gridCol w:w="1100"/>
        <w:gridCol w:w="60"/>
        <w:gridCol w:w="60"/>
        <w:gridCol w:w="430"/>
        <w:gridCol w:w="430"/>
        <w:gridCol w:w="60"/>
        <w:gridCol w:w="60"/>
        <w:gridCol w:w="68"/>
        <w:gridCol w:w="642"/>
        <w:gridCol w:w="60"/>
        <w:gridCol w:w="60"/>
        <w:gridCol w:w="301"/>
        <w:gridCol w:w="559"/>
        <w:gridCol w:w="60"/>
        <w:gridCol w:w="60"/>
        <w:gridCol w:w="163"/>
        <w:gridCol w:w="937"/>
        <w:gridCol w:w="60"/>
        <w:gridCol w:w="60"/>
        <w:gridCol w:w="188"/>
        <w:gridCol w:w="1182"/>
        <w:gridCol w:w="95"/>
        <w:gridCol w:w="60"/>
        <w:gridCol w:w="245"/>
        <w:gridCol w:w="1121"/>
        <w:gridCol w:w="112"/>
      </w:tblGrid>
      <w:tr>
        <w:trPr/>
        <w:tc>
          <w:tcPr>
            <w:tcW w:w="18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A_us-gaap--StatementEquityComponen"/>
            <w:bookmarkEnd w:id="12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F_us-gaap--StatementEquityComponen"/>
            <w:bookmarkEnd w:id="127"/>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1_us-gaap--StatementEquityComponen"/>
            <w:bookmarkEnd w:id="128"/>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5_us-gaap--StatementEquityComponen"/>
            <w:bookmarkEnd w:id="129"/>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6_zgrwyPTJzN32"/>
            <w:bookmarkEnd w:id="130"/>
          </w:p>
        </w:tc>
        <w:tc>
          <w:tcPr>
            <w:tcW w:w="13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(Deficiency)</w:t>
            </w:r>
          </w:p>
        </w:tc>
        <w:tc>
          <w:tcPr>
            <w:tcW w:w="112" w:type="dxa"/>
            <w:tcBorders/>
            <w:vAlign w:val="center"/>
          </w:tcPr>
          <w:p>
            <w:pPr>
              <w:pStyle w:val="TableContents"/>
              <w:bidi w:val="0"/>
              <w:spacing w:before="0" w:after="283"/>
              <w:jc w:val="left"/>
              <w:rPr/>
            </w:pPr>
            <w:r>
              <w:rPr/>
              <w:t> </w:t>
            </w:r>
          </w:p>
        </w:tc>
      </w:tr>
      <w:tr>
        <w:trPr/>
        <w:tc>
          <w:tcPr>
            <w:tcW w:w="18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jc w:val="center"/>
              <w:rPr>
                <w:rFonts w:ascii="Times New Roman;Times;Serif" w:hAnsi="Times New Roman;Times;Serif"/>
                <w:b/>
              </w:rPr>
            </w:pPr>
            <w:r>
              <w:rPr>
                <w:rFonts w:ascii="Times New Roman;Times;Serif" w:hAnsi="Times New Roman;Times;Serif"/>
                <w:b/>
              </w:rPr>
              <w:t>Stockholders’</w:t>
            </w:r>
          </w:p>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2" w:type="dxa"/>
            <w:tcBorders/>
            <w:vAlign w:val="center"/>
          </w:tcPr>
          <w:p>
            <w:pPr>
              <w:pStyle w:val="TableContents"/>
              <w:bidi w:val="0"/>
              <w:spacing w:before="0" w:after="283"/>
              <w:jc w:val="left"/>
              <w:rPr/>
            </w:pPr>
            <w:r>
              <w:rPr/>
              <w:t> </w:t>
            </w:r>
          </w:p>
        </w:tc>
      </w:tr>
      <w:tr>
        <w:trPr/>
        <w:tc>
          <w:tcPr>
            <w:tcW w:w="18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(Deficiency)</w:t>
            </w:r>
          </w:p>
        </w:tc>
        <w:tc>
          <w:tcPr>
            <w:tcW w:w="112" w:type="dxa"/>
            <w:tcBorders/>
            <w:vAlign w:val="center"/>
          </w:tcPr>
          <w:p>
            <w:pPr>
              <w:pStyle w:val="TableContents"/>
              <w:bidi w:val="0"/>
              <w:spacing w:before="0" w:after="283"/>
              <w:jc w:val="left"/>
              <w:rPr/>
            </w:pPr>
            <w:r>
              <w:rPr/>
              <w:t> </w:t>
            </w:r>
            <w:bookmarkStart w:id="131" w:name="xdx_435_c20260401__20260630_eus-gaap--St"/>
            <w:bookmarkEnd w:id="131"/>
          </w:p>
        </w:tc>
      </w:tr>
      <w:tr>
        <w:trPr/>
        <w:tc>
          <w:tcPr>
            <w:tcW w:w="185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B_eus-gaap--SharesOutstanding_iS_p"/>
            <w:bookmarkEnd w:id="13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11,820,429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3" w:name="xdx_989_eus-gaap--SharesOutstanding_iS_p"/>
            <w:bookmarkEnd w:id="133"/>
          </w:p>
        </w:tc>
        <w:tc>
          <w:tcPr>
            <w:tcW w:w="6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(174,195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w:t>
            </w:r>
          </w:p>
        </w:tc>
        <w:tc>
          <w:tcPr>
            <w:tcW w:w="112" w:type="dxa"/>
            <w:tcBorders/>
            <w:shd w:fill="CCEEFF" w:val="clear"/>
            <w:vAlign w:val="center"/>
          </w:tcPr>
          <w:p>
            <w:pPr>
              <w:pStyle w:val="TableContents"/>
              <w:bidi w:val="0"/>
              <w:spacing w:before="0" w:after="283"/>
              <w:jc w:val="left"/>
              <w:rPr/>
            </w:pPr>
            <w:r>
              <w:rPr/>
              <w:t> </w:t>
            </w:r>
            <w:bookmarkStart w:id="134" w:name="xdx_40D_ecustom--AdjustmentsToAdditional"/>
            <w:bookmarkEnd w:id="134"/>
          </w:p>
        </w:tc>
      </w:tr>
      <w:tr>
        <w:trPr/>
        <w:tc>
          <w:tcPr>
            <w:tcW w:w="18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2" w:type="dxa"/>
            <w:tcBorders/>
            <w:shd w:fill="FFFFFF" w:val="clear"/>
            <w:vAlign w:val="center"/>
          </w:tcPr>
          <w:p>
            <w:pPr>
              <w:pStyle w:val="TableContents"/>
              <w:bidi w:val="0"/>
              <w:spacing w:before="0" w:after="283"/>
              <w:jc w:val="left"/>
              <w:rPr/>
            </w:pPr>
            <w:r>
              <w:rPr/>
              <w:t> </w:t>
            </w:r>
            <w:bookmarkStart w:id="135" w:name="xdx_405_eus-gaap--SharebasedCompensation"/>
            <w:bookmarkEnd w:id="135"/>
          </w:p>
        </w:tc>
      </w:tr>
      <w:tr>
        <w:trPr/>
        <w:tc>
          <w:tcPr>
            <w:tcW w:w="18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F_ecustom--SharebasedCompensationA"/>
            <w:bookmarkEnd w:id="13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112" w:type="dxa"/>
            <w:tcBorders/>
            <w:shd w:fill="CCEEFF" w:val="clear"/>
            <w:vAlign w:val="center"/>
          </w:tcPr>
          <w:p>
            <w:pPr>
              <w:pStyle w:val="TableContents"/>
              <w:bidi w:val="0"/>
              <w:spacing w:before="0" w:after="283"/>
              <w:jc w:val="left"/>
              <w:rPr/>
            </w:pPr>
            <w:r>
              <w:rPr/>
              <w:t> </w:t>
            </w:r>
            <w:bookmarkStart w:id="137" w:name="xdx_405_eus-gaap--NetIncomeLoss_z915blIU"/>
            <w:bookmarkEnd w:id="137"/>
          </w:p>
        </w:tc>
      </w:tr>
      <w:tr>
        <w:trPr/>
        <w:tc>
          <w:tcPr>
            <w:tcW w:w="18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8" w:name="xdx_43B_c20260401__20260630_eus-gaap--St"/>
            <w:bookmarkEnd w:id="138"/>
          </w:p>
        </w:tc>
      </w:tr>
      <w:tr>
        <w:trPr/>
        <w:tc>
          <w:tcPr>
            <w:tcW w:w="185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9" w:name="xdx_989_eus-gaap--SharesOutstanding_iE_p"/>
            <w:bookmarkEnd w:id="13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11,857,086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0" w:name="xdx_980_eus-gaap--SharesOutstanding_iE_p"/>
            <w:bookmarkEnd w:id="140"/>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(178,468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5"/>
        <w:gridCol w:w="60"/>
        <w:gridCol w:w="60"/>
        <w:gridCol w:w="1101"/>
        <w:gridCol w:w="60"/>
        <w:gridCol w:w="60"/>
        <w:gridCol w:w="430"/>
        <w:gridCol w:w="430"/>
        <w:gridCol w:w="60"/>
        <w:gridCol w:w="60"/>
        <w:gridCol w:w="86"/>
        <w:gridCol w:w="637"/>
        <w:gridCol w:w="61"/>
        <w:gridCol w:w="61"/>
        <w:gridCol w:w="301"/>
        <w:gridCol w:w="559"/>
        <w:gridCol w:w="60"/>
        <w:gridCol w:w="60"/>
        <w:gridCol w:w="163"/>
        <w:gridCol w:w="937"/>
        <w:gridCol w:w="60"/>
        <w:gridCol w:w="60"/>
        <w:gridCol w:w="188"/>
        <w:gridCol w:w="1182"/>
        <w:gridCol w:w="95"/>
        <w:gridCol w:w="60"/>
        <w:gridCol w:w="329"/>
        <w:gridCol w:w="1776"/>
        <w:gridCol w:w="114"/>
      </w:tblGrid>
      <w:tr>
        <w:trPr/>
        <w:tc>
          <w:tcPr>
            <w:tcW w:w="1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Stockholders’Equity</w:t>
            </w:r>
          </w:p>
        </w:tc>
        <w:tc>
          <w:tcPr>
            <w:tcW w:w="114" w:type="dxa"/>
            <w:tcBorders/>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(Deficiency) </w:t>
            </w:r>
          </w:p>
        </w:tc>
        <w:tc>
          <w:tcPr>
            <w:tcW w:w="114" w:type="dxa"/>
            <w:tcBorders/>
            <w:vAlign w:val="center"/>
          </w:tcPr>
          <w:p>
            <w:pPr>
              <w:pStyle w:val="TableContents"/>
              <w:bidi w:val="0"/>
              <w:spacing w:before="0" w:after="283"/>
              <w:jc w:val="left"/>
              <w:rPr/>
            </w:pPr>
            <w:r>
              <w:rPr/>
              <w:t> </w:t>
            </w:r>
            <w:bookmarkStart w:id="141" w:name="xdx_434_c20260101__20260630_eus-gaap--St"/>
            <w:bookmarkEnd w:id="141"/>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C_eus-gaap--SharesOutstanding_iS_p"/>
            <w:bookmarkEnd w:id="142"/>
          </w:p>
        </w:tc>
        <w:tc>
          <w:tcPr>
            <w:tcW w:w="11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11,820,429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43" w:name="xdx_987_eus-gaap--SharesOutstanding_iS_p"/>
            <w:bookmarkEnd w:id="143"/>
          </w:p>
        </w:tc>
        <w:tc>
          <w:tcPr>
            <w:tcW w:w="6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(167,731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9,151</w:t>
            </w:r>
          </w:p>
        </w:tc>
        <w:tc>
          <w:tcPr>
            <w:tcW w:w="114" w:type="dxa"/>
            <w:tcBorders/>
            <w:shd w:fill="CCEEFF" w:val="clear"/>
            <w:vAlign w:val="center"/>
          </w:tcPr>
          <w:p>
            <w:pPr>
              <w:pStyle w:val="TableContents"/>
              <w:bidi w:val="0"/>
              <w:spacing w:before="0" w:after="283"/>
              <w:jc w:val="left"/>
              <w:rPr/>
            </w:pPr>
            <w:r>
              <w:rPr/>
              <w:t> </w:t>
            </w:r>
            <w:bookmarkStart w:id="144" w:name="xdx_40D_ecustom--AdjustmentsToAdditional"/>
            <w:bookmarkEnd w:id="144"/>
          </w:p>
        </w:tc>
      </w:tr>
      <w:tr>
        <w:trPr/>
        <w:tc>
          <w:tcPr>
            <w:tcW w:w="1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4" w:type="dxa"/>
            <w:tcBorders/>
            <w:shd w:fill="FFFFFF" w:val="clear"/>
            <w:vAlign w:val="center"/>
          </w:tcPr>
          <w:p>
            <w:pPr>
              <w:pStyle w:val="TableContents"/>
              <w:bidi w:val="0"/>
              <w:spacing w:before="0" w:after="283"/>
              <w:jc w:val="left"/>
              <w:rPr/>
            </w:pPr>
            <w:r>
              <w:rPr/>
              <w:t> </w:t>
            </w:r>
            <w:bookmarkStart w:id="145" w:name="xdx_402_eus-gaap--SharebasedCompensation"/>
            <w:bookmarkEnd w:id="145"/>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8_ecustom--SharebasedCompensationA"/>
            <w:bookmarkEnd w:id="146"/>
          </w:p>
        </w:tc>
        <w:tc>
          <w:tcPr>
            <w:tcW w:w="11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114" w:type="dxa"/>
            <w:tcBorders/>
            <w:shd w:fill="CCEEFF" w:val="clear"/>
            <w:vAlign w:val="center"/>
          </w:tcPr>
          <w:p>
            <w:pPr>
              <w:pStyle w:val="TableContents"/>
              <w:bidi w:val="0"/>
              <w:spacing w:before="0" w:after="283"/>
              <w:jc w:val="left"/>
              <w:rPr/>
            </w:pPr>
            <w:r>
              <w:rPr/>
              <w:t> </w:t>
            </w:r>
            <w:bookmarkStart w:id="147" w:name="xdx_405_eus-gaap--NetIncomeLoss_zeFBPEXJ"/>
            <w:bookmarkEnd w:id="147"/>
          </w:p>
        </w:tc>
      </w:tr>
      <w:tr>
        <w:trPr/>
        <w:tc>
          <w:tcPr>
            <w:tcW w:w="1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 w:name="xdx_437_c20260101__20260630_eus-gaap--St"/>
            <w:bookmarkEnd w:id="148"/>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9" w:name="xdx_98C_eus-gaap--SharesOutstanding_iE_p"/>
            <w:bookmarkEnd w:id="149"/>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11,857,086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0" w:name="xdx_981_eus-gaap--SharesOutstanding_iE_p"/>
            <w:bookmarkEnd w:id="150"/>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(178,468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67"/>
        <w:gridCol w:w="60"/>
        <w:gridCol w:w="61"/>
        <w:gridCol w:w="1002"/>
        <w:gridCol w:w="61"/>
        <w:gridCol w:w="61"/>
        <w:gridCol w:w="430"/>
        <w:gridCol w:w="430"/>
        <w:gridCol w:w="60"/>
        <w:gridCol w:w="60"/>
        <w:gridCol w:w="86"/>
        <w:gridCol w:w="662"/>
        <w:gridCol w:w="65"/>
        <w:gridCol w:w="65"/>
        <w:gridCol w:w="301"/>
        <w:gridCol w:w="559"/>
        <w:gridCol w:w="60"/>
        <w:gridCol w:w="60"/>
        <w:gridCol w:w="140"/>
        <w:gridCol w:w="800"/>
        <w:gridCol w:w="60"/>
        <w:gridCol w:w="60"/>
        <w:gridCol w:w="188"/>
        <w:gridCol w:w="1182"/>
        <w:gridCol w:w="95"/>
        <w:gridCol w:w="60"/>
        <w:gridCol w:w="244"/>
        <w:gridCol w:w="1111"/>
        <w:gridCol w:w="115"/>
      </w:tblGrid>
      <w:tr>
        <w:trPr/>
        <w:tc>
          <w:tcPr>
            <w:tcW w:w="20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pBdr/>
              <w:bidi w:val="0"/>
              <w:spacing w:before="0" w:after="0"/>
              <w:ind w:left="0" w:right="0" w:hanging="0"/>
              <w:jc w:val="center"/>
              <w:rPr>
                <w:caps w:val="false"/>
                <w:smallCaps w:val="false"/>
              </w:rPr>
            </w:pPr>
            <w:r>
              <w:rPr>
                <w:caps w:val="false"/>
                <w:smallCaps w:val="false"/>
              </w:rPr>
              <w:t>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w:t>
            </w:r>
          </w:p>
        </w:tc>
        <w:tc>
          <w:tcPr>
            <w:tcW w:w="115" w:type="dxa"/>
            <w:tcBorders/>
            <w:vAlign w:val="center"/>
          </w:tcPr>
          <w:p>
            <w:pPr>
              <w:pStyle w:val="TableContents"/>
              <w:bidi w:val="0"/>
              <w:spacing w:before="0" w:after="283"/>
              <w:jc w:val="left"/>
              <w:rPr/>
            </w:pPr>
            <w:r>
              <w:rPr/>
              <w:t> </w:t>
            </w:r>
          </w:p>
        </w:tc>
      </w:tr>
      <w:tr>
        <w:trPr/>
        <w:tc>
          <w:tcPr>
            <w:tcW w:w="20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5" w:type="dxa"/>
            <w:tcBorders/>
            <w:vAlign w:val="center"/>
          </w:tcPr>
          <w:p>
            <w:pPr>
              <w:pStyle w:val="TableContents"/>
              <w:bidi w:val="0"/>
              <w:spacing w:before="0" w:after="283"/>
              <w:jc w:val="left"/>
              <w:rPr/>
            </w:pPr>
            <w:r>
              <w:rPr/>
              <w:t> </w:t>
            </w:r>
            <w:bookmarkStart w:id="151" w:name="xdx_435_c20250401__20250630_eus-gaap--St"/>
            <w:bookmarkEnd w:id="151"/>
          </w:p>
        </w:tc>
      </w:tr>
      <w:tr>
        <w:trPr/>
        <w:tc>
          <w:tcPr>
            <w:tcW w:w="206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52" w:name="xdx_98E_eus-gaap--SharesOutstanding_iS_p"/>
            <w:bookmarkEnd w:id="152"/>
          </w:p>
        </w:tc>
        <w:tc>
          <w:tcPr>
            <w:tcW w:w="10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7,561,875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53" w:name="xdx_985_eus-gaap--SharesOutstanding_iS_p"/>
            <w:bookmarkEnd w:id="153"/>
          </w:p>
        </w:tc>
        <w:tc>
          <w:tcPr>
            <w:tcW w:w="6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(153,915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4,664</w:t>
            </w:r>
          </w:p>
        </w:tc>
        <w:tc>
          <w:tcPr>
            <w:tcW w:w="115" w:type="dxa"/>
            <w:tcBorders/>
            <w:shd w:fill="CCEEFF" w:val="clear"/>
            <w:vAlign w:val="center"/>
          </w:tcPr>
          <w:p>
            <w:pPr>
              <w:pStyle w:val="TableContents"/>
              <w:bidi w:val="0"/>
              <w:spacing w:before="0" w:after="283"/>
              <w:jc w:val="left"/>
              <w:rPr/>
            </w:pPr>
            <w:r>
              <w:rPr/>
              <w:t> </w:t>
            </w:r>
            <w:bookmarkStart w:id="154" w:name="xdx_40D_ecustom--AdjustmentsToAdditional"/>
            <w:bookmarkEnd w:id="154"/>
          </w:p>
        </w:tc>
      </w:tr>
      <w:tr>
        <w:trPr/>
        <w:tc>
          <w:tcPr>
            <w:tcW w:w="2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15" w:type="dxa"/>
            <w:tcBorders/>
            <w:shd w:fill="FFFFFF" w:val="clear"/>
            <w:vAlign w:val="center"/>
          </w:tcPr>
          <w:p>
            <w:pPr>
              <w:pStyle w:val="TableContents"/>
              <w:bidi w:val="0"/>
              <w:spacing w:before="0" w:after="283"/>
              <w:jc w:val="left"/>
              <w:rPr/>
            </w:pPr>
            <w:r>
              <w:rPr/>
              <w:t> </w:t>
            </w:r>
            <w:bookmarkStart w:id="155" w:name="xdx_404_eus-gaap--DividendsPreferredStoc"/>
            <w:bookmarkEnd w:id="155"/>
          </w:p>
        </w:tc>
      </w:tr>
      <w:tr>
        <w:trPr/>
        <w:tc>
          <w:tcPr>
            <w:tcW w:w="2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on Series A</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6" w:name="xdx_406_eus-gaap--StockIssuedDuringPerio"/>
            <w:bookmarkEnd w:id="156"/>
          </w:p>
        </w:tc>
      </w:tr>
      <w:tr>
        <w:trPr/>
        <w:tc>
          <w:tcPr>
            <w:tcW w:w="2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upon conversion of SAFE agreement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57" w:name="xdx_986_eus-gaap--StockIssuedDuringPerio"/>
            <w:bookmarkEnd w:id="157"/>
          </w:p>
        </w:tc>
        <w:tc>
          <w:tcPr>
            <w:tcW w:w="10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15" w:type="dxa"/>
            <w:tcBorders/>
            <w:shd w:fill="FFFFFF" w:val="clear"/>
            <w:vAlign w:val="center"/>
          </w:tcPr>
          <w:p>
            <w:pPr>
              <w:pStyle w:val="TableContents"/>
              <w:bidi w:val="0"/>
              <w:spacing w:before="0" w:after="283"/>
              <w:jc w:val="left"/>
              <w:rPr/>
            </w:pPr>
            <w:r>
              <w:rPr/>
              <w:t> </w:t>
            </w:r>
            <w:bookmarkStart w:id="158" w:name="xdx_402_eus-gaap--StockIssuedDuringPerio"/>
            <w:bookmarkEnd w:id="158"/>
          </w:p>
        </w:tc>
      </w:tr>
      <w:tr>
        <w:trPr/>
        <w:tc>
          <w:tcPr>
            <w:tcW w:w="2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for cash</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59" w:name="xdx_982_eus-gaap--StockIssuedDuringPerio"/>
            <w:bookmarkEnd w:id="159"/>
          </w:p>
        </w:tc>
        <w:tc>
          <w:tcPr>
            <w:tcW w:w="10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537,632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5" w:type="dxa"/>
            <w:tcBorders/>
            <w:shd w:fill="CCEEFF" w:val="clear"/>
            <w:vAlign w:val="center"/>
          </w:tcPr>
          <w:p>
            <w:pPr>
              <w:pStyle w:val="TableContents"/>
              <w:bidi w:val="0"/>
              <w:spacing w:before="0" w:after="283"/>
              <w:jc w:val="left"/>
              <w:rPr/>
            </w:pPr>
            <w:r>
              <w:rPr/>
              <w:t> </w:t>
            </w:r>
            <w:bookmarkStart w:id="160" w:name="xdx_405_eus-gaap--NetIncomeLoss_zbpbRFC6"/>
            <w:bookmarkEnd w:id="160"/>
          </w:p>
        </w:tc>
      </w:tr>
      <w:tr>
        <w:trPr/>
        <w:tc>
          <w:tcPr>
            <w:tcW w:w="2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1" w:name="xdx_43F_c20250401__20250630_eus-gaap--St"/>
            <w:bookmarkEnd w:id="161"/>
          </w:p>
        </w:tc>
      </w:tr>
      <w:tr>
        <w:trPr/>
        <w:tc>
          <w:tcPr>
            <w:tcW w:w="206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2" w:name="xdx_98D_eus-gaap--SharesOutstanding_iE_p"/>
            <w:bookmarkEnd w:id="162"/>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8,112,285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 w:name="xdx_98D_eus-gaap--SharesOutstanding_iE_p"/>
            <w:bookmarkEnd w:id="163"/>
          </w:p>
        </w:tc>
        <w:tc>
          <w:tcPr>
            <w:tcW w:w="6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1,735</w:t>
            </w:r>
          </w:p>
        </w:tc>
        <w:tc>
          <w:tcPr>
            <w:tcW w:w="115" w:type="dxa"/>
            <w:tcBorders/>
            <w:shd w:fill="CCEEFF" w:val="clear"/>
            <w:vAlign w:val="center"/>
          </w:tcPr>
          <w:p>
            <w:pPr>
              <w:pStyle w:val="TableContents"/>
              <w:bidi w:val="0"/>
              <w:spacing w:before="0" w:after="283"/>
              <w:jc w:val="left"/>
              <w:rPr/>
            </w:pPr>
            <w:r>
              <w:rPr/>
              <w:t> </w:t>
            </w:r>
          </w:p>
        </w:tc>
      </w:tr>
    </w:tbl>
    <w:p>
      <w:pPr>
        <w:pStyle w:val="TextBody"/>
        <w:pBd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3"/>
        <w:gridCol w:w="60"/>
        <w:gridCol w:w="60"/>
        <w:gridCol w:w="996"/>
        <w:gridCol w:w="60"/>
        <w:gridCol w:w="60"/>
        <w:gridCol w:w="430"/>
        <w:gridCol w:w="430"/>
        <w:gridCol w:w="60"/>
        <w:gridCol w:w="60"/>
        <w:gridCol w:w="86"/>
        <w:gridCol w:w="652"/>
        <w:gridCol w:w="64"/>
        <w:gridCol w:w="64"/>
        <w:gridCol w:w="301"/>
        <w:gridCol w:w="559"/>
        <w:gridCol w:w="60"/>
        <w:gridCol w:w="60"/>
        <w:gridCol w:w="181"/>
        <w:gridCol w:w="1046"/>
        <w:gridCol w:w="60"/>
        <w:gridCol w:w="60"/>
        <w:gridCol w:w="188"/>
        <w:gridCol w:w="1182"/>
        <w:gridCol w:w="95"/>
        <w:gridCol w:w="60"/>
        <w:gridCol w:w="244"/>
        <w:gridCol w:w="1107"/>
        <w:gridCol w:w="117"/>
      </w:tblGrid>
      <w:tr>
        <w:trPr/>
        <w:tc>
          <w:tcPr>
            <w:tcW w:w="18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 In</w:t>
            </w:r>
          </w:p>
        </w:tc>
        <w:tc>
          <w:tcPr>
            <w:tcW w:w="60" w:type="dxa"/>
            <w:tcBorders/>
            <w:vAlign w:val="center"/>
          </w:tcPr>
          <w:p>
            <w:pPr>
              <w:pStyle w:val="TableContents"/>
              <w:bidi w:val="0"/>
              <w:jc w:val="left"/>
              <w:rPr/>
            </w:pPr>
            <w:r>
              <w:rPr/>
              <w:t> </w:t>
            </w:r>
          </w:p>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w:t>
            </w:r>
          </w:p>
        </w:tc>
        <w:tc>
          <w:tcPr>
            <w:tcW w:w="117" w:type="dxa"/>
            <w:tcBorders/>
            <w:vAlign w:val="center"/>
          </w:tcPr>
          <w:p>
            <w:pPr>
              <w:pStyle w:val="TableContents"/>
              <w:bidi w:val="0"/>
              <w:spacing w:before="0" w:after="283"/>
              <w:jc w:val="left"/>
              <w:rPr/>
            </w:pPr>
            <w:r>
              <w:rPr/>
              <w:t> </w:t>
            </w:r>
          </w:p>
        </w:tc>
      </w:tr>
      <w:tr>
        <w:trPr/>
        <w:tc>
          <w:tcPr>
            <w:tcW w:w="18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7" w:type="dxa"/>
            <w:tcBorders/>
            <w:vAlign w:val="center"/>
          </w:tcPr>
          <w:p>
            <w:pPr>
              <w:pStyle w:val="TableContents"/>
              <w:bidi w:val="0"/>
              <w:spacing w:before="0" w:after="283"/>
              <w:jc w:val="left"/>
              <w:rPr/>
            </w:pPr>
            <w:r>
              <w:rPr/>
              <w:t> </w:t>
            </w:r>
            <w:bookmarkStart w:id="164" w:name="xdx_43B_c20250101__20250630_eus-gaap--St"/>
            <w:bookmarkEnd w:id="164"/>
          </w:p>
        </w:tc>
      </w:tr>
      <w:tr>
        <w:trPr/>
        <w:tc>
          <w:tcPr>
            <w:tcW w:w="180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2_eus-gaap--SharesOutstanding_iS_p"/>
            <w:bookmarkEnd w:id="165"/>
          </w:p>
        </w:tc>
        <w:tc>
          <w:tcPr>
            <w:tcW w:w="9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66" w:name="xdx_98D_eus-gaap--SharesOutstanding_iS_p"/>
            <w:bookmarkEnd w:id="166"/>
          </w:p>
        </w:tc>
        <w:tc>
          <w:tcPr>
            <w:tcW w:w="6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6,648</w:t>
            </w:r>
          </w:p>
        </w:tc>
        <w:tc>
          <w:tcPr>
            <w:tcW w:w="117" w:type="dxa"/>
            <w:tcBorders/>
            <w:shd w:fill="CCEEFF" w:val="clear"/>
            <w:vAlign w:val="center"/>
          </w:tcPr>
          <w:p>
            <w:pPr>
              <w:pStyle w:val="TableContents"/>
              <w:bidi w:val="0"/>
              <w:spacing w:before="0" w:after="283"/>
              <w:jc w:val="left"/>
              <w:rPr/>
            </w:pPr>
            <w:r>
              <w:rPr/>
              <w:t> </w:t>
            </w:r>
          </w:p>
        </w:tc>
      </w:tr>
      <w:tr>
        <w:trPr/>
        <w:tc>
          <w:tcPr>
            <w:tcW w:w="1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67" w:name="xdx_40D_ecustom--AdjustmentsToAdditional"/>
            <w:bookmarkEnd w:id="167"/>
          </w:p>
        </w:tc>
      </w:tr>
      <w:tr>
        <w:trPr/>
        <w:tc>
          <w:tcPr>
            <w:tcW w:w="18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117" w:type="dxa"/>
            <w:tcBorders/>
            <w:shd w:fill="CCEEFF" w:val="clear"/>
            <w:vAlign w:val="center"/>
          </w:tcPr>
          <w:p>
            <w:pPr>
              <w:pStyle w:val="TableContents"/>
              <w:bidi w:val="0"/>
              <w:spacing w:before="0" w:after="283"/>
              <w:jc w:val="left"/>
              <w:rPr/>
            </w:pPr>
            <w:r>
              <w:rPr/>
              <w:t> </w:t>
            </w:r>
            <w:bookmarkStart w:id="168" w:name="xdx_404_eus-gaap--DividendsPreferredStoc"/>
            <w:bookmarkEnd w:id="168"/>
          </w:p>
        </w:tc>
      </w:tr>
      <w:tr>
        <w:trPr/>
        <w:tc>
          <w:tcPr>
            <w:tcW w:w="18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on Series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9" w:name="xdx_40A_eus-gaap--StockIssuedDuringPerio"/>
            <w:bookmarkEnd w:id="169"/>
          </w:p>
        </w:tc>
      </w:tr>
      <w:tr>
        <w:trPr/>
        <w:tc>
          <w:tcPr>
            <w:tcW w:w="18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upon conversion of SAFE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5_eus-gaap--StockIssuedDuringPerio"/>
            <w:bookmarkEnd w:id="170"/>
          </w:p>
        </w:tc>
        <w:tc>
          <w:tcPr>
            <w:tcW w:w="9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17" w:type="dxa"/>
            <w:tcBorders/>
            <w:shd w:fill="CCEEFF" w:val="clear"/>
            <w:vAlign w:val="center"/>
          </w:tcPr>
          <w:p>
            <w:pPr>
              <w:pStyle w:val="TableContents"/>
              <w:bidi w:val="0"/>
              <w:spacing w:before="0" w:after="283"/>
              <w:jc w:val="left"/>
              <w:rPr/>
            </w:pPr>
            <w:r>
              <w:rPr/>
              <w:t> </w:t>
            </w:r>
            <w:bookmarkStart w:id="171" w:name="xdx_402_eus-gaap--StockIssuedDuringPerio"/>
            <w:bookmarkEnd w:id="171"/>
          </w:p>
        </w:tc>
      </w:tr>
      <w:tr>
        <w:trPr/>
        <w:tc>
          <w:tcPr>
            <w:tcW w:w="18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9_eus-gaap--StockIssuedDuringPerio"/>
            <w:bookmarkEnd w:id="172"/>
          </w:p>
        </w:tc>
        <w:tc>
          <w:tcPr>
            <w:tcW w:w="9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7" w:type="dxa"/>
            <w:tcBorders/>
            <w:shd w:fill="FFFFFF" w:val="clear"/>
            <w:vAlign w:val="center"/>
          </w:tcPr>
          <w:p>
            <w:pPr>
              <w:pStyle w:val="TableContents"/>
              <w:bidi w:val="0"/>
              <w:spacing w:before="0" w:after="283"/>
              <w:jc w:val="left"/>
              <w:rPr/>
            </w:pPr>
            <w:r>
              <w:rPr/>
              <w:t> </w:t>
            </w:r>
            <w:bookmarkStart w:id="173" w:name="xdx_405_eus-gaap--NetIncomeLoss_ztz6TGM5"/>
            <w:bookmarkEnd w:id="173"/>
          </w:p>
        </w:tc>
      </w:tr>
      <w:tr>
        <w:trPr/>
        <w:tc>
          <w:tcPr>
            <w:tcW w:w="18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 w:name="xdx_430_c20250101__20250630_eus-gaap--St"/>
            <w:bookmarkEnd w:id="174"/>
          </w:p>
        </w:tc>
      </w:tr>
      <w:tr>
        <w:trPr/>
        <w:tc>
          <w:tcPr>
            <w:tcW w:w="180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5" w:name="xdx_988_eus-gaap--SharesOutstanding_iE_p"/>
            <w:bookmarkEnd w:id="175"/>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8,112,285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B_eus-gaap--SharesOutstanding_iE_p"/>
            <w:bookmarkEnd w:id="176"/>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1,735</w:t>
            </w:r>
          </w:p>
        </w:tc>
        <w:tc>
          <w:tcPr>
            <w:tcW w:w="117"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77" w:name="a_006"/>
      <w:bookmarkEnd w:id="177"/>
      <w:r>
        <w:rPr>
          <w:rFonts w:ascii="Times New Roman;Times;Serif" w:hAnsi="Times New Roman;Times;Serif"/>
          <w:b/>
          <w:i w:val="false"/>
          <w:caps w:val="false"/>
          <w:smallCaps w:val="false"/>
          <w:sz w:val="20"/>
        </w:rPr>
        <w:t>CONDENSED CONSOLIDATED STATEMENTS OF CASH FLOWS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8" w:name="xdx_305_112_pn3n3_z2666AueVTG3"/>
      <w:bookmarkStart w:id="179" w:name="xdx_305_112_pn3n3_z2666AueVTG3"/>
      <w:bookmarkEnd w:id="179"/>
    </w:p>
    <w:tbl>
      <w:tblPr>
        <w:tblW w:w="8990" w:type="dxa"/>
        <w:jc w:val="left"/>
        <w:tblInd w:w="0" w:type="dxa"/>
        <w:tblLayout w:type="fixed"/>
        <w:tblCellMar>
          <w:top w:w="0" w:type="dxa"/>
          <w:left w:w="0" w:type="dxa"/>
          <w:bottom w:w="0" w:type="dxa"/>
          <w:right w:w="0" w:type="dxa"/>
        </w:tblCellMar>
      </w:tblPr>
      <w:tblGrid>
        <w:gridCol w:w="6875"/>
        <w:gridCol w:w="60"/>
        <w:gridCol w:w="140"/>
        <w:gridCol w:w="755"/>
        <w:gridCol w:w="95"/>
        <w:gridCol w:w="60"/>
        <w:gridCol w:w="140"/>
        <w:gridCol w:w="755"/>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 w:name="xdx_494_20260101__20260630_zW9kxyJue8H5"/>
            <w:bookmarkEnd w:id="180"/>
          </w:p>
        </w:tc>
        <w:tc>
          <w:tcPr>
            <w:tcW w:w="8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 w:name="xdx_495_20250101__20250630_zz1affUriuQa"/>
            <w:bookmarkEnd w:id="181"/>
          </w:p>
        </w:tc>
        <w:tc>
          <w:tcPr>
            <w:tcW w:w="8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182" w:name="xdx_40C_eus-gaap--NetCashProvidedByUsedI"/>
            <w:bookmarkEnd w:id="18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3" w:name="xdx_409_eus-gaap--NetIncomeLoss_i01_maNC"/>
            <w:bookmarkEnd w:id="18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4" w:name="xdx_40C_eus-gaap--AdjustmentsToReconcile"/>
            <w:bookmarkEnd w:id="18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5" w:name="xdx_408_eus-gaap--Depreciation_i02_maNCP"/>
            <w:bookmarkEnd w:id="18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186" w:name="xdx_408_eus-gaap--AmortizationOfDebtDisc"/>
            <w:bookmarkEnd w:id="186"/>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110" w:type="dxa"/>
            <w:tcBorders/>
            <w:shd w:fill="FFFFFF" w:val="clear"/>
            <w:vAlign w:val="center"/>
          </w:tcPr>
          <w:p>
            <w:pPr>
              <w:pStyle w:val="TableContents"/>
              <w:bidi w:val="0"/>
              <w:spacing w:before="0" w:after="283"/>
              <w:jc w:val="left"/>
              <w:rPr/>
            </w:pPr>
            <w:r>
              <w:rPr/>
              <w:t> </w:t>
            </w:r>
            <w:bookmarkStart w:id="187" w:name="xdx_402_ecustom--FairValueOfVestedOption"/>
            <w:bookmarkEnd w:id="18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110" w:type="dxa"/>
            <w:tcBorders/>
            <w:shd w:fill="CCEEFF" w:val="clear"/>
            <w:vAlign w:val="center"/>
          </w:tcPr>
          <w:p>
            <w:pPr>
              <w:pStyle w:val="TableContents"/>
              <w:bidi w:val="0"/>
              <w:spacing w:before="0" w:after="283"/>
              <w:jc w:val="left"/>
              <w:rPr/>
            </w:pPr>
            <w:r>
              <w:rPr/>
              <w:t> </w:t>
            </w:r>
            <w:bookmarkStart w:id="188" w:name="xdx_40F_ecustom--FairValueOfVestedRestri"/>
            <w:bookmarkEnd w:id="188"/>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89" w:name="xdx_400_eus-gaap--ProvisionForDoubtfulAc"/>
            <w:bookmarkEnd w:id="189"/>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for doubtful accounts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1,091</w:t>
            </w:r>
          </w:p>
        </w:tc>
        <w:tc>
          <w:tcPr>
            <w:tcW w:w="110" w:type="dxa"/>
            <w:tcBorders/>
            <w:shd w:fill="CCEEFF" w:val="clear"/>
            <w:vAlign w:val="center"/>
          </w:tcPr>
          <w:p>
            <w:pPr>
              <w:pStyle w:val="TableContents"/>
              <w:bidi w:val="0"/>
              <w:spacing w:before="0" w:after="283"/>
              <w:jc w:val="left"/>
              <w:rPr/>
            </w:pPr>
            <w:r>
              <w:rPr/>
              <w:t> </w:t>
            </w:r>
            <w:bookmarkStart w:id="190" w:name="xdx_404_eus-gaap--InventoryWriteDown_i02"/>
            <w:bookmarkEnd w:id="190"/>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write-offs and change in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w:t>
            </w:r>
          </w:p>
        </w:tc>
        <w:tc>
          <w:tcPr>
            <w:tcW w:w="110" w:type="dxa"/>
            <w:tcBorders/>
            <w:shd w:fill="FFFFFF" w:val="clear"/>
            <w:vAlign w:val="center"/>
          </w:tcPr>
          <w:p>
            <w:pPr>
              <w:pStyle w:val="TableContents"/>
              <w:bidi w:val="0"/>
              <w:spacing w:before="0" w:after="283"/>
              <w:jc w:val="left"/>
              <w:rPr/>
            </w:pPr>
            <w:r>
              <w:rPr/>
              <w:t> </w:t>
            </w:r>
            <w:bookmarkStart w:id="191" w:name="xdx_400_eus-gaap--IncreaseDecreaseInOper"/>
            <w:bookmarkEnd w:id="191"/>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2" w:name="xdx_405_eus-gaap--IncreaseDecreaseInAcco"/>
            <w:bookmarkEnd w:id="192"/>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3" w:name="xdx_40E_eus-gaap--IncreaseDecreaseInInve"/>
            <w:bookmarkEnd w:id="193"/>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4" w:name="xdx_408_eus-gaap--IncreaseDecreaseInPrep"/>
            <w:bookmarkEnd w:id="194"/>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5" w:name="xdx_40F_ecustom--IncreaseDecreaseInAmort"/>
            <w:bookmarkEnd w:id="195"/>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 in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CCEEFF" w:val="clear"/>
            <w:vAlign w:val="center"/>
          </w:tcPr>
          <w:p>
            <w:pPr>
              <w:pStyle w:val="TableContents"/>
              <w:bidi w:val="0"/>
              <w:spacing w:before="0" w:after="283"/>
              <w:jc w:val="left"/>
              <w:rPr/>
            </w:pPr>
            <w:r>
              <w:rPr/>
              <w:t> </w:t>
            </w:r>
            <w:bookmarkStart w:id="196" w:name="xdx_40B_eus-gaap--IncreaseDecreaseInAcco"/>
            <w:bookmarkEnd w:id="196"/>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w:t>
            </w:r>
          </w:p>
        </w:tc>
        <w:tc>
          <w:tcPr>
            <w:tcW w:w="110" w:type="dxa"/>
            <w:tcBorders/>
            <w:shd w:fill="FFFFFF" w:val="clear"/>
            <w:vAlign w:val="center"/>
          </w:tcPr>
          <w:p>
            <w:pPr>
              <w:pStyle w:val="TableContents"/>
              <w:bidi w:val="0"/>
              <w:spacing w:before="0" w:after="283"/>
              <w:jc w:val="left"/>
              <w:rPr/>
            </w:pPr>
            <w:r>
              <w:rPr/>
              <w:t> </w:t>
            </w:r>
            <w:bookmarkStart w:id="197" w:name="xdx_40C_eus-gaap--IncreaseDecreaseInAccr"/>
            <w:bookmarkEnd w:id="19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1,906</w:t>
            </w:r>
          </w:p>
        </w:tc>
        <w:tc>
          <w:tcPr>
            <w:tcW w:w="110" w:type="dxa"/>
            <w:tcBorders/>
            <w:shd w:fill="CCEEFF" w:val="clear"/>
            <w:vAlign w:val="center"/>
          </w:tcPr>
          <w:p>
            <w:pPr>
              <w:pStyle w:val="TableContents"/>
              <w:bidi w:val="0"/>
              <w:spacing w:before="0" w:after="283"/>
              <w:jc w:val="left"/>
              <w:rPr/>
            </w:pPr>
            <w:r>
              <w:rPr/>
              <w:t> </w:t>
            </w:r>
            <w:bookmarkStart w:id="198" w:name="xdx_401_eus-gaap--IncreaseDecreaseInDefe"/>
            <w:bookmarkEnd w:id="198"/>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99" w:name="xdx_40F_eus-gaap--IncreaseDecreaseInOper"/>
            <w:bookmarkEnd w:id="199"/>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CCEEFF" w:val="clear"/>
            <w:vAlign w:val="center"/>
          </w:tcPr>
          <w:p>
            <w:pPr>
              <w:pStyle w:val="TableContents"/>
              <w:bidi w:val="0"/>
              <w:spacing w:before="0" w:after="283"/>
              <w:jc w:val="left"/>
              <w:rPr/>
            </w:pPr>
            <w:r>
              <w:rPr/>
              <w:t> </w:t>
            </w:r>
            <w:bookmarkStart w:id="200" w:name="xdx_40C_eus-gaap--NetCashProvidedByUsedI"/>
            <w:bookmarkEnd w:id="200"/>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1" w:name="xdx_404_eus-gaap--NetCashProvidedByUsedI"/>
            <w:bookmarkEnd w:id="201"/>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2" w:name="xdx_405_eus-gaap--PaymentsToAcquireIntan"/>
            <w:bookmarkEnd w:id="202"/>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A_eus-gaap--PaymentsToAcquirePrope"/>
            <w:bookmarkEnd w:id="203"/>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 w:name="xdx_40E_eus-gaap--NetCashProvidedByUsedI"/>
            <w:bookmarkEnd w:id="204"/>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02_eus-gaap--NetCashProvidedByUsedI"/>
            <w:bookmarkEnd w:id="205"/>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9_eus-gaap--ProceedsFromIssuanceOf"/>
            <w:bookmarkEnd w:id="206"/>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0" w:type="dxa"/>
            <w:tcBorders/>
            <w:shd w:fill="FFFFFF" w:val="clear"/>
            <w:vAlign w:val="center"/>
          </w:tcPr>
          <w:p>
            <w:pPr>
              <w:pStyle w:val="TableContents"/>
              <w:bidi w:val="0"/>
              <w:spacing w:before="0" w:after="283"/>
              <w:jc w:val="left"/>
              <w:rPr/>
            </w:pPr>
            <w:r>
              <w:rPr/>
              <w:t> </w:t>
            </w:r>
            <w:bookmarkStart w:id="207" w:name="xdx_40A_ecustom--PaymentOfCashRecordedAs"/>
            <w:bookmarkEnd w:id="20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cash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8" w:name="xdx_403_eus-gaap--ProceedsFromRepayments"/>
            <w:bookmarkEnd w:id="208"/>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from former related party,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 w:name="xdx_405_eus-gaap--NetCashProvidedByUsedI"/>
            <w:bookmarkEnd w:id="209"/>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 w:name="xdx_408_eus-gaap--CashCashEquivalentsRes"/>
            <w:bookmarkEnd w:id="21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 w:name="xdx_40A_eus-gaap--CashCashEquivalentsRes"/>
            <w:bookmarkEnd w:id="21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10,391</w:t>
            </w:r>
          </w:p>
        </w:tc>
        <w:tc>
          <w:tcPr>
            <w:tcW w:w="110" w:type="dxa"/>
            <w:tcBorders/>
            <w:shd w:fill="FFFFFF" w:val="clear"/>
            <w:vAlign w:val="center"/>
          </w:tcPr>
          <w:p>
            <w:pPr>
              <w:pStyle w:val="TableContents"/>
              <w:bidi w:val="0"/>
              <w:spacing w:before="0" w:after="283"/>
              <w:jc w:val="left"/>
              <w:rPr/>
            </w:pPr>
            <w:r>
              <w:rPr/>
              <w:t> </w:t>
            </w:r>
            <w:bookmarkStart w:id="212" w:name="xdx_40A_eus-gaap--CashCashEquivalentsRes"/>
            <w:bookmarkEnd w:id="21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3" w:name="xdx_404_eus-gaap--SupplementalCashFlowIn"/>
            <w:bookmarkEnd w:id="213"/>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4" w:name="xdx_403_eus-gaap--InterestPaidNet_i01_zL"/>
            <w:bookmarkEnd w:id="214"/>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110" w:type="dxa"/>
            <w:tcBorders/>
            <w:shd w:fill="FFFFFF" w:val="clear"/>
            <w:vAlign w:val="center"/>
          </w:tcPr>
          <w:p>
            <w:pPr>
              <w:pStyle w:val="TableContents"/>
              <w:bidi w:val="0"/>
              <w:spacing w:before="0" w:after="283"/>
              <w:jc w:val="left"/>
              <w:rPr/>
            </w:pPr>
            <w:r>
              <w:rPr/>
              <w:t> </w:t>
            </w:r>
            <w:bookmarkStart w:id="215" w:name="xdx_402_eus-gaap--NoncashInvestingAndFin"/>
            <w:bookmarkEnd w:id="215"/>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6" w:name="xdx_407_ecustom--ReductionInPropertyAndE"/>
            <w:bookmarkEnd w:id="216"/>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in property and equipment and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17" w:name="xdx_401_ecustom--ReclassSafeAgreementFro"/>
            <w:bookmarkEnd w:id="21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 SAFE agreement from accounts payable to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10" w:type="dxa"/>
            <w:tcBorders/>
            <w:shd w:fill="CCEEFF" w:val="clear"/>
            <w:vAlign w:val="center"/>
          </w:tcPr>
          <w:p>
            <w:pPr>
              <w:pStyle w:val="TableContents"/>
              <w:bidi w:val="0"/>
              <w:spacing w:before="0" w:after="283"/>
              <w:jc w:val="left"/>
              <w:rPr/>
            </w:pPr>
            <w:r>
              <w:rPr/>
              <w:t> </w:t>
            </w:r>
            <w:bookmarkStart w:id="218" w:name="xdx_40B_ecustom--DividendsOnSeriesConver"/>
            <w:bookmarkEnd w:id="218"/>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19" w:name="a_007"/>
      <w:bookmarkEnd w:id="219"/>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20" w:name="xdx_806_eus-gaap--BasisOfPresentationAnd"/>
      <w:bookmarkEnd w:id="220"/>
      <w:r>
        <w:rPr>
          <w:rFonts w:ascii="Times New Roman;Times;Serif" w:hAnsi="Times New Roman;Times;Serif"/>
          <w:b/>
          <w:i w:val="false"/>
          <w:caps w:val="false"/>
          <w:smallCaps w:val="false"/>
          <w:sz w:val="20"/>
        </w:rPr>
        <w:t xml:space="preserve">1. </w:t>
      </w:r>
      <w:bookmarkStart w:id="221" w:name="xdx_825_zkq27iJZwIT9"/>
      <w:bookmarkEnd w:id="221"/>
      <w:r>
        <w:rPr>
          <w:rFonts w:ascii="Times New Roman;Times;Serif" w:hAnsi="Times New Roman;Times;Serif"/>
          <w:b/>
          <w:i w:val="false"/>
          <w:caps w:val="false"/>
          <w:smallCaps w:val="false"/>
          <w:sz w:val="20"/>
        </w:rPr>
        <w:t>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The Company believes that the disclosures contained in these condensed consolidated financial statements are adequate to make the information presented herein not misleading. These condensed consolidated financial statements should be read in conjunction with the financial statements contained in the Company’s Annual Report on Form 10-K for the year ended December 31, 2025, filed with the SEC on March 25, 2026. The accompanying condensed consolidated financial statements are unaudited, but in the opinion of management, contain all adjustments, including normal recurring adjustments, necessary to present fairly the Company’s financial position as of June 30, 2026, and the results of its operations and its cash flows for the six months ended June 30, 2026 and 2025. The balance sheet as of December 31, 2025 is derived from the Company’s audited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material sales in the period ended June 30, 2026 or 2025.</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six months ended June 30, 2026, are not necessarily indicative of the results of operations to be expected for the full fiscal year ending December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settlement of liabilities and commitments in the normal course of business. For the six months ended June 30, 2026, the Company recorded a net loss of $</w:t>
      </w:r>
      <w:bookmarkStart w:id="222" w:name="xdx_90B_eus-gaap--NetIncomeLoss_iN_pn3n3"/>
      <w:bookmarkEnd w:id="222"/>
      <w:r>
        <w:rPr>
          <w:rFonts w:ascii="Times New Roman;Times;Serif" w:hAnsi="Times New Roman;Times;Serif"/>
          <w:b w:val="false"/>
          <w:i w:val="false"/>
          <w:caps w:val="false"/>
          <w:smallCaps w:val="false"/>
          <w:sz w:val="20"/>
        </w:rPr>
        <w:t>10,737, used cash in operations of $</w:t>
      </w:r>
      <w:bookmarkStart w:id="223" w:name="xdx_908_eus-gaap--NetCashProvidedByUsedI"/>
      <w:bookmarkEnd w:id="223"/>
      <w:r>
        <w:rPr>
          <w:rFonts w:ascii="Times New Roman;Times;Serif" w:hAnsi="Times New Roman;Times;Serif"/>
          <w:b w:val="false"/>
          <w:i w:val="false"/>
          <w:caps w:val="false"/>
          <w:smallCaps w:val="false"/>
          <w:sz w:val="20"/>
        </w:rPr>
        <w:t>8,014, and as of June 30, 2026, had a stockholders’ deficiency of $</w:t>
      </w:r>
      <w:bookmarkStart w:id="224" w:name="xdx_904_eus-gaap--StockholdersEquity_iNI"/>
      <w:bookmarkEnd w:id="224"/>
      <w:r>
        <w:rPr>
          <w:rFonts w:ascii="Times New Roman;Times;Serif" w:hAnsi="Times New Roman;Times;Serif"/>
          <w:b w:val="false"/>
          <w:i w:val="false"/>
          <w:caps w:val="false"/>
          <w:smallCaps w:val="false"/>
          <w:sz w:val="20"/>
        </w:rPr>
        <w:t>1,485. As of June 30, 2026, the Company had a cash balance of $</w:t>
      </w:r>
      <w:bookmarkStart w:id="225" w:name="xdx_90A_eus-gaap--Cash_iI_pn3n3_c2026063"/>
      <w:bookmarkEnd w:id="225"/>
      <w:r>
        <w:rPr>
          <w:rFonts w:ascii="Times New Roman;Times;Serif" w:hAnsi="Times New Roman;Times;Serif"/>
          <w:b w:val="false"/>
          <w:i w:val="false"/>
          <w:caps w:val="false"/>
          <w:smallCaps w:val="false"/>
          <w:sz w:val="20"/>
        </w:rPr>
        <w:t xml:space="preserve">2,410, principal amount outstanding on the Senior Secured Loan of $9,250, no remaining availability under the Senior Secured Loan, and a maturity date on the Senior Secured Loan of September 30, 2026 (see Note 6 Senior Secured Loan).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these factors, considered in the aggregate, raise substantial doubt about the Company’s ability to continue as a going concern within one year of the date that the financial statements are issued. 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financed its operations through existing cash balances, cash generated from operations, public and private issuance of common stock, preferred stock, convertible debt instruments, term loans and credit lines from financial institutions.</w:t>
      </w:r>
    </w:p>
    <w:p>
      <w:pPr>
        <w:pStyle w:val="TextBody"/>
        <w:pBdr/>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the Company seeks additional sources of financing, there can be no assurance that such financing will be available to the Company on favorable terms or at all. The Company’s ability to obtain additional financing in the debt and equity capital markets is subject to several factors, including market and economic conditions, the Company’s performance and investor sentiment with respect to the Company and its industry.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continuing to take actions to improve operating performance and cash generated from operations, including product portfolio optimization, implementing strategies to achieve profitable sales growth, streamlining operations, improving supply chains, negotiating equitable vendor contracts, and managing product price architecture. However, the Company may be unsuccessful in executing these actions in a timely manner or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actions by the Federal Reserve to address inflation, fluctuations in energy prices, and the potential impacts of tariffs, trade tensions and geopolitical events create uncertainty about the future economic environment which will continue to evolve and may impact the Company’s business in future periods. The Company has experienced supply chain challenges, including increased lead times, as well as inflation of raw materials, logistics and labor costs due to availability constraints and high demand. Although the Company regularly monitors vendors in its supply chain, and uses alternative suppliers when necessary and available, supply chain constraints could cause a disruption in the Company’s ability to obtain raw materials required to manufacture its products and adversely affect its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and Basis of Presentation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notes have been prepared in accordance with accounting principles U.S. GAAP. The consolidated financial statements include the accounts of Reed’s Inc. and its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All significant intercompany balances and transactions have been eliminated in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26" w:name="xdx_809_eus-gaap--SignificantAccountingP"/>
      <w:bookmarkEnd w:id="226"/>
      <w:r>
        <w:rPr>
          <w:rFonts w:ascii="Times New Roman;Times;Serif" w:hAnsi="Times New Roman;Times;Serif"/>
          <w:b/>
          <w:i w:val="false"/>
          <w:caps w:val="false"/>
          <w:smallCaps w:val="false"/>
          <w:sz w:val="20"/>
        </w:rPr>
        <w:t xml:space="preserve">2. </w:t>
      </w:r>
      <w:bookmarkStart w:id="227" w:name="xdx_82A_z4ebU8SxTO8k"/>
      <w:bookmarkEnd w:id="227"/>
      <w:r>
        <w:rPr>
          <w:rFonts w:ascii="Times New Roman;Times;Serif" w:hAnsi="Times New Roman;Times;Serif"/>
          <w:b/>
          <w:i w:val="false"/>
          <w:caps w:val="false"/>
          <w:smallCaps w:val="false"/>
          <w:sz w:val="20"/>
        </w:rPr>
        <w:t>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28" w:name="xdx_863_z4bepSD1hr42"/>
      <w:bookmarkStart w:id="229" w:name="xdx_848_eus-gaap--UseOfEstimates_zoQ3UHF"/>
      <w:bookmarkEnd w:id="228"/>
      <w:bookmarkEnd w:id="229"/>
      <w:r>
        <w:rPr>
          <w:rFonts w:ascii="Times New Roman;Times;Serif" w:hAnsi="Times New Roman;Times;Serif"/>
          <w:b/>
          <w:i w:val="false"/>
          <w:caps w:val="false"/>
          <w:smallCaps w:val="false"/>
          <w:sz w:val="20"/>
        </w:rPr>
        <w:t>Use of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pStyle w:val="TextBody"/>
        <w:pBdr/>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230" w:name="xdx_863_z1QXucpVpkD1"/>
      <w:bookmarkStart w:id="231" w:name="xdx_841_eus-gaap--RevenueFromContractWit"/>
      <w:bookmarkEnd w:id="230"/>
      <w:bookmarkEnd w:id="231"/>
      <w:r>
        <w:rPr>
          <w:rFonts w:ascii="Times New Roman;Times;Serif" w:hAnsi="Times New Roman;Times;Serif"/>
          <w:b/>
          <w:i w:val="false"/>
          <w:caps w:val="false"/>
          <w:smallCaps w:val="false"/>
          <w:sz w:val="20"/>
        </w:rPr>
        <w:t>Revenue Recognition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the Company’s customer, which generally occurs upon shipment from the Company’s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pre-fulfillment. Damaged product returns have historically been insignificant. Because of this, the stand-alone nature of the Company’s products, and the Company’s assessment of performance obligations and transaction pricing for its sales contracts, the Company does not currently maintain a contract asset or liability balance for obligations. The Company assesses its contracts and the reasonableness of its conclusions on a quarterly basis.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32" w:name="xdx_864_zHurlQXBs85i"/>
      <w:bookmarkStart w:id="233" w:name="xdx_84E_eus-gaap--EarningsPerSharePolicy"/>
      <w:bookmarkEnd w:id="232"/>
      <w:bookmarkEnd w:id="233"/>
      <w:r>
        <w:rPr>
          <w:rFonts w:ascii="Times New Roman;Times;Serif" w:hAnsi="Times New Roman;Times;Serif"/>
          <w:b/>
          <w:i w:val="false"/>
          <w:caps w:val="false"/>
          <w:smallCaps w:val="false"/>
          <w:sz w:val="20"/>
        </w:rPr>
        <w:t>Loss per Common Share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period.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34" w:name="xdx_893_eus-gaap--ScheduleOfAntidilutive"/>
      <w:bookmarkEnd w:id="234"/>
      <w:r>
        <w:rPr>
          <w:rFonts w:ascii="Times New Roman;Times;Serif" w:hAnsi="Times New Roman;Times;Serif"/>
          <w:b w:val="false"/>
          <w:i w:val="false"/>
          <w:caps w:val="false"/>
          <w:smallCaps w:val="false"/>
          <w:sz w:val="20"/>
        </w:rPr>
        <w:t>For the six months ended June 30, 2026 and 2025, the calculations of basic and diluted loss per share are the same because potential dilutive securities would have had an antidilutive effect. The potentially dilutive securities consisted of the following: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35" w:name="xdx_8B3_zeEdi13inb66"/>
      <w:bookmarkEnd w:id="235"/>
      <w:r>
        <w:rPr>
          <w:rFonts w:ascii="Times New Roman;Times;Serif" w:hAnsi="Times New Roman;Times;Serif"/>
          <w:b w:val="false"/>
          <w:i w:val="false"/>
          <w:caps w:val="false"/>
          <w:smallCaps w:val="false"/>
          <w:sz w:val="20"/>
        </w:rPr>
        <w:t>Schedule of Potentially Dilutive Securities</w:t>
      </w:r>
    </w:p>
    <w:tbl>
      <w:tblPr>
        <w:tblW w:w="8459" w:type="dxa"/>
        <w:jc w:val="left"/>
        <w:tblInd w:w="0" w:type="dxa"/>
        <w:tblLayout w:type="fixed"/>
        <w:tblCellMar>
          <w:top w:w="0" w:type="dxa"/>
          <w:left w:w="0" w:type="dxa"/>
          <w:bottom w:w="0" w:type="dxa"/>
          <w:right w:w="0" w:type="dxa"/>
        </w:tblCellMar>
      </w:tblPr>
      <w:tblGrid>
        <w:gridCol w:w="6290"/>
        <w:gridCol w:w="60"/>
        <w:gridCol w:w="60"/>
        <w:gridCol w:w="980"/>
        <w:gridCol w:w="60"/>
        <w:gridCol w:w="60"/>
        <w:gridCol w:w="61"/>
        <w:gridCol w:w="813"/>
        <w:gridCol w:w="75"/>
      </w:tblGrid>
      <w:tr>
        <w:trPr/>
        <w:tc>
          <w:tcPr>
            <w:tcW w:w="6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36" w:name="xdx_49C_20260101__20260630_zHqfBqWmWQh6"/>
            <w:bookmarkEnd w:id="236"/>
          </w:p>
        </w:tc>
        <w:tc>
          <w:tcPr>
            <w:tcW w:w="10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7" w:name="xdx_494_20250101__20250630_z3sw7Lzyfd19"/>
            <w:bookmarkEnd w:id="237"/>
          </w:p>
        </w:tc>
        <w:tc>
          <w:tcPr>
            <w:tcW w:w="8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238" w:name="xdx_402_eus-gaap--AntidilutiveSecurities"/>
            <w:bookmarkEnd w:id="238"/>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91,549</w:t>
            </w:r>
          </w:p>
        </w:tc>
        <w:tc>
          <w:tcPr>
            <w:tcW w:w="75" w:type="dxa"/>
            <w:tcBorders/>
            <w:shd w:fill="CCEEFF" w:val="clear"/>
            <w:vAlign w:val="center"/>
          </w:tcPr>
          <w:p>
            <w:pPr>
              <w:pStyle w:val="TableContents"/>
              <w:bidi w:val="0"/>
              <w:spacing w:before="0" w:after="283"/>
              <w:jc w:val="left"/>
              <w:rPr/>
            </w:pPr>
            <w:r>
              <w:rPr/>
              <w:t> </w:t>
            </w:r>
            <w:bookmarkStart w:id="239" w:name="xdx_40C_eus-gaap--AntidilutiveSecurities"/>
            <w:bookmarkEnd w:id="239"/>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54,034</w:t>
            </w:r>
          </w:p>
        </w:tc>
        <w:tc>
          <w:tcPr>
            <w:tcW w:w="75" w:type="dxa"/>
            <w:tcBorders/>
            <w:shd w:fill="FFFFFF" w:val="clear"/>
            <w:vAlign w:val="center"/>
          </w:tcPr>
          <w:p>
            <w:pPr>
              <w:pStyle w:val="TableContents"/>
              <w:bidi w:val="0"/>
              <w:spacing w:before="0" w:after="283"/>
              <w:jc w:val="left"/>
              <w:rPr/>
            </w:pPr>
            <w:r>
              <w:rPr/>
              <w:t> </w:t>
            </w:r>
            <w:bookmarkStart w:id="240" w:name="xdx_40A_eus-gaap--AntidilutiveSecurities"/>
            <w:bookmarkEnd w:id="240"/>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equivalent of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75" w:type="dxa"/>
            <w:tcBorders/>
            <w:shd w:fill="CCEEFF" w:val="clear"/>
            <w:vAlign w:val="center"/>
          </w:tcPr>
          <w:p>
            <w:pPr>
              <w:pStyle w:val="TableContents"/>
              <w:bidi w:val="0"/>
              <w:spacing w:before="0" w:after="283"/>
              <w:jc w:val="left"/>
              <w:rPr/>
            </w:pPr>
            <w:r>
              <w:rPr/>
              <w:t> </w:t>
            </w:r>
            <w:bookmarkStart w:id="241" w:name="xdx_40C_eus-gaap--AntidilutiveSecurities"/>
            <w:bookmarkEnd w:id="241"/>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2,936,082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145,708</w:t>
            </w:r>
          </w:p>
        </w:tc>
        <w:tc>
          <w:tcPr>
            <w:tcW w:w="75" w:type="dxa"/>
            <w:tcBorders/>
            <w:shd w:fill="FFFFFF" w:val="clear"/>
            <w:vAlign w:val="center"/>
          </w:tcPr>
          <w:p>
            <w:pPr>
              <w:pStyle w:val="TableContents"/>
              <w:bidi w:val="0"/>
              <w:spacing w:before="0" w:after="283"/>
              <w:jc w:val="left"/>
              <w:rPr/>
            </w:pPr>
            <w:r>
              <w:rPr/>
              <w:t> </w:t>
            </w:r>
            <w:bookmarkStart w:id="242" w:name="xdx_40A_eus-gaap--AntidilutiveSecurities"/>
            <w:bookmarkEnd w:id="242"/>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2,936,082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145,708</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43" w:name="xdx_8AF_zbuKQgUyJeBc"/>
      <w:bookmarkEnd w:id="243"/>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44" w:name="xdx_861_zpV1Ghhp1Wil"/>
      <w:bookmarkStart w:id="245" w:name="xdx_848_eus-gaap--ShareBasedCompensation"/>
      <w:bookmarkEnd w:id="244"/>
      <w:bookmarkEnd w:id="245"/>
      <w:r>
        <w:rPr>
          <w:rFonts w:ascii="Times New Roman;Times;Serif" w:hAnsi="Times New Roman;Times;Serif"/>
          <w:b/>
          <w:i w:val="false"/>
          <w:caps w:val="false"/>
          <w:smallCaps w:val="false"/>
          <w:sz w:val="20"/>
        </w:rPr>
        <w:t>Stock Compensation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46" w:name="xdx_860_z4Phtbgje4N3"/>
      <w:bookmarkStart w:id="247" w:name="xdx_843_eus-gaap--AdvertisingCostsPolicy"/>
      <w:bookmarkEnd w:id="246"/>
      <w:bookmarkEnd w:id="247"/>
      <w:r>
        <w:rPr>
          <w:rFonts w:ascii="Times New Roman;Times;Serif" w:hAnsi="Times New Roman;Times;Serif"/>
          <w:b/>
          <w:i w:val="false"/>
          <w:caps w:val="false"/>
          <w:smallCaps w:val="false"/>
          <w:sz w:val="20"/>
        </w:rPr>
        <w:t>Advertising Costs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for the three months ended June 30, 2026, and 2025, aggregated $</w:t>
      </w:r>
      <w:bookmarkStart w:id="248" w:name="xdx_902_eus-gaap--AdvertisingExpense_pn3"/>
      <w:bookmarkEnd w:id="248"/>
      <w:r>
        <w:rPr>
          <w:rFonts w:ascii="Times New Roman;Times;Serif" w:hAnsi="Times New Roman;Times;Serif"/>
          <w:b w:val="false"/>
          <w:i w:val="false"/>
          <w:caps w:val="false"/>
          <w:smallCaps w:val="false"/>
          <w:sz w:val="20"/>
        </w:rPr>
        <w:t>299 and $</w:t>
      </w:r>
      <w:bookmarkStart w:id="249" w:name="xdx_906_eus-gaap--AdvertisingExpense_pn3"/>
      <w:bookmarkEnd w:id="249"/>
      <w:r>
        <w:rPr>
          <w:rFonts w:ascii="Times New Roman;Times;Serif" w:hAnsi="Times New Roman;Times;Serif"/>
          <w:b w:val="false"/>
          <w:i w:val="false"/>
          <w:caps w:val="false"/>
          <w:smallCaps w:val="false"/>
          <w:sz w:val="20"/>
        </w:rPr>
        <w:t>14, respectively. Advertising costs for the six months ended June 30, 2026, and 2025, aggregated $</w:t>
      </w:r>
      <w:bookmarkStart w:id="250" w:name="xdx_902_eus-gaap--AdvertisingExpense_pn3"/>
      <w:bookmarkEnd w:id="250"/>
      <w:r>
        <w:rPr>
          <w:rFonts w:ascii="Times New Roman;Times;Serif" w:hAnsi="Times New Roman;Times;Serif"/>
          <w:b w:val="false"/>
          <w:i w:val="false"/>
          <w:caps w:val="false"/>
          <w:smallCaps w:val="false"/>
          <w:sz w:val="20"/>
        </w:rPr>
        <w:t>610 and $</w:t>
      </w:r>
      <w:bookmarkStart w:id="251" w:name="xdx_90B_eus-gaap--AdvertisingExpense_pn3"/>
      <w:bookmarkEnd w:id="251"/>
      <w:r>
        <w:rPr>
          <w:rFonts w:ascii="Times New Roman;Times;Serif" w:hAnsi="Times New Roman;Times;Serif"/>
          <w:b w:val="false"/>
          <w:i w:val="false"/>
          <w:caps w:val="false"/>
          <w:smallCaps w:val="false"/>
          <w:sz w:val="20"/>
        </w:rPr>
        <w:t>48, respectively.</w:t>
      </w:r>
    </w:p>
    <w:p>
      <w:pPr>
        <w:pStyle w:val="TextBody"/>
        <w:pBdr/>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52" w:name="xdx_867_zlpIzTZOaXYb"/>
      <w:bookmarkStart w:id="253" w:name="xdx_846_eus-gaap--ConcentrationRiskCredi"/>
      <w:bookmarkEnd w:id="252"/>
      <w:bookmarkEnd w:id="253"/>
      <w:r>
        <w:rPr>
          <w:rFonts w:ascii="Times New Roman;Times;Serif" w:hAnsi="Times New Roman;Times;Serif"/>
          <w:b/>
          <w:i w:val="false"/>
          <w:caps w:val="false"/>
          <w:smallCaps w:val="false"/>
          <w:sz w:val="20"/>
        </w:rPr>
        <w:t>Concentrations</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sales.</w:t>
      </w:r>
      <w:r>
        <w:rPr>
          <w:rFonts w:ascii="Times New Roman;Times;Serif" w:hAnsi="Times New Roman;Times;Serif"/>
          <w:b w:val="false"/>
          <w:i w:val="false"/>
          <w:caps w:val="false"/>
          <w:smallCaps w:val="false"/>
          <w:sz w:val="20"/>
        </w:rPr>
        <w:t xml:space="preserve"> During the three months ended June 30, 2026, three customers accounted for </w:t>
      </w:r>
      <w:bookmarkStart w:id="254" w:name="xdx_903_eus-gaap--ConcentrationRiskPerce"/>
      <w:bookmarkEnd w:id="254"/>
      <w:r>
        <w:rPr>
          <w:rFonts w:ascii="Times New Roman;Times;Serif" w:hAnsi="Times New Roman;Times;Serif"/>
          <w:b w:val="false"/>
          <w:i w:val="false"/>
          <w:caps w:val="false"/>
          <w:smallCaps w:val="false"/>
          <w:sz w:val="20"/>
        </w:rPr>
        <w:t xml:space="preserve">23%, </w:t>
      </w:r>
      <w:bookmarkStart w:id="255" w:name="xdx_90B_eus-gaap--ConcentrationRiskPerce"/>
      <w:bookmarkEnd w:id="255"/>
      <w:r>
        <w:rPr>
          <w:rFonts w:ascii="Times New Roman;Times;Serif" w:hAnsi="Times New Roman;Times;Serif"/>
          <w:b w:val="false"/>
          <w:i w:val="false"/>
          <w:caps w:val="false"/>
          <w:smallCaps w:val="false"/>
          <w:sz w:val="20"/>
        </w:rPr>
        <w:t xml:space="preserve">18%, and </w:t>
      </w:r>
      <w:bookmarkStart w:id="256" w:name="xdx_90F_eus-gaap--ConcentrationRiskPerce"/>
      <w:bookmarkEnd w:id="256"/>
      <w:r>
        <w:rPr>
          <w:rFonts w:ascii="Times New Roman;Times;Serif" w:hAnsi="Times New Roman;Times;Serif"/>
          <w:b w:val="false"/>
          <w:i w:val="false"/>
          <w:caps w:val="false"/>
          <w:smallCaps w:val="false"/>
          <w:sz w:val="20"/>
        </w:rPr>
        <w:t xml:space="preserve">17% of net billing, respectively, and during the six months ended June 30, 2026, three customers accounted for </w:t>
      </w:r>
      <w:bookmarkStart w:id="257" w:name="xdx_905_eus-gaap--ConcentrationRiskPerce"/>
      <w:bookmarkEnd w:id="257"/>
      <w:r>
        <w:rPr>
          <w:rFonts w:ascii="Times New Roman;Times;Serif" w:hAnsi="Times New Roman;Times;Serif"/>
          <w:b w:val="false"/>
          <w:i w:val="false"/>
          <w:caps w:val="false"/>
          <w:smallCaps w:val="false"/>
          <w:sz w:val="20"/>
        </w:rPr>
        <w:t xml:space="preserve">20%, </w:t>
      </w:r>
      <w:bookmarkStart w:id="258" w:name="xdx_90B_eus-gaap--ConcentrationRiskPerce"/>
      <w:bookmarkEnd w:id="258"/>
      <w:r>
        <w:rPr>
          <w:rFonts w:ascii="Times New Roman;Times;Serif" w:hAnsi="Times New Roman;Times;Serif"/>
          <w:b w:val="false"/>
          <w:i w:val="false"/>
          <w:caps w:val="false"/>
          <w:smallCaps w:val="false"/>
          <w:sz w:val="20"/>
        </w:rPr>
        <w:t xml:space="preserve">17%, and </w:t>
      </w:r>
      <w:bookmarkStart w:id="259" w:name="xdx_90A_eus-gaap--ConcentrationRiskPerce"/>
      <w:bookmarkEnd w:id="259"/>
      <w:r>
        <w:rPr>
          <w:rFonts w:ascii="Times New Roman;Times;Serif" w:hAnsi="Times New Roman;Times;Serif"/>
          <w:b w:val="false"/>
          <w:i w:val="false"/>
          <w:caps w:val="false"/>
          <w:smallCaps w:val="false"/>
          <w:sz w:val="20"/>
        </w:rPr>
        <w:t xml:space="preserve">16% of net billing, respectively. During the three months ended June 30, 2025, three customers accounted for </w:t>
      </w:r>
      <w:bookmarkStart w:id="260" w:name="xdx_90A_eus-gaap--ConcentrationRiskPerce"/>
      <w:bookmarkEnd w:id="260"/>
      <w:r>
        <w:rPr>
          <w:rFonts w:ascii="Times New Roman;Times;Serif" w:hAnsi="Times New Roman;Times;Serif"/>
          <w:b w:val="false"/>
          <w:i w:val="false"/>
          <w:caps w:val="false"/>
          <w:smallCaps w:val="false"/>
          <w:sz w:val="20"/>
        </w:rPr>
        <w:t xml:space="preserve">26%, </w:t>
      </w:r>
      <w:bookmarkStart w:id="261" w:name="xdx_90B_eus-gaap--ConcentrationRiskPerce"/>
      <w:bookmarkEnd w:id="261"/>
      <w:r>
        <w:rPr>
          <w:rFonts w:ascii="Times New Roman;Times;Serif" w:hAnsi="Times New Roman;Times;Serif"/>
          <w:b w:val="false"/>
          <w:i w:val="false"/>
          <w:caps w:val="false"/>
          <w:smallCaps w:val="false"/>
          <w:sz w:val="20"/>
        </w:rPr>
        <w:t xml:space="preserve">17%, and </w:t>
      </w:r>
      <w:bookmarkStart w:id="262" w:name="xdx_903_eus-gaap--ConcentrationRiskPerce"/>
      <w:bookmarkEnd w:id="262"/>
      <w:r>
        <w:rPr>
          <w:rFonts w:ascii="Times New Roman;Times;Serif" w:hAnsi="Times New Roman;Times;Serif"/>
          <w:b w:val="false"/>
          <w:i w:val="false"/>
          <w:caps w:val="false"/>
          <w:smallCaps w:val="false"/>
          <w:sz w:val="20"/>
        </w:rPr>
        <w:t xml:space="preserve">11% of net billing, respectively, and during the six months ended June 30, 2025, three customers accounted for </w:t>
      </w:r>
      <w:bookmarkStart w:id="263" w:name="xdx_901_eus-gaap--ConcentrationRiskPerce"/>
      <w:bookmarkEnd w:id="263"/>
      <w:r>
        <w:rPr>
          <w:rFonts w:ascii="Times New Roman;Times;Serif" w:hAnsi="Times New Roman;Times;Serif"/>
          <w:b w:val="false"/>
          <w:i w:val="false"/>
          <w:caps w:val="false"/>
          <w:smallCaps w:val="false"/>
          <w:sz w:val="20"/>
        </w:rPr>
        <w:t xml:space="preserve">21%, </w:t>
      </w:r>
      <w:bookmarkStart w:id="264" w:name="xdx_905_eus-gaap--ConcentrationRiskPerce"/>
      <w:bookmarkEnd w:id="264"/>
      <w:r>
        <w:rPr>
          <w:rFonts w:ascii="Times New Roman;Times;Serif" w:hAnsi="Times New Roman;Times;Serif"/>
          <w:b w:val="false"/>
          <w:i w:val="false"/>
          <w:caps w:val="false"/>
          <w:smallCaps w:val="false"/>
          <w:sz w:val="20"/>
        </w:rPr>
        <w:t xml:space="preserve">19%, and </w:t>
      </w:r>
      <w:bookmarkStart w:id="265" w:name="xdx_90F_eus-gaap--ConcentrationRiskPerce"/>
      <w:bookmarkEnd w:id="265"/>
      <w:r>
        <w:rPr>
          <w:rFonts w:ascii="Times New Roman;Times;Serif" w:hAnsi="Times New Roman;Times;Serif"/>
          <w:b w:val="false"/>
          <w:i w:val="false"/>
          <w:caps w:val="false"/>
          <w:smallCaps w:val="false"/>
          <w:sz w:val="20"/>
        </w:rPr>
        <w:t xml:space="preserve">14% of net billing, respectively. No other customers exceeded </w:t>
      </w:r>
      <w:bookmarkStart w:id="266" w:name="xdx_90C_eus-gaap--ConcentrationRiskPerce"/>
      <w:bookmarkEnd w:id="266"/>
      <w:r>
        <w:rPr>
          <w:rFonts w:ascii="Times New Roman;Times;Serif" w:hAnsi="Times New Roman;Times;Serif"/>
          <w:b w:val="false"/>
          <w:i w:val="false"/>
          <w:caps w:val="false"/>
          <w:smallCaps w:val="false"/>
          <w:sz w:val="20"/>
        </w:rPr>
        <w:t>10% of sales in either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June 30, 2026, the Company had accounts receivable from three customers which comprised </w:t>
      </w:r>
      <w:bookmarkStart w:id="267" w:name="xdx_906_eus-gaap--ConcentrationRiskPerce"/>
      <w:bookmarkEnd w:id="267"/>
      <w:r>
        <w:rPr>
          <w:rFonts w:ascii="Times New Roman;Times;Serif" w:hAnsi="Times New Roman;Times;Serif"/>
          <w:b w:val="false"/>
          <w:i w:val="false"/>
          <w:caps w:val="false"/>
          <w:smallCaps w:val="false"/>
          <w:sz w:val="20"/>
        </w:rPr>
        <w:t xml:space="preserve">26%, </w:t>
      </w:r>
      <w:bookmarkStart w:id="268" w:name="xdx_901_eus-gaap--ConcentrationRiskPerce"/>
      <w:bookmarkEnd w:id="268"/>
      <w:r>
        <w:rPr>
          <w:rFonts w:ascii="Times New Roman;Times;Serif" w:hAnsi="Times New Roman;Times;Serif"/>
          <w:b w:val="false"/>
          <w:i w:val="false"/>
          <w:caps w:val="false"/>
          <w:smallCaps w:val="false"/>
          <w:sz w:val="20"/>
        </w:rPr>
        <w:t xml:space="preserve">21%, and </w:t>
      </w:r>
      <w:bookmarkStart w:id="269" w:name="xdx_907_eus-gaap--ConcentrationRiskPerce"/>
      <w:bookmarkEnd w:id="269"/>
      <w:r>
        <w:rPr>
          <w:rFonts w:ascii="Times New Roman;Times;Serif" w:hAnsi="Times New Roman;Times;Serif"/>
          <w:b w:val="false"/>
          <w:i w:val="false"/>
          <w:caps w:val="false"/>
          <w:smallCaps w:val="false"/>
          <w:sz w:val="20"/>
        </w:rPr>
        <w:t xml:space="preserve">11% of its net accounts receivable, respectively. As of December 31, 2025, the Company had accounts receivable from three customers which comprised </w:t>
      </w:r>
      <w:bookmarkStart w:id="270" w:name="xdx_90B_eus-gaap--ConcentrationRiskPerce"/>
      <w:bookmarkEnd w:id="270"/>
      <w:r>
        <w:rPr>
          <w:rFonts w:ascii="Times New Roman;Times;Serif" w:hAnsi="Times New Roman;Times;Serif"/>
          <w:b w:val="false"/>
          <w:i w:val="false"/>
          <w:caps w:val="false"/>
          <w:smallCaps w:val="false"/>
          <w:sz w:val="20"/>
        </w:rPr>
        <w:t xml:space="preserve">35%, </w:t>
      </w:r>
      <w:bookmarkStart w:id="271" w:name="xdx_906_eus-gaap--ConcentrationRiskPerce"/>
      <w:bookmarkEnd w:id="271"/>
      <w:r>
        <w:rPr>
          <w:rFonts w:ascii="Times New Roman;Times;Serif" w:hAnsi="Times New Roman;Times;Serif"/>
          <w:b w:val="false"/>
          <w:i w:val="false"/>
          <w:caps w:val="false"/>
          <w:smallCaps w:val="false"/>
          <w:sz w:val="20"/>
        </w:rPr>
        <w:t xml:space="preserve">24% and </w:t>
      </w:r>
      <w:bookmarkStart w:id="272" w:name="xdx_903_eus-gaap--ConcentrationRiskPerce"/>
      <w:bookmarkEnd w:id="272"/>
      <w:r>
        <w:rPr>
          <w:rFonts w:ascii="Times New Roman;Times;Serif" w:hAnsi="Times New Roman;Times;Serif"/>
          <w:b w:val="false"/>
          <w:i w:val="false"/>
          <w:caps w:val="false"/>
          <w:smallCaps w:val="false"/>
          <w:sz w:val="20"/>
        </w:rPr>
        <w:t xml:space="preserve">11% of its net accounts receivable, respectively. No other customers exceeded </w:t>
      </w:r>
      <w:bookmarkStart w:id="273" w:name="xdx_90C_eus-gaap--ConcentrationRiskPerce"/>
      <w:bookmarkEnd w:id="273"/>
      <w:r>
        <w:rPr>
          <w:rFonts w:ascii="Times New Roman;Times;Serif" w:hAnsi="Times New Roman;Times;Serif"/>
          <w:b w:val="false"/>
          <w:i w:val="false"/>
          <w:caps w:val="false"/>
          <w:smallCaps w:val="false"/>
          <w:sz w:val="20"/>
        </w:rPr>
        <w:t>10% of net accounts receivable in either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six months ended June 30, 2026 and the year ended December 31, 2025, the Company utilized seven separate co-packers for most of its production and bottling of beverage products in the United States. The Company has established relationships with these co-packers. Although there are other co-packers available to the Company, a change in co-packers may cause a delay in the production process, which could adversely affect operating results.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six months ended June 30, 2026, the Company’s largest two vendors accounted for approximately </w:t>
      </w:r>
      <w:bookmarkStart w:id="274" w:name="xdx_908_eus-gaap--ConcentrationRiskPerce"/>
      <w:bookmarkEnd w:id="274"/>
      <w:r>
        <w:rPr>
          <w:rFonts w:ascii="Times New Roman;Times;Serif" w:hAnsi="Times New Roman;Times;Serif"/>
          <w:b w:val="false"/>
          <w:i w:val="false"/>
          <w:caps w:val="false"/>
          <w:smallCaps w:val="false"/>
          <w:sz w:val="20"/>
        </w:rPr>
        <w:t xml:space="preserve">11% and </w:t>
      </w:r>
      <w:bookmarkStart w:id="275" w:name="xdx_902_eus-gaap--ConcentrationRiskPerce"/>
      <w:bookmarkEnd w:id="275"/>
      <w:r>
        <w:rPr>
          <w:rFonts w:ascii="Times New Roman;Times;Serif" w:hAnsi="Times New Roman;Times;Serif"/>
          <w:b w:val="false"/>
          <w:i w:val="false"/>
          <w:caps w:val="false"/>
          <w:smallCaps w:val="false"/>
          <w:sz w:val="20"/>
        </w:rPr>
        <w:t xml:space="preserve">11% of all purchases. During the six months ended June 30, 2025, the Company’s largest vendor accounted for approximately </w:t>
      </w:r>
      <w:bookmarkStart w:id="276" w:name="xdx_903_eus-gaap--ConcentrationRiskPerce"/>
      <w:bookmarkEnd w:id="276"/>
      <w:r>
        <w:rPr>
          <w:rFonts w:ascii="Times New Roman;Times;Serif" w:hAnsi="Times New Roman;Times;Serif"/>
          <w:b w:val="false"/>
          <w:i w:val="false"/>
          <w:caps w:val="false"/>
          <w:smallCaps w:val="false"/>
          <w:sz w:val="20"/>
        </w:rPr>
        <w:t xml:space="preserve">16% of all purchases. No other vendors exceeded </w:t>
      </w:r>
      <w:bookmarkStart w:id="277" w:name="xdx_905_eus-gaap--ConcentrationRiskPerce"/>
      <w:bookmarkEnd w:id="277"/>
      <w:r>
        <w:rPr>
          <w:rFonts w:ascii="Times New Roman;Times;Serif" w:hAnsi="Times New Roman;Times;Serif"/>
          <w:b w:val="false"/>
          <w:i w:val="false"/>
          <w:caps w:val="false"/>
          <w:smallCaps w:val="false"/>
          <w:sz w:val="20"/>
        </w:rPr>
        <w:t>10% of all purchases in either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June 30, 2026, two vendors accounted for </w:t>
      </w:r>
      <w:bookmarkStart w:id="278" w:name="xdx_905_eus-gaap--ConcentrationRiskPerce"/>
      <w:bookmarkEnd w:id="278"/>
      <w:r>
        <w:rPr>
          <w:rFonts w:ascii="Times New Roman;Times;Serif" w:hAnsi="Times New Roman;Times;Serif"/>
          <w:b w:val="false"/>
          <w:i w:val="false"/>
          <w:caps w:val="false"/>
          <w:smallCaps w:val="false"/>
          <w:sz w:val="20"/>
        </w:rPr>
        <w:t xml:space="preserve">13% and </w:t>
      </w:r>
      <w:bookmarkStart w:id="279" w:name="xdx_905_eus-gaap--ConcentrationRiskPerce"/>
      <w:bookmarkEnd w:id="279"/>
      <w:r>
        <w:rPr>
          <w:rFonts w:ascii="Times New Roman;Times;Serif" w:hAnsi="Times New Roman;Times;Serif"/>
          <w:b w:val="false"/>
          <w:i w:val="false"/>
          <w:caps w:val="false"/>
          <w:smallCaps w:val="false"/>
          <w:sz w:val="20"/>
        </w:rPr>
        <w:t xml:space="preserve">10% of total accounts payable. As of December 31, 2025, no vendor accounted for more than </w:t>
      </w:r>
      <w:bookmarkStart w:id="280" w:name="xdx_907_eus-gaap--ConcentrationRiskPerce"/>
      <w:bookmarkEnd w:id="280"/>
      <w:r>
        <w:rPr>
          <w:rFonts w:ascii="Times New Roman;Times;Serif" w:hAnsi="Times New Roman;Times;Serif"/>
          <w:b w:val="false"/>
          <w:i w:val="false"/>
          <w:caps w:val="false"/>
          <w:smallCaps w:val="false"/>
          <w:sz w:val="20"/>
        </w:rPr>
        <w:t xml:space="preserve">10% of total accounts payable. No other vendors exceeded </w:t>
      </w:r>
      <w:bookmarkStart w:id="281" w:name="xdx_904_eus-gaap--ConcentrationRiskPerce"/>
      <w:bookmarkEnd w:id="281"/>
      <w:r>
        <w:rPr>
          <w:rFonts w:ascii="Times New Roman;Times;Serif" w:hAnsi="Times New Roman;Times;Serif"/>
          <w:b w:val="false"/>
          <w:i w:val="false"/>
          <w:caps w:val="false"/>
          <w:smallCaps w:val="false"/>
          <w:sz w:val="20"/>
        </w:rPr>
        <w:t>10% of accounts payable in either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82" w:name="xdx_867_zSd3iIfFzqci"/>
      <w:bookmarkStart w:id="283" w:name="xdx_847_eus-gaap--FairValueOfFinancialIn"/>
      <w:bookmarkEnd w:id="282"/>
      <w:bookmarkEnd w:id="283"/>
      <w:r>
        <w:rPr>
          <w:rFonts w:ascii="Times New Roman;Times;Serif" w:hAnsi="Times New Roman;Times;Serif"/>
          <w:b/>
          <w:i w:val="false"/>
          <w:caps w:val="false"/>
          <w:smallCaps w:val="false"/>
          <w:sz w:val="20"/>
        </w:rPr>
        <w:t>Fair Value of Financial Instruments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in which there is little or no market data for the asset or liability which requires the Company to develop its own assumptions.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84" w:name="xdx_861_zVwNEEgPpX19"/>
      <w:bookmarkStart w:id="285" w:name="xdx_844_eus-gaap--ForeignCurrencyTransac"/>
      <w:bookmarkEnd w:id="284"/>
      <w:bookmarkEnd w:id="285"/>
      <w:r>
        <w:rPr>
          <w:rFonts w:ascii="Times New Roman;Times;Serif" w:hAnsi="Times New Roman;Times;Serif"/>
          <w:b/>
          <w:i w:val="false"/>
          <w:caps w:val="false"/>
          <w:smallCaps w:val="false"/>
          <w:sz w:val="20"/>
        </w:rPr>
        <w:t>Foreign Currency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86" w:name="xdx_90C_eus-gaap--DescriptionOfDifferenc"/>
      <w:bookmarkStart w:id="287" w:name="xdx_906_eus-gaap--DescriptionOfDifferenc"/>
      <w:bookmarkEnd w:id="286"/>
      <w:bookmarkEnd w:id="287"/>
      <w:r>
        <w:rPr>
          <w:rFonts w:ascii="Times New Roman;Times;Serif" w:hAnsi="Times New Roman;Times;Serif"/>
          <w:b w:val="false"/>
          <w:i w:val="false"/>
          <w:caps w:val="false"/>
          <w:smallCaps w:val="false"/>
          <w:sz w:val="20"/>
        </w:rPr>
        <w:t>Cash denominated in Japanese Yen (JPY) with an aggregate US Dollar equivalent of $21 and $131 at June 30, 2026 and December 31, 2025, respectively, was held by the Company in accounts at a financial institution in Japan. The Company used the exchange rate in the following table to translate amounts denominated in non-USD currencies as of the periods noted: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88" w:name="xdx_8BA_zujAuBefln0d"/>
      <w:bookmarkStart w:id="289" w:name="xdx_89C_eus-gaap--ScheduleOfForeignExcha"/>
      <w:bookmarkEnd w:id="288"/>
      <w:bookmarkEnd w:id="289"/>
      <w:r>
        <w:rPr>
          <w:rFonts w:ascii="Times New Roman;Times;Serif" w:hAnsi="Times New Roman;Times;Serif"/>
          <w:b w:val="false"/>
          <w:i w:val="false"/>
          <w:caps w:val="false"/>
          <w:smallCaps w:val="false"/>
          <w:sz w:val="20"/>
        </w:rPr>
        <w:t>Schedule of Foreign Currency Exchange Rate</w:t>
      </w:r>
    </w:p>
    <w:tbl>
      <w:tblPr>
        <w:tblW w:w="3194" w:type="dxa"/>
        <w:jc w:val="left"/>
        <w:tblInd w:w="0" w:type="dxa"/>
        <w:tblLayout w:type="fixed"/>
        <w:tblCellMar>
          <w:top w:w="0" w:type="dxa"/>
          <w:left w:w="0" w:type="dxa"/>
          <w:bottom w:w="0" w:type="dxa"/>
          <w:right w:w="0" w:type="dxa"/>
        </w:tblCellMar>
      </w:tblPr>
      <w:tblGrid>
        <w:gridCol w:w="995"/>
        <w:gridCol w:w="60"/>
        <w:gridCol w:w="62"/>
        <w:gridCol w:w="707"/>
        <w:gridCol w:w="60"/>
        <w:gridCol w:w="60"/>
        <w:gridCol w:w="94"/>
        <w:gridCol w:w="1081"/>
        <w:gridCol w:w="7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JPY:USD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290" w:name="xdx_989_eus-gaap--ForeignCurrencyExchang"/>
            <w:bookmarkEnd w:id="290"/>
          </w:p>
        </w:tc>
        <w:tc>
          <w:tcPr>
            <w:tcW w:w="7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bookmarkStart w:id="291" w:name="xdx_988_eus-gaap--ForeignCurrencyExchang"/>
            <w:bookmarkEnd w:id="291"/>
          </w:p>
        </w:tc>
        <w:tc>
          <w:tcPr>
            <w:tcW w:w="10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156.81</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92" w:name="xdx_8A0_zzoRhONNbAId"/>
      <w:bookmarkEnd w:id="292"/>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3" w:name="xdx_860_zfdIZ8KpXF99"/>
      <w:bookmarkStart w:id="294" w:name="xdx_849_eus-gaap--NewAccountingPronounce"/>
      <w:bookmarkEnd w:id="293"/>
      <w:bookmarkEnd w:id="294"/>
      <w:r>
        <w:rPr>
          <w:rFonts w:ascii="Times New Roman;Times;Serif" w:hAnsi="Times New Roman;Times;Serif"/>
          <w:b/>
          <w:i w:val="false"/>
          <w:caps w:val="false"/>
          <w:smallCaps w:val="false"/>
          <w:sz w:val="20"/>
        </w:rPr>
        <w:t>Recent Accounting Pronouncements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provisions of this guidance and assessing the potential impact on its financial statement disclosures.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pBdr/>
        <w:bidi w:val="0"/>
        <w:spacing w:before="0" w:after="0"/>
        <w:ind w:left="0" w:right="0" w:hanging="0"/>
        <w:jc w:val="both"/>
        <w:rPr>
          <w:caps w:val="false"/>
          <w:smallCaps w:val="false"/>
        </w:rPr>
      </w:pPr>
      <w:bookmarkStart w:id="295" w:name="xdx_85B_zz0AkwCn1HYg"/>
      <w:bookmarkEnd w:id="295"/>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6" w:name="xdx_80F_eus-gaap--InventoryDisclosureTex"/>
      <w:bookmarkEnd w:id="296"/>
      <w:r>
        <w:rPr>
          <w:rFonts w:ascii="Times New Roman;Times;Serif" w:hAnsi="Times New Roman;Times;Serif"/>
          <w:b/>
          <w:i w:val="false"/>
          <w:caps w:val="false"/>
          <w:smallCaps w:val="false"/>
          <w:sz w:val="20"/>
        </w:rPr>
        <w:t xml:space="preserve">3. </w:t>
      </w:r>
      <w:bookmarkStart w:id="297" w:name="xdx_829_zv3JrB35T002"/>
      <w:bookmarkEnd w:id="297"/>
      <w:r>
        <w:rPr>
          <w:rFonts w:ascii="Times New Roman;Times;Serif" w:hAnsi="Times New Roman;Times;Serif"/>
          <w:b/>
          <w:i w:val="false"/>
          <w:caps w:val="false"/>
          <w:smallCaps w:val="false"/>
          <w:sz w:val="20"/>
        </w:rPr>
        <w:t>Inventory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98" w:name="xdx_892_eus-gaap--ScheduleOfInventoryCur"/>
      <w:bookmarkEnd w:id="298"/>
      <w:r>
        <w:rPr>
          <w:rFonts w:ascii="Times New Roman;Times;Serif" w:hAnsi="Times New Roman;Times;Serif"/>
          <w:b w:val="false"/>
          <w:i w:val="false"/>
          <w:caps w:val="false"/>
          <w:smallCaps w:val="false"/>
          <w:sz w:val="20"/>
        </w:rPr>
        <w:t>Inventory consisted of the following (in thousands):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99" w:name="xdx_8B2_zN6Rxc2DZAG2"/>
      <w:bookmarkEnd w:id="299"/>
      <w:r>
        <w:rPr>
          <w:rFonts w:ascii="Times New Roman;Times;Serif" w:hAnsi="Times New Roman;Times;Serif"/>
          <w:b w:val="false"/>
          <w:i w:val="false"/>
          <w:caps w:val="false"/>
          <w:smallCaps w:val="false"/>
          <w:sz w:val="20"/>
        </w:rPr>
        <w:t>Schedule of Inventory</w:t>
      </w:r>
    </w:p>
    <w:tbl>
      <w:tblPr>
        <w:tblW w:w="3915" w:type="dxa"/>
        <w:jc w:val="left"/>
        <w:tblInd w:w="0" w:type="dxa"/>
        <w:tblLayout w:type="fixed"/>
        <w:tblCellMar>
          <w:top w:w="0" w:type="dxa"/>
          <w:left w:w="0" w:type="dxa"/>
          <w:bottom w:w="0" w:type="dxa"/>
          <w:right w:w="0" w:type="dxa"/>
        </w:tblCellMar>
      </w:tblPr>
      <w:tblGrid>
        <w:gridCol w:w="1715"/>
        <w:gridCol w:w="60"/>
        <w:gridCol w:w="154"/>
        <w:gridCol w:w="616"/>
        <w:gridCol w:w="60"/>
        <w:gridCol w:w="60"/>
        <w:gridCol w:w="235"/>
        <w:gridCol w:w="940"/>
        <w:gridCol w:w="75"/>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0" w:name="xdx_499_20260630_z2A8GyZioDRd"/>
            <w:bookmarkEnd w:id="300"/>
          </w:p>
        </w:tc>
        <w:tc>
          <w:tcPr>
            <w:tcW w:w="77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1" w:name="xdx_49A_20251231_zjEZiHorcDT4"/>
            <w:bookmarkEnd w:id="301"/>
          </w:p>
        </w:tc>
        <w:tc>
          <w:tcPr>
            <w:tcW w:w="117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bookmarkStart w:id="302" w:name="xdx_405_eus-gaap--InventoryRawMaterials_"/>
            <w:bookmarkEnd w:id="302"/>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3,951</w:t>
            </w:r>
          </w:p>
        </w:tc>
        <w:tc>
          <w:tcPr>
            <w:tcW w:w="75" w:type="dxa"/>
            <w:tcBorders/>
            <w:shd w:fill="CCEEFF" w:val="clear"/>
            <w:vAlign w:val="center"/>
          </w:tcPr>
          <w:p>
            <w:pPr>
              <w:pStyle w:val="TableContents"/>
              <w:bidi w:val="0"/>
              <w:spacing w:before="0" w:after="283"/>
              <w:jc w:val="left"/>
              <w:rPr/>
            </w:pPr>
            <w:r>
              <w:rPr/>
              <w:t> </w:t>
            </w:r>
            <w:bookmarkStart w:id="303" w:name="xdx_401_eus-gaap--InventoryFinishedGoods"/>
            <w:bookmarkEnd w:id="303"/>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products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w:t>
            </w:r>
          </w:p>
        </w:tc>
        <w:tc>
          <w:tcPr>
            <w:tcW w:w="75" w:type="dxa"/>
            <w:tcBorders/>
            <w:shd w:fill="FFFFFF" w:val="clear"/>
            <w:vAlign w:val="center"/>
          </w:tcPr>
          <w:p>
            <w:pPr>
              <w:pStyle w:val="TableContents"/>
              <w:bidi w:val="0"/>
              <w:spacing w:before="0" w:after="283"/>
              <w:jc w:val="left"/>
              <w:rPr/>
            </w:pPr>
            <w:r>
              <w:rPr/>
              <w:t> </w:t>
            </w:r>
            <w:bookmarkStart w:id="304" w:name="xdx_403_eus-gaap--InventoryNet_iTI_pn3n3"/>
            <w:bookmarkEnd w:id="304"/>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8,046</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05" w:name="xdx_8AF_zz7EblWfSGh5"/>
      <w:bookmarkEnd w:id="305"/>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inventory was net of a reserve of $</w:t>
      </w:r>
      <w:bookmarkStart w:id="306" w:name="xdx_90A_eus-gaap--InventoryFinishedGoods"/>
      <w:bookmarkEnd w:id="306"/>
      <w:r>
        <w:rPr>
          <w:rFonts w:ascii="Times New Roman;Times;Serif" w:hAnsi="Times New Roman;Times;Serif"/>
          <w:b w:val="false"/>
          <w:i w:val="false"/>
          <w:caps w:val="false"/>
          <w:smallCaps w:val="false"/>
          <w:sz w:val="20"/>
        </w:rPr>
        <w:t>748 and $</w:t>
      </w:r>
      <w:bookmarkStart w:id="307" w:name="xdx_906_eus-gaap--InventoryFinishedGoods"/>
      <w:bookmarkEnd w:id="307"/>
      <w:r>
        <w:rPr>
          <w:rFonts w:ascii="Times New Roman;Times;Serif" w:hAnsi="Times New Roman;Times;Serif"/>
          <w:b w:val="false"/>
          <w:i w:val="false"/>
          <w:caps w:val="false"/>
          <w:smallCaps w:val="false"/>
          <w:sz w:val="20"/>
        </w:rPr>
        <w:t>835, respectively. During the six months ended June 30, 2026, the Company incurred $</w:t>
      </w:r>
      <w:bookmarkStart w:id="308" w:name="xdx_906_eus-gaap--OtherCostOfOperatingRe"/>
      <w:bookmarkEnd w:id="308"/>
      <w:r>
        <w:rPr>
          <w:rFonts w:ascii="Times New Roman;Times;Serif" w:hAnsi="Times New Roman;Times;Serif"/>
          <w:b w:val="false"/>
          <w:i w:val="false"/>
          <w:caps w:val="false"/>
          <w:smallCaps w:val="false"/>
          <w:sz w:val="20"/>
        </w:rPr>
        <w:t>830 of inventory charges related to changes in product portfolio optimization made by new management. The $</w:t>
      </w:r>
      <w:bookmarkStart w:id="309" w:name="xdx_907_eus-gaap--OtherCostOfOperatingRe"/>
      <w:bookmarkEnd w:id="309"/>
      <w:r>
        <w:rPr>
          <w:rFonts w:ascii="Times New Roman;Times;Serif" w:hAnsi="Times New Roman;Times;Serif"/>
          <w:b w:val="false"/>
          <w:i w:val="false"/>
          <w:caps w:val="false"/>
          <w:smallCaps w:val="false"/>
          <w:sz w:val="20"/>
        </w:rPr>
        <w:t>830 of inventory charges consisted of $</w:t>
      </w:r>
      <w:bookmarkStart w:id="310" w:name="xdx_907_eus-gaap--InventoryRawMaterialsN"/>
      <w:bookmarkEnd w:id="310"/>
      <w:r>
        <w:rPr>
          <w:rFonts w:ascii="Times New Roman;Times;Serif" w:hAnsi="Times New Roman;Times;Serif"/>
          <w:b w:val="false"/>
          <w:i w:val="false"/>
          <w:caps w:val="false"/>
          <w:smallCaps w:val="false"/>
          <w:sz w:val="20"/>
        </w:rPr>
        <w:t>786 related to raw materials and $</w:t>
      </w:r>
      <w:bookmarkStart w:id="311" w:name="xdx_904_eus-gaap--InventoryFinishedGoods"/>
      <w:bookmarkEnd w:id="311"/>
      <w:r>
        <w:rPr>
          <w:rFonts w:ascii="Times New Roman;Times;Serif" w:hAnsi="Times New Roman;Times;Serif"/>
          <w:b w:val="false"/>
          <w:i w:val="false"/>
          <w:caps w:val="false"/>
          <w:smallCaps w:val="false"/>
          <w:sz w:val="20"/>
        </w:rPr>
        <w:t>44 related to finished products. During the six months ended June 30, 2025, the Company incurred $</w:t>
      </w:r>
      <w:bookmarkStart w:id="312" w:name="xdx_903_eus-gaap--InventoryWriteDown_pn3"/>
      <w:bookmarkEnd w:id="312"/>
      <w:r>
        <w:rPr>
          <w:rFonts w:ascii="Times New Roman;Times;Serif" w:hAnsi="Times New Roman;Times;Serif"/>
          <w:b w:val="false"/>
          <w:i w:val="false"/>
          <w:caps w:val="false"/>
          <w:smallCaps w:val="false"/>
          <w:sz w:val="20"/>
        </w:rPr>
        <w:t>1,661 of inventory charges related to changes in product portfolio optimization.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13" w:name="xdx_809_eus-gaap--PropertyPlantAndEquipm"/>
      <w:bookmarkEnd w:id="313"/>
      <w:r>
        <w:rPr>
          <w:rFonts w:ascii="Times New Roman;Times;Serif" w:hAnsi="Times New Roman;Times;Serif"/>
          <w:b/>
          <w:i w:val="false"/>
          <w:caps w:val="false"/>
          <w:smallCaps w:val="false"/>
          <w:sz w:val="20"/>
        </w:rPr>
        <w:t xml:space="preserve">4. </w:t>
      </w:r>
      <w:bookmarkStart w:id="314" w:name="xdx_827_zYaXD9aemvv"/>
      <w:bookmarkEnd w:id="314"/>
      <w:r>
        <w:rPr>
          <w:rFonts w:ascii="Times New Roman;Times;Serif" w:hAnsi="Times New Roman;Times;Serif"/>
          <w:b/>
          <w:i w:val="false"/>
          <w:caps w:val="false"/>
          <w:smallCaps w:val="false"/>
          <w:sz w:val="20"/>
        </w:rPr>
        <w:t>Property and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5" w:name="xdx_89D_eus-gaap--PropertyPlantAndEquipm"/>
      <w:bookmarkEnd w:id="315"/>
      <w:r>
        <w:rPr>
          <w:rFonts w:ascii="Times New Roman;Times;Serif" w:hAnsi="Times New Roman;Times;Serif"/>
          <w:b w:val="false"/>
          <w:i w:val="false"/>
          <w:caps w:val="false"/>
          <w:smallCaps w:val="false"/>
          <w:sz w:val="20"/>
        </w:rPr>
        <w:t>Property and equipment comprise the following (in thousands):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6" w:name="xdx_8B3_z5AoXMkK42fj"/>
      <w:bookmarkEnd w:id="316"/>
      <w:r>
        <w:rPr>
          <w:rFonts w:ascii="Times New Roman;Times;Serif" w:hAnsi="Times New Roman;Times;Serif"/>
          <w:b w:val="false"/>
          <w:i w:val="false"/>
          <w:caps w:val="false"/>
          <w:smallCaps w:val="false"/>
          <w:sz w:val="20"/>
        </w:rPr>
        <w:t>Schedule of Property and Equipment</w:t>
      </w:r>
    </w:p>
    <w:tbl>
      <w:tblPr>
        <w:tblW w:w="6415" w:type="dxa"/>
        <w:jc w:val="left"/>
        <w:tblInd w:w="0" w:type="dxa"/>
        <w:tblLayout w:type="fixed"/>
        <w:tblCellMar>
          <w:top w:w="0" w:type="dxa"/>
          <w:left w:w="0" w:type="dxa"/>
          <w:bottom w:w="0" w:type="dxa"/>
          <w:right w:w="0" w:type="dxa"/>
        </w:tblCellMar>
      </w:tblPr>
      <w:tblGrid>
        <w:gridCol w:w="4145"/>
        <w:gridCol w:w="60"/>
        <w:gridCol w:w="154"/>
        <w:gridCol w:w="616"/>
        <w:gridCol w:w="95"/>
        <w:gridCol w:w="60"/>
        <w:gridCol w:w="235"/>
        <w:gridCol w:w="940"/>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7" w:name="xdx_494_20260630_zCBb7DWFiei2"/>
            <w:bookmarkEnd w:id="317"/>
          </w:p>
        </w:tc>
        <w:tc>
          <w:tcPr>
            <w:tcW w:w="77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B_20251231_zSxHpKbMEAC2"/>
            <w:bookmarkEnd w:id="318"/>
          </w:p>
        </w:tc>
        <w:tc>
          <w:tcPr>
            <w:tcW w:w="117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bookmarkStart w:id="319" w:name="xdx_40E_eus-gaap--PropertyPlantAndEquipm"/>
            <w:bookmarkEnd w:id="319"/>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110" w:type="dxa"/>
            <w:tcBorders/>
            <w:shd w:fill="CCEEFF" w:val="clear"/>
            <w:vAlign w:val="center"/>
          </w:tcPr>
          <w:p>
            <w:pPr>
              <w:pStyle w:val="TableContents"/>
              <w:bidi w:val="0"/>
              <w:spacing w:before="0" w:after="283"/>
              <w:jc w:val="left"/>
              <w:rPr/>
            </w:pPr>
            <w:r>
              <w:rPr/>
              <w:t> </w:t>
            </w:r>
            <w:bookmarkStart w:id="320" w:name="xdx_40C_eus-gaap--PropertyPlantAndEquipm"/>
            <w:bookmarkEnd w:id="320"/>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w:t>
            </w:r>
          </w:p>
        </w:tc>
        <w:tc>
          <w:tcPr>
            <w:tcW w:w="110" w:type="dxa"/>
            <w:tcBorders/>
            <w:shd w:fill="FFFFFF" w:val="clear"/>
            <w:vAlign w:val="center"/>
          </w:tcPr>
          <w:p>
            <w:pPr>
              <w:pStyle w:val="TableContents"/>
              <w:bidi w:val="0"/>
              <w:spacing w:before="0" w:after="283"/>
              <w:jc w:val="left"/>
              <w:rPr/>
            </w:pPr>
            <w:r>
              <w:rPr/>
              <w:t> </w:t>
            </w:r>
            <w:bookmarkStart w:id="321" w:name="xdx_406_eus-gaap--PropertyPlantAndEquipm"/>
            <w:bookmarkEnd w:id="321"/>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hardware and software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0" w:type="dxa"/>
            <w:tcBorders/>
            <w:shd w:fill="CCEEFF" w:val="clear"/>
            <w:vAlign w:val="center"/>
          </w:tcPr>
          <w:p>
            <w:pPr>
              <w:pStyle w:val="TableContents"/>
              <w:bidi w:val="0"/>
              <w:spacing w:before="0" w:after="283"/>
              <w:jc w:val="left"/>
              <w:rPr/>
            </w:pPr>
            <w:r>
              <w:rPr/>
              <w:t> </w:t>
            </w:r>
            <w:bookmarkStart w:id="322" w:name="xdx_407_eus-gaap--PropertyPlantAndEquipm"/>
            <w:bookmarkEnd w:id="322"/>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110" w:type="dxa"/>
            <w:tcBorders/>
            <w:shd w:fill="FFFFFF" w:val="clear"/>
            <w:vAlign w:val="center"/>
          </w:tcPr>
          <w:p>
            <w:pPr>
              <w:pStyle w:val="TableContents"/>
              <w:bidi w:val="0"/>
              <w:spacing w:before="0" w:after="283"/>
              <w:jc w:val="left"/>
              <w:rPr/>
            </w:pPr>
            <w:r>
              <w:rPr/>
              <w:t> </w:t>
            </w:r>
            <w:bookmarkStart w:id="323" w:name="xdx_40A_eus-gaap--PropertyPlantAndEquipm"/>
            <w:bookmarkEnd w:id="323"/>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10" w:type="dxa"/>
            <w:tcBorders/>
            <w:shd w:fill="CCEEFF" w:val="clear"/>
            <w:vAlign w:val="center"/>
          </w:tcPr>
          <w:p>
            <w:pPr>
              <w:pStyle w:val="TableContents"/>
              <w:bidi w:val="0"/>
              <w:spacing w:before="0" w:after="283"/>
              <w:jc w:val="left"/>
              <w:rPr/>
            </w:pPr>
            <w:r>
              <w:rPr/>
              <w:t> </w:t>
            </w:r>
            <w:bookmarkStart w:id="324" w:name="xdx_404_eus-gaap--PropertyPlantAndEquipm"/>
            <w:bookmarkEnd w:id="324"/>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in progress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10" w:type="dxa"/>
            <w:tcBorders/>
            <w:shd w:fill="FFFFFF" w:val="clear"/>
            <w:vAlign w:val="center"/>
          </w:tcPr>
          <w:p>
            <w:pPr>
              <w:pStyle w:val="TableContents"/>
              <w:bidi w:val="0"/>
              <w:spacing w:before="0" w:after="283"/>
              <w:jc w:val="left"/>
              <w:rPr/>
            </w:pPr>
            <w:r>
              <w:rPr/>
              <w:t> </w:t>
            </w:r>
            <w:bookmarkStart w:id="325" w:name="xdx_404_eus-gaap--PropertyPlantAndEquipm"/>
            <w:bookmarkEnd w:id="325"/>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w:t>
            </w:r>
          </w:p>
        </w:tc>
        <w:tc>
          <w:tcPr>
            <w:tcW w:w="110" w:type="dxa"/>
            <w:tcBorders/>
            <w:shd w:fill="CCEEFF" w:val="clear"/>
            <w:vAlign w:val="center"/>
          </w:tcPr>
          <w:p>
            <w:pPr>
              <w:pStyle w:val="TableContents"/>
              <w:bidi w:val="0"/>
              <w:spacing w:before="0" w:after="283"/>
              <w:jc w:val="left"/>
              <w:rPr/>
            </w:pPr>
            <w:r>
              <w:rPr/>
              <w:t> </w:t>
            </w:r>
            <w:bookmarkStart w:id="326" w:name="xdx_40A_eus-gaap--AccumulatedDepreciatio"/>
            <w:bookmarkEnd w:id="326"/>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7" w:name="xdx_408_eus-gaap--PropertyPlantAndEquipm"/>
            <w:bookmarkEnd w:id="327"/>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book value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28" w:name="xdx_8AA_zsREqSRzHKw1"/>
      <w:bookmarkEnd w:id="328"/>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2026 and 2025 was $</w:t>
      </w:r>
      <w:bookmarkStart w:id="329" w:name="xdx_90A_eus-gaap--Depreciation_pn3n3_c20"/>
      <w:bookmarkEnd w:id="329"/>
      <w:r>
        <w:rPr>
          <w:rFonts w:ascii="Times New Roman;Times;Serif" w:hAnsi="Times New Roman;Times;Serif"/>
          <w:b w:val="false"/>
          <w:i w:val="false"/>
          <w:caps w:val="false"/>
          <w:smallCaps w:val="false"/>
          <w:sz w:val="20"/>
        </w:rPr>
        <w:t>55 and $</w:t>
      </w:r>
      <w:bookmarkStart w:id="330" w:name="xdx_90C_eus-gaap--Depreciation_pn3n3_c20"/>
      <w:bookmarkEnd w:id="330"/>
      <w:r>
        <w:rPr>
          <w:rFonts w:ascii="Times New Roman;Times;Serif" w:hAnsi="Times New Roman;Times;Serif"/>
          <w:b w:val="false"/>
          <w:i w:val="false"/>
          <w:caps w:val="false"/>
          <w:smallCaps w:val="false"/>
          <w:sz w:val="20"/>
        </w:rPr>
        <w:t>92, respectively, and amortization of right-of-use assets for the six months ended June 30, 2026 and 2025 was $</w:t>
      </w:r>
      <w:bookmarkStart w:id="331" w:name="xdx_903_eus-gaap--OperatingLeaseRightOfU"/>
      <w:bookmarkEnd w:id="331"/>
      <w:r>
        <w:rPr>
          <w:rFonts w:ascii="Times New Roman;Times;Serif" w:hAnsi="Times New Roman;Times;Serif"/>
          <w:b w:val="false"/>
          <w:i w:val="false"/>
          <w:caps w:val="false"/>
          <w:smallCaps w:val="false"/>
          <w:sz w:val="20"/>
        </w:rPr>
        <w:t>24 and $</w:t>
      </w:r>
      <w:bookmarkStart w:id="332" w:name="xdx_908_eus-gaap--OperatingLeaseRightOfU"/>
      <w:bookmarkEnd w:id="332"/>
      <w:r>
        <w:rPr>
          <w:rFonts w:ascii="Times New Roman;Times;Serif" w:hAnsi="Times New Roman;Times;Serif"/>
          <w:b w:val="false"/>
          <w:i w:val="false"/>
          <w:caps w:val="false"/>
          <w:smallCaps w:val="false"/>
          <w:sz w:val="20"/>
        </w:rPr>
        <w:t>23, respectively.</w:t>
      </w:r>
    </w:p>
    <w:p>
      <w:pPr>
        <w:pStyle w:val="TextBody"/>
        <w:pBdr/>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33" w:name="xdx_807_eus-gaap--IntangibleAssetsDisclo"/>
      <w:bookmarkEnd w:id="333"/>
      <w:r>
        <w:rPr>
          <w:rFonts w:ascii="Times New Roman;Times;Serif" w:hAnsi="Times New Roman;Times;Serif"/>
          <w:b/>
          <w:i w:val="false"/>
          <w:caps w:val="false"/>
          <w:smallCaps w:val="false"/>
          <w:sz w:val="20"/>
        </w:rPr>
        <w:t xml:space="preserve">5. </w:t>
      </w:r>
      <w:bookmarkStart w:id="334" w:name="xdx_82D_zrWF6Znihhz8"/>
      <w:bookmarkEnd w:id="334"/>
      <w:r>
        <w:rPr>
          <w:rFonts w:ascii="Times New Roman;Times;Serif" w:hAnsi="Times New Roman;Times;Serif"/>
          <w:b/>
          <w:i w:val="false"/>
          <w:caps w:val="false"/>
          <w:smallCaps w:val="false"/>
          <w:sz w:val="20"/>
        </w:rPr>
        <w:t>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5" w:name="xdx_896_eus-gaap--ScheduleOfIndefiniteLi"/>
      <w:bookmarkEnd w:id="335"/>
      <w:r>
        <w:rPr>
          <w:rFonts w:ascii="Times New Roman;Times;Serif" w:hAnsi="Times New Roman;Times;Serif"/>
          <w:b w:val="false"/>
          <w:i w:val="false"/>
          <w:caps w:val="false"/>
          <w:smallCaps w:val="false"/>
          <w:sz w:val="20"/>
        </w:rPr>
        <w:t>Intangible assets consisted of the following (in thousands):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6" w:name="xdx_8BA_zQ5gepH7qTa1"/>
      <w:bookmarkEnd w:id="336"/>
      <w:r>
        <w:rPr>
          <w:rFonts w:ascii="Times New Roman;Times;Serif" w:hAnsi="Times New Roman;Times;Serif"/>
          <w:b w:val="false"/>
          <w:i w:val="false"/>
          <w:caps w:val="false"/>
          <w:smallCaps w:val="false"/>
          <w:sz w:val="20"/>
        </w:rPr>
        <w:t>Schedule of Intangible Assets</w:t>
      </w:r>
    </w:p>
    <w:tbl>
      <w:tblPr>
        <w:tblW w:w="3478" w:type="dxa"/>
        <w:jc w:val="left"/>
        <w:tblInd w:w="0" w:type="dxa"/>
        <w:tblLayout w:type="fixed"/>
        <w:tblCellMar>
          <w:top w:w="0" w:type="dxa"/>
          <w:left w:w="0" w:type="dxa"/>
          <w:bottom w:w="0" w:type="dxa"/>
          <w:right w:w="0" w:type="dxa"/>
        </w:tblCellMar>
      </w:tblPr>
      <w:tblGrid>
        <w:gridCol w:w="1280"/>
        <w:gridCol w:w="60"/>
        <w:gridCol w:w="207"/>
        <w:gridCol w:w="562"/>
        <w:gridCol w:w="60"/>
        <w:gridCol w:w="60"/>
        <w:gridCol w:w="315"/>
        <w:gridCol w:w="859"/>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9B_20260630_zuElOPdMcTXi"/>
            <w:bookmarkEnd w:id="337"/>
          </w:p>
        </w:tc>
        <w:tc>
          <w:tcPr>
            <w:tcW w:w="76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8" w:name="xdx_496_20251231_zwGK1A1CI6zb"/>
            <w:bookmarkEnd w:id="338"/>
          </w:p>
        </w:tc>
        <w:tc>
          <w:tcPr>
            <w:tcW w:w="1174"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bookmarkStart w:id="339" w:name="xdx_403_eus-gaap--IndefiniteLivedTradeNa"/>
            <w:bookmarkEnd w:id="339"/>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Brand names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w:t>
            </w:r>
          </w:p>
        </w:tc>
        <w:tc>
          <w:tcPr>
            <w:tcW w:w="75" w:type="dxa"/>
            <w:tcBorders/>
            <w:shd w:fill="CCEEFF" w:val="clear"/>
            <w:vAlign w:val="center"/>
          </w:tcPr>
          <w:p>
            <w:pPr>
              <w:pStyle w:val="TableContents"/>
              <w:bidi w:val="0"/>
              <w:spacing w:before="0" w:after="283"/>
              <w:jc w:val="left"/>
              <w:rPr/>
            </w:pPr>
            <w:r>
              <w:rPr/>
              <w:t> </w:t>
            </w:r>
            <w:bookmarkStart w:id="340" w:name="xdx_407_eus-gaap--IndefiniteLivedTradema"/>
            <w:bookmarkEnd w:id="340"/>
          </w:p>
        </w:tc>
      </w:tr>
      <w:tr>
        <w:trPr/>
        <w:tc>
          <w:tcPr>
            <w:tcW w:w="1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75" w:type="dxa"/>
            <w:tcBorders/>
            <w:shd w:fill="FFFFFF" w:val="clear"/>
            <w:vAlign w:val="center"/>
          </w:tcPr>
          <w:p>
            <w:pPr>
              <w:pStyle w:val="TableContents"/>
              <w:bidi w:val="0"/>
              <w:spacing w:before="0" w:after="283"/>
              <w:jc w:val="left"/>
              <w:rPr/>
            </w:pPr>
            <w:r>
              <w:rPr/>
              <w:t> </w:t>
            </w:r>
            <w:bookmarkStart w:id="341" w:name="xdx_402_eus-gaap--IndefiniteLivedIntangi"/>
            <w:bookmarkEnd w:id="341"/>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42" w:name="xdx_8A1_zVA9Vv5lPgT"/>
      <w:bookmarkEnd w:id="342"/>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43" w:name="xdx_800_eus-gaap--DebtDisclosureTextBloc"/>
      <w:bookmarkEnd w:id="343"/>
      <w:r>
        <w:rPr>
          <w:rFonts w:ascii="Times New Roman;Times;Serif" w:hAnsi="Times New Roman;Times;Serif"/>
          <w:b/>
          <w:i w:val="false"/>
          <w:caps w:val="false"/>
          <w:smallCaps w:val="false"/>
          <w:sz w:val="20"/>
        </w:rPr>
        <w:t xml:space="preserve">6. </w:t>
      </w:r>
      <w:bookmarkStart w:id="344" w:name="xdx_823_zNAnZhN9nLi8"/>
      <w:bookmarkEnd w:id="344"/>
      <w:r>
        <w:rPr>
          <w:rFonts w:ascii="Times New Roman;Times;Serif" w:hAnsi="Times New Roman;Times;Serif"/>
          <w:b/>
          <w:i w:val="false"/>
          <w:caps w:val="false"/>
          <w:smallCaps w:val="false"/>
          <w:sz w:val="20"/>
        </w:rPr>
        <w:t xml:space="preserve">Senior Secured Loan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45" w:name="xdx_89D_eus-gaap--ScheduleOfDebtTableTex"/>
      <w:bookmarkEnd w:id="345"/>
      <w:r>
        <w:rPr>
          <w:rFonts w:ascii="Times New Roman;Times;Serif" w:hAnsi="Times New Roman;Times;Serif"/>
          <w:b w:val="false"/>
          <w:i w:val="false"/>
          <w:caps w:val="false"/>
          <w:smallCaps w:val="false"/>
          <w:sz w:val="20"/>
        </w:rPr>
        <w:t>The following sets forth amounts in respect of the Company’s senior secured loan: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46" w:name="xdx_8B5_znI4vz1MDDff"/>
      <w:bookmarkEnd w:id="346"/>
      <w:r>
        <w:rPr>
          <w:rFonts w:ascii="Times New Roman;Times;Serif" w:hAnsi="Times New Roman;Times;Serif"/>
          <w:b w:val="false"/>
          <w:i w:val="false"/>
          <w:caps w:val="false"/>
          <w:smallCaps w:val="false"/>
          <w:sz w:val="20"/>
        </w:rPr>
        <w:t>Schedule of Secured Notes Payable</w:t>
      </w:r>
    </w:p>
    <w:tbl>
      <w:tblPr>
        <w:tblW w:w="5395" w:type="dxa"/>
        <w:jc w:val="left"/>
        <w:tblInd w:w="0" w:type="dxa"/>
        <w:tblLayout w:type="fixed"/>
        <w:tblCellMar>
          <w:top w:w="0" w:type="dxa"/>
          <w:left w:w="0" w:type="dxa"/>
          <w:bottom w:w="0" w:type="dxa"/>
          <w:right w:w="0" w:type="dxa"/>
        </w:tblCellMar>
      </w:tblPr>
      <w:tblGrid>
        <w:gridCol w:w="2345"/>
        <w:gridCol w:w="60"/>
        <w:gridCol w:w="154"/>
        <w:gridCol w:w="616"/>
        <w:gridCol w:w="95"/>
        <w:gridCol w:w="60"/>
        <w:gridCol w:w="391"/>
        <w:gridCol w:w="1564"/>
        <w:gridCol w:w="11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A_20260630__us-gaap--DebtInstrumen"/>
            <w:bookmarkEnd w:id="347"/>
          </w:p>
        </w:tc>
        <w:tc>
          <w:tcPr>
            <w:tcW w:w="77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C_20251231__us-gaap--DebtInstrumen"/>
            <w:bookmarkEnd w:id="348"/>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349" w:name="xdx_401_ecustom--SeniorSecuredLoan_iI_pn"/>
            <w:bookmarkEnd w:id="349"/>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secured loan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9,250</w:t>
            </w:r>
          </w:p>
        </w:tc>
        <w:tc>
          <w:tcPr>
            <w:tcW w:w="110" w:type="dxa"/>
            <w:tcBorders/>
            <w:shd w:fill="CCEEFF" w:val="clear"/>
            <w:vAlign w:val="center"/>
          </w:tcPr>
          <w:p>
            <w:pPr>
              <w:pStyle w:val="TableContents"/>
              <w:bidi w:val="0"/>
              <w:spacing w:before="0" w:after="283"/>
              <w:jc w:val="left"/>
              <w:rPr/>
            </w:pPr>
            <w:r>
              <w:rPr/>
              <w:t> </w:t>
            </w:r>
            <w:bookmarkStart w:id="350" w:name="xdx_405_eus-gaap--DeferredFinanceCostsNe"/>
            <w:bookmarkEnd w:id="350"/>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costs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1" w:name="xdx_402_eus-gaap--SecuredDebt_iI_pn3n3_z"/>
            <w:bookmarkEnd w:id="351"/>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9,182</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52" w:name="xdx_8A6_zWvqBTObkjBj"/>
      <w:bookmarkEnd w:id="352"/>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the Company entered into a Senior Secured Loan and Security Agreement (the “Loan Agreement”) with certain funds affiliated with Whitebox Advisors LLC (“Whitebox”), as lenders, and Cantor Fitzgerald Securities, as administrative agent and collateral agent. The Loan Agreement provided a revolving credit commitment in an aggregate amount of $</w:t>
      </w:r>
      <w:bookmarkStart w:id="353" w:name="xdx_90A_eus-gaap--RepaymentsOfLinesOfCre"/>
      <w:bookmarkEnd w:id="353"/>
      <w:r>
        <w:rPr>
          <w:rFonts w:ascii="Times New Roman;Times;Serif" w:hAnsi="Times New Roman;Times;Serif"/>
          <w:b w:val="false"/>
          <w:i w:val="false"/>
          <w:caps w:val="false"/>
          <w:smallCaps w:val="false"/>
          <w:sz w:val="20"/>
        </w:rPr>
        <w:t>10,000 (the “Senior Secured Loan”). On September 26, 2025, the Company entered into an Amended Loan Agreement. The Amended Loan Agreement (i) reduced the aggregate principal amount of the revolving credit commitment to $</w:t>
      </w:r>
      <w:bookmarkStart w:id="354" w:name="xdx_90E_eus-gaap--LineOfCreditFacilityMa"/>
      <w:bookmarkEnd w:id="354"/>
      <w:r>
        <w:rPr>
          <w:rFonts w:ascii="Times New Roman;Times;Serif" w:hAnsi="Times New Roman;Times;Serif"/>
          <w:b w:val="false"/>
          <w:i w:val="false"/>
          <w:caps w:val="false"/>
          <w:smallCaps w:val="false"/>
          <w:sz w:val="20"/>
        </w:rPr>
        <w:t>9,250 from $</w:t>
      </w:r>
      <w:bookmarkStart w:id="355" w:name="xdx_90D_eus-gaap--LineOfCreditFacilityMa"/>
      <w:bookmarkEnd w:id="355"/>
      <w:r>
        <w:rPr>
          <w:rFonts w:ascii="Times New Roman;Times;Serif" w:hAnsi="Times New Roman;Times;Serif"/>
          <w:b w:val="false"/>
          <w:i w:val="false"/>
          <w:caps w:val="false"/>
          <w:smallCaps w:val="false"/>
          <w:sz w:val="20"/>
        </w:rPr>
        <w:t xml:space="preserve">10,000, (ii) changed interest payments on the revolving loan to be due monthly in arrears from quarterly in arrears, (iii) and extended the maturity date to </w:t>
      </w:r>
      <w:bookmarkStart w:id="356" w:name="xdx_908_eus-gaap--DebtInstrumentMaturity"/>
      <w:bookmarkEnd w:id="356"/>
      <w:r>
        <w:rPr>
          <w:rFonts w:ascii="Times New Roman;Times;Serif" w:hAnsi="Times New Roman;Times;Serif"/>
          <w:b w:val="false"/>
          <w:i w:val="false"/>
          <w:caps w:val="false"/>
          <w:smallCaps w:val="false"/>
          <w:sz w:val="20"/>
        </w:rPr>
        <w:t xml:space="preserve">September 30, 2026. The Senior Secured Loan accrues interest at a per annum rate equal to </w:t>
      </w:r>
      <w:bookmarkStart w:id="357" w:name="xdx_901_eus-gaap--DebtInstrumentInterest"/>
      <w:bookmarkEnd w:id="357"/>
      <w:r>
        <w:rPr>
          <w:rFonts w:ascii="Times New Roman;Times;Serif" w:hAnsi="Times New Roman;Times;Serif"/>
          <w:b w:val="false"/>
          <w:i w:val="false"/>
          <w:caps w:val="false"/>
          <w:smallCaps w:val="false"/>
          <w:sz w:val="20"/>
        </w:rPr>
        <w:t xml:space="preserve">8.00% on the principal amount outstanding, payable monthly in arrears. The Senior Secured Loan also accrues an unused fee at a rate per annum equal to </w:t>
      </w:r>
      <w:bookmarkStart w:id="358" w:name="xdx_90C_eus-gaap--LineOfCreditFacilityUn"/>
      <w:bookmarkEnd w:id="358"/>
      <w:r>
        <w:rPr>
          <w:rFonts w:ascii="Times New Roman;Times;Serif" w:hAnsi="Times New Roman;Times;Serif"/>
          <w:b w:val="false"/>
          <w:i w:val="false"/>
          <w:caps w:val="false"/>
          <w:smallCaps w:val="false"/>
          <w:sz w:val="20"/>
        </w:rPr>
        <w:t>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principal amount outstanding on the Senior Secured Loan was $</w:t>
      </w:r>
      <w:bookmarkStart w:id="359" w:name="xdx_908_eus-gaap--SecuredDebt_iI_pn3n3_c"/>
      <w:bookmarkEnd w:id="359"/>
      <w:r>
        <w:rPr>
          <w:rFonts w:ascii="Times New Roman;Times;Serif" w:hAnsi="Times New Roman;Times;Serif"/>
          <w:b w:val="false"/>
          <w:i w:val="false"/>
          <w:caps w:val="false"/>
          <w:smallCaps w:val="false"/>
          <w:sz w:val="20"/>
        </w:rPr>
        <w:t>9,250 and $</w:t>
      </w:r>
      <w:bookmarkStart w:id="360" w:name="xdx_90D_eus-gaap--SecuredDebt_iI_pn3n3_c"/>
      <w:bookmarkEnd w:id="360"/>
      <w:r>
        <w:rPr>
          <w:rFonts w:ascii="Times New Roman;Times;Serif" w:hAnsi="Times New Roman;Times;Serif"/>
          <w:b w:val="false"/>
          <w:i w:val="false"/>
          <w:caps w:val="false"/>
          <w:smallCaps w:val="false"/>
          <w:sz w:val="20"/>
        </w:rPr>
        <w:t xml:space="preserve">9,250, respectively. There was </w:t>
      </w:r>
      <w:bookmarkStart w:id="361" w:name="xdx_90D_eus-gaap--LineOfCreditFacilityCu"/>
      <w:bookmarkEnd w:id="361"/>
      <w:r>
        <w:rPr>
          <w:rFonts w:ascii="Times New Roman;Times;Serif" w:hAnsi="Times New Roman;Times;Serif"/>
          <w:b w:val="false"/>
          <w:i w:val="false"/>
          <w:caps w:val="false"/>
          <w:smallCaps w:val="false"/>
          <w:sz w:val="20"/>
        </w:rPr>
        <w:t>no availability under the Loan Agreement at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Loan Agreement includes customary restrictions that limit the Company’s ability to engage in certain types of transactions. Additionally, the agreement contains a financial covenant that requires the Company to meet a certain minimum cash balance and liquidity threshold as of the end of each month. The Company was in compliance with the Amended Loan Agreement as of June 30, 2026 and December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62" w:name="xdx_90F_eus-gaap--DirectOperatingCosts_p"/>
      <w:bookmarkEnd w:id="362"/>
      <w:r>
        <w:rPr>
          <w:rFonts w:ascii="Times New Roman;Times;Serif" w:hAnsi="Times New Roman;Times;Serif"/>
          <w:b w:val="false"/>
          <w:i w:val="false"/>
          <w:caps w:val="false"/>
          <w:smallCaps w:val="false"/>
          <w:sz w:val="20"/>
        </w:rPr>
        <w:t>410 of direct costs associated with the Senior Secured Loan transaction, consisting primarily of broker, bank and legal fees. These costs have been deferred and are being amortized over the life of the agreement. The unamortized debt discount balance was $</w:t>
      </w:r>
      <w:bookmarkStart w:id="363" w:name="xdx_909_eus-gaap--DebtInstrumentUnamorti"/>
      <w:bookmarkEnd w:id="363"/>
      <w:r>
        <w:rPr>
          <w:rFonts w:ascii="Times New Roman;Times;Serif" w:hAnsi="Times New Roman;Times;Serif"/>
          <w:b w:val="false"/>
          <w:i w:val="false"/>
          <w:caps w:val="false"/>
          <w:smallCaps w:val="false"/>
          <w:sz w:val="20"/>
        </w:rPr>
        <w:t>68 at December 31, 2025. For the six months ended June 30, 2026 and 2025, the amortization of debt discount was $</w:t>
      </w:r>
      <w:bookmarkStart w:id="364" w:name="xdx_908_eus-gaap--DebtInstrumentUnamorti"/>
      <w:bookmarkEnd w:id="364"/>
      <w:r>
        <w:rPr>
          <w:rFonts w:ascii="Times New Roman;Times;Serif" w:hAnsi="Times New Roman;Times;Serif"/>
          <w:b w:val="false"/>
          <w:i w:val="false"/>
          <w:caps w:val="false"/>
          <w:smallCaps w:val="false"/>
          <w:sz w:val="20"/>
        </w:rPr>
        <w:t>45 and $</w:t>
      </w:r>
      <w:bookmarkStart w:id="365" w:name="xdx_906_eus-gaap--DebtInstrumentUnamorti"/>
      <w:bookmarkEnd w:id="365"/>
      <w:r>
        <w:rPr>
          <w:rFonts w:ascii="Times New Roman;Times;Serif" w:hAnsi="Times New Roman;Times;Serif"/>
          <w:b w:val="false"/>
          <w:i w:val="false"/>
          <w:caps w:val="false"/>
          <w:smallCaps w:val="false"/>
          <w:sz w:val="20"/>
        </w:rPr>
        <w:t>199, respectively. The unamortized debt discount balance was $</w:t>
      </w:r>
      <w:bookmarkStart w:id="366" w:name="xdx_909_eus-gaap--DebtInstrumentUnamorti"/>
      <w:bookmarkEnd w:id="366"/>
      <w:r>
        <w:rPr>
          <w:rFonts w:ascii="Times New Roman;Times;Serif" w:hAnsi="Times New Roman;Times;Serif"/>
          <w:b w:val="false"/>
          <w:i w:val="false"/>
          <w:caps w:val="false"/>
          <w:smallCaps w:val="false"/>
          <w:sz w:val="20"/>
        </w:rPr>
        <w:t>23 at June 30, 2026. Additionally, in connection with the Amended Loan Agreement, the Company incurred $</w:t>
      </w:r>
      <w:bookmarkStart w:id="367" w:name="xdx_905_eus-gaap--DirectOperatingCosts_p"/>
      <w:bookmarkEnd w:id="367"/>
      <w:r>
        <w:rPr>
          <w:rFonts w:ascii="Times New Roman;Times;Serif" w:hAnsi="Times New Roman;Times;Serif"/>
          <w:b w:val="false"/>
          <w:i w:val="false"/>
          <w:caps w:val="false"/>
          <w:smallCaps w:val="false"/>
          <w:sz w:val="20"/>
        </w:rPr>
        <w:t>40 of direct costs, which were expensed.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68" w:name="xdx_80E_eus-gaap--LesseeOperatingLeasesT"/>
      <w:bookmarkEnd w:id="368"/>
      <w:r>
        <w:rPr>
          <w:rFonts w:ascii="Times New Roman;Times;Serif" w:hAnsi="Times New Roman;Times;Serif"/>
          <w:b/>
          <w:i w:val="false"/>
          <w:caps w:val="false"/>
          <w:smallCaps w:val="false"/>
          <w:sz w:val="20"/>
        </w:rPr>
        <w:t xml:space="preserve">7. </w:t>
      </w:r>
      <w:bookmarkStart w:id="369" w:name="xdx_821_zGxOSUnQaUUl"/>
      <w:bookmarkEnd w:id="369"/>
      <w:r>
        <w:rPr>
          <w:rFonts w:ascii="Times New Roman;Times;Serif" w:hAnsi="Times New Roman;Times;Serif"/>
          <w:b/>
          <w:i w:val="false"/>
          <w:caps w:val="false"/>
          <w:smallCaps w:val="false"/>
          <w:sz w:val="20"/>
        </w:rPr>
        <w:t xml:space="preserve">Lease Liabilities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lease costs totaled $</w:t>
      </w:r>
      <w:bookmarkStart w:id="370" w:name="xdx_90A_eus-gaap--LeaseCost_pn3n3_c20260"/>
      <w:bookmarkEnd w:id="370"/>
      <w:r>
        <w:rPr>
          <w:rFonts w:ascii="Times New Roman;Times;Serif" w:hAnsi="Times New Roman;Times;Serif"/>
          <w:b w:val="false"/>
          <w:i w:val="false"/>
          <w:caps w:val="false"/>
          <w:smallCaps w:val="false"/>
          <w:sz w:val="20"/>
        </w:rPr>
        <w:t>24 and $</w:t>
      </w:r>
      <w:bookmarkStart w:id="371" w:name="xdx_905_eus-gaap--LeaseCost_pn3n3_c20250"/>
      <w:bookmarkEnd w:id="371"/>
      <w:r>
        <w:rPr>
          <w:rFonts w:ascii="Times New Roman;Times;Serif" w:hAnsi="Times New Roman;Times;Serif"/>
          <w:b w:val="false"/>
          <w:i w:val="false"/>
          <w:caps w:val="false"/>
          <w:smallCaps w:val="false"/>
          <w:sz w:val="20"/>
        </w:rPr>
        <w:t>46,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operating lease liabilities totaled $</w:t>
      </w:r>
      <w:bookmarkStart w:id="372" w:name="xdx_907_eus-gaap--OperatingLeaseLiabilit"/>
      <w:bookmarkEnd w:id="372"/>
      <w:r>
        <w:rPr>
          <w:rFonts w:ascii="Times New Roman;Times;Serif" w:hAnsi="Times New Roman;Times;Serif"/>
          <w:b w:val="false"/>
          <w:i w:val="false"/>
          <w:caps w:val="false"/>
          <w:smallCaps w:val="false"/>
          <w:sz w:val="20"/>
        </w:rPr>
        <w:t>843. During the six months ended June 30, 2026, the Company made aggregate payments of $</w:t>
      </w:r>
      <w:bookmarkStart w:id="373" w:name="xdx_903_eus-gaap--OperatingLeaseLeaseInc"/>
      <w:bookmarkEnd w:id="373"/>
      <w:r>
        <w:rPr>
          <w:rFonts w:ascii="Times New Roman;Times;Serif" w:hAnsi="Times New Roman;Times;Serif"/>
          <w:b w:val="false"/>
          <w:i w:val="false"/>
          <w:caps w:val="false"/>
          <w:smallCaps w:val="false"/>
          <w:sz w:val="20"/>
        </w:rPr>
        <w:t>21 towards its operating lease liability. As of June 30, 2026, operating lease liabilities totaled $</w:t>
      </w:r>
      <w:bookmarkStart w:id="374" w:name="xdx_905_eus-gaap--OperatingLeaseLiabilit"/>
      <w:bookmarkEnd w:id="374"/>
      <w:r>
        <w:rPr>
          <w:rFonts w:ascii="Times New Roman;Times;Serif" w:hAnsi="Times New Roman;Times;Serif"/>
          <w:b w:val="false"/>
          <w:i w:val="false"/>
          <w:caps w:val="false"/>
          <w:smallCaps w:val="false"/>
          <w:sz w:val="20"/>
        </w:rPr>
        <w:t>822, of which $</w:t>
      </w:r>
      <w:bookmarkStart w:id="375" w:name="xdx_909_eus-gaap--OperatingLeaseLiabilit"/>
      <w:bookmarkEnd w:id="375"/>
      <w:r>
        <w:rPr>
          <w:rFonts w:ascii="Times New Roman;Times;Serif" w:hAnsi="Times New Roman;Times;Serif"/>
          <w:b w:val="false"/>
          <w:i w:val="false"/>
          <w:caps w:val="false"/>
          <w:smallCaps w:val="false"/>
          <w:sz w:val="20"/>
        </w:rPr>
        <w:t>35 was current. The Company’s right of use assets are presented as part of property and equipment (see Note 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weighted average remaining lease terms for an operating lease are </w:t>
      </w:r>
      <w:bookmarkStart w:id="376" w:name="xdx_90A_eus-gaap--OperatingLeaseWeighted"/>
      <w:bookmarkEnd w:id="376"/>
      <w:r>
        <w:rPr>
          <w:rFonts w:ascii="Times New Roman;Times;Serif" w:hAnsi="Times New Roman;Times;Serif"/>
          <w:b w:val="false"/>
          <w:i w:val="false"/>
          <w:caps w:val="false"/>
          <w:smallCaps w:val="false"/>
          <w:sz w:val="20"/>
        </w:rPr>
        <w:t xml:space="preserve">9.42 years. As of June 30, 2026, the weighted average discount rate on the operating lease is </w:t>
      </w:r>
      <w:bookmarkStart w:id="377" w:name="xdx_903_eus-gaap--OperatingLeaseWeighted"/>
      <w:bookmarkEnd w:id="377"/>
      <w:r>
        <w:rPr>
          <w:rFonts w:ascii="Times New Roman;Times;Serif" w:hAnsi="Times New Roman;Times;Serif"/>
          <w:b w:val="false"/>
          <w:i w:val="false"/>
          <w:caps w:val="false"/>
          <w:smallCaps w:val="false"/>
          <w:sz w:val="20"/>
        </w:rPr>
        <w:t>8.0%.</w:t>
      </w:r>
    </w:p>
    <w:p>
      <w:pPr>
        <w:pStyle w:val="TextBody"/>
        <w:pBd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78" w:name="xdx_801_eus-gaap--DisclosureOfCompensati"/>
      <w:bookmarkEnd w:id="378"/>
      <w:r>
        <w:rPr>
          <w:rFonts w:ascii="Times New Roman;Times;Serif" w:hAnsi="Times New Roman;Times;Serif"/>
          <w:b/>
          <w:i w:val="false"/>
          <w:caps w:val="false"/>
          <w:smallCaps w:val="false"/>
          <w:sz w:val="20"/>
        </w:rPr>
        <w:t xml:space="preserve">8. </w:t>
      </w:r>
      <w:bookmarkStart w:id="379" w:name="xdx_828_z2gEvYXLfsef"/>
      <w:bookmarkEnd w:id="379"/>
      <w:r>
        <w:rPr>
          <w:rFonts w:ascii="Times New Roman;Times;Serif" w:hAnsi="Times New Roman;Times;Serif"/>
          <w:b/>
          <w:i w:val="false"/>
          <w:caps w:val="false"/>
          <w:smallCaps w:val="false"/>
          <w:sz w:val="20"/>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Restricted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16, 2026, the Company entered into a Separation Agreement and Release (the “Separation Agreement”) with Cyril A. Wallace, Jr., former Chief Executive Officer. In consideration of Mr. Wallace’s execution of a general release of claims in favor of the Company and its affiliates and his compliance with the other terms of the Separation Agreement, the Company agreed to provide Mr. Wallace with certain separation benefits, including a grant to Mr. Wallace of a restricted stock award under the Company’s Amended and Restated 2020 Equity Incentive Plan (the “2020 Plan”) covering </w:t>
      </w:r>
      <w:bookmarkStart w:id="380" w:name="xdx_90C_eus-gaap--StockIssuedDuringPerio"/>
      <w:bookmarkEnd w:id="380"/>
      <w:r>
        <w:rPr>
          <w:rFonts w:ascii="Times New Roman;Times;Serif" w:hAnsi="Times New Roman;Times;Serif"/>
          <w:b w:val="false"/>
          <w:i w:val="false"/>
          <w:caps w:val="false"/>
          <w:smallCaps w:val="false"/>
          <w:sz w:val="20"/>
        </w:rPr>
        <w:t>36,657 shares of the Company’s common stock with a fair value of $</w:t>
      </w:r>
      <w:bookmarkStart w:id="381" w:name="xdx_90B_eus-gaap--SharebasedCompensation"/>
      <w:bookmarkEnd w:id="381"/>
      <w:r>
        <w:rPr>
          <w:rFonts w:ascii="Times New Roman;Times;Serif" w:hAnsi="Times New Roman;Times;Serif"/>
          <w:b w:val="false"/>
          <w:i w:val="false"/>
          <w:caps w:val="false"/>
          <w:smallCaps w:val="false"/>
          <w:sz w:val="20"/>
        </w:rPr>
        <w:t>94, issued on April 28, 2026 and fully vested at the time of issuance.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82" w:name="xdx_89D_eus-gaap--ScheduleOfShareBasedCo"/>
      <w:bookmarkEnd w:id="382"/>
      <w:r>
        <w:rPr>
          <w:rFonts w:ascii="Times New Roman;Times;Serif" w:hAnsi="Times New Roman;Times;Serif"/>
          <w:b w:val="false"/>
          <w:i w:val="false"/>
          <w:caps w:val="false"/>
          <w:smallCaps w:val="false"/>
          <w:sz w:val="20"/>
        </w:rPr>
        <w:t>The following table summarizes stock option activity during the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83" w:name="xdx_8B7_zvACdUPHRqIi"/>
      <w:bookmarkEnd w:id="383"/>
      <w:r>
        <w:rPr>
          <w:rFonts w:ascii="Times New Roman;Times;Serif" w:hAnsi="Times New Roman;Times;Serif"/>
          <w:b w:val="false"/>
          <w:i w:val="false"/>
          <w:caps w:val="false"/>
          <w:smallCaps w:val="false"/>
          <w:sz w:val="20"/>
        </w:rPr>
        <w:t>Schedule of Stock Option Activity</w:t>
      </w:r>
    </w:p>
    <w:tbl>
      <w:tblPr>
        <w:tblW w:w="7858" w:type="dxa"/>
        <w:jc w:val="left"/>
        <w:tblInd w:w="0" w:type="dxa"/>
        <w:tblLayout w:type="fixed"/>
        <w:tblCellMar>
          <w:top w:w="0" w:type="dxa"/>
          <w:left w:w="0" w:type="dxa"/>
          <w:bottom w:w="0" w:type="dxa"/>
          <w:right w:w="0" w:type="dxa"/>
        </w:tblCellMar>
      </w:tblPr>
      <w:tblGrid>
        <w:gridCol w:w="3350"/>
        <w:gridCol w:w="60"/>
        <w:gridCol w:w="60"/>
        <w:gridCol w:w="680"/>
        <w:gridCol w:w="95"/>
        <w:gridCol w:w="60"/>
        <w:gridCol w:w="212"/>
        <w:gridCol w:w="1037"/>
        <w:gridCol w:w="60"/>
        <w:gridCol w:w="60"/>
        <w:gridCol w:w="124"/>
        <w:gridCol w:w="916"/>
        <w:gridCol w:w="60"/>
        <w:gridCol w:w="60"/>
        <w:gridCol w:w="320"/>
        <w:gridCol w:w="629"/>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Intrinsic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4" w:name="xdx_987_eus-gaap--ShareBasedCompensation"/>
            <w:bookmarkEnd w:id="38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5" w:name="xdx_984_eus-gaap--ShareBasedCompensation"/>
            <w:bookmarkEnd w:id="385"/>
          </w:p>
        </w:tc>
        <w:tc>
          <w:tcPr>
            <w:tcW w:w="10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bookmarkStart w:id="386" w:name="xdx_905_eus-gaap--SharebasedCompensation"/>
            <w:bookmarkEnd w:id="386"/>
            <w:r>
              <w:rPr>
                <w:rFonts w:ascii="Times New Roman;Times;Serif" w:hAnsi="Times New Roman;Times;Serif"/>
              </w:rPr>
              <w:t>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7" w:name="xdx_980_eus-gaap--ShareBasedCompensation"/>
            <w:bookmarkEnd w:id="387"/>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8" w:name="xdx_98C_eus-gaap--ShareBasedCompensation"/>
            <w:bookmarkEnd w:id="388"/>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389" w:name="xdx_988_eus-gaap--ShareBasedCompensation"/>
            <w:bookmarkEnd w:id="389"/>
          </w:p>
        </w:tc>
        <w:tc>
          <w:tcPr>
            <w:tcW w:w="10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0" w:name="xdx_987_eus-gaap--StockIssuedDuringPerio"/>
            <w:bookmarkEnd w:id="390"/>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bookmarkStart w:id="391" w:name="xdx_985_eus-gaap--ShareBasedCompensation"/>
            <w:bookmarkEnd w:id="391"/>
          </w:p>
        </w:tc>
        <w:tc>
          <w:tcPr>
            <w:tcW w:w="10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2" w:name="xdx_980_eus-gaap--ShareBasedCompensation"/>
            <w:bookmarkEnd w:id="39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393" w:name="xdx_980_eus-gaap--ShareBasedCompensation"/>
            <w:bookmarkEnd w:id="393"/>
          </w:p>
        </w:tc>
        <w:tc>
          <w:tcPr>
            <w:tcW w:w="10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4" w:name="xdx_984_ecustom--ShareBasedCompensationA"/>
            <w:bookmarkEnd w:id="394"/>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5" w:name="xdx_987_ecustom--ShareBasedCompensationA"/>
            <w:bookmarkEnd w:id="395"/>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6" w:name="xdx_98C_eus-gaap--ShareBasedCompensation"/>
            <w:bookmarkEnd w:id="396"/>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7" w:name="xdx_98E_eus-gaap--ShareBasedCompensation"/>
            <w:bookmarkEnd w:id="397"/>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98" w:name="xdx_901_eus-gaap--SharebasedCompensation"/>
            <w:bookmarkEnd w:id="398"/>
            <w:r>
              <w:rPr>
                <w:rFonts w:ascii="Times New Roman;Times;Serif" w:hAnsi="Times New Roman;Times;Serif"/>
              </w:rPr>
              <w:t>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9" w:name="xdx_986_eus-gaap--ShareBasedCompensation"/>
            <w:bookmarkEnd w:id="399"/>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00" w:name="xdx_98E_eus-gaap--ShareBasedCompensation"/>
            <w:bookmarkEnd w:id="400"/>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1" w:name="xdx_980_eus-gaap--ShareBasedCompensation"/>
            <w:bookmarkEnd w:id="401"/>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02" w:name="xdx_90E_eus-gaap--SharebasedCompensation"/>
            <w:bookmarkEnd w:id="402"/>
            <w:r>
              <w:rPr>
                <w:rFonts w:ascii="Times New Roman;Times;Serif" w:hAnsi="Times New Roman;Times;Serif"/>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3" w:name="xdx_98E_eus-gaap--SharebasedCompensation"/>
            <w:bookmarkEnd w:id="403"/>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04" w:name="xdx_8A9_z0IEXHY8JiG9"/>
      <w:bookmarkEnd w:id="40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Company recognized $</w:t>
      </w:r>
      <w:bookmarkStart w:id="405" w:name="xdx_903_eus-gaap--SharebasedCompensation"/>
      <w:bookmarkEnd w:id="405"/>
      <w:r>
        <w:rPr>
          <w:rFonts w:ascii="Times New Roman;Times;Serif" w:hAnsi="Times New Roman;Times;Serif"/>
          <w:b w:val="false"/>
          <w:i w:val="false"/>
          <w:caps w:val="false"/>
          <w:smallCaps w:val="false"/>
          <w:sz w:val="20"/>
        </w:rPr>
        <w:t>8 and $</w:t>
      </w:r>
      <w:bookmarkStart w:id="406" w:name="xdx_907_eus-gaap--SharebasedCompensation"/>
      <w:bookmarkEnd w:id="406"/>
      <w:r>
        <w:rPr>
          <w:rFonts w:ascii="Times New Roman;Times;Serif" w:hAnsi="Times New Roman;Times;Serif"/>
          <w:b w:val="false"/>
          <w:i w:val="false"/>
          <w:caps w:val="false"/>
          <w:smallCaps w:val="false"/>
          <w:sz w:val="20"/>
        </w:rPr>
        <w:t>56 of compensation expense relating to vested stock options, respectively. As of June 30, 2026, the aggregate amount of unvested compensation related to stock options was approximately $</w:t>
      </w:r>
      <w:bookmarkStart w:id="407" w:name="xdx_909_eus-gaap--EmployeeServiceShareBa"/>
      <w:bookmarkEnd w:id="407"/>
      <w:r>
        <w:rPr>
          <w:rFonts w:ascii="Times New Roman;Times;Serif" w:hAnsi="Times New Roman;Times;Serif"/>
          <w:b w:val="false"/>
          <w:i w:val="false"/>
          <w:caps w:val="false"/>
          <w:smallCaps w:val="false"/>
          <w:sz w:val="20"/>
        </w:rPr>
        <w:t>2, which will be recognized as an expense as the options vest in future periods through July 30, 2027.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outstanding and exercisable options have no aggregate intrinsic value. The aggregate intrinsic value was calculated as the difference between the closing market price as of June 30, 2026, which was $</w:t>
      </w:r>
      <w:bookmarkStart w:id="408" w:name="xdx_900_eus-gaap--SharePrice_iI_pid_c202"/>
      <w:bookmarkEnd w:id="408"/>
      <w:r>
        <w:rPr>
          <w:rFonts w:ascii="Times New Roman;Times;Serif" w:hAnsi="Times New Roman;Times;Serif"/>
          <w:b w:val="false"/>
          <w:i w:val="false"/>
          <w:caps w:val="false"/>
          <w:smallCaps w:val="false"/>
          <w:sz w:val="20"/>
        </w:rPr>
        <w:t>1.27, and the exercise price of the outstanding stock options.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09" w:name="xdx_801_ecustom--StockWarrantsTextBlock_"/>
      <w:bookmarkEnd w:id="409"/>
      <w:r>
        <w:rPr>
          <w:rFonts w:ascii="Times New Roman;Times;Serif" w:hAnsi="Times New Roman;Times;Serif"/>
          <w:b/>
          <w:i w:val="false"/>
          <w:caps w:val="false"/>
          <w:smallCaps w:val="false"/>
          <w:sz w:val="20"/>
        </w:rPr>
        <w:t xml:space="preserve">9. </w:t>
      </w:r>
      <w:bookmarkStart w:id="410" w:name="xdx_82E_zatj4SZEHS0e"/>
      <w:bookmarkEnd w:id="410"/>
      <w:r>
        <w:rPr>
          <w:rFonts w:ascii="Times New Roman;Times;Serif" w:hAnsi="Times New Roman;Times;Serif"/>
          <w:b/>
          <w:i w:val="false"/>
          <w:caps w:val="false"/>
          <w:smallCaps w:val="false"/>
          <w:sz w:val="20"/>
        </w:rPr>
        <w:t>Stock Warrants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11" w:name="xdx_897_ecustom--ScheduleOfNonOptionEqui"/>
      <w:bookmarkEnd w:id="411"/>
      <w:r>
        <w:rPr>
          <w:rFonts w:ascii="Times New Roman;Times;Serif" w:hAnsi="Times New Roman;Times;Serif"/>
          <w:b w:val="false"/>
          <w:i w:val="false"/>
          <w:caps w:val="false"/>
          <w:smallCaps w:val="false"/>
          <w:sz w:val="20"/>
        </w:rPr>
        <w:t>The Company’s warrant activity during the six months ended June 30, 2026 is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12" w:name="xdx_8B2_zLHwmAjx2iRf"/>
      <w:bookmarkEnd w:id="412"/>
      <w:r>
        <w:rPr>
          <w:rFonts w:ascii="Times New Roman;Times;Serif" w:hAnsi="Times New Roman;Times;Serif"/>
          <w:b w:val="false"/>
          <w:i w:val="false"/>
          <w:caps w:val="false"/>
          <w:smallCaps w:val="false"/>
          <w:sz w:val="20"/>
        </w:rPr>
        <w:t>Schedule of Warrant Activity</w:t>
      </w:r>
    </w:p>
    <w:tbl>
      <w:tblPr>
        <w:tblW w:w="8310" w:type="dxa"/>
        <w:jc w:val="left"/>
        <w:tblInd w:w="0" w:type="dxa"/>
        <w:tblLayout w:type="fixed"/>
        <w:tblCellMar>
          <w:top w:w="0" w:type="dxa"/>
          <w:left w:w="0" w:type="dxa"/>
          <w:bottom w:w="0" w:type="dxa"/>
          <w:right w:w="0" w:type="dxa"/>
        </w:tblCellMar>
      </w:tblPr>
      <w:tblGrid>
        <w:gridCol w:w="3350"/>
        <w:gridCol w:w="60"/>
        <w:gridCol w:w="60"/>
        <w:gridCol w:w="980"/>
        <w:gridCol w:w="95"/>
        <w:gridCol w:w="60"/>
        <w:gridCol w:w="214"/>
        <w:gridCol w:w="856"/>
        <w:gridCol w:w="60"/>
        <w:gridCol w:w="60"/>
        <w:gridCol w:w="150"/>
        <w:gridCol w:w="1100"/>
        <w:gridCol w:w="60"/>
        <w:gridCol w:w="60"/>
        <w:gridCol w:w="315"/>
        <w:gridCol w:w="755"/>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Exercise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jc w:val="center"/>
              <w:rPr>
                <w:rFonts w:ascii="Times New Roman;Times;Serif" w:hAnsi="Times New Roman;Times;Serif"/>
                <w:b/>
              </w:rPr>
            </w:pPr>
            <w:r>
              <w:rPr>
                <w:rFonts w:ascii="Times New Roman;Times;Serif" w:hAnsi="Times New Roman;Times;Serif"/>
                <w:b/>
              </w:rPr>
              <w:t>Terms</w:t>
            </w:r>
          </w:p>
          <w:p>
            <w:pPr>
              <w:pStyle w:val="TableContents"/>
              <w:bidi w:val="0"/>
              <w:spacing w:before="0" w:after="283"/>
              <w:jc w:val="center"/>
              <w:rPr>
                <w:rFonts w:ascii="Times New Roman;Times;Serif" w:hAnsi="Times New Roman;Times;Serif"/>
                <w:b/>
              </w:rPr>
            </w:pPr>
            <w:r>
              <w:rPr>
                <w:rFonts w:ascii="Times New Roman;Times;Serif" w:hAnsi="Times New Roman;Times;Serif"/>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Aggregate</w:t>
            </w:r>
          </w:p>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3" w:name="xdx_986_eus-gaap--ShareBasedCompensation"/>
            <w:bookmarkEnd w:id="41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2,963,215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4" w:name="xdx_989_ecustom--ShareBasedCompensationA"/>
            <w:bookmarkEnd w:id="414"/>
          </w:p>
        </w:tc>
        <w:tc>
          <w:tcPr>
            <w:tcW w:w="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bookmarkStart w:id="415" w:name="xdx_902_ecustom--ShareBasedCompensationA"/>
            <w:bookmarkEnd w:id="415"/>
            <w:r>
              <w:rPr>
                <w:rFonts w:ascii="Times New Roman;Times;Serif" w:hAnsi="Times New Roman;Times;Serif"/>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6" w:name="xdx_988_ecustom--ShareBasedCompensationA"/>
            <w:bookmarkEnd w:id="416"/>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7" w:name="xdx_980_eus-gaap--ShareBasedCompensation"/>
            <w:bookmarkEnd w:id="41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418" w:name="xdx_989_ecustom--ShareBasedCompensationA"/>
            <w:bookmarkEnd w:id="418"/>
          </w:p>
        </w:tc>
        <w:tc>
          <w:tcPr>
            <w:tcW w:w="8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19" w:name="xdx_987_eus-gaap--ShareBasedCompensation"/>
            <w:bookmarkEnd w:id="41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420" w:name="xdx_987_ecustom--ShareBasedCompensationA"/>
            <w:bookmarkEnd w:id="420"/>
          </w:p>
        </w:tc>
        <w:tc>
          <w:tcPr>
            <w:tcW w:w="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1" w:name="xdx_98C_eus-gaap--ShareBasedCompensation"/>
            <w:bookmarkEnd w:id="42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2" w:name="xdx_981_ecustom--ShareBasedCompensationA"/>
            <w:bookmarkEnd w:id="422"/>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3" w:name="xdx_98F_eus-gaap--ShareBasedCompensation"/>
            <w:bookmarkEnd w:id="42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4" w:name="xdx_98D_ecustom--ShareBasedCompensationA"/>
            <w:bookmarkEnd w:id="424"/>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25" w:name="xdx_90E_ecustom--ShareBasedCompensationA"/>
            <w:bookmarkEnd w:id="425"/>
            <w:r>
              <w:rPr>
                <w:rFonts w:ascii="Times New Roman;Times;Serif" w:hAnsi="Times New Roman;Times;Serif"/>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6" w:name="xdx_989_ecustom--ShareBasedCompensationA"/>
            <w:bookmarkEnd w:id="426"/>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7" w:name="xdx_98D_ecustom--ShareBasedCompensationA"/>
            <w:bookmarkEnd w:id="42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8" w:name="xdx_987_ecustom--ShareBasedCompensationA"/>
            <w:bookmarkEnd w:id="428"/>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29" w:name="xdx_90C_ecustom--ShareBasedCompensationA"/>
            <w:bookmarkEnd w:id="429"/>
            <w:r>
              <w:rPr>
                <w:rFonts w:ascii="Times New Roman;Times;Serif" w:hAnsi="Times New Roman;Times;Serif"/>
              </w:rPr>
              <w:t>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0" w:name="xdx_986_ecustom--ShareBasedCompensationA"/>
            <w:bookmarkEnd w:id="430"/>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31" w:name="xdx_8A9_zUP10VCj1jWc"/>
      <w:bookmarkEnd w:id="43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outstanding and exercisable warrants have no aggregate intrinsic value. The aggregate intrinsic value was calculated as the difference between the closing market price as of June 30, 2026, which was $</w:t>
      </w:r>
      <w:bookmarkStart w:id="432" w:name="xdx_905_eus-gaap--ClassOfWarrantOrRightE"/>
      <w:bookmarkEnd w:id="432"/>
      <w:r>
        <w:rPr>
          <w:rFonts w:ascii="Times New Roman;Times;Serif" w:hAnsi="Times New Roman;Times;Serif"/>
          <w:b w:val="false"/>
          <w:i w:val="false"/>
          <w:caps w:val="false"/>
          <w:smallCaps w:val="false"/>
          <w:sz w:val="20"/>
        </w:rPr>
        <w:t>1.27, and the exercise price of the Company’s warrants to purchase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33" w:name="xdx_801_eus-gaap--CommitmentsAndContinge"/>
      <w:bookmarkEnd w:id="433"/>
      <w:r>
        <w:rPr>
          <w:rFonts w:ascii="Times New Roman;Times;Serif" w:hAnsi="Times New Roman;Times;Serif"/>
          <w:b/>
          <w:i w:val="false"/>
          <w:caps w:val="false"/>
          <w:smallCaps w:val="false"/>
          <w:sz w:val="20"/>
        </w:rPr>
        <w:t xml:space="preserve">10. </w:t>
      </w:r>
      <w:bookmarkStart w:id="434" w:name="xdx_826_zKATxIQ2C7fe"/>
      <w:bookmarkEnd w:id="434"/>
      <w:r>
        <w:rPr>
          <w:rFonts w:ascii="Times New Roman;Times;Serif" w:hAnsi="Times New Roman;Times;Serif"/>
          <w:b/>
          <w:i w:val="false"/>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claims and legal proceedings arising in the ordinary course of business. The Company’s management evaluates its exposure to these claims and proceedings individually and in the aggregate and provides for potential losses on such litigation if the amount of the loss is estimable and the loss is probable.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are no material litigation matters at the current time. Although the results of such litigation matters and claims cannot be predicted with certainty, the Company believes that the final outcome of such claims and proceedings will not have a material adverse impact on the Company’s financial position, liquidity, or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35" w:name="xdx_80B_eus-gaap--SegmentReportingDisclo"/>
      <w:bookmarkEnd w:id="435"/>
      <w:r>
        <w:rPr>
          <w:rFonts w:ascii="Times New Roman;Times;Serif" w:hAnsi="Times New Roman;Times;Serif"/>
          <w:b/>
          <w:i w:val="false"/>
          <w:caps w:val="false"/>
          <w:smallCaps w:val="false"/>
          <w:sz w:val="20"/>
        </w:rPr>
        <w:t xml:space="preserve">11. </w:t>
      </w:r>
      <w:bookmarkStart w:id="436" w:name="xdx_821_zNWkdulZlEd9"/>
      <w:bookmarkEnd w:id="436"/>
      <w:r>
        <w:rPr>
          <w:rFonts w:ascii="Times New Roman;Times;Serif" w:hAnsi="Times New Roman;Times;Serif"/>
          <w:b/>
          <w:i w:val="false"/>
          <w:caps w:val="false"/>
          <w:smallCaps w:val="false"/>
          <w:sz w:val="20"/>
        </w:rPr>
        <w:t>Segment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w:t>
      </w:r>
      <w:bookmarkStart w:id="437" w:name="xdx_90D_eus-gaap--NumberOfOperatingSegme"/>
      <w:bookmarkStart w:id="438" w:name="xdx_903_eus-gaap--NumberOfReportableSegm"/>
      <w:bookmarkEnd w:id="437"/>
      <w:bookmarkEnd w:id="438"/>
      <w:r>
        <w:rPr>
          <w:rFonts w:ascii="Times New Roman;Times;Serif" w:hAnsi="Times New Roman;Times;Serif"/>
          <w:b w:val="false"/>
          <w:i w:val="false"/>
          <w:caps w:val="false"/>
          <w:smallCaps w:val="false"/>
          <w:sz w:val="20"/>
        </w:rPr>
        <w:t>1 reportable and operating segment as a manufacturer of carbonated beverages under Reed’s and Virgil’s brand names. The measure of segment assets is reported on the balance sheet as total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the Company’s Chief Executive Officer, reviews financial information presented and decides how to allocate resources based on net income (loss). Net income (loss) is used for evaluating financial performance.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include research and development, salaries, insurance, and stock-based compensation. Operating expenses include all the remaining costs necessary to operate the Company’s business, which primarily include external professional services and other administrative expenses. The following table presents the significant segment expenses and other segment items regularly reviewed by the Company’s CODM.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39" w:name="xdx_8B6_za6jltcUZvf6"/>
      <w:bookmarkStart w:id="440" w:name="xdx_89D_eus-gaap--ScheduleOfSegmentRepor"/>
      <w:bookmarkEnd w:id="439"/>
      <w:bookmarkEnd w:id="440"/>
      <w:r>
        <w:rPr>
          <w:rFonts w:ascii="Times New Roman;Times;Serif" w:hAnsi="Times New Roman;Times;Serif"/>
          <w:b w:val="false"/>
          <w:i w:val="false"/>
          <w:caps w:val="false"/>
          <w:smallCaps w:val="false"/>
          <w:sz w:val="20"/>
        </w:rPr>
        <w:t>Schedule of Segment Information</w:t>
      </w:r>
    </w:p>
    <w:tbl>
      <w:tblPr>
        <w:tblW w:w="5547" w:type="dxa"/>
        <w:jc w:val="left"/>
        <w:tblInd w:w="0" w:type="dxa"/>
        <w:tblLayout w:type="fixed"/>
        <w:tblCellMar>
          <w:top w:w="0" w:type="dxa"/>
          <w:left w:w="0" w:type="dxa"/>
          <w:bottom w:w="0" w:type="dxa"/>
          <w:right w:w="0" w:type="dxa"/>
        </w:tblCellMar>
      </w:tblPr>
      <w:tblGrid>
        <w:gridCol w:w="2555"/>
        <w:gridCol w:w="60"/>
        <w:gridCol w:w="203"/>
        <w:gridCol w:w="1096"/>
        <w:gridCol w:w="137"/>
        <w:gridCol w:w="87"/>
        <w:gridCol w:w="203"/>
        <w:gridCol w:w="1096"/>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1" w:name="xdx_49A_20260101__20260630_zYnvfy7AkCl7"/>
            <w:bookmarkEnd w:id="441"/>
          </w:p>
        </w:tc>
        <w:tc>
          <w:tcPr>
            <w:tcW w:w="12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442" w:name="xdx_494_20250101__20250630_zeHCxrACmW5a"/>
            <w:bookmarkEnd w:id="442"/>
          </w:p>
        </w:tc>
        <w:tc>
          <w:tcPr>
            <w:tcW w:w="12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9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443" w:name="xdx_402_eus-gaap--OperatingExpensesAbstr"/>
            <w:bookmarkEnd w:id="443"/>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44" w:name="xdx_40C_eus-gaap--SalariesAndWages_i01_p"/>
            <w:bookmarkEnd w:id="444"/>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4,352</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2,449</w:t>
            </w:r>
          </w:p>
        </w:tc>
        <w:tc>
          <w:tcPr>
            <w:tcW w:w="110" w:type="dxa"/>
            <w:tcBorders/>
            <w:shd w:fill="FFFFFF" w:val="clear"/>
            <w:vAlign w:val="center"/>
          </w:tcPr>
          <w:p>
            <w:pPr>
              <w:pStyle w:val="TableContents"/>
              <w:bidi w:val="0"/>
              <w:spacing w:before="0" w:after="283"/>
              <w:jc w:val="left"/>
              <w:rPr/>
            </w:pPr>
            <w:r>
              <w:rPr/>
              <w:t> </w:t>
            </w:r>
            <w:bookmarkStart w:id="445" w:name="xdx_403_eus-gaap--InsuranceTax_i01_pn3n3"/>
            <w:bookmarkEnd w:id="445"/>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CCEEFF" w:val="clear"/>
            <w:vAlign w:val="center"/>
          </w:tcPr>
          <w:p>
            <w:pPr>
              <w:pStyle w:val="TableContents"/>
              <w:bidi w:val="0"/>
              <w:spacing w:before="0" w:after="283"/>
              <w:jc w:val="left"/>
              <w:rPr/>
            </w:pPr>
            <w:r>
              <w:rPr/>
              <w:t> </w:t>
            </w:r>
            <w:bookmarkStart w:id="446" w:name="xdx_402_eus-gaap--ShareBasedCompensation"/>
            <w:bookmarkEnd w:id="446"/>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10" w:type="dxa"/>
            <w:tcBorders/>
            <w:shd w:fill="FFFFFF" w:val="clear"/>
            <w:vAlign w:val="center"/>
          </w:tcPr>
          <w:p>
            <w:pPr>
              <w:pStyle w:val="TableContents"/>
              <w:bidi w:val="0"/>
              <w:spacing w:before="0" w:after="283"/>
              <w:jc w:val="left"/>
              <w:rPr/>
            </w:pPr>
            <w:r>
              <w:rPr/>
              <w:t> </w:t>
            </w:r>
            <w:bookmarkStart w:id="447" w:name="xdx_40D_ecustom--SellingAndMarketing_i01"/>
            <w:bookmarkEnd w:id="447"/>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2,226</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w:t>
            </w:r>
          </w:p>
        </w:tc>
        <w:tc>
          <w:tcPr>
            <w:tcW w:w="110" w:type="dxa"/>
            <w:tcBorders/>
            <w:shd w:fill="CCEEFF" w:val="clear"/>
            <w:vAlign w:val="center"/>
          </w:tcPr>
          <w:p>
            <w:pPr>
              <w:pStyle w:val="TableContents"/>
              <w:bidi w:val="0"/>
              <w:spacing w:before="0" w:after="283"/>
              <w:jc w:val="left"/>
              <w:rPr/>
            </w:pPr>
            <w:r>
              <w:rPr/>
              <w:t> </w:t>
            </w:r>
            <w:bookmarkStart w:id="448" w:name="xdx_404_ecustom--FreightAndDelivery_i01_"/>
            <w:bookmarkEnd w:id="448"/>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Freight and delivery</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w:t>
            </w:r>
          </w:p>
        </w:tc>
        <w:tc>
          <w:tcPr>
            <w:tcW w:w="110" w:type="dxa"/>
            <w:tcBorders/>
            <w:shd w:fill="FFFFFF" w:val="clear"/>
            <w:vAlign w:val="center"/>
          </w:tcPr>
          <w:p>
            <w:pPr>
              <w:pStyle w:val="TableContents"/>
              <w:bidi w:val="0"/>
              <w:spacing w:before="0" w:after="283"/>
              <w:jc w:val="left"/>
              <w:rPr/>
            </w:pPr>
            <w:r>
              <w:rPr/>
              <w:t> </w:t>
            </w:r>
            <w:bookmarkStart w:id="449" w:name="xdx_40E_ecustom--Warehousing_i01_pn3n3_m"/>
            <w:bookmarkEnd w:id="449"/>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Warehousing</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w:t>
            </w:r>
          </w:p>
        </w:tc>
        <w:tc>
          <w:tcPr>
            <w:tcW w:w="110" w:type="dxa"/>
            <w:tcBorders/>
            <w:shd w:fill="CCEEFF" w:val="clear"/>
            <w:vAlign w:val="center"/>
          </w:tcPr>
          <w:p>
            <w:pPr>
              <w:pStyle w:val="TableContents"/>
              <w:bidi w:val="0"/>
              <w:spacing w:before="0" w:after="283"/>
              <w:jc w:val="left"/>
              <w:rPr/>
            </w:pPr>
            <w:r>
              <w:rPr/>
              <w:t> </w:t>
            </w:r>
            <w:bookmarkStart w:id="450" w:name="xdx_40A_eus-gaap--OtherExpenses_i01_pn3n"/>
            <w:bookmarkEnd w:id="450"/>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operating expenses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3,733</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3,951</w:t>
            </w:r>
          </w:p>
        </w:tc>
        <w:tc>
          <w:tcPr>
            <w:tcW w:w="110" w:type="dxa"/>
            <w:tcBorders/>
            <w:shd w:fill="FFFFFF" w:val="clear"/>
            <w:vAlign w:val="center"/>
          </w:tcPr>
          <w:p>
            <w:pPr>
              <w:pStyle w:val="TableContents"/>
              <w:bidi w:val="0"/>
              <w:spacing w:before="0" w:after="283"/>
              <w:jc w:val="left"/>
              <w:rPr/>
            </w:pPr>
            <w:r>
              <w:rPr/>
              <w:t> </w:t>
            </w:r>
            <w:bookmarkStart w:id="451" w:name="xdx_404_eus-gaap--OperatingExpenses_i01N"/>
            <w:bookmarkEnd w:id="451"/>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(12,765</w:t>
            </w:r>
          </w:p>
        </w:tc>
        <w:tc>
          <w:tcPr>
            <w:tcW w:w="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t> </w:t>
      </w:r>
    </w:p>
    <w:tbl>
      <w:tblPr>
        <w:tblW w:w="5846" w:type="dxa"/>
        <w:jc w:val="left"/>
        <w:tblInd w:w="0" w:type="dxa"/>
        <w:tblLayout w:type="fixed"/>
        <w:tblCellMar>
          <w:top w:w="0" w:type="dxa"/>
          <w:left w:w="0" w:type="dxa"/>
          <w:bottom w:w="0" w:type="dxa"/>
          <w:right w:w="0" w:type="dxa"/>
        </w:tblCellMar>
      </w:tblPr>
      <w:tblGrid>
        <w:gridCol w:w="2555"/>
        <w:gridCol w:w="60"/>
        <w:gridCol w:w="256"/>
        <w:gridCol w:w="1163"/>
        <w:gridCol w:w="174"/>
        <w:gridCol w:w="109"/>
        <w:gridCol w:w="256"/>
        <w:gridCol w:w="1163"/>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E_20260401__20260630_zbggpp0gNAP6"/>
            <w:bookmarkEnd w:id="452"/>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4"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bookmarkStart w:id="453" w:name="xdx_490_20250401__20250630_zxzc9U7jMyMe"/>
            <w:bookmarkEnd w:id="453"/>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4"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454" w:name="xdx_40A_eus-gaap--OperatingExpensesAbstr"/>
            <w:bookmarkEnd w:id="454"/>
          </w:p>
        </w:tc>
      </w:tr>
      <w:tr>
        <w:trPr/>
        <w:tc>
          <w:tcPr>
            <w:tcW w:w="25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55" w:name="xdx_405_eus-gaap--SalariesAndWages_i01_p"/>
            <w:bookmarkEnd w:id="455"/>
          </w:p>
        </w:tc>
      </w:tr>
      <w:tr>
        <w:trPr/>
        <w:tc>
          <w:tcPr>
            <w:tcW w:w="2555" w:type="dxa"/>
            <w:tcBorders/>
            <w:shd w:fill="FFFFFF" w:val="clear"/>
            <w:vAlign w:val="center"/>
          </w:tcPr>
          <w:p>
            <w:pPr>
              <w:pStyle w:val="TableContents"/>
              <w:bidi w:val="0"/>
              <w:spacing w:before="0" w:after="283"/>
              <w:jc w:val="left"/>
              <w:rPr/>
            </w:pPr>
            <w:r>
              <w:rPr/>
              <w:t>Salaries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2,595</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1,393</w:t>
            </w:r>
          </w:p>
        </w:tc>
        <w:tc>
          <w:tcPr>
            <w:tcW w:w="110" w:type="dxa"/>
            <w:tcBorders/>
            <w:shd w:fill="FFFFFF" w:val="clear"/>
            <w:vAlign w:val="center"/>
          </w:tcPr>
          <w:p>
            <w:pPr>
              <w:pStyle w:val="TableContents"/>
              <w:bidi w:val="0"/>
              <w:spacing w:before="0" w:after="283"/>
              <w:jc w:val="left"/>
              <w:rPr/>
            </w:pPr>
            <w:r>
              <w:rPr/>
              <w:t> </w:t>
            </w:r>
            <w:bookmarkStart w:id="456" w:name="xdx_40A_eus-gaap--InsuranceTax_i01_pn3n3"/>
            <w:bookmarkEnd w:id="456"/>
          </w:p>
        </w:tc>
      </w:tr>
      <w:tr>
        <w:trPr/>
        <w:tc>
          <w:tcPr>
            <w:tcW w:w="255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97</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122</w:t>
            </w:r>
          </w:p>
        </w:tc>
        <w:tc>
          <w:tcPr>
            <w:tcW w:w="110" w:type="dxa"/>
            <w:tcBorders/>
            <w:shd w:fill="CCEEFF" w:val="clear"/>
            <w:vAlign w:val="center"/>
          </w:tcPr>
          <w:p>
            <w:pPr>
              <w:pStyle w:val="TableContents"/>
              <w:bidi w:val="0"/>
              <w:spacing w:before="0" w:after="283"/>
              <w:jc w:val="left"/>
              <w:rPr/>
            </w:pPr>
            <w:r>
              <w:rPr/>
              <w:t> </w:t>
            </w:r>
            <w:bookmarkStart w:id="457" w:name="xdx_40F_eus-gaap--ShareBasedCompensation"/>
            <w:bookmarkEnd w:id="457"/>
          </w:p>
        </w:tc>
      </w:tr>
      <w:tr>
        <w:trPr/>
        <w:tc>
          <w:tcPr>
            <w:tcW w:w="25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3</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bookmarkStart w:id="458" w:name="xdx_40E_ecustom--SellingAndMarketing_i01"/>
            <w:bookmarkEnd w:id="458"/>
          </w:p>
        </w:tc>
      </w:tr>
      <w:tr>
        <w:trPr/>
        <w:tc>
          <w:tcPr>
            <w:tcW w:w="255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1,032</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 </w:t>
            </w:r>
            <w:bookmarkStart w:id="459" w:name="xdx_403_ecustom--FreightAndDelivery_i01_"/>
            <w:bookmarkEnd w:id="459"/>
          </w:p>
        </w:tc>
      </w:tr>
      <w:tr>
        <w:trPr/>
        <w:tc>
          <w:tcPr>
            <w:tcW w:w="2555" w:type="dxa"/>
            <w:tcBorders/>
            <w:shd w:fill="FFFFFF" w:val="clear"/>
            <w:vAlign w:val="center"/>
          </w:tcPr>
          <w:p>
            <w:pPr>
              <w:pStyle w:val="TableContents"/>
              <w:bidi w:val="0"/>
              <w:spacing w:before="0" w:after="283"/>
              <w:jc w:val="left"/>
              <w:rPr/>
            </w:pPr>
            <w:r>
              <w:rPr/>
              <w:t>Freight and delivery</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835</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1,198</w:t>
            </w:r>
          </w:p>
        </w:tc>
        <w:tc>
          <w:tcPr>
            <w:tcW w:w="110" w:type="dxa"/>
            <w:tcBorders/>
            <w:shd w:fill="FFFFFF" w:val="clear"/>
            <w:vAlign w:val="center"/>
          </w:tcPr>
          <w:p>
            <w:pPr>
              <w:pStyle w:val="TableContents"/>
              <w:bidi w:val="0"/>
              <w:spacing w:before="0" w:after="283"/>
              <w:jc w:val="left"/>
              <w:rPr/>
            </w:pPr>
            <w:r>
              <w:rPr/>
              <w:t> </w:t>
            </w:r>
            <w:bookmarkStart w:id="460" w:name="xdx_402_ecustom--Warehousing_i01_pn3n3_m"/>
            <w:bookmarkEnd w:id="460"/>
          </w:p>
        </w:tc>
      </w:tr>
      <w:tr>
        <w:trPr/>
        <w:tc>
          <w:tcPr>
            <w:tcW w:w="2555" w:type="dxa"/>
            <w:tcBorders/>
            <w:shd w:fill="CCEEFF" w:val="clear"/>
            <w:vAlign w:val="center"/>
          </w:tcPr>
          <w:p>
            <w:pPr>
              <w:pStyle w:val="TableContents"/>
              <w:bidi w:val="0"/>
              <w:spacing w:before="0" w:after="283"/>
              <w:jc w:val="left"/>
              <w:rPr/>
            </w:pPr>
            <w:r>
              <w:rPr/>
              <w:t>Warehousing</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273</w:t>
            </w:r>
          </w:p>
        </w:tc>
        <w:tc>
          <w:tcPr>
            <w:tcW w:w="17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372</w:t>
            </w:r>
          </w:p>
        </w:tc>
        <w:tc>
          <w:tcPr>
            <w:tcW w:w="110" w:type="dxa"/>
            <w:tcBorders/>
            <w:shd w:fill="CCEEFF" w:val="clear"/>
            <w:vAlign w:val="center"/>
          </w:tcPr>
          <w:p>
            <w:pPr>
              <w:pStyle w:val="TableContents"/>
              <w:bidi w:val="0"/>
              <w:spacing w:before="0" w:after="283"/>
              <w:jc w:val="left"/>
              <w:rPr/>
            </w:pPr>
            <w:r>
              <w:rPr/>
              <w:t> </w:t>
            </w:r>
            <w:bookmarkStart w:id="461" w:name="xdx_40C_eus-gaap--OtherExpenses_i01_pn3n"/>
            <w:bookmarkEnd w:id="461"/>
          </w:p>
        </w:tc>
      </w:tr>
      <w:tr>
        <w:trPr/>
        <w:tc>
          <w:tcPr>
            <w:tcW w:w="255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1,018</w:t>
            </w:r>
          </w:p>
        </w:tc>
        <w:tc>
          <w:tcPr>
            <w:tcW w:w="17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2,667</w:t>
            </w:r>
          </w:p>
        </w:tc>
        <w:tc>
          <w:tcPr>
            <w:tcW w:w="110" w:type="dxa"/>
            <w:tcBorders/>
            <w:shd w:fill="FFFFFF" w:val="clear"/>
            <w:vAlign w:val="center"/>
          </w:tcPr>
          <w:p>
            <w:pPr>
              <w:pStyle w:val="TableContents"/>
              <w:bidi w:val="0"/>
              <w:spacing w:before="0" w:after="283"/>
              <w:jc w:val="left"/>
              <w:rPr/>
            </w:pPr>
            <w:r>
              <w:rPr/>
              <w:t> </w:t>
            </w:r>
            <w:bookmarkStart w:id="462" w:name="xdx_408_eus-gaap--OperatingExpenses_i01N"/>
            <w:bookmarkEnd w:id="462"/>
          </w:p>
        </w:tc>
      </w:tr>
      <w:tr>
        <w:trPr/>
        <w:tc>
          <w:tcPr>
            <w:tcW w:w="25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pPr>
            <w:r>
              <w:rPr/>
              <w:t>(5,853</w:t>
            </w:r>
          </w:p>
        </w:tc>
        <w:tc>
          <w:tcPr>
            <w:tcW w:w="174"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pPr>
            <w:r>
              <w:rPr/>
              <w:t>(6,600</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463" w:name="xdx_8AA_zUgHgrJCzzn6"/>
      <w:bookmarkEnd w:id="463"/>
      <w:r>
        <w:rPr>
          <w:caps w:val="false"/>
          <w:smallCaps w:val="false"/>
        </w:rPr>
        <w:t> </w:t>
      </w:r>
    </w:p>
    <w:p>
      <w:pPr>
        <w:pStyle w:val="TextBody"/>
        <w:pBdr/>
        <w:bidi w:val="0"/>
        <w:spacing w:before="0" w:after="0"/>
        <w:ind w:left="0" w:right="0" w:hanging="0"/>
        <w:jc w:val="both"/>
        <w:rPr>
          <w:caps w:val="false"/>
          <w:smallCaps w:val="false"/>
        </w:rPr>
      </w:pPr>
      <w:bookmarkStart w:id="464" w:name="xdx_816_zD2QysTeicrl"/>
      <w:bookmarkEnd w:id="46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65" w:name="a_008"/>
      <w:bookmarkEnd w:id="46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United States generally accepted accounting principles (“U.S. GAAP”) results, the following discussion includes EBITDA as a supplemental measure of our performance. 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continued its focus on achieving profitable sales growth, improving gross margin, reducing freight costs, and optimizing selling, general and administrative expenses. The sales growth initiatives include channel expansion, in-store product placements, new product innovation, and improved sales execution. The gross margin enhancement initiatives include product portfolio optimization, equitable supplier negotiations, streamlining co-packer processes, and efficient inventory management. Underpinning these initiatives is a focus on optimizing delivery and handling and selling, 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material sales in the period ended June 30, 2026 or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continues to grow, inflation, actions by the Federal Reserve to address inflation, fluctuations in energy prices, and the potential impacts of tariffs, trade tensions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average cost of shipping and handling was $2.56 per case, as compared to $3.06 per case for the six months ended June 30, 2025. The Company has experienced increases in freight costs and there remains a volatile pricing environment, including due to the armed conflict in Iran. The Company will continue to monitor pricing and availability in transportation and has implemented plans designed to manage this risk. In the past, the Company has been negatively impacted by supply chain challenges affecting our ability to benefit from strong demand for, and increased sales of our product. Any disruption caused by labor shortages, significant raw material cost inflation, logistics issues, increased freight costs, or port congestion, may adversely impact margins in the future.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June 30, 2026, we continued to finance our operations through existing cash balances, cash generated from operations, public and private issuance of common stock, and credit lines from financial institutions. As we seek additional financing, there can be no assurance that such financing will be available to us on favorable terms or at all. Our ability to obtain additional financing in the debt and equity capital markets is subject to several factors, including market and economic conditions, our operating performance and investor sentiment with respect to us and our industry.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2026, as compared to June 30, 2025</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three months ended June 30, 2026 and 2025, respectively, in thousands.</w:t>
      </w:r>
    </w:p>
    <w:p>
      <w:pPr>
        <w:pStyle w:val="TextBody"/>
        <w:pBdr/>
        <w:bidi w:val="0"/>
        <w:spacing w:before="0" w:after="0"/>
        <w:ind w:left="0" w:right="0" w:hanging="0"/>
        <w:jc w:val="both"/>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5165"/>
        <w:gridCol w:w="60"/>
        <w:gridCol w:w="140"/>
        <w:gridCol w:w="1100"/>
        <w:gridCol w:w="215"/>
        <w:gridCol w:w="60"/>
        <w:gridCol w:w="140"/>
        <w:gridCol w:w="980"/>
        <w:gridCol w:w="215"/>
        <w:gridCol w:w="60"/>
        <w:gridCol w:w="111"/>
        <w:gridCol w:w="704"/>
        <w:gridCol w:w="23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Gross billing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65</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75</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92</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24</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8</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17</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23</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13</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41</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39</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and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11,846,210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7,727,840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U.S.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U.S. GAAP and meet U.S. GAAP requirements, however the disclosure thereof does not conform to U.S.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from the second quarter of 2025 through the second quarter of 2026.</w:t>
      </w:r>
    </w:p>
    <w:p>
      <w:pPr>
        <w:pStyle w:val="TextBody"/>
        <w:pBdr/>
        <w:bidi w:val="0"/>
        <w:spacing w:before="0" w:after="0"/>
        <w:ind w:left="0" w:right="0" w:hanging="0"/>
        <w:jc w:val="both"/>
        <w:rPr>
          <w:caps w:val="false"/>
          <w:smallCaps w:val="false"/>
        </w:rPr>
      </w:pPr>
      <w:r>
        <w:rPr>
          <w:caps w:val="false"/>
          <w:smallCaps w:val="false"/>
        </w:rPr>
        <w:t> </w:t>
      </w:r>
    </w:p>
    <w:tbl>
      <w:tblPr>
        <w:tblW w:w="15215" w:type="dxa"/>
        <w:jc w:val="left"/>
        <w:tblInd w:w="0" w:type="dxa"/>
        <w:tblLayout w:type="fixed"/>
        <w:tblCellMar>
          <w:top w:w="0" w:type="dxa"/>
          <w:left w:w="0" w:type="dxa"/>
          <w:bottom w:w="0" w:type="dxa"/>
          <w:right w:w="0" w:type="dxa"/>
        </w:tblCellMar>
      </w:tblPr>
      <w:tblGrid>
        <w:gridCol w:w="1025"/>
        <w:gridCol w:w="60"/>
        <w:gridCol w:w="740"/>
        <w:gridCol w:w="60"/>
        <w:gridCol w:w="140"/>
        <w:gridCol w:w="635"/>
        <w:gridCol w:w="215"/>
        <w:gridCol w:w="60"/>
        <w:gridCol w:w="140"/>
        <w:gridCol w:w="635"/>
        <w:gridCol w:w="215"/>
        <w:gridCol w:w="60"/>
        <w:gridCol w:w="140"/>
        <w:gridCol w:w="755"/>
        <w:gridCol w:w="215"/>
        <w:gridCol w:w="60"/>
        <w:gridCol w:w="60"/>
        <w:gridCol w:w="380"/>
        <w:gridCol w:w="260"/>
        <w:gridCol w:w="60"/>
        <w:gridCol w:w="60"/>
        <w:gridCol w:w="335"/>
        <w:gridCol w:w="260"/>
        <w:gridCol w:w="60"/>
        <w:gridCol w:w="140"/>
        <w:gridCol w:w="680"/>
        <w:gridCol w:w="215"/>
        <w:gridCol w:w="60"/>
        <w:gridCol w:w="140"/>
        <w:gridCol w:w="680"/>
        <w:gridCol w:w="215"/>
        <w:gridCol w:w="60"/>
        <w:gridCol w:w="140"/>
        <w:gridCol w:w="755"/>
        <w:gridCol w:w="215"/>
        <w:gridCol w:w="60"/>
        <w:gridCol w:w="140"/>
        <w:gridCol w:w="635"/>
        <w:gridCol w:w="95"/>
        <w:gridCol w:w="60"/>
        <w:gridCol w:w="140"/>
        <w:gridCol w:w="635"/>
        <w:gridCol w:w="95"/>
        <w:gridCol w:w="60"/>
        <w:gridCol w:w="60"/>
        <w:gridCol w:w="455"/>
        <w:gridCol w:w="260"/>
        <w:gridCol w:w="60"/>
        <w:gridCol w:w="140"/>
        <w:gridCol w:w="635"/>
        <w:gridCol w:w="95"/>
        <w:gridCol w:w="60"/>
        <w:gridCol w:w="140"/>
        <w:gridCol w:w="635"/>
        <w:gridCol w:w="95"/>
        <w:gridCol w:w="60"/>
        <w:gridCol w:w="60"/>
        <w:gridCol w:w="335"/>
        <w:gridCol w:w="275"/>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2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269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Per Case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H1 Per Case</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Q2</w:t>
            </w:r>
          </w:p>
          <w:p>
            <w:pPr>
              <w:pStyle w:val="TableContents"/>
              <w:bidi w:val="0"/>
              <w:jc w:val="center"/>
              <w:rPr>
                <w:rFonts w:ascii="Times New Roman;Times;Serif" w:hAnsi="Times New Roman;Times;Serif"/>
                <w:b/>
              </w:rPr>
            </w:pPr>
            <w:r>
              <w:rPr>
                <w:rFonts w:ascii="Times New Roman;Times;Serif" w:hAnsi="Times New Roman;Times;Serif"/>
                <w:b/>
              </w:rPr>
              <w:t>vs</w:t>
            </w:r>
          </w:p>
          <w:p>
            <w:pPr>
              <w:pStyle w:val="TableContents"/>
              <w:bidi w:val="0"/>
              <w:spacing w:before="0" w:after="283"/>
              <w:jc w:val="center"/>
              <w:rPr>
                <w:rFonts w:ascii="Times New Roman;Times;Serif" w:hAnsi="Times New Roman;Times;Serif"/>
                <w:b/>
              </w:rPr>
            </w:pPr>
            <w:r>
              <w:rPr>
                <w:rFonts w:ascii="Times New Roman;Times;Serif" w:hAnsi="Times New Roman;Times;Serif"/>
                <w:b/>
              </w:rPr>
              <w:t>PY</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H1</w:t>
            </w:r>
          </w:p>
          <w:p>
            <w:pPr>
              <w:pStyle w:val="TableContents"/>
              <w:bidi w:val="0"/>
              <w:jc w:val="center"/>
              <w:rPr>
                <w:rFonts w:ascii="Times New Roman;Times;Serif" w:hAnsi="Times New Roman;Times;Serif"/>
                <w:b/>
              </w:rPr>
            </w:pPr>
            <w:r>
              <w:rPr>
                <w:rFonts w:ascii="Times New Roman;Times;Serif" w:hAnsi="Times New Roman;Times;Serif"/>
                <w:b/>
              </w:rPr>
              <w:t>vs</w:t>
            </w:r>
          </w:p>
          <w:p>
            <w:pPr>
              <w:pStyle w:val="TableContents"/>
              <w:bidi w:val="0"/>
              <w:spacing w:before="0" w:after="283"/>
              <w:jc w:val="center"/>
              <w:rPr>
                <w:rFonts w:ascii="Times New Roman;Times;Serif" w:hAnsi="Times New Roman;Times;Serif"/>
                <w:b/>
              </w:rPr>
            </w:pPr>
            <w:r>
              <w:rPr>
                <w:rFonts w:ascii="Times New Roman;Times;Serif" w:hAnsi="Times New Roman;Times;Serif"/>
                <w:b/>
              </w:rPr>
              <w:t>PY</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vs</w:t>
            </w:r>
          </w:p>
          <w:p>
            <w:pPr>
              <w:pStyle w:val="TableContents"/>
              <w:bidi w:val="0"/>
              <w:spacing w:before="0" w:after="283"/>
              <w:jc w:val="center"/>
              <w:rPr/>
            </w:pPr>
            <w:r>
              <w:rPr/>
              <w:t> </w:t>
            </w:r>
            <w:r>
              <w:rPr>
                <w:rFonts w:ascii="Times New Roman;Times;Serif" w:hAnsi="Times New Roman;Times;Serif"/>
                <w:b/>
                <w:sz w:val="20"/>
              </w:rPr>
              <w:t>PY</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vs</w:t>
            </w:r>
          </w:p>
          <w:p>
            <w:pPr>
              <w:pStyle w:val="TableContents"/>
              <w:bidi w:val="0"/>
              <w:spacing w:before="0" w:after="283"/>
              <w:jc w:val="center"/>
              <w:rPr/>
            </w:pPr>
            <w:r>
              <w:rPr/>
              <w:t> </w:t>
            </w:r>
            <w:r>
              <w:rPr>
                <w:rFonts w:ascii="Times New Roman;Times;Serif" w:hAnsi="Times New Roman;Times;Serif"/>
                <w:b/>
                <w:sz w:val="20"/>
              </w:rPr>
              <w:t>PY</w:t>
            </w:r>
          </w:p>
        </w:tc>
        <w:tc>
          <w:tcPr>
            <w:tcW w:w="275" w:type="dxa"/>
            <w:tcBorders/>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Cases:</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Virgil’s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Billing:</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17,284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11,569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22,582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Discounts:</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(1,371</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(1,283</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(2,654</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(984</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(2,046</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(3,030</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w:t>
            </w:r>
          </w:p>
        </w:tc>
        <w:tc>
          <w:tcPr>
            <w:tcW w:w="2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COGS:</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(6,445</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(5,699</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(12,144</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(6,627</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(8,716</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(15,343</w:t>
            </w:r>
          </w:p>
        </w:tc>
        <w:tc>
          <w:tcPr>
            <w:tcW w:w="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(13.07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(16.38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(13.94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w:t>
            </w:r>
          </w:p>
        </w:tc>
        <w:tc>
          <w:tcPr>
            <w:tcW w:w="2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Margin:</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122</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w:t>
            </w:r>
          </w:p>
        </w:tc>
        <w:tc>
          <w:tcPr>
            <w:tcW w:w="2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 % Net Sales</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bl>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billing decreased by 24% to $8,771 during the three months ended June 30, 2026, compared to $11,569 during the prior year, primarily driven by Reed’s volume decline of 15%, and Virgil’s volume decline of 25%. Prices on our brands decreased 7% to $20.12 per case, primarily driven by liquidation of select slow-moving product.</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15% during the three months ended June 30, 2026, compared to 18% in the prior year. Net sales decreased 21% during the three months ended June 30, 2026, to $7,488, compared to $9,523 in the prior year, primarily driven by lower volumes with recurring national customers and higher promotional and other allowances.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$3,017 during the three months ended June 30, 2026, as compared to the prior year. As a percentage of net sales, cost of goods sold for the three months ended June 30, 2026, was 76% as compared to 92% for the prior year. The decrease in cost of goods sold was primarily driven by the net sales decrease discussed above and lower inventory write-offs. Inventory write-offs were $92 during the three months ended June 30, 2026 and $1,606 in the prior year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$13.07 per case in the three months ended June 30, 2026, from $16.38 per case for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24% for the three months ended June 30, 2026, compared to 8% for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$465 in the three months ended June 30, 2026, to $1,107 from $1,572 in the prior year, primarily driven by continued improvements in logistics efficiency and freight optimization. Delivery costs in the three months ended June 30, 2026, were 15% of net sales and $2.54 per case, compared to 17% of net sales and $2.95 per case during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$1,709 during the three months ended June 30, 2026, compared to $1,271 during the prior year. The increase was primarily driven by higher sales broker and marketing expenses. As a percentage of net sales, selling and marketing expenses were 23% of net sales during the three months ended June 30, 2026, as compared to 13% of net sales during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were $3,037 during the three months ended June 30, 2026, a decrease of $720 over the prior year. The decrease was primarily driven by lower legal settlements and continuing efforts to optimize general and administrative expenses, offset by investments in personnel and related services to support our Asia growth initiative. As a percentage of net sales, general and administrative expenses were 41% during the three months ended June 30, 2026, as compared to 39% during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$4,064 for the three months ended June 30, 2026, as compared to a loss of $5,793 in the prior year, primarily driven by higher gross profit and lower operating expenses discussed above.</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three months ended June 30, 2026, consisted of $204 of interest expense and $5 of other expense. During the prior year, interest and other expense consisted of $301 of interest expense, offset by $46 of other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EBITDA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results, we present EBITDA as a supplemental measure of our performance. However,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U.S. GAAP are itemized below. You are encouraged to evaluate these adjustments and the reasons we consider them appropriate for supplemental analysis. In evaluating EBITDA, you should be aware that in the future we may incur expenses that are the same as or similar to some of the adjustments in this presentation. Our presentation of EBITDA should not be construed as an inference that our future results will be unaffected by unusual or non-recurring items.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EBITDA for the three months ended June 30, 2026 and 2025:</w:t>
      </w:r>
    </w:p>
    <w:p>
      <w:pPr>
        <w:pStyle w:val="TextBody"/>
        <w:pBdr/>
        <w:bidi w:val="0"/>
        <w:spacing w:before="0" w:after="0"/>
        <w:ind w:left="0" w:right="0" w:hanging="0"/>
        <w:jc w:val="both"/>
        <w:rPr>
          <w:caps w:val="false"/>
          <w:smallCaps w:val="false"/>
        </w:rPr>
      </w:pPr>
      <w:r>
        <w:rPr>
          <w:caps w:val="false"/>
          <w:smallCaps w:val="false"/>
        </w:rPr>
        <w:t> </w:t>
      </w:r>
    </w:p>
    <w:tbl>
      <w:tblPr>
        <w:tblW w:w="4887" w:type="dxa"/>
        <w:jc w:val="left"/>
        <w:tblInd w:w="0" w:type="dxa"/>
        <w:tblLayout w:type="fixed"/>
        <w:tblCellMar>
          <w:top w:w="0" w:type="dxa"/>
          <w:left w:w="0" w:type="dxa"/>
          <w:bottom w:w="0" w:type="dxa"/>
          <w:right w:w="0" w:type="dxa"/>
        </w:tblCellMar>
      </w:tblPr>
      <w:tblGrid>
        <w:gridCol w:w="2885"/>
        <w:gridCol w:w="60"/>
        <w:gridCol w:w="150"/>
        <w:gridCol w:w="683"/>
        <w:gridCol w:w="102"/>
        <w:gridCol w:w="64"/>
        <w:gridCol w:w="150"/>
        <w:gridCol w:w="683"/>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2"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(4,273</w:t>
            </w:r>
          </w:p>
        </w:tc>
        <w:tc>
          <w:tcPr>
            <w:tcW w:w="1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adjustments: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EBITDA adjustments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w:t>
            </w:r>
          </w:p>
        </w:tc>
        <w:tc>
          <w:tcPr>
            <w:tcW w:w="1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has limitations as an analytical tool, which includes, among others, the following: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changes in, or cash requirements for, our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EBITDA does not reflect any cash requirements for such replacements.</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2026, as compared to Six Months Ended June 30, 2025</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six months ended June 30, 2026 and 2025, respectively, in thousands.</w:t>
      </w:r>
    </w:p>
    <w:p>
      <w:pPr>
        <w:pStyle w:val="TextBody"/>
        <w:pBdr/>
        <w:bidi w:val="0"/>
        <w:spacing w:before="0" w:after="0"/>
        <w:ind w:left="0" w:right="0" w:hanging="0"/>
        <w:jc w:val="both"/>
        <w:rPr>
          <w:caps w:val="false"/>
          <w:smallCaps w:val="false"/>
        </w:rPr>
      </w:pPr>
      <w:r>
        <w:rPr>
          <w:caps w:val="false"/>
          <w:smallCaps w:val="false"/>
        </w:rPr>
        <w:t> </w:t>
      </w:r>
    </w:p>
    <w:tbl>
      <w:tblPr>
        <w:tblW w:w="9368" w:type="dxa"/>
        <w:jc w:val="left"/>
        <w:tblInd w:w="0" w:type="dxa"/>
        <w:tblLayout w:type="fixed"/>
        <w:tblCellMar>
          <w:top w:w="0" w:type="dxa"/>
          <w:left w:w="0" w:type="dxa"/>
          <w:bottom w:w="0" w:type="dxa"/>
          <w:right w:w="0" w:type="dxa"/>
        </w:tblCellMar>
      </w:tblPr>
      <w:tblGrid>
        <w:gridCol w:w="5165"/>
        <w:gridCol w:w="60"/>
        <w:gridCol w:w="150"/>
        <w:gridCol w:w="1179"/>
        <w:gridCol w:w="230"/>
        <w:gridCol w:w="64"/>
        <w:gridCol w:w="150"/>
        <w:gridCol w:w="1050"/>
        <w:gridCol w:w="215"/>
        <w:gridCol w:w="60"/>
        <w:gridCol w:w="123"/>
        <w:gridCol w:w="692"/>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 (A)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14,630</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12,144</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Gross billing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70</w:t>
            </w:r>
          </w:p>
        </w:tc>
        <w:tc>
          <w:tcPr>
            <w:tcW w:w="23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68</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83</w:t>
            </w:r>
          </w:p>
        </w:tc>
        <w:tc>
          <w:tcPr>
            <w:tcW w:w="23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78</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2,486</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17</w:t>
            </w:r>
          </w:p>
        </w:tc>
        <w:tc>
          <w:tcPr>
            <w:tcW w:w="23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22</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15</w:t>
            </w:r>
          </w:p>
        </w:tc>
        <w:tc>
          <w:tcPr>
            <w:tcW w:w="23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16</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2.56</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3.06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3,456</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24</w:t>
            </w:r>
          </w:p>
        </w:tc>
        <w:tc>
          <w:tcPr>
            <w:tcW w:w="23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14</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7,082</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48</w:t>
            </w:r>
          </w:p>
        </w:tc>
        <w:tc>
          <w:tcPr>
            <w:tcW w:w="23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30</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12,765</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11,833,391</w:t>
            </w:r>
          </w:p>
        </w:tc>
        <w:tc>
          <w:tcPr>
            <w:tcW w:w="2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7,645,316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billing decreased by 23% to $17,284 during the six months ended June 30, 2026, compared to $22,582 during the prior year, primarily driven by Reed’s volume decline of 10%, and Virgil’s volume decline of 30%. Prices on our brands decreased 8% to $19.84 per case, primarily driven by liquidation of select slow-moving product.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15% during the six months ended June 30, 2026, compared to 13% in the prior year. Net sales decreased 25% during the six months ended June 30, 2026, to $14,630, compared to $19,552 in the prior year, primarily driven by lower volumes with recurring national customers and higher promotional and other allowances.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$3,199 during the six months ended June 30, 2026, as compared to the prior year. As a percentage of net sales, cost of goods sold for the six months ended June 30, 2026, was 83% as compared to 78% for the prior year. The decrease in cost of goods sold was primarily driven by the net sales decrease discussed above and lower inventory write-offs. Inventory write-offs were $830 during the six months ended June 30, 2026 and $1,661 in the prior year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$13.94 per case in the six months ended June 30, 2026, from $14.68 per case for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17% for the six months ended June 30, 2026, compared to 22% for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$972 in the six months ended June 30, 2026, to $2,227 from $3,199 in the prior year, primarily driven by continued improvements in logistics efficiency and freight optimization. Delivery costs in the six months ended June 30, 2026, were 15% of net sales and $2.56 per case, compared to 16% of net sales and $3.06 per case during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$3,456 during the six months ended June 30, 2026, compared to $2,773 during the prior year. The increase was primarily driven by higher sales broker and marketing expenses. As a percentage of net sales, selling and marketing expenses were 24% of net sales during the six months ended June 30, 2026, as compared to 14% of net sales during the prior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were $7,082 during the six months ended June 30, 2026, an increase of $1,310 over the prior year. The increase was primarily driven by investments in personnel and related services to support our Asia growth initiative, offset by lower legal settlements and continuing efforts to optimize 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net sales, general and administrative expenses were 48% during the six months ended June 30, 2026, as compared to 30% during the prior year.</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$10,279 for the six months ended June 30, 2026, as compared to a loss of $7,535 in the prior year, primarily driven by lower gross profit and higher operating expenses discussed above.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six months ended June 30, 2026, consisted of $408 of interest expense and $50 of other expense. During the prior year, interest and other expense consisted of $590 of interest expense, offset by $46 of other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EBITDA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results, we present EBITDA as a supplemental measure of our performance. However,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U.S. GAAP are itemized below. You are encouraged to evaluate these adjustments and the reasons we consider them appropriate for supplemental analysis. In evaluating EBITDA, you should be aware that in the future we may incur expenses that are the same as or similar to some of the adjustments in this presentation. Our presentation of EBITDA should not be construed as an inference that our future results will be unaffected by unusual or non-recurring items.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EBITDA for the six months ended June 30, 2026 and 2025:</w:t>
      </w:r>
    </w:p>
    <w:p>
      <w:pPr>
        <w:pStyle w:val="TextBody"/>
        <w:pBdr/>
        <w:bidi w:val="0"/>
        <w:spacing w:before="0" w:after="0"/>
        <w:ind w:left="0" w:right="0" w:hanging="0"/>
        <w:jc w:val="left"/>
        <w:rPr>
          <w:caps w:val="false"/>
          <w:smallCaps w:val="false"/>
        </w:rPr>
      </w:pPr>
      <w:r>
        <w:rPr>
          <w:caps w:val="false"/>
          <w:smallCaps w:val="false"/>
        </w:rPr>
        <w:t> </w:t>
      </w:r>
    </w:p>
    <w:tbl>
      <w:tblPr>
        <w:tblW w:w="5876" w:type="dxa"/>
        <w:jc w:val="left"/>
        <w:tblInd w:w="0" w:type="dxa"/>
        <w:tblLayout w:type="fixed"/>
        <w:tblCellMar>
          <w:top w:w="0" w:type="dxa"/>
          <w:left w:w="0" w:type="dxa"/>
          <w:bottom w:w="0" w:type="dxa"/>
          <w:right w:w="0" w:type="dxa"/>
        </w:tblCellMar>
      </w:tblPr>
      <w:tblGrid>
        <w:gridCol w:w="2885"/>
        <w:gridCol w:w="60"/>
        <w:gridCol w:w="216"/>
        <w:gridCol w:w="1168"/>
        <w:gridCol w:w="147"/>
        <w:gridCol w:w="92"/>
        <w:gridCol w:w="216"/>
        <w:gridCol w:w="982"/>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4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(10,737</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EBITDA adjustments: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expense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EBITDA adjustments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597</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(10,140</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has limitations as an analytical tool, which includes, among others, the following: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changes in, or cash requirements for, our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EBITDA does not reflect any cash requirements for such replacements.</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financial statements have been prepared on a going concern basis, which contemplates the realization of assets and the settlement of liabilities and commitments in the normal course of business. For the six months ended June 30, 2026, the Company recorded a net loss of $10,737, used cash in operations of $8,014, and as of June 30, 2026, had a stockholders’ deficiency of $1,485. As of June 30, 2026, the Company had a cash balance of $2,410, principal amount outstanding on the Senior Secured Loan of $9,250, no remaining availability under the Senior Secured Loan, and a maturity date on the Senior Secured Loan of September 30, 2026 (see Note 6 Senior Secured Loan).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these factors, considered in the aggregate, raise substantial doubt about the Company’s ability to continue as a going concern within one year of the date that the financial statements are issued. 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existing cash balances, cash generated from operations, public and private issuance of common stock, preferred stock, convertible debt instruments, term loans and credit lines from financial institutions.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 loan agreement with certain funds affiliated with Whitebox Advisors LLC, as lenders, and Cantor Fitzgerald Securities, as administrative agent and collateral agent. The loan agreement provides for a senior secured loan with a maturity date of September 30, 2026 and is further discussed in Note 6 to the Condensed Consolidated Financial Statements included elsewhere in this Quarterly Report on Form 10-Q.</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continuing to take actions to improve the Company’s operating performance and cash generated from operations, including product portfolio optimization, implementing strategies to achieve profitable sales growth, streamlining operations, improving supply chains, negotiating equitable vendor contracts, and managing product price architecture. However, we may be unsuccessful in executing these actions in a timely manner or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totaled $8,014 for the six months ended June 30, 2026, compared to $10,410 for the six months ended June 30, 2025. The decrease in net cash used in operating activities was primarily driven by operating losses, working capital, and investment in strategic growth initiatives.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totaled $0 for the six months ended June 30, 2026, compared to $101 for the six months ended June 30, 2025. The decrease in net cash used in investing activities was primarily driven by no purchases of property and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$0 for the six months ended June 30, 2026, compared to $2,797 for the six months ended June 30, 2025. The decrease in net cash used in financing activities was primarily driven by no proceeds from the sale of common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consolidated financial statements included in our 2025 Form 10-K that impacted our condensed financial statements and related notes included herein.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Condensed Consolidated Financial Statements included elsewhere in this Quarterly Report on Form 10-Q for a discussion of recent accounting pronouncements.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66" w:name="a_009"/>
      <w:bookmarkEnd w:id="466"/>
      <w:r>
        <w:rPr>
          <w:rFonts w:ascii="Times New Roman;Times;Serif" w:hAnsi="Times New Roman;Times;Serif"/>
          <w:b/>
          <w:i w:val="false"/>
          <w:caps w:val="false"/>
          <w:smallCaps w:val="false"/>
          <w:sz w:val="20"/>
        </w:rPr>
        <w:t>Item 3. Quantitative and Qualitative Disclosures About Market Risk</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smaller reporting company is not required to provide the information required by this Item.</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67" w:name="a_010"/>
      <w:bookmarkEnd w:id="467"/>
      <w:r>
        <w:rPr>
          <w:rFonts w:ascii="Times New Roman;Times;Serif" w:hAnsi="Times New Roman;Times;Serif"/>
          <w:b/>
          <w:i w:val="false"/>
          <w:caps w:val="false"/>
          <w:smallCaps w:val="false"/>
          <w:sz w:val="20"/>
        </w:rPr>
        <w:t>Item 4. Controls and Procedures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June 30, 2026,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June 30, 2026 that have materially affected, or are reasonably likely to materially affect, the Company’s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68" w:name="a_011"/>
      <w:bookmarkEnd w:id="468"/>
      <w:r>
        <w:rPr>
          <w:rFonts w:ascii="Times New Roman;Times;Serif" w:hAnsi="Times New Roman;Times;Serif"/>
          <w:b/>
          <w:i w:val="false"/>
          <w:caps w:val="false"/>
          <w:smallCaps w:val="false"/>
          <w:sz w:val="20"/>
        </w:rPr>
        <w:t>PART II – OTHER INFORMATION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69" w:name="a_012"/>
      <w:bookmarkEnd w:id="469"/>
      <w:r>
        <w:rPr>
          <w:rFonts w:ascii="Times New Roman;Times;Serif" w:hAnsi="Times New Roman;Times;Serif"/>
          <w:b/>
          <w:i w:val="false"/>
          <w:caps w:val="false"/>
          <w:smallCaps w:val="false"/>
          <w:sz w:val="20"/>
        </w:rPr>
        <w:t>Item 1. 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ordinary, routine litigation incidental to our business, including routine litigation matters tendered to our insurance carriers. Our management evaluates our exposure to these claims and proceedings individually and in the aggregate and provides for potential losses on such litigation if the amount of the loss is estimable and the loss is probable. Although the results of such routine litigation matters and claims cannot be predicted with certainty, we believe that the final outcome of such routine litigation and claims will not have a material adverse impact on our financial position, liquidity, or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70" w:name="a_013"/>
      <w:bookmarkEnd w:id="470"/>
      <w:r>
        <w:rPr>
          <w:rFonts w:ascii="Times New Roman;Times;Serif" w:hAnsi="Times New Roman;Times;Serif"/>
          <w:b/>
          <w:i w:val="false"/>
          <w:caps w:val="false"/>
          <w:smallCaps w:val="false"/>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there have been no material changes with respect to the risk factors disclosed in our 2025 Form 10-K.</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indebtedness contains, and any future indebtedness may contain, restrictions on our business. We have historically had negative cash flow from operating activities, and continued losses could have a material negative effect on our business and prospects and impact our ability to continue as a going concern. If we are unable to secure additional financing on favorable terms, or at all, when we require it, our ability to continue to grow our business or react to market conditions could be impaired and in turn adversely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an accumulated deficit of $178.5 million and a cash balance of $2.4 million. For the six months ended June 30, 2026, we recorded a net loss of $10.7 million, used cash in operations of $8.0 million, and as of June 30, 2026, had a stockholders’ deficiency of $1.5 million. In addition, as of June 30, 2026, the principal amount outstanding on our Senior Secured Loan with the Lenders, as defined and described below, was approximately $9.3 million, with no remaining availability under such Senior Secured Loan, and a maturity date on the Senior Secured Loan of September 30, 2026. Our cash flow and net losses for the six months ended June 30, 2026 are indicators that raise substantial doubt about our ability to continue as a going concern for at least one year from the date of this Quarterly Report. If we become unable to continue as a going concern, we may have to curtail or suspend our operations and/or dispose of assets and might realize significantly less than the values at which they are carried on its consolidated financial statements. These actions may cause our stockholders to lose all or part of their investment in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expand, grow and develop our business, which may require additional capital to develop new products, enhance our platform, expand distribution, improve our operating infrastructure, react to market conditions and finance working capital requirements.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we entered into the first amendment (the “Amendment”) to our Senior Secured Loan and Security Agreement (as amended, the “Loan Agreement”) with certain funds affiliated with Whitebox Advisors, LLC (the “Lenders”) and Cantor Fitzgerald Securities, as administrative agent and collateral agent, with respect to our revolving credit facility (the “Senior Secured Facility”). The Amendment provides a revolving credit commitment in an aggregate amount of $9.25 million and, as of December 31, 2025, the principal amount outstanding was $9.25 million. The Senior Secured Facility is secured by substantially all of our assets, including all intellectual property. Our current and future indebtedness, including the revolving credit commitment under the Senior Secured Facility, may have significant negative effects on our operations,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us to repay the principal and accrued interest on the revolving credit commitment under the Senior Secured Facility in an event of default under the covenants thereof, which could impair our liquidity and reduce the availability of our cash flow to fund working capital, capital expenditures, acquisitions and other important needs;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us, in certain circumstances, to obtain approval from Whitebox Advisors, LLC and/or the lenders party to the Senior Secured Facility before embarking on certain mergers, acquisitions, capital expenditures, or other operational 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satisfy our current and future debt service obligations with our then existing cash and cash equivalents. However, we may not have sufficient funds, and may be unable to arrange for additional financing, to pay the amounts due under the Senior Secured Facility or any other debt instruments. In addition, the Senior Secured Facility contains, and the agreements governing our future indebtedness may contain, restrictive covenants that may limit our ability to engage in activities that may be in our long-term best interest. These restrictive covenants include, among others,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secure additional funding on favorable terms, or at all, when we require it, our ability to continue to grow our business to react to market conditions could be impaired, which would adversely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failed, and may in the future fail, to meet the continued listing requirements of NYSE American, which could result in a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satisfy the continued listing requirements of NYSE American LLC (“NYSE American”), such as the corporate governance requirements or the minimum stock price and stockholders’ equity requirements, and NYSE American may take steps to de-list our common stock. For example, numerous factors, such as negative financial or operational results, could adversely affect the market price of our common stock and our stockholders’ equity, and jeopardize our ability to meet or maintain NYSE American’s continued listing requirements, resulting in de-listing. On May 29, 2026, we received a notice (the “Notice”) from NYSE American stating that we are not in compliance with the continued listing standards set forth in Section 1003(a)(ii) of the NYSE American Company Guide (the “Company Guide”), which requires a company to have stockholders’ equity of at least $4.0 million if it has reported losses from continuing operations and/or net losses in three of its four most recent fiscal years, and Section 1003(a)(iii) of the Company Guide, which requires a company to have stockholders’ equity of at least $6.0 million if it has reported losses from continuing operations and/or net losses in its five most recent fiscal years. The Notice also indicated that we are not currently eligible for any exemption under Section 1003(a) of the Company Guide, including the exemption available to companies with a total market capitalization exceeding $50 million, among other requirements. A de-listing or the announcement of a potential de-listing will have a negative effect on the price of our common stock and would impair your ability to sell or purchase our common stock when you wish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non-compliance, we submitted a plan (the “Plan”) to NYSE American on June 26, 2026 describing the actions we have taken or will take to regain compliance with the continued listing standards by November 29, 2027. If NYSE American accepts the Plan, we will be subject to periodic reviews, including quarterly monitoring, to assess our compliance with it. If NYSE American does not accept it, if we fail to regain compliance with the continued listing standards by November 29, 2027, or if we fail to make progress consistent with the Plan, NYSE American will initiate delisting proceedings as appropriate, subject to our right to appeal any staff delisting determination in accordance with Section 1010 and Part 12 of the Company Guide.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of our common stock, which continues to be listed and traded on NYSE American under the symbol “REED,” subject to our compliance with NYSE American’s other continued listing requirements, although our common stock now carries an added designation of “.BC” to indicate that its status is “below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regaining compliance with NYSE American’s continued listing standards. However, there can be no assurance that NYSE American will accept the Plan or that we will regain or maintain compliance with NYSE American’s continued listing requirements within the required timeframe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de-listing, we may attempt to take actions to restore our compliance with the NYSE American listing requirements, but we can provide no assurance that any such action would allow our common stock to become re-listed, stabilize the market price or improve the liquidity of our common stock, or prevent future non-compliance with the NYSE American listing requirements. If our common stock is delisted from NYSE American, we and our stockholders could face significant material adverse consequences, including limited availability of market quotations for our common stock, reduced liquidity, a determination that our common stock is a “penny stock” subject to additional regulatory burdens, limited news and analyst coverage, and a decreased ability to issue additional securities or obtain additional financing in the future.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71" w:name="a_014"/>
      <w:bookmarkEnd w:id="471"/>
      <w:r>
        <w:rPr>
          <w:rFonts w:ascii="Times New Roman;Times;Serif" w:hAnsi="Times New Roman;Times;Serif"/>
          <w:b/>
          <w:i w:val="false"/>
          <w:caps w:val="false"/>
          <w:smallCaps w:val="false"/>
          <w:sz w:val="20"/>
        </w:rPr>
        <w:t>Item 2. Unregistered Sales of Equity Securities and Use of Proceeds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472" w:name="a_015"/>
      <w:bookmarkEnd w:id="472"/>
      <w:r>
        <w:rPr>
          <w:rFonts w:ascii="Times New Roman;Times;Serif" w:hAnsi="Times New Roman;Times;Serif"/>
          <w:b/>
          <w:i w:val="false"/>
          <w:caps w:val="false"/>
          <w:smallCaps w:val="false"/>
          <w:sz w:val="20"/>
        </w:rPr>
        <w:t>Item 3. Defaults Upon Senior Securities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473" w:name="a_016"/>
      <w:bookmarkEnd w:id="473"/>
      <w:r>
        <w:rPr>
          <w:rFonts w:ascii="Times New Roman;Times;Serif" w:hAnsi="Times New Roman;Times;Serif"/>
          <w:b/>
          <w:i w:val="false"/>
          <w:caps w:val="false"/>
          <w:smallCaps w:val="false"/>
          <w:sz w:val="20"/>
        </w:rPr>
        <w:t>Item 4. Mine Safety Disclosures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474" w:name="a_017"/>
      <w:bookmarkEnd w:id="474"/>
      <w:r>
        <w:rPr>
          <w:rFonts w:ascii="Times New Roman;Times;Serif" w:hAnsi="Times New Roman;Times;Serif"/>
          <w:b/>
          <w:i w:val="false"/>
          <w:caps w:val="false"/>
          <w:smallCaps w:val="false"/>
          <w:sz w:val="20"/>
        </w:rPr>
        <w:t>Item 5. Other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our directors or executive officers </w:t>
      </w:r>
      <w:bookmarkStart w:id="475" w:name="xdx_909_eecd--NonRule10b51ArrAdoptedFlag"/>
      <w:bookmarkStart w:id="476" w:name="xdx_90D_eecd--Rule10b51ArrAdoptedFlag_db"/>
      <w:bookmarkEnd w:id="475"/>
      <w:bookmarkEnd w:id="476"/>
      <w:r>
        <w:rPr>
          <w:rFonts w:ascii="Times New Roman;Times;Serif" w:hAnsi="Times New Roman;Times;Serif"/>
          <w:b w:val="false"/>
          <w:i w:val="false"/>
          <w:caps w:val="false"/>
          <w:smallCaps w:val="false"/>
          <w:sz w:val="20"/>
        </w:rPr>
        <w:t xml:space="preserve">adopted, </w:t>
      </w:r>
      <w:bookmarkStart w:id="477" w:name="xdx_909_ecustom--NonRule10b51ArrModified"/>
      <w:bookmarkStart w:id="478" w:name="xdx_90F_ecustom--Rule10b51ArrModifiedFla"/>
      <w:bookmarkEnd w:id="477"/>
      <w:bookmarkEnd w:id="478"/>
      <w:r>
        <w:rPr>
          <w:rFonts w:ascii="Times New Roman;Times;Serif" w:hAnsi="Times New Roman;Times;Serif"/>
          <w:b w:val="false"/>
          <w:i w:val="false"/>
          <w:caps w:val="false"/>
          <w:smallCaps w:val="false"/>
          <w:sz w:val="20"/>
        </w:rPr>
        <w:t xml:space="preserve">modified or </w:t>
      </w:r>
      <w:bookmarkStart w:id="479" w:name="xdx_904_eecd--NonRule10b51ArrTrmntdFlag_"/>
      <w:bookmarkStart w:id="480" w:name="xdx_904_eecd--Rule10b51ArrTrmntdFlag_dbF"/>
      <w:bookmarkEnd w:id="479"/>
      <w:bookmarkEnd w:id="480"/>
      <w:r>
        <w:rPr>
          <w:rFonts w:ascii="Times New Roman;Times;Serif" w:hAnsi="Times New Roman;Times;Serif"/>
          <w:b w:val="false"/>
          <w:i w:val="false"/>
          <w:caps w:val="false"/>
          <w:smallCaps w:val="false"/>
          <w:sz w:val="20"/>
        </w:rPr>
        <w:t>terminated a “Rule 10b5-1 trading arrangement” or a “non-Rule 10b5-1 trading arrangement” as such terms are defined under Item 408 of Regulation S-K.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481" w:name="a_018"/>
      <w:bookmarkEnd w:id="481"/>
      <w:r>
        <w:rPr>
          <w:rFonts w:ascii="Times New Roman;Times;Serif" w:hAnsi="Times New Roman;Times;Serif"/>
          <w:b/>
          <w:i w:val="false"/>
          <w:caps w:val="false"/>
          <w:smallCaps w:val="false"/>
          <w:sz w:val="20"/>
        </w:rPr>
        <w:t>Item 6. Exhibits</w:t>
      </w:r>
    </w:p>
    <w:p>
      <w:pPr>
        <w:pStyle w:val="TextBody"/>
        <w:pBdr/>
        <w:bidi w:val="0"/>
        <w:spacing w:before="0" w:after="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Exhibits.</w:t>
      </w:r>
    </w:p>
    <w:p>
      <w:pPr>
        <w:pStyle w:val="TextBody"/>
        <w:pBd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center"/>
        <w:rPr/>
      </w:pPr>
      <w:r>
        <w:rPr/>
        <w:t>INDEX TO EXHIBITS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15(a)(3)</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Quarterly Report on Form 10-Q, or are incorporated herein by reference, in each case as indicated below:</w:t>
      </w:r>
    </w:p>
    <w:p>
      <w:pPr>
        <w:pStyle w:val="TextBody"/>
        <w:pBd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3"/>
        <w:gridCol w:w="60"/>
        <w:gridCol w:w="5725"/>
        <w:gridCol w:w="60"/>
        <w:gridCol w:w="500"/>
        <w:gridCol w:w="60"/>
        <w:gridCol w:w="679"/>
        <w:gridCol w:w="60"/>
        <w:gridCol w:w="650"/>
        <w:gridCol w:w="60"/>
        <w:gridCol w:w="691"/>
        <w:gridCol w:w="60"/>
        <w:gridCol w:w="817"/>
      </w:tblGrid>
      <w:tr>
        <w:trPr/>
        <w:tc>
          <w:tcPr>
            <w:tcW w:w="78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as amended through February 5,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the Certificate of Incorporation of Reed’s, Inc., effective October 31,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Second Amended and Restated Bylaws of Reed’s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Reed’s, Inc. 2026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Forms of Grant Notice, Stock Option Agreement and Notice of Exercise under the Reed’s, Inc. 2026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Forms of Restricted Stock Unit Grant Notice and Award Agreement under the Reed’s, Inc. 2026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as its XBRL tags are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with Embedded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formatted as inline XBRL and contained in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pBd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tc>
      </w:tr>
    </w:tbl>
    <w:p>
      <w:pPr>
        <w:pStyle w:val="TextBody"/>
        <w:pBd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865"/>
        <w:gridCol w:w="258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caps w:val="false"/>
          <w:smallCaps w:val="false"/>
        </w:rPr>
      </w:pPr>
      <w:bookmarkStart w:id="482" w:name="ex10-2.htm"/>
      <w:bookmarkStart w:id="483" w:name="ksex102"/>
      <w:bookmarkEnd w:id="482"/>
      <w:bookmarkEnd w:id="4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Reed’s, Inc.</w:t>
        <w:br/>
        <w:t>Stock Option Grant Notice</w:t>
        <w:br/>
        <w:t>(2026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its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has granted to you (“</w:t>
      </w:r>
      <w:r>
        <w:rPr>
          <w:rFonts w:ascii="Times New Roman;Times;Serif" w:hAnsi="Times New Roman;Times;Serif"/>
          <w:b/>
          <w:i/>
          <w:caps w:val="false"/>
          <w:smallCaps w:val="false"/>
          <w:sz w:val="20"/>
        </w:rPr>
        <w:t>Optionholder</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an option to purchase the number of shares of the Common Stock set forth below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pStyle w:val="TextBody"/>
        <w:bidi w:val="0"/>
        <w:spacing w:before="0" w:after="0"/>
        <w:ind w:left="0" w:right="0" w:hanging="0"/>
        <w:jc w:val="both"/>
        <w:rPr>
          <w:caps w:val="false"/>
          <w:smallCaps w:val="false"/>
        </w:rPr>
      </w:pPr>
      <w:r>
        <w:rPr>
          <w:caps w:val="false"/>
          <w:smallCaps w:val="false"/>
        </w:rPr>
        <w:t> </w:t>
      </w:r>
    </w:p>
    <w:tbl>
      <w:tblPr>
        <w:tblW w:w="4655" w:type="dxa"/>
        <w:jc w:val="center"/>
        <w:tblInd w:w="0" w:type="dxa"/>
        <w:tblLayout w:type="fixed"/>
        <w:tblCellMar>
          <w:top w:w="0" w:type="dxa"/>
          <w:left w:w="0" w:type="dxa"/>
          <w:bottom w:w="0" w:type="dxa"/>
          <w:right w:w="0" w:type="dxa"/>
        </w:tblCellMar>
      </w:tblPr>
      <w:tblGrid>
        <w:gridCol w:w="4520"/>
        <w:gridCol w:w="60"/>
        <w:gridCol w:w="75"/>
      </w:tblGrid>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Commencement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Subject to 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5"/>
        <w:gridCol w:w="8770"/>
      </w:tblGrid>
      <w:tr>
        <w:trPr/>
        <w:tc>
          <w:tcPr>
            <w:tcW w:w="1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Grant:</w:t>
            </w:r>
          </w:p>
        </w:tc>
        <w:tc>
          <w:tcPr>
            <w:tcW w:w="8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 Stock Option]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xml:space="preserve"> [Nonstatutory Stock Option]</w:t>
            </w:r>
          </w:p>
        </w:tc>
      </w:tr>
      <w:tr>
        <w:trPr/>
        <w:tc>
          <w:tcPr>
            <w:tcW w:w="1435" w:type="dxa"/>
            <w:tcBorders/>
            <w:vAlign w:val="center"/>
          </w:tcPr>
          <w:p>
            <w:pPr>
              <w:pStyle w:val="TableContents"/>
              <w:bidi w:val="0"/>
              <w:spacing w:before="0" w:after="283"/>
              <w:jc w:val="left"/>
              <w:rPr>
                <w:caps w:val="false"/>
                <w:smallCaps w:val="false"/>
              </w:rPr>
            </w:pPr>
            <w:r>
              <w:rPr>
                <w:caps w:val="false"/>
                <w:smallCaps w:val="false"/>
              </w:rPr>
              <w:t> </w:t>
            </w:r>
          </w:p>
        </w:tc>
        <w:tc>
          <w:tcPr>
            <w:tcW w:w="8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5" w:type="dxa"/>
            <w:tcBorders/>
            <w:vAlign w:val="center"/>
          </w:tcPr>
          <w:p>
            <w:pPr>
              <w:pStyle w:val="TableContents"/>
              <w:bidi w:val="0"/>
              <w:spacing w:before="0" w:after="283"/>
              <w:jc w:val="left"/>
              <w:rPr>
                <w:sz w:val="4"/>
                <w:szCs w:val="4"/>
              </w:rPr>
            </w:pPr>
            <w:r>
              <w:rPr>
                <w:sz w:val="4"/>
                <w:szCs w:val="4"/>
              </w:rPr>
            </w:r>
          </w:p>
        </w:tc>
        <w:tc>
          <w:tcPr>
            <w:tcW w:w="8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and </w:t>
              <w:br/>
              <w:t>Vesting Schedule:</w:t>
            </w:r>
          </w:p>
        </w:tc>
        <w:tc>
          <w:tcPr>
            <w:tcW w:w="8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Optionholder’s Continuous Service through each applicable vesting date, the Option will vest as follows:</w:t>
            </w:r>
          </w:p>
        </w:tc>
      </w:tr>
      <w:tr>
        <w:trPr/>
        <w:tc>
          <w:tcPr>
            <w:tcW w:w="1435" w:type="dxa"/>
            <w:tcBorders/>
            <w:vAlign w:val="center"/>
          </w:tcPr>
          <w:p>
            <w:pPr>
              <w:pStyle w:val="TableContents"/>
              <w:bidi w:val="0"/>
              <w:spacing w:before="0" w:after="283"/>
              <w:jc w:val="left"/>
              <w:rPr>
                <w:caps w:val="false"/>
                <w:smallCaps w:val="false"/>
              </w:rPr>
            </w:pPr>
            <w:r>
              <w:rPr>
                <w:caps w:val="false"/>
                <w:smallCaps w:val="false"/>
              </w:rPr>
              <w:t> </w:t>
            </w:r>
          </w:p>
        </w:tc>
        <w:tc>
          <w:tcPr>
            <w:tcW w:w="8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Optionholder Acknowledgements:</w:t>
      </w:r>
      <w:r>
        <w:rPr>
          <w:rFonts w:ascii="Times New Roman;Times;Serif" w:hAnsi="Times New Roman;Times;Serif"/>
          <w:b w:val="false"/>
          <w:i w:val="false"/>
          <w:caps w:val="false"/>
          <w:smallCaps w:val="false"/>
          <w:sz w:val="20"/>
        </w:rPr>
        <w:t xml:space="preserve"> By your signature below or by electronic acceptance or authentication in a form authorized by the Company, you understand and agree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is governed by this Stock Option Grant Notice (this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may not be modified, amended or revised except in a writing signed by you and a duly authorized officer of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Option is an Incentive Stock Option, it (plus other outstanding Incentive Stock Options granted to you) cannot be first </w:t>
            </w:r>
            <w:r>
              <w:rPr>
                <w:rFonts w:ascii="Times New Roman;Times;Serif" w:hAnsi="Times New Roman;Times;Serif"/>
                <w:b w:val="false"/>
                <w:i/>
                <w:caps w:val="false"/>
                <w:smallCaps w:val="false"/>
                <w:sz w:val="20"/>
              </w:rPr>
              <w:t>exercisable</w:t>
            </w:r>
            <w:r>
              <w:rPr>
                <w:rFonts w:ascii="Times New Roman;Times;Serif" w:hAnsi="Times New Roman;Times;Serif"/>
                <w:b w:val="false"/>
                <w:i w:val="false"/>
                <w:caps w:val="false"/>
                <w:smallCaps w:val="false"/>
                <w:sz w:val="20"/>
              </w:rPr>
              <w:t xml:space="preserve"> for more than $100,000 in value (measured by exercise price) in any calendar year. Any excess over $100,000 is a Nonstatutory Stock Option.]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tc>
      </w:tr>
    </w:tbl>
    <w:p>
      <w:pPr>
        <w:pStyle w:val="TextBody"/>
        <w:bidi w:val="0"/>
        <w:spacing w:before="0" w:after="0"/>
        <w:ind w:left="72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485"/>
        <w:gridCol w:w="1560"/>
        <w:gridCol w:w="60"/>
        <w:gridCol w:w="455"/>
        <w:gridCol w:w="1275"/>
      </w:tblGrid>
      <w:tr>
        <w:trPr/>
        <w:tc>
          <w:tcPr>
            <w:tcW w:w="2045"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Reed’s, Inc.</w:t>
            </w:r>
          </w:p>
        </w:tc>
        <w:tc>
          <w:tcPr>
            <w:tcW w:w="6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Optionholder:</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2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12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710" w:right="0" w:hanging="171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Attachments</w:t>
      </w:r>
      <w:r>
        <w:rPr>
          <w:rFonts w:ascii="Times New Roman;Times;Serif" w:hAnsi="Times New Roman;Times;Serif"/>
          <w:b w:val="false"/>
          <w:i w:val="false"/>
          <w:caps w:val="false"/>
          <w:smallCaps w:val="false"/>
          <w:sz w:val="20"/>
        </w:rPr>
        <w:t>: Stock Option Agreement, 2026 Equity Incentive Plan, Notice of Exercise, Prospectus</w:t>
      </w:r>
    </w:p>
    <w:p>
      <w:pPr>
        <w:pStyle w:val="TextBody"/>
        <w:bidi w:val="0"/>
        <w:spacing w:before="0" w:after="0"/>
        <w:ind w:left="0" w:right="0" w:hanging="0"/>
        <w:jc w:val="center"/>
        <w:rPr>
          <w:smallCaps/>
        </w:rPr>
      </w:pPr>
      <w:r>
        <w:rPr>
          <w:small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Attachment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Reed’s,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 Option Agreement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(2026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by your Stock Option Grant Notice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Reed’s,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you an option under its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to purchase a number of shares of Common Stock at the exercise price indicated in your Grant Notice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terms and conditions applicable to your Option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smallCaps/>
          <w:sz w:val="20"/>
        </w:rPr>
        <w:t>Governing Plan Document.</w:t>
      </w:r>
      <w:r>
        <w:rPr>
          <w:rFonts w:ascii="Times New Roman;Times;Serif" w:hAnsi="Times New Roman;Times;Serif"/>
          <w:b w:val="false"/>
          <w:i w:val="false"/>
          <w:caps w:val="false"/>
          <w:smallCaps w:val="false"/>
          <w:sz w:val="20"/>
        </w:rPr>
        <w:t xml:space="preserve"> Your Option is subject to all the provisions of the Plan, including but not limited to the provisions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Section 6 regarding the impact of a Capitalization Adjustment, dissolution, liquidation, or Corporate Transaction on your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Section 9(e) regarding the Company’s retained rights to terminate your Continuous Service notwithstanding the grant of the Option;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Section 8 regarding certain tax consequences of your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smallCaps/>
          <w:sz w:val="20"/>
        </w:rPr>
        <w:t xml:space="preserve">Vesting. </w:t>
      </w:r>
      <w:r>
        <w:rPr>
          <w:rFonts w:ascii="Times New Roman;Times;Serif" w:hAnsi="Times New Roman;Times;Serif"/>
          <w:b w:val="false"/>
          <w:i w:val="false"/>
          <w:caps w:val="false"/>
          <w:smallCaps w:val="false"/>
          <w:sz w:val="20"/>
        </w:rPr>
        <w:t>Your Option will vest as provided in your Grant Notice, subject to the provisions contained herein and the terms of the Plan. Vesting will cease upon the termination of your Continuous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smallCaps/>
          <w:sz w:val="20"/>
        </w:rPr>
        <w:t>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To the extent permitted by Applicable Law, you may pay your Option exercise price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cash, check, bank draft or money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subject to Company and/or Committee consent at the time of exercise, pursuant to a “cashless exercise” program as further described in Section 4(c)(ii) of the Plan if at the time of exercise the Common Stock is publicly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subject to Company and/or Committee consent at the time of exercise, by delivery of previously owned shares of Common Stock as further described in Section 4(c)(iii) of the Plan;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subject to Company and/or Committee consent at the time of exercise, if the Option is a Nonstatutory Stock Option, by a “net exercise” arrangement as further described in Section 4(c)(iv)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smallCaps/>
          <w:sz w:val="20"/>
        </w:rPr>
        <w:t>Term.</w:t>
      </w:r>
      <w:r>
        <w:rPr>
          <w:rFonts w:ascii="Times New Roman;Times;Serif" w:hAnsi="Times New Roman;Times;Serif"/>
          <w:b w:val="false"/>
          <w:i w:val="false"/>
          <w:caps w:val="false"/>
          <w:smallCaps w:val="false"/>
          <w:sz w:val="20"/>
        </w:rPr>
        <w:t xml:space="preserve"> You may not exercise your Option before the commencement of its term or after its term expires. The term of your Option commences on the Date of Grant and expires upon the earliest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immediately upon the termination of your Continuous Service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three months after the termination of your Continuous Service for any reason other than Cause, Disability or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12 months after the termination of your Continuous Service due to your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18 months after your death if you die during your Continuous Service;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immediately upon a Corporate Transaction if the Board has determined that the Option will terminate in connection with a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the Expiration Date indicated in your Grant Notice;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day before the 10th anniversary of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smallCaps/>
          <w:sz w:val="20"/>
        </w:rPr>
        <w:t xml:space="preserve">Withholding Obligations. </w:t>
      </w:r>
      <w:r>
        <w:rPr>
          <w:rFonts w:ascii="Times New Roman;Times;Serif" w:hAnsi="Times New Roman;Times;Serif"/>
          <w:b w:val="false"/>
          <w:i w:val="false"/>
          <w:caps w:val="false"/>
          <w:smallCaps w:val="false"/>
          <w:sz w:val="20"/>
        </w:rPr>
        <w:t>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smallCaps/>
          <w:sz w:val="20"/>
        </w:rPr>
        <w:t>Incentive Stock Option Disposition Requirement.</w:t>
      </w:r>
      <w:r>
        <w:rPr>
          <w:rFonts w:ascii="Times New Roman;Times;Serif" w:hAnsi="Times New Roman;Times;Serif"/>
          <w:b w:val="false"/>
          <w:i w:val="false"/>
          <w:caps w:val="false"/>
          <w:smallCaps w:val="false"/>
          <w:sz w:val="20"/>
        </w:rPr>
        <w:t xml:space="preserve"> 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smallCaps/>
          <w:sz w:val="20"/>
        </w:rPr>
        <w:t>Transferability.</w:t>
      </w:r>
      <w:r>
        <w:rPr>
          <w:rFonts w:ascii="Times New Roman;Times;Serif" w:hAnsi="Times New Roman;Times;Serif"/>
          <w:b w:val="false"/>
          <w:i w:val="false"/>
          <w:caps w:val="false"/>
          <w:smallCaps w:val="false"/>
          <w:sz w:val="20"/>
        </w:rPr>
        <w:t xml:space="preserve"> Except as otherwise provided in Section 4(e) of the Plan, your Option is not transferable, except by will or by the applicable laws of descent and distribution, and is exercisable during your life only by you.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smallCaps/>
          <w:sz w:val="20"/>
        </w:rPr>
        <w:t>Corporate Transaction.</w:t>
      </w:r>
      <w:r>
        <w:rPr>
          <w:rFonts w:ascii="Times New Roman;Times;Serif" w:hAnsi="Times New Roman;Times;Serif"/>
          <w:b w:val="false"/>
          <w:i w:val="false"/>
          <w:caps w:val="false"/>
          <w:smallCaps w:val="false"/>
          <w:sz w:val="20"/>
        </w:rPr>
        <w:t xml:space="preserve"> 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smallCaps/>
          <w:sz w:val="20"/>
        </w:rPr>
        <w:t>No Liability for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smallCaps/>
          <w:sz w:val="20"/>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smallCaps/>
          <w:sz w:val="20"/>
        </w:rPr>
        <w:t>Other Documents.</w:t>
      </w:r>
      <w:r>
        <w:rPr>
          <w:rFonts w:ascii="Times New Roman;Times;Serif" w:hAnsi="Times New Roman;Times;Serif"/>
          <w:b w:val="false"/>
          <w:i w:val="false"/>
          <w:caps w:val="false"/>
          <w:smallCaps w:val="false"/>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smallCaps/>
          <w:sz w:val="20"/>
        </w:rPr>
        <w:t xml:space="preserve">Questions. </w:t>
      </w:r>
      <w:r>
        <w:rPr>
          <w:rFonts w:ascii="Times New Roman;Times;Serif" w:hAnsi="Times New Roman;Times;Serif"/>
          <w:b w:val="false"/>
          <w:i w:val="false"/>
          <w:caps w:val="false"/>
          <w:smallCaps w:val="false"/>
          <w:sz w:val="20"/>
        </w:rPr>
        <w:t>If you have questions regarding these or any other terms and conditions applicable to your Option, including a summary of the applicable federal income tax consequences please see the Prospectus.</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 * * *</w:t>
      </w:r>
    </w:p>
    <w:p>
      <w:pPr>
        <w:pStyle w:val="TextBody"/>
        <w:bidi w:val="0"/>
        <w:spacing w:before="0" w:after="0"/>
        <w:ind w:left="0" w:right="0" w:hanging="0"/>
        <w:jc w:val="center"/>
        <w:rPr>
          <w:smallCaps/>
        </w:rPr>
      </w:pPr>
      <w:r>
        <w:rPr>
          <w:small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Attachment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2026 Equity Incentive Plan</w:t>
      </w:r>
    </w:p>
    <w:p>
      <w:pPr>
        <w:pStyle w:val="TextBody"/>
        <w:bidi w:val="0"/>
        <w:spacing w:before="0" w:after="0"/>
        <w:ind w:left="0" w:right="0" w:hanging="0"/>
        <w:jc w:val="center"/>
        <w:rPr>
          <w:smallCaps/>
        </w:rPr>
      </w:pPr>
      <w:r>
        <w:rPr>
          <w:small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Attachment III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Reed’s,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 of Exercise</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(2026 Equity Incentive Plan)</w:t>
      </w:r>
    </w:p>
    <w:p>
      <w:pPr>
        <w:pStyle w:val="TextBody"/>
        <w:bidi w:val="0"/>
        <w:spacing w:before="0" w:after="0"/>
        <w:ind w:left="0" w:right="0" w:hanging="0"/>
        <w:jc w:val="center"/>
        <w:rPr>
          <w:smallCaps/>
        </w:rPr>
      </w:pPr>
      <w:r>
        <w:rPr>
          <w:smallCaps/>
        </w:rPr>
        <w:t> </w:t>
      </w:r>
    </w:p>
    <w:tbl>
      <w:tblPr>
        <w:tblW w:w="5035" w:type="dxa"/>
        <w:jc w:val="left"/>
        <w:tblInd w:w="0" w:type="dxa"/>
        <w:tblLayout w:type="fixed"/>
        <w:tblCellMar>
          <w:top w:w="0" w:type="dxa"/>
          <w:left w:w="0" w:type="dxa"/>
          <w:bottom w:w="0" w:type="dxa"/>
          <w:right w:w="0" w:type="dxa"/>
        </w:tblCellMar>
      </w:tblPr>
      <w:tblGrid>
        <w:gridCol w:w="2000"/>
        <w:gridCol w:w="3035"/>
      </w:tblGrid>
      <w:tr>
        <w:trPr/>
        <w:tc>
          <w:tcPr>
            <w:tcW w:w="2000" w:type="dxa"/>
            <w:tcBorders/>
            <w:vAlign w:val="center"/>
          </w:tcPr>
          <w:p>
            <w:pPr>
              <w:pStyle w:val="TableContents"/>
              <w:bidi w:val="0"/>
              <w:jc w:val="left"/>
              <w:rPr>
                <w:rFonts w:ascii="Times New Roman;Times;Serif" w:hAnsi="Times New Roman;Times;Serif"/>
                <w:b/>
                <w:i w:val="false"/>
                <w:smallCaps/>
                <w:sz w:val="20"/>
              </w:rPr>
            </w:pPr>
            <w:r>
              <w:rPr>
                <w:rFonts w:ascii="Times New Roman;Times;Serif" w:hAnsi="Times New Roman;Times;Serif"/>
                <w:b/>
                <w:i w:val="false"/>
                <w:smallCaps/>
                <w:sz w:val="20"/>
              </w:rPr>
              <w:t>Reed’s, Inc.</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Merritt 7 Penthouse</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Exercise: 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constitutes notice to Reed’s,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that I elect to purchase the below number of shares of Common Stock of the Company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by exercising my Option for the price set forth below. Capitalized terms not explicitly defined in this Notice of Exercise but defined in the Stock Option Grant Notice, Stock Option Agreement or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pStyle w:val="TextBody"/>
        <w:bidi w:val="0"/>
        <w:spacing w:before="0" w:after="0"/>
        <w:ind w:left="0" w:right="0" w:firstLine="720"/>
        <w:jc w:val="both"/>
        <w:rPr>
          <w:caps w:val="false"/>
          <w:smallCaps w:val="false"/>
        </w:rPr>
      </w:pPr>
      <w:r>
        <w:rPr>
          <w:caps w:val="false"/>
          <w:smallCaps w:val="false"/>
        </w:rPr>
        <w:t> </w:t>
      </w:r>
    </w:p>
    <w:tbl>
      <w:tblPr>
        <w:tblW w:w="7860" w:type="dxa"/>
        <w:jc w:val="center"/>
        <w:tblInd w:w="0" w:type="dxa"/>
        <w:tblLayout w:type="fixed"/>
        <w:tblCellMar>
          <w:top w:w="0" w:type="dxa"/>
          <w:left w:w="0" w:type="dxa"/>
          <w:bottom w:w="0" w:type="dxa"/>
          <w:right w:w="0" w:type="dxa"/>
        </w:tblCellMar>
      </w:tblPr>
      <w:tblGrid>
        <w:gridCol w:w="4820"/>
        <w:gridCol w:w="60"/>
        <w:gridCol w:w="1595"/>
        <w:gridCol w:w="60"/>
        <w:gridCol w:w="1325"/>
      </w:tblGrid>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Option (check 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Nonstatutory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as to which Option is exercised: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to be issued in name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check, bank draft or money order delivered herewith: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of ________ Shares delivered herewith: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T Program (cashless 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of _______ Shares pursuant to net 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agree that I will not sell, dispose of, transfer, make any short sale of, grant any option for the purchase of, or enter into any hedging or similar transaction with the same economic effect as a sale with respect to any shares of Common Stock or other securities of the Company that I hold,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nothing contained in this paragraph will prevent the exercise of a repurchase option, if any, in favor of the Company during the Lock-Up Period. I further agree to execute and deliver such other agreements as may be reasonably requested by the Company or the underwriters that are consistent with the foregoing or that are necessary to give further effect thereto. I further agree that in order to enforce the foregoing covenant, the Company may impose stop-transfer instructions with respect to shares of Common Stock that I hold until the end of such period. I also agree that any transferee of any shares of Common Stock (or other securities) of the Company that I hold will be bound by this paragraph. The underwriters of the Company’s stock are intended third party beneficiaries of this paragraph and will have the right, power and authority to enforce the provisions hereof as though they were a party hereto.</w:t>
      </w:r>
    </w:p>
    <w:p>
      <w:pPr>
        <w:pStyle w:val="TextBody"/>
        <w:bidi w:val="0"/>
        <w:spacing w:before="0" w:after="0"/>
        <w:ind w:left="0" w:right="0" w:firstLine="720"/>
        <w:jc w:val="both"/>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75"/>
        <w:gridCol w:w="1400"/>
      </w:tblGrid>
      <w:tr>
        <w:trPr/>
        <w:tc>
          <w:tcPr>
            <w:tcW w:w="7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Attachment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Prospectus</w:t>
      </w:r>
    </w:p>
    <w:p>
      <w:pPr>
        <w:pStyle w:val="TextBody"/>
        <w:bidi w:val="0"/>
        <w:spacing w:before="0" w:after="0"/>
        <w:ind w:left="50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ind w:left="5040" w:right="0" w:hanging="0"/>
        <w:jc w:val="left"/>
        <w:rPr>
          <w:caps w:val="false"/>
          <w:smallCaps w:val="false"/>
        </w:rPr>
      </w:pPr>
      <w:bookmarkStart w:id="484" w:name="ex10-3.htm"/>
      <w:bookmarkStart w:id="485" w:name="ksex103"/>
      <w:bookmarkEnd w:id="484"/>
      <w:bookmarkEnd w:id="48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Reed’s, Inc.</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RSU Award Grant Notice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smallCaps/>
          <w:sz w:val="20"/>
        </w:rPr>
        <w:t>2026 Equity Incentive Plan)</w:t>
      </w:r>
    </w:p>
    <w:p>
      <w:pPr>
        <w:pStyle w:val="TextBody"/>
        <w:bidi w:val="0"/>
        <w:jc w:val="center"/>
        <w:rPr>
          <w:smallCaps/>
        </w:rPr>
      </w:pPr>
      <w:r>
        <w:rPr>
          <w:small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awarded to you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the number of restricted stock units specified and on the terms set forth below in consideration of your services (the “</w:t>
      </w:r>
      <w:r>
        <w:rPr>
          <w:rFonts w:ascii="Times New Roman;Times;Serif" w:hAnsi="Times New Roman;Times;Serif"/>
          <w:b/>
          <w:i/>
          <w:caps w:val="false"/>
          <w:smallCaps w:val="false"/>
          <w:sz w:val="20"/>
        </w:rPr>
        <w:t>RSU Award</w:t>
      </w:r>
      <w:r>
        <w:rPr>
          <w:rFonts w:ascii="Times New Roman;Times;Serif" w:hAnsi="Times New Roman;Times;Serif"/>
          <w:b w:val="false"/>
          <w:i w:val="false"/>
          <w:caps w:val="false"/>
          <w:smallCaps w:val="false"/>
          <w:sz w:val="20"/>
        </w:rPr>
        <w:t>”). Your RSU Award is subject to all of the terms and conditions as set forth herein and in the Company’s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and the Award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which are attached hereto and incorporated herein in their entirety. Capitalized terms not explicitly defined herein but defined in the Plan or the Agreement shall have the meanings set forth in the Plan or the Agreement.</w:t>
      </w:r>
    </w:p>
    <w:p>
      <w:pPr>
        <w:pStyle w:val="TextBody"/>
        <w:bidi w:val="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2810"/>
        <w:gridCol w:w="60"/>
        <w:gridCol w:w="75"/>
      </w:tblGrid>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Commencement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Restricted Stock Units: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4"/>
        <w:gridCol w:w="8761"/>
      </w:tblGrid>
      <w:tr>
        <w:trPr/>
        <w:tc>
          <w:tcPr>
            <w:tcW w:w="14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Schedule:</w:t>
            </w:r>
          </w:p>
        </w:tc>
        <w:tc>
          <w:tcPr>
            <w:tcW w:w="8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your Continuous Service through each applicable vesting date, the RSU Award will vest as follows: [_____]</w:t>
            </w:r>
          </w:p>
        </w:tc>
      </w:tr>
    </w:tbl>
    <w:p>
      <w:pPr>
        <w:pStyle w:val="TextBody"/>
        <w:bidi w:val="0"/>
        <w:ind w:left="2160" w:right="0" w:hanging="21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0"/>
        <w:gridCol w:w="8775"/>
      </w:tblGrid>
      <w:tr>
        <w:trPr/>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Schedule:</w:t>
            </w:r>
          </w:p>
        </w:tc>
        <w:tc>
          <w:tcPr>
            <w:tcW w:w="8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share of Common Stock will be issued for each restricted stock unit which vests at the time set forth in Section 6 of the Agreement.</w:t>
            </w:r>
          </w:p>
        </w:tc>
      </w:tr>
    </w:tbl>
    <w:p>
      <w:pPr>
        <w:pStyle w:val="TextBody"/>
        <w:bidi w:val="0"/>
        <w:ind w:left="2160" w:right="0" w:hanging="21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Participant Acknowledgements:</w:t>
      </w:r>
      <w:r>
        <w:rPr>
          <w:rFonts w:ascii="Times New Roman;Times;Serif" w:hAnsi="Times New Roman;Times;Serif"/>
          <w:b w:val="false"/>
          <w:i w:val="false"/>
          <w:caps w:val="false"/>
          <w:smallCaps w:val="false"/>
          <w:sz w:val="20"/>
        </w:rPr>
        <w:t xml:space="preserve"> By your signature below or by electronic acceptance or authentication in a form authorized by the Company, you understand and agree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 Award is governed by this RSU Award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and the provisions of the Plan and the Agreement, all of which are made a part of this document. Unless otherwise provided in the Plan, this Grant Notice and the Agreement (together, the “</w:t>
            </w:r>
            <w:r>
              <w:rPr>
                <w:rFonts w:ascii="Times New Roman;Times;Serif" w:hAnsi="Times New Roman;Times;Serif"/>
                <w:b/>
                <w:i/>
                <w:caps w:val="false"/>
                <w:smallCaps w:val="false"/>
                <w:sz w:val="20"/>
              </w:rPr>
              <w:t>RSU Award Agreement</w:t>
            </w:r>
            <w:r>
              <w:rPr>
                <w:rFonts w:ascii="Times New Roman;Times;Serif" w:hAnsi="Times New Roman;Times;Serif"/>
                <w:b w:val="false"/>
                <w:i w:val="false"/>
                <w:caps w:val="false"/>
                <w:smallCaps w:val="false"/>
                <w:sz w:val="20"/>
              </w:rPr>
              <w:t>”) may not be modified, amended or revised except in a writing signed by you and a duly authorized officer of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consent to receive this Grant Notice, the Agreement, the Plan, the Prospectus and any other Plan-related documents by electronic delivery and to participate in the Plan through an on-line or electronic system established and maintained by the Company or another third party designated by the Company.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tc>
      </w:tr>
    </w:tbl>
    <w:p>
      <w:pPr>
        <w:pStyle w:val="TextBody"/>
        <w:bidi w:val="0"/>
        <w:ind w:left="720" w:right="0" w:hanging="360"/>
        <w:jc w:val="both"/>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485"/>
        <w:gridCol w:w="920"/>
        <w:gridCol w:w="60"/>
        <w:gridCol w:w="455"/>
        <w:gridCol w:w="815"/>
      </w:tblGrid>
      <w:tr>
        <w:trPr/>
        <w:tc>
          <w:tcPr>
            <w:tcW w:w="1405"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Reed’s, Inc.</w:t>
            </w:r>
          </w:p>
        </w:tc>
        <w:tc>
          <w:tcPr>
            <w:tcW w:w="60" w:type="dxa"/>
            <w:tcBorders/>
            <w:vAlign w:val="center"/>
          </w:tcPr>
          <w:p>
            <w:pPr>
              <w:pStyle w:val="TableContents"/>
              <w:bidi w:val="0"/>
              <w:spacing w:before="0" w:after="283"/>
              <w:jc w:val="left"/>
              <w:rPr>
                <w:sz w:val="4"/>
                <w:szCs w:val="4"/>
              </w:rPr>
            </w:pPr>
            <w:r>
              <w:rPr>
                <w:sz w:val="4"/>
                <w:szCs w:val="4"/>
              </w:rPr>
            </w:r>
          </w:p>
        </w:tc>
        <w:tc>
          <w:tcPr>
            <w:tcW w:w="1270"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Participant:</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pPr>
            <w:r>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Attachments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RSU Award Agreement, 2026 Equity Incentive Plan, Prospectus</w:t>
      </w:r>
    </w:p>
    <w:p>
      <w:pPr>
        <w:pStyle w:val="TextBody"/>
        <w:bidi w:val="0"/>
        <w:ind w:left="1710" w:right="0" w:hanging="171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smallCaps/>
        </w:rPr>
      </w:pPr>
      <w:r>
        <w:rPr>
          <w:smallCaps/>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Attachment I</w:t>
      </w:r>
    </w:p>
    <w:p>
      <w:pPr>
        <w:pStyle w:val="TextBody"/>
        <w:bidi w:val="0"/>
        <w:jc w:val="center"/>
        <w:rPr>
          <w:smallCaps/>
        </w:rPr>
      </w:pPr>
      <w:r>
        <w:rPr>
          <w:smallCaps/>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Reed’s, Inc.</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Award Agreement</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(2026 Equity Incentive Plan)</w:t>
      </w:r>
    </w:p>
    <w:p>
      <w:pPr>
        <w:pStyle w:val="TextBody"/>
        <w:bidi w:val="0"/>
        <w:jc w:val="center"/>
        <w:rPr>
          <w:smallCaps/>
        </w:rPr>
      </w:pPr>
      <w:r>
        <w:rPr>
          <w:small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by your RSU Award Grant Notice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Reed’s,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you a RSU Award under its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for the number of restricted stock units as indicated in your Grant Notice (the “</w:t>
      </w:r>
      <w:r>
        <w:rPr>
          <w:rFonts w:ascii="Times New Roman;Times;Serif" w:hAnsi="Times New Roman;Times;Serif"/>
          <w:b/>
          <w:i/>
          <w:caps w:val="false"/>
          <w:smallCaps w:val="false"/>
          <w:sz w:val="20"/>
        </w:rPr>
        <w:t>RSU Award</w:t>
      </w:r>
      <w:r>
        <w:rPr>
          <w:rFonts w:ascii="Times New Roman;Times;Serif" w:hAnsi="Times New Roman;Times;Serif"/>
          <w:b w:val="false"/>
          <w:i w:val="false"/>
          <w:caps w:val="false"/>
          <w:smallCaps w:val="false"/>
          <w:sz w:val="20"/>
        </w:rPr>
        <w:t>”). The terms of your RSU Award as specified in this Award Agreement for your RSU Award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and the Grant Notice constitute your “</w:t>
      </w:r>
      <w:r>
        <w:rPr>
          <w:rFonts w:ascii="Times New Roman;Times;Serif" w:hAnsi="Times New Roman;Times;Serif"/>
          <w:b/>
          <w:i/>
          <w:caps w:val="false"/>
          <w:smallCaps w:val="false"/>
          <w:sz w:val="20"/>
        </w:rPr>
        <w:t>RSU Award Agreement</w:t>
      </w:r>
      <w:r>
        <w:rPr>
          <w:rFonts w:ascii="Times New Roman;Times;Serif" w:hAnsi="Times New Roman;Times;Serif"/>
          <w:b w:val="false"/>
          <w:i w:val="false"/>
          <w:caps w:val="false"/>
          <w:smallCaps w:val="false"/>
          <w:sz w:val="20"/>
        </w:rPr>
        <w:t>.” Defined terms not explicitly defined in this Agreement but defined in the Grant Notice or the Plan shall have the same definitions as in the Grant Notice or Plan,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terms applicable to your RSU Award are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smallCaps/>
          <w:sz w:val="20"/>
        </w:rPr>
        <w:t>Governing Plan Document.</w:t>
      </w:r>
      <w:r>
        <w:rPr>
          <w:rFonts w:ascii="Times New Roman;Times;Serif" w:hAnsi="Times New Roman;Times;Serif"/>
          <w:b w:val="false"/>
          <w:i w:val="false"/>
          <w:caps w:val="false"/>
          <w:smallCaps w:val="false"/>
          <w:sz w:val="20"/>
        </w:rPr>
        <w:t xml:space="preserve"> Your RSU Award is subject to all the provisions of the Plan, including but not limited to the provisions 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Section 6 of the Plan regarding the impact of a Capitalization Adjustment, dissolution, liquidation, or Corporate Transaction on your RSU Award;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Section 9(e) of the Plan regarding the Company’s retained rights to terminate your Continuous Service notwithstanding the grant of the RSU Award;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Section 8 of the Plan regarding certain tax consequences of your RSU Award.</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smallCaps/>
          <w:sz w:val="20"/>
        </w:rPr>
        <w:t>Grant of the RSU Award.</w:t>
      </w:r>
      <w:r>
        <w:rPr>
          <w:rFonts w:ascii="Times New Roman;Times;Serif" w:hAnsi="Times New Roman;Times;Serif"/>
          <w:b w:val="false"/>
          <w:i w:val="false"/>
          <w:caps w:val="false"/>
          <w:smallCaps w:val="false"/>
          <w:sz w:val="20"/>
        </w:rPr>
        <w:t xml:space="preserve"> 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smallCaps/>
          <w:sz w:val="20"/>
        </w:rPr>
        <w:t>Vesting.</w:t>
      </w:r>
      <w:r>
        <w:rPr>
          <w:rFonts w:ascii="Times New Roman;Times;Serif" w:hAnsi="Times New Roman;Times;Serif"/>
          <w:b w:val="false"/>
          <w:i w:val="false"/>
          <w:caps w:val="false"/>
          <w:smallCaps w:val="false"/>
          <w:sz w:val="20"/>
        </w:rPr>
        <w:t xml:space="preserve"> Your Restricted Stock Units will vest, if at all, in accordance with the vesting schedule provided in the Grant Notice, subject to the provisions contained herein and the terms of the Plan. Vesting will cease upon the termination of your Continuous Service.</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smallCaps/>
          <w:sz w:val="20"/>
        </w:rPr>
        <w:t>Dividends.</w:t>
      </w:r>
      <w:r>
        <w:rPr>
          <w:rFonts w:ascii="Times New Roman;Times;Serif" w:hAnsi="Times New Roman;Times;Serif"/>
          <w:b w:val="false"/>
          <w:i w:val="false"/>
          <w:caps w:val="false"/>
          <w:smallCaps w:val="false"/>
          <w:sz w:val="20"/>
        </w:rPr>
        <w:t xml:space="preserve"> You may become entitled to receive payments equal to any cash dividends and other distributions paid with respect to a 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Times;Serif" w:hAnsi="Times New Roman;Times;Serif"/>
          <w:b/>
          <w:i/>
          <w:caps w:val="false"/>
          <w:smallCaps w:val="false"/>
          <w:sz w:val="20"/>
        </w:rPr>
        <w:t>Dividend Units</w:t>
      </w:r>
      <w:r>
        <w:rPr>
          <w:rFonts w:ascii="Times New Roman;Times;Serif" w:hAnsi="Times New Roman;Times;Serif"/>
          <w:b w:val="false"/>
          <w:i w:val="false"/>
          <w:caps w:val="false"/>
          <w:smallCaps w:val="false"/>
          <w:sz w:val="20"/>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smallCaps/>
          <w:sz w:val="20"/>
        </w:rPr>
        <w:t>Withholding Obligations.</w:t>
      </w:r>
      <w:r>
        <w:rPr>
          <w:rFonts w:ascii="Times New Roman;Times;Serif" w:hAnsi="Times New Roman;Times;Serif"/>
          <w:b w:val="false"/>
          <w:i w:val="false"/>
          <w:caps w:val="false"/>
          <w:smallCaps w:val="false"/>
          <w:sz w:val="20"/>
        </w:rPr>
        <w:t xml:space="preserve"> 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Times;Serif" w:hAnsi="Times New Roman;Times;Serif"/>
          <w:b/>
          <w:i/>
          <w:caps w:val="false"/>
          <w:smallCaps w:val="false"/>
          <w:sz w:val="20"/>
        </w:rPr>
        <w:t>Withholding Obligation</w:t>
      </w:r>
      <w:r>
        <w:rPr>
          <w:rFonts w:ascii="Times New Roman;Times;Serif" w:hAnsi="Times New Roman;Times;Serif"/>
          <w:b w:val="false"/>
          <w:i w:val="false"/>
          <w:caps w:val="false"/>
          <w:smallCaps w:val="false"/>
          <w:sz w:val="20"/>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bidi w:val="0"/>
        <w:ind w:left="0" w:right="0" w:firstLine="720"/>
        <w:jc w:val="both"/>
        <w:rPr>
          <w:smallCaps/>
        </w:rPr>
      </w:pPr>
      <w:r>
        <w:rPr>
          <w:smallCaps/>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smallCaps/>
          <w:sz w:val="20"/>
        </w:rPr>
        <w:t xml:space="preserve">Date of Issuance.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In addition, the following provisions shall apply to the extent applicable at a vesting date when shares of Common Stock are registered under the Securities Act, unless otherwise determined by the Company. </w:t>
      </w:r>
      <w:r>
        <w:rPr>
          <w:rFonts w:ascii="Times New Roman;Times;Serif" w:hAnsi="Times New Roman;Times;Serif"/>
          <w:b w:val="false"/>
          <w:i w:val="false"/>
          <w:caps w:val="false"/>
          <w:smallCaps w:val="false"/>
          <w:sz w:val="20"/>
          <w:u w:val="single"/>
        </w:rPr>
        <w:t>If</w:t>
      </w:r>
      <w:r>
        <w:rPr>
          <w:rFonts w:ascii="Times New Roman;Times;Serif" w:hAnsi="Times New Roman;Times;Serif"/>
          <w:b w:val="false"/>
          <w:i w:val="false"/>
          <w:caps w:val="false"/>
          <w:smallCaps w:val="false"/>
          <w:sz w:val="20"/>
        </w:rPr>
        <w:t>:</w:t>
      </w:r>
    </w:p>
    <w:p>
      <w:pPr>
        <w:pStyle w:val="TextBody"/>
        <w:bidi w:val="0"/>
        <w:ind w:left="0" w:right="0" w:firstLine="1440"/>
        <w:jc w:val="both"/>
        <w:rPr>
          <w:smallCaps/>
        </w:rPr>
      </w:pPr>
      <w:r>
        <w:rPr>
          <w:smallCaps/>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Times;Serif" w:hAnsi="Times New Roman;Times;Serif"/>
          <w:b/>
          <w:i/>
          <w:caps w:val="false"/>
          <w:smallCaps w:val="false"/>
          <w:sz w:val="20"/>
        </w:rPr>
        <w:t>10b5-1 Arrangement</w:t>
      </w:r>
      <w:r>
        <w:rPr>
          <w:rFonts w:ascii="Times New Roman;Times;Serif" w:hAnsi="Times New Roman;Times;Serif"/>
          <w:b w:val="false"/>
          <w:i w:val="false"/>
          <w:caps w:val="false"/>
          <w:smallCaps w:val="false"/>
          <w:sz w:val="20"/>
        </w:rPr>
        <w:t xml:space="preserve">”) or under such other policy expressly approved by the Company), </w:t>
      </w:r>
      <w:r>
        <w:rPr>
          <w:rFonts w:ascii="Times New Roman;Times;Serif" w:hAnsi="Times New Roman;Times;Serif"/>
          <w:b w:val="false"/>
          <w:i/>
          <w:caps w:val="false"/>
          <w:smallCaps w:val="false"/>
          <w:sz w:val="20"/>
        </w:rPr>
        <w:t>and</w:t>
      </w:r>
    </w:p>
    <w:p>
      <w:pPr>
        <w:pStyle w:val="TextBody"/>
        <w:bidi w:val="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w:t>
      </w:r>
    </w:p>
    <w:p>
      <w:pPr>
        <w:pStyle w:val="TextBody"/>
        <w:bidi w:val="0"/>
        <w:ind w:left="0" w:right="0" w:firstLine="21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Issuance Deadline</w:t>
      </w:r>
      <w:r>
        <w:rPr>
          <w:rFonts w:ascii="Times New Roman;Times;Serif" w:hAnsi="Times New Roman;Times;Serif"/>
          <w:b w:val="false"/>
          <w:i w:val="false"/>
          <w:caps w:val="false"/>
          <w:smallCaps w:val="false"/>
          <w:sz w:val="20"/>
        </w:rPr>
        <w:t xml:space="preserve">” means (a) December 31 of the calendar year in which the applicable vest date occurs (that is, the last day of your taxable year in which the applicable vest date occurs), or (b) </w:t>
      </w:r>
      <w:r>
        <w:rPr>
          <w:rFonts w:ascii="Times New Roman;Times;Serif" w:hAnsi="Times New Roman;Times;Serif"/>
          <w:b w:val="false"/>
          <w:i w:val="false"/>
          <w:caps w:val="false"/>
          <w:smallCaps w:val="false"/>
          <w:sz w:val="20"/>
          <w:u w:val="single"/>
        </w:rPr>
        <w:t>if and only if</w:t>
      </w:r>
      <w:r>
        <w:rPr>
          <w:rFonts w:ascii="Times New Roman;Times;Serif" w:hAnsi="Times New Roman;Times;Serif"/>
          <w:b w:val="false"/>
          <w:i w:val="false"/>
          <w:caps w:val="false"/>
          <w:smallCaps w:val="false"/>
          <w:sz w:val="20"/>
        </w:rPr>
        <w:t xml:space="preserve"> permitted in a manner that complies with Treasury Regulations Section 1.409A-1(b)(4), no later than the date that is the 15th day of the third calendar month of the applicable year following the year in which the shares of Common Stock issuable as a result of the applicable vest date under this Award are no longer subject to a “substantial risk of forfeiture” within the meaning of Treasury Regulations Section 1.409A-1(d).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To the extent the RSU Award is a Non-Exempt Award, the provisions of Section 11 of the Plan shall apply.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smallCaps/>
          <w:sz w:val="20"/>
        </w:rPr>
        <w:t>Lock-Up Period</w:t>
      </w:r>
      <w:r>
        <w:rPr>
          <w:rFonts w:ascii="Times New Roman;Times;Serif" w:hAnsi="Times New Roman;Times;Serif"/>
          <w:b w:val="false"/>
          <w:i w:val="false"/>
          <w:caps w:val="false"/>
          <w:smallCaps w:val="false"/>
          <w:sz w:val="20"/>
        </w:rPr>
        <w:t>. By accepting your RSU Award,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smallCaps/>
          <w:sz w:val="20"/>
        </w:rPr>
        <w:t>Transferability.</w:t>
      </w:r>
      <w:r>
        <w:rPr>
          <w:rFonts w:ascii="Times New Roman;Times;Serif" w:hAnsi="Times New Roman;Times;Serif"/>
          <w:b w:val="false"/>
          <w:i w:val="false"/>
          <w:caps w:val="false"/>
          <w:smallCaps w:val="false"/>
          <w:sz w:val="20"/>
        </w:rPr>
        <w:t xml:space="preserve"> Except as otherwise provided in the Plan, your RSU Award is not transferable, except by will or by the applicable laws of descent and distribution.</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smallCaps/>
          <w:sz w:val="20"/>
        </w:rPr>
        <w:t>Corporate Transaction.</w:t>
      </w:r>
      <w:r>
        <w:rPr>
          <w:rFonts w:ascii="Times New Roman;Times;Serif" w:hAnsi="Times New Roman;Times;Serif"/>
          <w:b w:val="false"/>
          <w:i w:val="false"/>
          <w:caps w:val="false"/>
          <w:smallCaps w:val="false"/>
          <w:sz w:val="20"/>
        </w:rPr>
        <w:t xml:space="preserve">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smallCaps/>
          <w:sz w:val="20"/>
        </w:rPr>
        <w:t>No Liability for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smallCaps/>
          <w:sz w:val="20"/>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smallCaps/>
          <w:sz w:val="20"/>
        </w:rPr>
        <w:t>Other Documents.</w:t>
      </w:r>
      <w:r>
        <w:rPr>
          <w:rFonts w:ascii="Times New Roman;Times;Serif" w:hAnsi="Times New Roman;Times;Serif"/>
          <w:b w:val="false"/>
          <w:i w:val="false"/>
          <w:caps w:val="false"/>
          <w:smallCaps w:val="false"/>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smallCaps/>
          <w:sz w:val="20"/>
        </w:rPr>
        <w:t xml:space="preserve">Questions. </w:t>
      </w:r>
      <w:r>
        <w:rPr>
          <w:rFonts w:ascii="Times New Roman;Times;Serif" w:hAnsi="Times New Roman;Times;Serif"/>
          <w:b w:val="false"/>
          <w:i w:val="false"/>
          <w:caps w:val="false"/>
          <w:smallCaps w:val="false"/>
          <w:sz w:val="20"/>
        </w:rPr>
        <w:t>If you have questions regarding these or any other terms and conditions applicable to your RSU Award, including a summary of the applicable federal income tax consequences please see the Prospectus.</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Attachment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2026 Equity Incentive Plan</w:t>
      </w:r>
    </w:p>
    <w:p>
      <w:pPr>
        <w:pStyle w:val="TextBody"/>
        <w:bidi w:val="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Attachment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Prospectus</w:t>
      </w:r>
    </w:p>
    <w:p>
      <w:pPr>
        <w:pStyle w:val="TextBody"/>
        <w:bidi w:val="0"/>
        <w:jc w:val="center"/>
        <w:rPr>
          <w:smallCaps/>
        </w:rPr>
      </w:pPr>
      <w:r>
        <w:rPr>
          <w:small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bookmarkStart w:id="486" w:name="ex31-1.htm"/>
      <w:bookmarkStart w:id="487" w:name="ksex311"/>
      <w:bookmarkEnd w:id="486"/>
      <w:bookmarkEnd w:id="487"/>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Neal M. Cohane,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865"/>
        <w:gridCol w:w="590"/>
        <w:gridCol w:w="258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right"/>
        <w:rPr>
          <w:caps w:val="false"/>
          <w:smallCaps w:val="false"/>
        </w:rPr>
      </w:pPr>
      <w:bookmarkStart w:id="488" w:name="ex31-2.htm"/>
      <w:bookmarkStart w:id="489" w:name="ksex312"/>
      <w:bookmarkEnd w:id="488"/>
      <w:bookmarkEnd w:id="489"/>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W. McCurdy,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firstLine="72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65"/>
        <w:gridCol w:w="59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30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right"/>
        <w:rPr>
          <w:caps w:val="false"/>
          <w:smallCaps w:val="false"/>
        </w:rPr>
      </w:pPr>
      <w:bookmarkStart w:id="490" w:name="ex32-1.htm"/>
      <w:bookmarkStart w:id="491" w:name="ksex321"/>
      <w:bookmarkEnd w:id="490"/>
      <w:bookmarkEnd w:id="491"/>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 to Section 906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and 18 U.S.C. Section 1350, as adopted pursuant to Section 906 of the Sarbanes-Oxley Act of 2002, I, Neal M. Cohane, the Interim Chief Executive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June 30, 2026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15(d) of the Securities Exchange Act of 1934;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865"/>
        <w:gridCol w:w="590"/>
        <w:gridCol w:w="258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right"/>
        <w:rPr>
          <w:caps w:val="false"/>
          <w:smallCaps w:val="false"/>
        </w:rPr>
      </w:pPr>
      <w:bookmarkStart w:id="492" w:name="ex32-2.htm"/>
      <w:bookmarkStart w:id="493" w:name="ksex322"/>
      <w:bookmarkEnd w:id="492"/>
      <w:bookmarkEnd w:id="49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18 U.S.C. Section 1350 as Adopted Pursuant to Section 906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and 18 U.S.C. Section 1350, as adopted pursuant to Section 906 of the Sarbanes-Oxley Act of 2002, I, Douglas W. McCurdy, the Chief Financial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June 30, 2026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Section 15(d) of the Securities Exchange Act of 1934;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865"/>
        <w:gridCol w:w="545"/>
        <w:gridCol w:w="230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64117225001344/ex3-i.htm" TargetMode="External"/><Relationship Id="rId3" Type="http://schemas.openxmlformats.org/officeDocument/2006/relationships/hyperlink" Target="https://www.sec.gov/Archives/edgar/data/1140215/000149315225020441/ex3-1.htm" TargetMode="External"/><Relationship Id="rId4" Type="http://schemas.openxmlformats.org/officeDocument/2006/relationships/hyperlink" Target="https://www.sec.gov/Archives/edgar/data/1140215/000149315225026641/ex3-1.htm" TargetMode="External"/><Relationship Id="rId5" Type="http://schemas.openxmlformats.org/officeDocument/2006/relationships/hyperlink" Target="https://www.sec.gov/Archives/edgar/data/1140215/000149315226028280/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21071</Words>
  <Characters>112293</Characters>
  <CharactersWithSpaces>135367</CharactersWithSpaces>
  <Paragraphs>6264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