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jc w:val="center"/>
        <w:ind w:left="3780" w:right="1480" w:hanging="2291"/>
        <w:spacing w:after="0" w:line="484" w:lineRule="auto"/>
        <w:tabs>
          <w:tab w:leader="none" w:pos="16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UNDER SECTION 13 OR 15(d) OF THE SECURITIES EXCHANGE ACT OF 1934 For the quarterly period ended September 30, 2022</w:t>
      </w:r>
    </w:p>
    <w:p>
      <w:pPr>
        <w:spacing w:after="0" w:line="29" w:lineRule="exact"/>
        <w:rPr>
          <w:sz w:val="24"/>
          <w:szCs w:val="24"/>
          <w:color w:val="auto"/>
        </w:rPr>
      </w:pPr>
    </w:p>
    <w:p>
      <w:pPr>
        <w:ind w:left="3780" w:right="2000" w:hanging="1766"/>
        <w:spacing w:after="0" w:line="500" w:lineRule="auto"/>
        <w:tabs>
          <w:tab w:leader="none" w:pos="221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UNDER SECTION 13 OR 15(d) OF THE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001-32501</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393"/>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left="112"/>
              <w:spacing w:after="0"/>
              <w:rPr>
                <w:sz w:val="20"/>
                <w:szCs w:val="20"/>
                <w:color w:val="auto"/>
              </w:rPr>
            </w:pPr>
            <w:r>
              <w:rPr>
                <w:rFonts w:ascii="Times New Roman" w:cs="Times New Roman" w:eastAsia="Times New Roman" w:hAnsi="Times New Roman"/>
                <w:sz w:val="32"/>
                <w:szCs w:val="32"/>
                <w:b w:val="1"/>
                <w:bCs w:val="1"/>
                <w:color w:val="auto"/>
              </w:rPr>
              <w:t>REED’S, INC.</w:t>
            </w:r>
          </w:p>
        </w:tc>
        <w:tc>
          <w:tcPr>
            <w:tcW w:w="426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7580" w:type="dxa"/>
            <w:vAlign w:val="bottom"/>
            <w:gridSpan w:val="8"/>
          </w:tcPr>
          <w:p>
            <w:pPr>
              <w:jc w:val="center"/>
              <w:ind w:right="35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9"/>
        </w:trPr>
        <w:tc>
          <w:tcPr>
            <w:tcW w:w="3660" w:type="dxa"/>
            <w:vAlign w:val="bottom"/>
            <w:tcBorders>
              <w:bottom w:val="single" w:sz="8" w:color="auto"/>
            </w:tcBorders>
          </w:tcPr>
          <w:p>
            <w:pPr>
              <w:jc w:val="center"/>
              <w:ind w:left="1770"/>
              <w:spacing w:after="0"/>
              <w:rPr>
                <w:sz w:val="20"/>
                <w:szCs w:val="20"/>
                <w:color w:val="auto"/>
              </w:rPr>
            </w:pPr>
            <w:r>
              <w:rPr>
                <w:rFonts w:ascii="Times New Roman" w:cs="Times New Roman" w:eastAsia="Times New Roman" w:hAnsi="Times New Roman"/>
                <w:sz w:val="18"/>
                <w:szCs w:val="18"/>
                <w:color w:val="auto"/>
                <w:w w:val="98"/>
              </w:rPr>
              <w:t>Delaware</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color w:val="auto"/>
              </w:rPr>
              <w:t>35-2177773</w:t>
            </w:r>
          </w:p>
        </w:tc>
      </w:tr>
      <w:tr>
        <w:trPr>
          <w:trHeight w:val="234"/>
        </w:trPr>
        <w:tc>
          <w:tcPr>
            <w:tcW w:w="366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5"/>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left="112"/>
              <w:spacing w:after="0"/>
              <w:rPr>
                <w:sz w:val="20"/>
                <w:szCs w:val="20"/>
                <w:color w:val="auto"/>
              </w:rPr>
            </w:pPr>
            <w:r>
              <w:rPr>
                <w:rFonts w:ascii="Times New Roman" w:cs="Times New Roman" w:eastAsia="Times New Roman" w:hAnsi="Times New Roman"/>
                <w:sz w:val="18"/>
                <w:szCs w:val="18"/>
                <w:color w:val="auto"/>
                <w:w w:val="99"/>
              </w:rPr>
              <w:t>201 Merritt 7, Norwalk, CT. 06851</w:t>
            </w:r>
          </w:p>
        </w:tc>
        <w:tc>
          <w:tcPr>
            <w:tcW w:w="426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7580" w:type="dxa"/>
            <w:vAlign w:val="bottom"/>
            <w:gridSpan w:val="8"/>
          </w:tcPr>
          <w:p>
            <w:pPr>
              <w:jc w:val="center"/>
              <w:ind w:right="35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414"/>
        </w:trPr>
        <w:tc>
          <w:tcPr>
            <w:tcW w:w="3660" w:type="dxa"/>
            <w:vAlign w:val="bottom"/>
          </w:tcPr>
          <w:p>
            <w:pPr>
              <w:spacing w:after="0"/>
              <w:rPr>
                <w:sz w:val="24"/>
                <w:szCs w:val="24"/>
                <w:color w:val="auto"/>
              </w:rPr>
            </w:pPr>
          </w:p>
        </w:tc>
        <w:tc>
          <w:tcPr>
            <w:tcW w:w="2640" w:type="dxa"/>
            <w:vAlign w:val="bottom"/>
            <w:gridSpan w:val="6"/>
          </w:tcPr>
          <w:p>
            <w:pPr>
              <w:jc w:val="center"/>
              <w:ind w:left="1190"/>
              <w:spacing w:after="0"/>
              <w:rPr>
                <w:sz w:val="20"/>
                <w:szCs w:val="20"/>
                <w:color w:val="auto"/>
              </w:rPr>
            </w:pPr>
            <w:r>
              <w:rPr>
                <w:rFonts w:ascii="Times New Roman" w:cs="Times New Roman" w:eastAsia="Times New Roman" w:hAnsi="Times New Roman"/>
                <w:sz w:val="18"/>
                <w:szCs w:val="18"/>
                <w:color w:val="auto"/>
                <w:w w:val="99"/>
              </w:rPr>
              <w:t>(800) 997-3337</w:t>
            </w:r>
          </w:p>
        </w:tc>
        <w:tc>
          <w:tcPr>
            <w:tcW w:w="6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7580" w:type="dxa"/>
            <w:vAlign w:val="bottom"/>
            <w:gridSpan w:val="8"/>
          </w:tcPr>
          <w:p>
            <w:pPr>
              <w:jc w:val="center"/>
              <w:ind w:right="35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6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260" w:type="dxa"/>
            <w:vAlign w:val="bottom"/>
          </w:tcPr>
          <w:p>
            <w:pPr>
              <w:spacing w:after="0"/>
              <w:rPr>
                <w:sz w:val="24"/>
                <w:szCs w:val="24"/>
                <w:color w:val="auto"/>
              </w:rPr>
            </w:pPr>
          </w:p>
        </w:tc>
      </w:tr>
      <w:tr>
        <w:trPr>
          <w:trHeight w:val="439"/>
        </w:trPr>
        <w:tc>
          <w:tcPr>
            <w:tcW w:w="36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26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Names of each exchange on which registered</w:t>
            </w:r>
          </w:p>
        </w:tc>
      </w:tr>
      <w:tr>
        <w:trPr>
          <w:trHeight w:val="234"/>
        </w:trPr>
        <w:tc>
          <w:tcPr>
            <w:tcW w:w="3660" w:type="dxa"/>
            <w:vAlign w:val="bottom"/>
            <w:tcBorders>
              <w:top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Common Stock</w:t>
            </w:r>
          </w:p>
        </w:tc>
        <w:tc>
          <w:tcPr>
            <w:tcW w:w="1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REED</w:t>
            </w:r>
          </w:p>
        </w:tc>
        <w:tc>
          <w:tcPr>
            <w:tcW w:w="2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260" w:type="dxa"/>
            <w:vAlign w:val="bottom"/>
            <w:tcBorders>
              <w:top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was a total of 118,244,755 shares of Common Stock outstanding as of November 7, 2022.</w:t>
      </w:r>
    </w:p>
    <w:p>
      <w:pPr>
        <w:spacing w:after="0" w:line="22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47" w:lineRule="exact"/>
        <w:rPr>
          <w:sz w:val="24"/>
          <w:szCs w:val="24"/>
          <w:color w:val="auto"/>
        </w:rPr>
      </w:pPr>
    </w:p>
    <w:p>
      <w:pPr>
        <w:ind w:right="620"/>
        <w:spacing w:after="0" w:line="25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480" w:lineRule="exact"/>
        <w:rPr>
          <w:sz w:val="24"/>
          <w:szCs w:val="24"/>
          <w:color w:val="auto"/>
        </w:rPr>
      </w:pPr>
    </w:p>
    <w:p>
      <w:pPr>
        <w:sectPr>
          <w:pgSz w:w="11900" w:h="16838" w:orient="portrait"/>
          <w:cols w:equalWidth="0" w:num="3">
            <w:col w:w="2900" w:space="720"/>
            <w:col w:w="2860" w:space="720"/>
            <w:col w:w="4040"/>
          </w:cols>
          <w:pgMar w:left="320" w:top="740" w:right="33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issuer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20" w:type="dxa"/>
            <w:vAlign w:val="bottom"/>
            <w:gridSpan w:val="9"/>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8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108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Condensed Financial Statements</w:t>
            </w:r>
          </w:p>
        </w:tc>
        <w:tc>
          <w:tcPr>
            <w:tcW w:w="108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9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 September 30, 2022 (Unaudited) and December 31, 2021</w:t>
            </w:r>
          </w:p>
        </w:tc>
        <w:tc>
          <w:tcPr>
            <w:tcW w:w="108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9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three and nine months ended September 30, 2022 and 2021(Unaudited)</w:t>
            </w:r>
          </w:p>
        </w:tc>
        <w:tc>
          <w:tcPr>
            <w:tcW w:w="108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99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Stockholders’ Equity (Deficit) for the three and nine months ended September 30, 2022 and</w:t>
            </w:r>
          </w:p>
        </w:tc>
        <w:tc>
          <w:tcPr>
            <w:tcW w:w="108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934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2021(Unaudited)</w:t>
            </w:r>
          </w:p>
        </w:tc>
        <w:tc>
          <w:tcPr>
            <w:tcW w:w="6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ind w:left="640"/>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9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nine months ended September 30, 2022 and 2021 (Unaudited)</w:t>
            </w:r>
          </w:p>
        </w:tc>
        <w:tc>
          <w:tcPr>
            <w:tcW w:w="108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9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Financial Statements three and nine months ended September 30, 2022 and 2021 (Unaudited)</w:t>
            </w:r>
          </w:p>
        </w:tc>
        <w:tc>
          <w:tcPr>
            <w:tcW w:w="108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08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08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108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108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108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108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108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108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108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108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01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108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439"/>
        </w:trPr>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240" w:type="dxa"/>
            <w:vAlign w:val="bottom"/>
            <w:tcBorders>
              <w:top w:val="single" w:sz="8" w:color="CCEEFF"/>
              <w:bottom w:val="single" w:sz="8" w:color="auto"/>
            </w:tcBorders>
            <w:gridSpan w:val="7"/>
          </w:tcPr>
          <w:p>
            <w:pPr>
              <w:jc w:val="center"/>
              <w:ind w:right="3840"/>
              <w:spacing w:after="0"/>
              <w:rPr>
                <w:sz w:val="20"/>
                <w:szCs w:val="20"/>
                <w:color w:val="auto"/>
              </w:rPr>
            </w:pPr>
            <w:r>
              <w:rPr>
                <w:rFonts w:ascii="Times New Roman" w:cs="Times New Roman" w:eastAsia="Times New Roman" w:hAnsi="Times New Roman"/>
                <w:sz w:val="18"/>
                <w:szCs w:val="18"/>
                <w:color w:val="auto"/>
                <w:w w:val="78"/>
              </w:rPr>
              <w:t>i</w:t>
            </w:r>
          </w:p>
        </w:tc>
        <w:tc>
          <w:tcPr>
            <w:tcW w:w="10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 AND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(“Quarterly Report”), the other reports, statements, and information that we have previously filed or that we may subsequently file with the Securities and Exchange Commission (“SEC”) and public announcements that we have previously made or may subsequently make include, may include, incorporate by reference or may incorporate by reference certain statements that may be deemed to be forward-looking statements. The forward-looking statements included or incorporated by reference in this Quarterly Report and those reports, statements, information and announcements address activities, events or developments that Reed’s, Inc. (hereinafter referred to as “we,” “us,” “our,” the “Company” or “Reed’s”) expects or anticipates will or may occur in the future. Any statements in this document about expectations, beliefs, plans, objectives, assumptions or future events or performance are not historical facts and are forward-looking statements. These statements are often, but not always, made through the use of words or phrases such as “may,” “should,” “could,” “predict,” “potential,” “believe,” “will likely result,” “expect,” “will continue,” “anticipate,” “seek,” “estimate,” “intend,” “plan,” “projection,” “would” and “outlook” and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document. All forward-looking statements concerning economic conditions, macroeconomic issues, rates of growth, rates of income or values as may be included in this document are based on information available to us on the dates noted, and we assume no obligation to update any such forward-looking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risk factors referred to in this Quarterly Report beginning on page 10 could cause actual results or outcomes to differ materially from those expressed in any forward-looking statements made by us, and you should not place undue reliance on any such forward-looking statements. Any forward-looking statement speaks only as of the date on which it is made, and we do not undertake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cautions that these statements are qualified by their terms and/or important factors, many of which are outside of our control, involve a number of risks, uncertainties and other factors that could cause actual results and events to differ materially from the statements made, including, but not limited to, the following risk factors:</w:t>
      </w:r>
    </w:p>
    <w:p>
      <w:pPr>
        <w:spacing w:after="0" w:line="176" w:lineRule="exact"/>
        <w:rPr>
          <w:sz w:val="20"/>
          <w:szCs w:val="20"/>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to finance working capital and our operating plans,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substantial debt obligations,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listing of our common stock on the Nasdaq Capital Market or other national securities exchange. We will be subject to delisting if we do not meet the Bid Price Rule or the Minimum Stockholders Equity Rule.</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 to support marketing and product development plans and general operating activities,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 and our ability to gain or maintain our share of sales in the marketplace,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raw materials and the ability to maintain our supply arrangements and relationships and procure timely and/or adequate production of all or any of our products,</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costs,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markets and maintain or expand existing markets,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global financial markets, economic downturn and inflation</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adverse business impacts of COVID-19,</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efforts of distributors of our products, most of whom also distribute products that are competitive with our products,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category consumption,</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impacts of the war in Ukraine,</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new products, and</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recalls of our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REED’S, INC.</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amounts)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of $63 and $215, respectively</w:t>
            </w:r>
          </w:p>
        </w:tc>
        <w:tc>
          <w:tcPr>
            <w:tcW w:w="180" w:type="dxa"/>
            <w:vAlign w:val="bottom"/>
          </w:tcPr>
          <w:p>
            <w:pPr>
              <w:spacing w:after="0"/>
              <w:rPr>
                <w:sz w:val="18"/>
                <w:szCs w:val="18"/>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6,008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5,183</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19,916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180" w:type="dxa"/>
            <w:vAlign w:val="bottom"/>
          </w:tcPr>
          <w:p>
            <w:pPr>
              <w:spacing w:after="0"/>
              <w:rPr>
                <w:sz w:val="18"/>
                <w:szCs w:val="18"/>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1,502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r>
      <w:tr>
        <w:trPr>
          <w:trHeight w:val="23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1,394</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1,491</w:t>
            </w: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Total current assets</w:t>
            </w: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28,845</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24,705</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$727 and $561, respectively</w:t>
            </w:r>
          </w:p>
        </w:tc>
        <w:tc>
          <w:tcPr>
            <w:tcW w:w="180" w:type="dxa"/>
            <w:vAlign w:val="bottom"/>
          </w:tcPr>
          <w:p>
            <w:pPr>
              <w:spacing w:after="0"/>
              <w:rPr>
                <w:sz w:val="18"/>
                <w:szCs w:val="18"/>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r>
      <w:tr>
        <w:trPr>
          <w:trHeight w:val="23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w:t>
            </w:r>
          </w:p>
        </w:tc>
      </w:tr>
      <w:tr>
        <w:trPr>
          <w:trHeight w:val="243"/>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30,297</w:t>
            </w:r>
          </w:p>
        </w:tc>
        <w:tc>
          <w:tcPr>
            <w:tcW w:w="3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26,321</w:t>
            </w:r>
          </w:p>
        </w:tc>
        <w:tc>
          <w:tcPr>
            <w:tcW w:w="100" w:type="dxa"/>
            <w:vAlign w:val="bottom"/>
            <w:tcBorders>
              <w:top w:val="single" w:sz="8" w:color="CCEEFF"/>
              <w:bottom w:val="single" w:sz="8" w:color="CCEEFF"/>
            </w:tcBorders>
          </w:tcPr>
          <w:p>
            <w:pPr>
              <w:spacing w:after="0"/>
              <w:rPr>
                <w:sz w:val="21"/>
                <w:szCs w:val="21"/>
                <w:color w:val="auto"/>
              </w:rPr>
            </w:pPr>
          </w:p>
        </w:tc>
      </w:tr>
      <w:tr>
        <w:trPr>
          <w:trHeight w:val="197"/>
        </w:trPr>
        <w:tc>
          <w:tcPr>
            <w:tcW w:w="7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9,575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 net of capitalized financing costs of $403 and $0, respectively</w:t>
            </w:r>
          </w:p>
        </w:tc>
        <w:tc>
          <w:tcPr>
            <w:tcW w:w="180" w:type="dxa"/>
            <w:vAlign w:val="bottom"/>
          </w:tcPr>
          <w:p>
            <w:pPr>
              <w:spacing w:after="0"/>
              <w:rPr>
                <w:sz w:val="18"/>
                <w:szCs w:val="18"/>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9,103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related party</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1,811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convertible notes payable, net of debt discount of $492 and $0, respectively</w:t>
            </w:r>
          </w:p>
        </w:tc>
        <w:tc>
          <w:tcPr>
            <w:tcW w:w="180" w:type="dxa"/>
            <w:vAlign w:val="bottom"/>
          </w:tcPr>
          <w:p>
            <w:pPr>
              <w:spacing w:after="0"/>
              <w:rPr>
                <w:sz w:val="18"/>
                <w:szCs w:val="18"/>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4,414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Total current liabilities</w:t>
            </w: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25,311</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21,724</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 net of debt discount of $666 and $0, respectively, less current portion</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8,165</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less current portion</w:t>
            </w:r>
          </w:p>
        </w:tc>
        <w:tc>
          <w:tcPr>
            <w:tcW w:w="180" w:type="dxa"/>
            <w:vAlign w:val="bottom"/>
          </w:tcPr>
          <w:p>
            <w:pPr>
              <w:spacing w:after="0"/>
              <w:rPr>
                <w:sz w:val="19"/>
                <w:szCs w:val="19"/>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$10 par value, 500,000 shares authorized, 9,411 shares issued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and outstanding</w:t>
            </w:r>
          </w:p>
        </w:tc>
        <w:tc>
          <w:tcPr>
            <w:tcW w:w="180" w:type="dxa"/>
            <w:vAlign w:val="bottom"/>
          </w:tcPr>
          <w:p>
            <w:pPr>
              <w:spacing w:after="0"/>
              <w:rPr>
                <w:sz w:val="20"/>
                <w:szCs w:val="20"/>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180,000,000 shares authorized; 112,752,750 and 93,733,975</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tcPr>
          <w:p>
            <w:pPr>
              <w:spacing w:after="0"/>
              <w:rPr>
                <w:sz w:val="18"/>
                <w:szCs w:val="18"/>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112,889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107,237</w:t>
            </w:r>
          </w:p>
        </w:tc>
      </w:tr>
      <w:tr>
        <w:trPr>
          <w:trHeight w:val="23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(116,430)</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(103,137)</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(3,436</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30,297</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6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36,818</w:t>
            </w:r>
          </w:p>
        </w:tc>
        <w:tc>
          <w:tcPr>
            <w:tcW w:w="10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9,530</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25,824</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Delivery and handling expense</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3,093</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8,888</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2,644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7,493</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1,788</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6,227</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(3,653)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(11,169)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(11,614)</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(692)</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PPP note payable</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5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(3,887)</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(11,536)</w:t>
            </w:r>
          </w:p>
        </w:tc>
      </w:tr>
      <w:tr>
        <w:trPr>
          <w:trHeight w:val="216"/>
        </w:trPr>
        <w:tc>
          <w:tcPr>
            <w:tcW w:w="5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on Series A Convertible Preferred Stock</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(3,231)</w:t>
            </w:r>
          </w:p>
        </w:tc>
        <w:tc>
          <w:tcPr>
            <w:tcW w:w="5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(3,887)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(13,293)</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(11,541)</w:t>
            </w: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5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5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(0.13)</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112,717,818</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93,644,935</w:t>
            </w:r>
          </w:p>
        </w:tc>
        <w:tc>
          <w:tcPr>
            <w:tcW w:w="2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101,525,154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90,400,832</w:t>
            </w:r>
          </w:p>
        </w:tc>
      </w:tr>
      <w:tr>
        <w:trPr>
          <w:trHeight w:val="414"/>
        </w:trPr>
        <w:tc>
          <w:tcPr>
            <w:tcW w:w="9780" w:type="dxa"/>
            <w:vAlign w:val="bottom"/>
            <w:gridSpan w:val="11"/>
          </w:tcPr>
          <w:p>
            <w:pPr>
              <w:ind w:left="25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F-2</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STATEMENTS OF CHANGES IN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June 30, 2022</w:t>
      </w:r>
    </w:p>
    <w:p>
      <w:pPr>
        <w:spacing w:after="0" w:line="229" w:lineRule="auto"/>
        <w:rPr>
          <w:sz w:val="20"/>
          <w:szCs w:val="20"/>
          <w:color w:val="auto"/>
        </w:rPr>
      </w:pPr>
      <w:r>
        <w:rPr>
          <w:rFonts w:ascii="Times New Roman" w:cs="Times New Roman" w:eastAsia="Times New Roman" w:hAnsi="Times New Roman"/>
          <w:sz w:val="14"/>
          <w:szCs w:val="14"/>
          <w:color w:val="auto"/>
        </w:rPr>
        <w:t>Fair value of vested options</w:t>
      </w:r>
    </w:p>
    <w:p>
      <w:pPr>
        <w:ind w:right="240"/>
        <w:spacing w:after="0" w:line="239" w:lineRule="auto"/>
        <w:rPr>
          <w:sz w:val="20"/>
          <w:szCs w:val="20"/>
          <w:color w:val="auto"/>
        </w:rPr>
      </w:pPr>
      <w:r>
        <w:rPr>
          <w:rFonts w:ascii="Times New Roman" w:cs="Times New Roman" w:eastAsia="Times New Roman" w:hAnsi="Times New Roman"/>
          <w:sz w:val="14"/>
          <w:szCs w:val="14"/>
          <w:color w:val="auto"/>
        </w:rPr>
        <w:t>Fair value of vested restricted shares granted to officers Net loss</w:t>
      </w:r>
    </w:p>
    <w:p>
      <w:pPr>
        <w:spacing w:after="0"/>
        <w:rPr>
          <w:sz w:val="20"/>
          <w:szCs w:val="20"/>
          <w:color w:val="auto"/>
        </w:rPr>
      </w:pPr>
      <w:r>
        <w:rPr>
          <w:rFonts w:ascii="Times New Roman" w:cs="Times New Roman" w:eastAsia="Times New Roman" w:hAnsi="Times New Roman"/>
          <w:sz w:val="14"/>
          <w:szCs w:val="14"/>
          <w:b w:val="1"/>
          <w:bCs w:val="1"/>
          <w:color w:val="auto"/>
        </w:rPr>
        <w:t>Balance, September 30, 2022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center"/>
              <w:ind w:right="15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12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4"/>
                <w:szCs w:val="14"/>
                <w:color w:val="auto"/>
              </w:rPr>
              <w:t>Common Stock</w:t>
            </w:r>
          </w:p>
        </w:tc>
        <w:tc>
          <w:tcPr>
            <w:tcW w:w="18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color w:val="auto"/>
              </w:rPr>
              <w:t>Preferred Stock</w:t>
            </w: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860" w:type="dxa"/>
            <w:vAlign w:val="bottom"/>
            <w:gridSpan w:val="4"/>
          </w:tcPr>
          <w:p>
            <w:pPr>
              <w:jc w:val="center"/>
              <w:ind w:right="55"/>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65"/>
        </w:trPr>
        <w:tc>
          <w:tcPr>
            <w:tcW w:w="2120" w:type="dxa"/>
            <w:vAlign w:val="bottom"/>
            <w:gridSpan w:val="5"/>
            <w:vMerge w:val="continue"/>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color w:val="auto"/>
              </w:rPr>
              <w:t>Paid In</w:t>
            </w: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right="155"/>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55"/>
        </w:trPr>
        <w:tc>
          <w:tcPr>
            <w:tcW w:w="1140" w:type="dxa"/>
            <w:vAlign w:val="bottom"/>
            <w:tcBorders>
              <w:top w:val="single" w:sz="8" w:color="auto"/>
            </w:tcBorders>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32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3"/>
                <w:szCs w:val="13"/>
                <w:color w:val="auto"/>
              </w:rPr>
            </w:pPr>
          </w:p>
        </w:tc>
        <w:tc>
          <w:tcPr>
            <w:tcW w:w="960" w:type="dxa"/>
            <w:vAlign w:val="bottom"/>
            <w:gridSpan w:val="2"/>
          </w:tcPr>
          <w:p>
            <w:pPr>
              <w:jc w:val="right"/>
              <w:ind w:right="459"/>
              <w:spacing w:after="0" w:line="149" w:lineRule="exact"/>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3"/>
                <w:szCs w:val="13"/>
                <w:color w:val="auto"/>
              </w:rPr>
            </w:pPr>
          </w:p>
        </w:tc>
        <w:tc>
          <w:tcPr>
            <w:tcW w:w="740" w:type="dxa"/>
            <w:vAlign w:val="bottom"/>
            <w:gridSpan w:val="3"/>
          </w:tcPr>
          <w:p>
            <w:pPr>
              <w:jc w:val="center"/>
              <w:ind w:right="155"/>
              <w:spacing w:after="0" w:line="149" w:lineRule="exact"/>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126"/>
        </w:trPr>
        <w:tc>
          <w:tcPr>
            <w:tcW w:w="8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112,652,320</w:t>
            </w:r>
          </w:p>
        </w:tc>
        <w:tc>
          <w:tcPr>
            <w:tcW w:w="320" w:type="dxa"/>
            <w:vAlign w:val="bottom"/>
          </w:tcPr>
          <w:p>
            <w:pPr>
              <w:spacing w:after="0"/>
              <w:rPr>
                <w:sz w:val="10"/>
                <w:szCs w:val="10"/>
                <w:color w:val="auto"/>
              </w:rPr>
            </w:pPr>
          </w:p>
        </w:tc>
        <w:tc>
          <w:tcPr>
            <w:tcW w:w="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11</w:t>
            </w:r>
          </w:p>
        </w:tc>
        <w:tc>
          <w:tcPr>
            <w:tcW w:w="320" w:type="dxa"/>
            <w:vAlign w:val="bottom"/>
          </w:tcPr>
          <w:p>
            <w:pPr>
              <w:spacing w:after="0"/>
              <w:rPr>
                <w:sz w:val="10"/>
                <w:szCs w:val="10"/>
                <w:color w:val="auto"/>
              </w:rPr>
            </w:pPr>
          </w:p>
        </w:tc>
        <w:tc>
          <w:tcPr>
            <w:tcW w:w="6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9,411</w:t>
            </w:r>
          </w:p>
        </w:tc>
        <w:tc>
          <w:tcPr>
            <w:tcW w:w="34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94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112,675</w:t>
            </w: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(113,199)</w:t>
            </w:r>
          </w:p>
        </w:tc>
        <w:tc>
          <w:tcPr>
            <w:tcW w:w="320" w:type="dxa"/>
            <w:vAlign w:val="bottom"/>
          </w:tcPr>
          <w:p>
            <w:pPr>
              <w:spacing w:after="0"/>
              <w:rPr>
                <w:sz w:val="10"/>
                <w:szCs w:val="10"/>
                <w:color w:val="auto"/>
              </w:rPr>
            </w:pPr>
          </w:p>
        </w:tc>
        <w:tc>
          <w:tcPr>
            <w:tcW w:w="12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(419)</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100,430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(3,231)</w:t>
            </w:r>
          </w:p>
        </w:tc>
        <w:tc>
          <w:tcPr>
            <w:tcW w:w="12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0" w:type="dxa"/>
            <w:vAlign w:val="bottom"/>
          </w:tcPr>
          <w:p>
            <w:pPr>
              <w:spacing w:after="0"/>
              <w:rPr>
                <w:sz w:val="1"/>
                <w:szCs w:val="1"/>
                <w:color w:val="auto"/>
              </w:rPr>
            </w:pPr>
          </w:p>
        </w:tc>
      </w:tr>
      <w:tr>
        <w:trPr>
          <w:trHeight w:val="162"/>
        </w:trPr>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112,752,750</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9,411</w:t>
            </w: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112,889</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(116,430</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(3,436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-539750</wp:posOffset>
            </wp:positionV>
            <wp:extent cx="713232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-342265</wp:posOffset>
            </wp:positionV>
            <wp:extent cx="7132320" cy="93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-136525</wp:posOffset>
            </wp:positionV>
            <wp:extent cx="713232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3440" w:space="720"/>
            <w:col w:w="708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12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4"/>
                <w:szCs w:val="14"/>
                <w:color w:val="auto"/>
              </w:rPr>
              <w:t>Common Stock</w:t>
            </w:r>
          </w:p>
        </w:tc>
        <w:tc>
          <w:tcPr>
            <w:tcW w:w="18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color w:val="auto"/>
              </w:rPr>
              <w:t>Preferred Stock</w:t>
            </w: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920" w:type="dxa"/>
            <w:vAlign w:val="bottom"/>
            <w:gridSpan w:val="3"/>
          </w:tcPr>
          <w:p>
            <w:pPr>
              <w:jc w:val="center"/>
              <w:ind w:right="79"/>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65"/>
        </w:trPr>
        <w:tc>
          <w:tcPr>
            <w:tcW w:w="416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line="158" w:lineRule="exact"/>
              <w:rPr>
                <w:sz w:val="20"/>
                <w:szCs w:val="20"/>
                <w:color w:val="auto"/>
              </w:rPr>
            </w:pPr>
            <w:r>
              <w:rPr>
                <w:rFonts w:ascii="Times New Roman" w:cs="Times New Roman" w:eastAsia="Times New Roman" w:hAnsi="Times New Roman"/>
                <w:sz w:val="14"/>
                <w:szCs w:val="14"/>
                <w:color w:val="auto"/>
              </w:rPr>
              <w:t>Paid In</w:t>
            </w: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79"/>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32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3"/>
                <w:szCs w:val="13"/>
                <w:color w:val="auto"/>
              </w:rPr>
            </w:pPr>
          </w:p>
        </w:tc>
        <w:tc>
          <w:tcPr>
            <w:tcW w:w="960" w:type="dxa"/>
            <w:vAlign w:val="bottom"/>
            <w:gridSpan w:val="2"/>
          </w:tcPr>
          <w:p>
            <w:pPr>
              <w:jc w:val="right"/>
              <w:ind w:right="459"/>
              <w:spacing w:after="0" w:line="149" w:lineRule="exact"/>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3"/>
                <w:szCs w:val="13"/>
                <w:color w:val="auto"/>
              </w:rPr>
            </w:pPr>
          </w:p>
        </w:tc>
        <w:tc>
          <w:tcPr>
            <w:tcW w:w="80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148"/>
        </w:trPr>
        <w:tc>
          <w:tcPr>
            <w:tcW w:w="41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93,733,975</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3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9,411</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107,237</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(103,137)</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vested options</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Fair value of vested restricted shares granted to officers</w:t>
            </w:r>
          </w:p>
        </w:tc>
        <w:tc>
          <w:tcPr>
            <w:tcW w:w="11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337,454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26"/>
        </w:trPr>
        <w:tc>
          <w:tcPr>
            <w:tcW w:w="4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for dividends on Series A Convertible Preferred</w:t>
            </w: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1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(13,250)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4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financing costs</w:t>
            </w:r>
          </w:p>
        </w:tc>
        <w:tc>
          <w:tcPr>
            <w:tcW w:w="11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cash, net of offering costs</w:t>
            </w:r>
          </w:p>
        </w:tc>
        <w:tc>
          <w:tcPr>
            <w:tcW w:w="11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18,594,571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5,032</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5,034</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(13,288)</w:t>
            </w:r>
          </w:p>
        </w:tc>
        <w:tc>
          <w:tcPr>
            <w:tcW w:w="120" w:type="dxa"/>
            <w:vAlign w:val="bottom"/>
          </w:tcPr>
          <w:p>
            <w:pPr>
              <w:spacing w:after="0"/>
              <w:rPr>
                <w:sz w:val="14"/>
                <w:szCs w:val="14"/>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(13,288)</w:t>
            </w:r>
          </w:p>
        </w:tc>
        <w:tc>
          <w:tcPr>
            <w:tcW w:w="0" w:type="dxa"/>
            <w:vAlign w:val="bottom"/>
          </w:tcPr>
          <w:p>
            <w:pPr>
              <w:spacing w:after="0"/>
              <w:rPr>
                <w:sz w:val="1"/>
                <w:szCs w:val="1"/>
                <w:color w:val="auto"/>
              </w:rPr>
            </w:pPr>
          </w:p>
        </w:tc>
      </w:tr>
      <w:tr>
        <w:trPr>
          <w:trHeight w:val="162"/>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112,752,750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9,411</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112,889</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(116,430</w:t>
            </w:r>
          </w:p>
        </w:tc>
        <w:tc>
          <w:tcPr>
            <w:tcW w:w="320" w:type="dxa"/>
            <w:vAlign w:val="bottom"/>
            <w:tcBorders>
              <w:top w:val="single" w:sz="8" w:color="CCEEFF"/>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6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color w:val="auto"/>
              </w:rPr>
              <w:t>Preferred Stock</w:t>
            </w: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9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65"/>
        </w:trPr>
        <w:tc>
          <w:tcPr>
            <w:tcW w:w="42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color w:val="auto"/>
              </w:rPr>
              <w:t>Paid In</w:t>
            </w: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5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3"/>
                <w:szCs w:val="13"/>
                <w:color w:val="auto"/>
              </w:rPr>
            </w:pPr>
          </w:p>
        </w:tc>
        <w:tc>
          <w:tcPr>
            <w:tcW w:w="960" w:type="dxa"/>
            <w:vAlign w:val="bottom"/>
            <w:gridSpan w:val="2"/>
          </w:tcPr>
          <w:p>
            <w:pPr>
              <w:jc w:val="right"/>
              <w:ind w:right="459"/>
              <w:spacing w:after="0" w:line="149" w:lineRule="exact"/>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3"/>
                <w:szCs w:val="13"/>
                <w:color w:val="auto"/>
              </w:rPr>
            </w:pPr>
          </w:p>
        </w:tc>
        <w:tc>
          <w:tcPr>
            <w:tcW w:w="8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148"/>
        </w:trPr>
        <w:tc>
          <w:tcPr>
            <w:tcW w:w="42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June 30, 2021</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93,601,380</w:t>
            </w:r>
          </w:p>
        </w:tc>
        <w:tc>
          <w:tcPr>
            <w:tcW w:w="3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3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9,411</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105,847</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(94,384)</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vested options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of vested restricted shares granted to an officer for</w:t>
            </w:r>
          </w:p>
        </w:tc>
        <w:tc>
          <w:tcPr>
            <w:tcW w:w="10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61,475</w:t>
            </w: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108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on exercise of stock options</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issued pursuant to the rights offering, net of offering</w:t>
            </w:r>
          </w:p>
        </w:tc>
        <w:tc>
          <w:tcPr>
            <w:tcW w:w="10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w:t>
            </w:r>
          </w:p>
        </w:tc>
        <w:tc>
          <w:tcPr>
            <w:tcW w:w="108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(3,887)</w:t>
            </w:r>
          </w:p>
        </w:tc>
        <w:tc>
          <w:tcPr>
            <w:tcW w:w="12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(3,887)</w:t>
            </w:r>
          </w:p>
        </w:tc>
        <w:tc>
          <w:tcPr>
            <w:tcW w:w="0" w:type="dxa"/>
            <w:vAlign w:val="bottom"/>
          </w:tcPr>
          <w:p>
            <w:pPr>
              <w:spacing w:after="0"/>
              <w:rPr>
                <w:sz w:val="1"/>
                <w:szCs w:val="1"/>
                <w:color w:val="auto"/>
              </w:rPr>
            </w:pPr>
          </w:p>
        </w:tc>
      </w:tr>
      <w:tr>
        <w:trPr>
          <w:trHeight w:val="162"/>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93,667,855</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9</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9,411</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106,345</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(98,271</w:t>
            </w:r>
          </w:p>
        </w:tc>
        <w:tc>
          <w:tcPr>
            <w:tcW w:w="320" w:type="dxa"/>
            <w:vAlign w:val="bottom"/>
            <w:tcBorders>
              <w:top w:val="single" w:sz="8" w:color="CCEEFF"/>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6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color w:val="auto"/>
              </w:rPr>
              <w:t>Preferred Stock</w:t>
            </w: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9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65"/>
        </w:trPr>
        <w:tc>
          <w:tcPr>
            <w:tcW w:w="42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color w:val="auto"/>
              </w:rPr>
              <w:t>Paid In</w:t>
            </w: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5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3"/>
                <w:szCs w:val="13"/>
                <w:color w:val="auto"/>
              </w:rPr>
            </w:pPr>
          </w:p>
        </w:tc>
        <w:tc>
          <w:tcPr>
            <w:tcW w:w="960" w:type="dxa"/>
            <w:vAlign w:val="bottom"/>
            <w:gridSpan w:val="2"/>
          </w:tcPr>
          <w:p>
            <w:pPr>
              <w:jc w:val="right"/>
              <w:ind w:right="459"/>
              <w:spacing w:after="0" w:line="149" w:lineRule="exact"/>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3"/>
                <w:szCs w:val="13"/>
                <w:color w:val="auto"/>
              </w:rPr>
            </w:pPr>
          </w:p>
        </w:tc>
        <w:tc>
          <w:tcPr>
            <w:tcW w:w="8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148"/>
        </w:trPr>
        <w:tc>
          <w:tcPr>
            <w:tcW w:w="42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86,317,096</w:t>
            </w:r>
          </w:p>
        </w:tc>
        <w:tc>
          <w:tcPr>
            <w:tcW w:w="3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3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9,411</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97,031</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(86,730)</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vested options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1,264</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1,264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Fair value of vested restricted shares granted to officers</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221,252</w:t>
            </w:r>
          </w:p>
        </w:tc>
        <w:tc>
          <w:tcPr>
            <w:tcW w:w="5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for dividends on Series A Convertible Preferred</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4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0"/>
                <w:szCs w:val="10"/>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10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(13,493)</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on exercise of options</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63,000</w:t>
            </w:r>
          </w:p>
        </w:tc>
        <w:tc>
          <w:tcPr>
            <w:tcW w:w="580" w:type="dxa"/>
            <w:vAlign w:val="bottom"/>
          </w:tcPr>
          <w:p>
            <w:pPr>
              <w:spacing w:after="0"/>
              <w:rPr>
                <w:sz w:val="12"/>
                <w:szCs w:val="12"/>
                <w:color w:val="auto"/>
              </w:rPr>
            </w:pPr>
          </w:p>
        </w:tc>
        <w:tc>
          <w:tcPr>
            <w:tcW w:w="4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financing costs</w:t>
            </w: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shares issued pursuant to the rights offering, net of offering</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6,680,000</w:t>
            </w:r>
          </w:p>
        </w:tc>
        <w:tc>
          <w:tcPr>
            <w:tcW w:w="580" w:type="dxa"/>
            <w:vAlign w:val="bottom"/>
          </w:tcPr>
          <w:p>
            <w:pPr>
              <w:spacing w:after="0"/>
              <w:rPr>
                <w:sz w:val="10"/>
                <w:szCs w:val="10"/>
                <w:color w:val="auto"/>
              </w:rPr>
            </w:pPr>
          </w:p>
        </w:tc>
        <w:tc>
          <w:tcPr>
            <w:tcW w:w="4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7,327</w:t>
            </w:r>
          </w:p>
        </w:tc>
        <w:tc>
          <w:tcPr>
            <w:tcW w:w="120" w:type="dxa"/>
            <w:vAlign w:val="bottom"/>
          </w:tcPr>
          <w:p>
            <w:pPr>
              <w:spacing w:after="0"/>
              <w:rPr>
                <w:sz w:val="10"/>
                <w:szCs w:val="10"/>
                <w:color w:val="auto"/>
              </w:rPr>
            </w:pPr>
          </w:p>
        </w:tc>
        <w:tc>
          <w:tcPr>
            <w:tcW w:w="96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7,327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costs</w:t>
            </w:r>
          </w:p>
        </w:tc>
        <w:tc>
          <w:tcPr>
            <w:tcW w:w="10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(11,536)</w:t>
            </w: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(11,536)</w:t>
            </w:r>
          </w:p>
        </w:tc>
        <w:tc>
          <w:tcPr>
            <w:tcW w:w="0" w:type="dxa"/>
            <w:vAlign w:val="bottom"/>
          </w:tcPr>
          <w:p>
            <w:pPr>
              <w:spacing w:after="0"/>
              <w:rPr>
                <w:sz w:val="1"/>
                <w:szCs w:val="1"/>
                <w:color w:val="auto"/>
              </w:rPr>
            </w:pPr>
          </w:p>
        </w:tc>
      </w:tr>
      <w:tr>
        <w:trPr>
          <w:trHeight w:val="149"/>
        </w:trPr>
        <w:tc>
          <w:tcPr>
            <w:tcW w:w="422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September 30, 2021</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93,667,855</w:t>
            </w:r>
          </w:p>
        </w:tc>
        <w:tc>
          <w:tcPr>
            <w:tcW w:w="320" w:type="dxa"/>
            <w:vAlign w:val="bottom"/>
            <w:tcBorders>
              <w:top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320" w:type="dxa"/>
            <w:vAlign w:val="bottom"/>
            <w:tcBorders>
              <w:top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9,411</w:t>
            </w:r>
          </w:p>
        </w:tc>
        <w:tc>
          <w:tcPr>
            <w:tcW w:w="34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106,345</w:t>
            </w:r>
          </w:p>
        </w:tc>
        <w:tc>
          <w:tcPr>
            <w:tcW w:w="3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(98,271</w:t>
            </w:r>
          </w:p>
        </w:tc>
        <w:tc>
          <w:tcPr>
            <w:tcW w:w="320" w:type="dxa"/>
            <w:vAlign w:val="bottom"/>
            <w:tcBorders>
              <w:top w:val="single" w:sz="8" w:color="CCEEFF"/>
            </w:tcBorders>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8,177</w:t>
            </w:r>
          </w:p>
        </w:tc>
        <w:tc>
          <w:tcPr>
            <w:tcW w:w="2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5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64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(13,288)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(11,536)</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operating activities: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termination of leases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extinguishment of PPP note payable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prepaid financing costs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8"/>
                <w:szCs w:val="18"/>
                <w:color w:val="auto"/>
              </w:rPr>
            </w:pP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1,264</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vested restricted shares granted to officers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8"/>
                <w:szCs w:val="18"/>
                <w:color w:val="auto"/>
              </w:rPr>
            </w:pP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issued as financing costs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write-downs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on convertible note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8"/>
                <w:szCs w:val="18"/>
                <w:color w:val="auto"/>
              </w:rPr>
            </w:pP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(2,901)</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right of use assets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tcPr>
          <w:p>
            <w:pPr>
              <w:spacing w:after="0"/>
              <w:rPr>
                <w:sz w:val="18"/>
                <w:szCs w:val="18"/>
                <w:color w:val="auto"/>
              </w:rPr>
            </w:pP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2,126</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w:t>
            </w:r>
          </w:p>
        </w:tc>
      </w:tr>
      <w:tr>
        <w:trPr>
          <w:trHeight w:val="237"/>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6"/>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6460" w:type="dxa"/>
            <w:vAlign w:val="bottom"/>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costs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6"/>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6460" w:type="dxa"/>
            <w:vAlign w:val="bottom"/>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40,576</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49,940</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(41,299)</w:t>
            </w:r>
          </w:p>
        </w:tc>
        <w:tc>
          <w:tcPr>
            <w:tcW w:w="1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(41,685)</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5,034</w:t>
            </w:r>
          </w:p>
        </w:tc>
        <w:tc>
          <w:tcPr>
            <w:tcW w:w="160" w:type="dxa"/>
            <w:vAlign w:val="bottom"/>
          </w:tcPr>
          <w:p>
            <w:pPr>
              <w:spacing w:after="0"/>
              <w:rPr>
                <w:sz w:val="18"/>
                <w:szCs w:val="18"/>
                <w:color w:val="auto"/>
              </w:rPr>
            </w:pPr>
          </w:p>
        </w:tc>
        <w:tc>
          <w:tcPr>
            <w:tcW w:w="15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7,327</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note payable, net of expenses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12,430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notes payable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from related party, net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capital lease obligation</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r>
      <w:tr>
        <w:trPr>
          <w:trHeight w:val="23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at beginning of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7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4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30"/>
        </w:trPr>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-470535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68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5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1,051</w:t>
            </w:r>
          </w:p>
        </w:tc>
        <w:tc>
          <w:tcPr>
            <w:tcW w:w="8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-cash investing and financing activities</w:t>
            </w:r>
          </w:p>
        </w:tc>
        <w:tc>
          <w:tcPr>
            <w:tcW w:w="2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25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2022 and 2021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ind w:right="7680" w:firstLine="8"/>
        <w:spacing w:after="0" w:line="503"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2021, filed with the SEC on April 15, 2022. The accompanying condensed financial statements are unaudited, but in the opinion of management contain all adjustments, including normal recurring adjustments, necessary to present fairly the Company’s financial position as of September 30, 2022, and the results of its operations and its cash flows for the nine months ended September 30, 2022 and 2021. The balance sheet as of December 31, 2021 is derived from the Company’s audited financial statements.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nine months ended September 30, 2022 are not necessarily indicative of the results of operations to be expected for the full fiscal year ending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nine months ended September 30, 2022, the Company recorded a net loss of $13,288 and used cash in operations of $16,507. These factors raise substantial doubt about the Company’s ability to continue as a going concern within one year of the date that the financial statements are issued. In addition, the Company’s independent registered public accounting firm, in its report on the Company’s December 31, 2021, financial statements, raised substantial doubt about the Company’s ability to continue as a going concern. The financial statements do not include any adjustments that might be necessary if the Company is unable to continue as a going concern.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had a cash balance of $25, with $151 of current availability, and $3,494 of additional borrowing capacity.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2022, the Company continued to strengthen its supply chain, implement gross margin enhancement initiatives, drive efficiencies in transportation and warehouse costs and reduce operating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the Company remains focused on driving sales growth, improving margin, and reducing freight costs. Underpinning these initiatives is a focus on strategically reducing operating costs particularly delivery and handling expenses. During 2021, the Company experienced elevated transportation costs over the prior year and anticipates these costs to remain elevated for the balance of 2022. Plans have been implemented to mitigate the impact of these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Recent Trends - Market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period ended September 30,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U.S. economy continued to grow during the first quarter of 2022, the continuing impact of the COVID-19 pandemic,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the remainder of 2022.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September 30, 2022, the Company experienced elevated freight costs as a result of a higher transportation market as the capacity in the freight market has not kept up with demand. The Company believes these challenges will continue throughout the year. In addition, the Company experienced increases in the pricing of several of its raw materials and delays in procuring several of these items. However, mitigation plans have been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throughout 2022.</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September 30, 2022,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observed any material impairments of our assets or a significant change in the fair value of our assets due to the COVID-19 pandemic.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Common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(loss) per share is computed by dividing the net income (loss) applicable to common stockholders by the weighted average number of shares of common stock outstanding during the year, excluding shares of unvested restricted common stock. Shares of restricted stock are included in the basic weighted average number of common shares outstanding from the time they vest.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Shares of restricted stock are included in the diluted weighted average number of common shares outstanding from the date they are granted. Potential common shares are excluded from the computation when their effect is antidilutive.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periods ended September 30, 2022 and 2021, the calculations of basic and diluted loss per share are the same because potential dilutive securities would have had an anti-dilutive effect. The potentially dilutive securities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744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12,547,289</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3,098,479</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8,836,872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11,260,876</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22,457,782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Vested restricted common stock</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175,430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172,639</w:t>
            </w: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37,644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37,644</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44,055,017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14,569,638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Expense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The assumptions used in the Black-Scholes-Merton Option Pricing model could materially affect compensation expense recorded in future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and marketing expense. Advertising costs for the three months ended September 30, 2022 and 2021, aggregated $116 and $347, respectively. Advertising costs for the nine months ended September 30, 2022 and 2021, aggregated $536 and $1,050,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During the three months ended September 30, 2022, three customers accounted for 16%, 11%, and 10% of sales, respectively, and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2022, three customers accounted for 19%, 11%, and 10% of sales, respectively. During the three months ended September 30, 2021, one customer accounted for 24% of sales, and during the nine months ended September 30, 2021, two customers accounted for 21% and 11% of sales, respectively. No other customers exceeded 10% of sales in either period.</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As of September 30, 2022, the Company had accounts receivable from three customers which comprised 18%, 13%, and 10%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As of December 31, 2021, the Company had accounts receivable from one customer which comprised 18% of its accounts receivable. No other customers exceeded 10% of accounts receivable in either period.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Purchases from vendors. </w:t>
      </w:r>
      <w:r>
        <w:rPr>
          <w:rFonts w:ascii="Times New Roman" w:cs="Times New Roman" w:eastAsia="Times New Roman" w:hAnsi="Times New Roman"/>
          <w:sz w:val="18"/>
          <w:szCs w:val="18"/>
          <w:color w:val="auto"/>
        </w:rPr>
        <w:t>During the three months ended September 30, 2022, one vendor accounted for 18% of purchases.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one vendor accounted for 15% of purchases. During the three months ended September 30, 2021, two vendors accounted for 13% and 12% of purchases, respectively. During the nine months ended September 30, 2021, two vendors accounted for 12% and 12% of purchases, respectively. No other vendors exceeded 10% of purchases in either period.</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payable. </w:t>
      </w:r>
      <w:r>
        <w:rPr>
          <w:rFonts w:ascii="Times New Roman" w:cs="Times New Roman" w:eastAsia="Times New Roman" w:hAnsi="Times New Roman"/>
          <w:sz w:val="18"/>
          <w:szCs w:val="18"/>
          <w:color w:val="auto"/>
        </w:rPr>
        <w:t>As of September 30, 2022, the Company’s had one vendor which comprised 13% of total accounts payable. As of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vendor accounted for more than 10% the total accounts payable. No other vendors exceeded 10% of gross accounts payable in either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based on the Company’s assumptions.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ASU No. 2020-06 “Debt—Debt with Conversion and Other Options (Subtopic 470-20) and Derivatives and Hedging—Contracts in Entity’s Own Equity (Subtopic 815-40) (“ASU 2020-06”).”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January 1, 2024, for the Company and the provisions of this update can be adopted using either the modified retrospective method or a fully retrospective method. Early adoption is permitted, but no earlier than January 1, 2021, including interim periods within that year. Effective January 1, 2021, the Company early adopted ASU 2020-06 and that adoption did not have an impact on our financial statements and related disclosures.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ASU 2021-04 provides guidance as to how an issuer should account for a modification of the terms or conditions or an exchange of a freestanding equity-classified written call option (i.e., a warrant) that remains equity classified after modification or exchange as an exchange of the original instrument for a new instrument. An issuer should measure the effect of a modification or exchange as the difference between the fair value of the modified or exchanged warrant and the fair value of that warrant immediately before modification or exchange and then apply a recognition model that comprises four categories of transactions and the corresponding accounting treatment for each category (equity issuance, debt origination, debt modification, and modifications unrelated to equity issuance and debt origination or modification). ASU 2021-04 is effective for all entities for fiscal years beginning after December 15, 2021, including interim periods within those fiscal years. An entity should apply the guidance provided in ASU 2021-04 prospectively to modifications or exchanges occurring on or after the effective date. The Company adopted ASU 2021-04 effective January 1, 2022. The adoption of ASU 2021-04 did not have any impact on the Company’s financial statement presentation or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 Not Yet Adopted</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is valued at the lower of cost (first-in, first-out) or net realizable value, net of write downs, and is comprised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800" w:type="dxa"/>
            <w:vAlign w:val="bottom"/>
            <w:tcBorders>
              <w:bottom w:val="single" w:sz="8" w:color="CCEEFF"/>
            </w:tcBorders>
          </w:tcPr>
          <w:p>
            <w:pPr>
              <w:spacing w:after="0"/>
              <w:rPr>
                <w:sz w:val="21"/>
                <w:szCs w:val="21"/>
                <w:color w:val="auto"/>
              </w:rPr>
            </w:pPr>
          </w:p>
        </w:tc>
        <w:tc>
          <w:tcPr>
            <w:tcW w:w="36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00" w:type="dxa"/>
            <w:vAlign w:val="bottom"/>
            <w:shd w:val="clear" w:color="auto" w:fill="CCEEFF"/>
          </w:tcPr>
          <w:p>
            <w:pPr>
              <w:spacing w:after="0"/>
              <w:rPr>
                <w:sz w:val="18"/>
                <w:szCs w:val="18"/>
                <w:color w:val="auto"/>
              </w:rPr>
            </w:pPr>
          </w:p>
        </w:tc>
      </w:tr>
      <w:tr>
        <w:trPr>
          <w:trHeight w:val="23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9,520</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5,828</w:t>
            </w:r>
          </w:p>
        </w:tc>
      </w:tr>
      <w:tr>
        <w:trPr>
          <w:trHeight w:val="23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8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1736"/>
              <w:spacing w:after="0"/>
              <w:rPr>
                <w:sz w:val="20"/>
                <w:szCs w:val="20"/>
                <w:color w:val="auto"/>
              </w:rPr>
            </w:pPr>
            <w:r>
              <w:rPr>
                <w:rFonts w:ascii="Times New Roman" w:cs="Times New Roman" w:eastAsia="Times New Roman" w:hAnsi="Times New Roman"/>
                <w:sz w:val="18"/>
                <w:szCs w:val="18"/>
                <w:color w:val="auto"/>
              </w:rPr>
              <w:t>F-10</w:t>
            </w: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is comprised of the following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4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21"/>
                <w:szCs w:val="21"/>
                <w:color w:val="auto"/>
              </w:rPr>
            </w:pP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cost</w:t>
            </w: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1,553</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for the nine months ended September 30, 2022 and 2021 was $79 and $106, respectively, and amortization of right-of-use assets for the nine months ended September 30, 2022 and 2021 was $86 and $74,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4"/>
                <w:szCs w:val="24"/>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4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 names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Line of Credit</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Amounts outstanding under the Company’s credit facilities are as follows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4"/>
                <w:szCs w:val="24"/>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4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 – Alterna Capital Solutions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 – Rosenthal &amp; Rosenthal</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financing costs</w:t>
            </w: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 Capital Solutions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28, 2022, the Company entered into a financing agreement with Alterna Capital Solutions (“ACS”), for a line of credit to replace its existing credit facility. The ACS line of credit is for a term of 3 years, provides for borrowings of up to $13,000, and is secured by eligible accounts receivable and inventory. An over advance rider provides for up to $400 of additional borrowing above the collateralized base (the “Over Advance”) up to a total borrowing of $13,000. At September 30, 2022, $151 of current availability and $3,494 of borrowing capacity was available under the financing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based on receivables bears an interest of prime plus 4.75% but not less than 8.0%. Borrowings based on inventory bears an interest of prime plus 5.25% but not less than 8.5%. The additional over advance rider bears a rate of prime plus 12.75%, but not less than 16.00%. Additionally, the line of credit is subject to monthly monitoring fee of $1 with a minimum usage requirement on the credit facility. A loan balance of less than $1,500 will bear interest at a rate in line with account receivables advances plus the monthly monitoring fee of $1.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$483 of direct costs of the transaction, consisting primarily of broker, bank and legal fees. These costs have been capitalized and are being amortized over the 3-year life of the ACS agreement. For the nine months ended September 30, 2022, amortization of debt discount was $80, and as of September 30, 2022, the remaining unamortized debt discount balance is $403.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Rosenthal &amp; Rosenthal (paid off in full on March 30, 2022)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2018, the Company entered into a financing agreement with Rosenthal &amp; Rosenthal, Inc. (“Rosenthal”) that provided a maximum borrowing capacity of $13,000, based on eligible accounts receivable and inventories (the “permitted borrowings”) plus advances (an “over-advance” of up to $4,000) in excess of permitted borrowings. On March 30, 2022, the Company paid in full the outstanding balance on its credit facility with Rosenthal with proceeds from ACS discussed above.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Rosenthal financing agreement bore interest at the greater of prime or 4.75%, plus an additional 2.0% to 3.5% depending on whether the borrowing was based upon receivables, inventory or is an over-advance. Additionally, the Rosenthal line of credit was subject to monthly facility and administration fees, and aggregate minimum monthly fees (including interest) of $4.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line of credit was secured by substantially all of the assets, excluding intellectual property, of the Company. The over-advance was secured by all of Reed’s intellectual property collateral. On March 11, 2021, the Company entered into an amendment to the Rosenthal agreement and replaced a standby letter of credit of $1,500 by a guarantor with a $2,000 pledge of securities to Rosenthal by John J. Bello and Nancy E. Bello, as Co-Trustees of The John and Nancy Bello Revocable Living Trust. John J. Bello, current Chairman and former Interim Chief Executive Officer of Reed’s, is a related party, and greater than 5% beneficial owner of Reed’s common stock. As consideration for the collateral support, Mr. Bello received 400,000 shares of Reed’s restricted stock, with a fair value of $472 which was recorded a prepaid financing cost. During the nine months ended September 30, 2022, $121 of the prepaid financing cost was amortized, and as of September 30, 2022, there was no remaining unamortized prepaid finance cost balance.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annually incurs an additional $130 of fees from the bank, which is equal to 1% of the $13,000 borrowing limit. Amortization of this debt discount was $65 and $162 for the nine months ended September 30, 2022, and 2021, respectively. At September 30, 2022, there was no remaining unamortized debt discount balance.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Secured Convertible Notes Payable</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Amounts outstanding under secured convertible notes payable are as follows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4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Convertible Note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financing costs</w:t>
            </w: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(1,157)</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12,579</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(4,414)</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 term portion</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Convertible Note Payable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9, 2022, the Company entered into a note purchase agreement and agreed to issue $11,250 of secured convertible promissory notes (the “Notes”) to Whitebox Advisors, LLC (“Whitebox”). During the three months ended September 30, 2022, the Company issued an additional $2,500 of Notes to Whitebox. The net proceeds from the issuance of the Notes, after deducting placement agent fees and other debt issuance costs, was approximately $12,430. During the three months ended September 30, 2022, the Company made principal payments of $400, and at September 30, 2022, the principal balance of the Notes was $13,350. Also, during the nine months ended September 30, 2022, accrued interest of $386 was recorded.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The Notes bear interest at a rate of 10% per annum (with 5% per annum payable in cash and 5% per annum payable “in kind” by adding such accrued interest to the principal amount of the Notes). The Notes are secured by substantially all of the Company’s assets (including all of its intellectual property) and are subject to a collateral sharing agreement with ACS, the Company’s existing secured lender (see Note 5). The Notes mature on May 9, 2025. In November 2022, the Company paid off the $2,500 of Notes in cash, and issued 3,483,993 shares of its common stock valued at $411 related to make whole interest on the $2,500 Notes.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August 2022, $11,250 of the Notes have an amortization feature, which, if elected by a majority of Notes holders, require the Company to make monthly payments of principal of $200 plus accrued interest. Each amortization payment shall, at the option of the Company, be payable in cash or in shares of the Company’s common stock. Any portion of an amortization payment or interest payment that is paid in shares of the Company’s common stock shall be priced at 90% of the average of the daily volume weighted average prices of the Company’s common stock during the five trading days prior to the date of amortization payment. During the three months ended September 30, 2022, the Company paid, in cash, principal amortization payments of $400 plus accrued interest. Remaining amortization payments of principal would total approximately $600 million in 2022, $2.4 million in 2023, $2.4 million in 2024, and $800,000 in 2025, leaving a principal balance of the Notes of approximately $4.7 million due at maturity.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initial conversion rate of the Notes is 4.1503 shares of the Company’s common stock per one dollar of principal converted, subject to customary anti-dilution adjustments. Upon conversion, holders of the Note are entitled to receive an interest make-whole payment, as defined. The make-whole amount is equal to the sum of the remaining scheduled payments of interest on the Notes to be converted that would be due if such notes matured May 9, 2025, payable, at the Company’s option in cash or in shares of common stock. The Company’s ability to settle conversions and make amortization payments and interest make-whole payments using shares of the Company’s common stock is subject to certain limitations set forth in the Notes. If the Company experiences a “fundamental change” (e.g., a change of control of the Company, the sale of substantially all of the Company’s assets, among others), the holders of the notes have the right to require the Company to repurchase the notes for cash at a repurchase price equal to 100% of the principal amount, plus accrued interest thereon. The holders of the Notes who redeem their Notes in connection with a make-whole fundamental change are, under certain circumstances, entitled to an increase in the conversion rate. At September 30, 2022, the Notes, including accrued interest, are convertible into 22,457,782 shares of the Company’s common stock pursuant to a share conversion cap limit as defined in the Notes.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contain certain covenants, including, among others, a limitation to the amount of borrowings under the line of credit with ACS (see Note 5). As of September 30, 2022, the Company was not in compliance with the covenant. On November 13, 2022, the Company entered into a Limited Waiver Agreement with Whitebox, pursuant to which the Company was provided a waiver of the covenant violation as of September 30, 2022, in exchange for payment of $96 and issuance of 2,470,118 shares of its common stock valued at $289.</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$1,320 of direct costs of the transactions, consisting primarily of placement agent fees and other offering expenses. These costs have been capitalized and are being amortized over the 3-year life of the Notes. For the nine months ended September 30, 2022, amortization of debt discount was $162, and as of September 30, 2022, the remaining unamortized debt discount balance is $1,157.</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a registration rights agreement with the holders, pursuant to which the Company agreed to register for resale shares issuable under the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2022 and 2021, lease costs totaled $86 and $71,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operating lease liabilities totaled $555. During the nine months ended September 30, 2022, the Company made payments of $118 towards its operating lease liability. As of September 30, 2022, operating lease liabilities totaled $437.</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the weighted average remaining lease terms for an operating lease are 2.25 years. As of September 30, 2022, the weighted average discount rate on the operating lease is 12.60%.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issuances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10, 2022, the Company entered into a securities purchase agreement with certain institutional and accredited investors pursuant to which the investors agreed to purchase 18,594,571 shares of the Company’s common stock and warrants to purchase 9,297,289 shares of common stock in a private placement (including 3,248,142 shares of the Company’s common stock and warrants to purchase 1,624,071 shares of common stock to investors who are officers and directors of the Company). The warrants have an exercise price of $0.2877 per share for a period of five years commencing six months from the closing date of March 11, 2022. The purchase price per share of common stock and associated warrant was $0.28 for certain investors and was $0.3502 for investors who are officers and directors of the Company in compliance with the rules of the Nasdaq Stock Market. The net proceeds to the Company, after deducting placement agent fees and other offering expenses, was approximately $5.0 million. The officers and directors of the Company purchased approximately $1.1 million of the securities in the offering.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2022, the Company issued 100,000 shares of common stock valued at $37 to John J. Bello and Nancy E. Bello, as Co-Trustees of The John and Nancy Bello Revocable Living Trust as consideration for the $2,000 pledge of securities to Rosenthal (see Note 5). John J. Bello, current Chairman and former Interim Chief Executive Officer of Reed’s, is a related party, and greater than 5% beneficial owner of Reed’s common stock.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5, 2021, the Company entered into a placement agency agreement with Roth Capital Partners, LLC (the “Placement Agent”) and a securities purchase agreement with a certain purchaser for the purchase of shares of the Company’s common stock, par value $0.0001 per share, in an offering of securities registered under an effective registration statement filed with the Securities and Exchange Commission (“SEC”). In the offering, the Company sold 6,680,000 shares of common stock, at a price of $1.18 per share. The offering closed on May 7, 2021 and total proceeds received, net of fees, were $7,327. The Placement Agent was paid a total cash fee at the closing of the Offering equal to 6.5% of the gross cash proceeds received by the Company from the sale of the shares of common stock in the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repurchases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repurchased 13,250 shares of common stock from an officer for $2 based on the market value of share on the date repurchased. The Company retired the shares.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repurchased 13,943 shares of common stock from an officer for $15 based on the market value of share on the date repurchased. The Company retired the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nine months ended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280" w:type="dxa"/>
            <w:vAlign w:val="bottom"/>
          </w:tcPr>
          <w:p>
            <w:pPr>
              <w:spacing w:after="0"/>
              <w:rPr>
                <w:sz w:val="18"/>
                <w:szCs w:val="18"/>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Issuable</w:t>
            </w: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at Date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45"/>
        </w:trPr>
        <w:tc>
          <w:tcPr>
            <w:tcW w:w="4280" w:type="dxa"/>
            <w:vAlign w:val="bottom"/>
          </w:tcPr>
          <w:p>
            <w:pPr>
              <w:spacing w:after="0"/>
              <w:rPr>
                <w:sz w:val="21"/>
                <w:szCs w:val="21"/>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111,164</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441,892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(337,454)</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337,024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(40,172)</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(337,024)</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175,430</w:t>
            </w:r>
          </w:p>
        </w:tc>
        <w:tc>
          <w:tcPr>
            <w:tcW w:w="34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top w:val="single" w:sz="8" w:color="CCEEFF"/>
            </w:tcBorders>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F-14</w:t>
            </w: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26, 2022, the board of directors of Reed’s, pursuant to a joint recommendation from its governance and compensation committees, set the cash compensation of its non-employee directors at $50,000 for fiscal 2022, payable quarterly in accordance with the company’s policies for non-employee director compensation. In addition, the Company granted 401,720 restricted stock awards to five non-employee directors. 100,430 of these restricted stock awards vested on February 1, 2022, 100,430 vested on May 1, 2022, and 100,430 vested on August 1, 2022. The remaining 100,430 restricted stock awards will vest November 1, 2022. The aggregate fair value of the stock awards was $150 based on the market price of our common stock price which was $0.32 per share on the date of grants and is amortized as shares vest.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fair value of restricted common stock vesting during the nine months ended September 30, 2022 and 2021, was $137 and $234, respectively, and is included in general and administrative expenses in the accompanying statements of operations. As of September 30, 2022, the amount of unvested compensation related to issuances of restricted common stock was $44,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nine months ended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Terms</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280" w:type="dxa"/>
            <w:vAlign w:val="bottom"/>
          </w:tcPr>
          <w:p>
            <w:pPr>
              <w:spacing w:after="0"/>
              <w:rPr>
                <w:sz w:val="21"/>
                <w:szCs w:val="21"/>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10,522,995</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685,456</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0.24</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Unvested forfeited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(1,391,874)</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1.21</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forfeited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(979,705)</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1.34</w:t>
            </w:r>
          </w:p>
        </w:tc>
        <w:tc>
          <w:tcPr>
            <w:tcW w:w="1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September 30, 2022</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8,836,872</w:t>
            </w:r>
          </w:p>
        </w:tc>
        <w:tc>
          <w:tcPr>
            <w:tcW w:w="34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9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1.02</w:t>
            </w:r>
          </w:p>
        </w:tc>
        <w:tc>
          <w:tcPr>
            <w:tcW w:w="34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7.29</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4,584,987</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1.14</w:t>
            </w:r>
          </w:p>
        </w:tc>
        <w:tc>
          <w:tcPr>
            <w:tcW w:w="3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approved options exercisable into 685,456 shares to be issued pursuant to Reed’s 2020 Equity Incentive Plan. 685,456 options were issued to employees, 342,748 options vesting annually over a four-year vesting period, and 342,728 options vesting based on performance criteria to be established by the board of directors.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options are exercisable at a price of $0.24 per share and expire in ten years. The total fair value of these options at grant date was approximately $59, which was determined using a Black-Scholes-Merton option pricing model with the following average assumption: stock price of $0.24 share, expected term of six years, volatility of 82%, dividend rate of 0%, and weighted average risk-free interest rate of 2.82%.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Company recognized $448 and $1,264 of compensation expense relating to vested stock options. As of September 30, 2022, the aggregate amount of unvested compensation related to stock options was approximately $1,475 which will be recognized as an expense as the options vest in future periods through March 28,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the outstanding and exercisable options have no intrinsic value. The aggregate intrinsic value was calculated as the difference between the closing market price as of September 30, 2022, which was $0.12, and the exercise price of the outstanding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has issued warrants to purchase an aggregate of 12,547,289 shares of common stock. The Company’s warrant activity during the nine months ended September 30, 2022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5"/>
        </w:trPr>
        <w:tc>
          <w:tcPr>
            <w:tcW w:w="4280" w:type="dxa"/>
            <w:vAlign w:val="bottom"/>
          </w:tcPr>
          <w:p>
            <w:pPr>
              <w:spacing w:after="0"/>
              <w:rPr>
                <w:sz w:val="21"/>
                <w:szCs w:val="21"/>
                <w:color w:val="auto"/>
              </w:rPr>
            </w:pPr>
          </w:p>
        </w:tc>
        <w:tc>
          <w:tcPr>
            <w:tcW w:w="182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Terms (Years)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16"/>
        </w:trPr>
        <w:tc>
          <w:tcPr>
            <w:tcW w:w="4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4,538,479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9,297,289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0.29</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(1,288,479)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1.69</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12,547,289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0.41</w:t>
            </w:r>
          </w:p>
        </w:tc>
        <w:tc>
          <w:tcPr>
            <w:tcW w:w="1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2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Exercisable at September 30, 2022</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12,547,289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0.41</w:t>
            </w:r>
          </w:p>
        </w:tc>
        <w:tc>
          <w:tcPr>
            <w:tcW w:w="160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4.44</w:t>
            </w:r>
          </w:p>
        </w:tc>
        <w:tc>
          <w:tcPr>
            <w:tcW w:w="28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10, 2022, the Company entered into a securities purchase agreement with certain institutional and accredited investors pursuant to which the investors agreed to purchase 18,594,571 shares of the Company’s common stock and warrants to purchase 9,297,289 shares of common stock in a private placement. The warrants have an exercise price of $0.2877 per share for a period of five years commencing nine months from the closing date of March 11, 2022 (see Note 7).</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24, 2021, the Company granted John Bello, current Chairman, significant shareholder and former Interim Chief Executive Officer of Reed’s, who is a related party, a 5-year warrant to purchase 1,500,000 shares of the Company common stock with an exercise price of $0.46. The fair value of the warrants granted was determined to be $458 and was recorded as a prepaid financing costs. The unamortized balance of prepaid financing costs was $310 on December 31, 2021. During the nine months ended September 30, 2022, the Company amortized $310 of prepaid financing costs to interest expense, leaving no remaining prepaid financing cost balance at September 30, 2022.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outstanding and exercisable warrants have no aggregate intrinsic value. The aggregate intrinsic value was calculated as the difference between the closing market price as of September 30, 2022, which was $0.12, and the exercise price of the Company’s warrants to purchase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the Company completed the sale of its Los Angeles manufacturing plant to California Custom Beverage, LLC (“CCB”), an entity owned by Christopher J. Reed, a related party, and CCB assumed the monthly payments on our lease obligation for the Los Angeles manufacturing plant. Our release from the obligation by the lessor, however, is dependent upon CCB’s deposit of $1,200 of security with the lessor. The deposit is secured by Mr. Reed’s pledge of common stock to the lessor and guaranteed personally by Mr. Reed and his wife. As of September 30, 2022, $800 has been deposited with the lessor and Mr. Reed has placed approximately 363,000 pledged shares valued at $96 that remain in escrow with the lessor.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2019, we are to receive a 5% royalty on CCB’s private label sales to existing customers and a 5% referral fee on CCB’s private label sales to referred customers for three years. The royalty agreement terminated December 31, 2021. During the nine months ended September 30, 2022 and 2021, the Company recorded royalty revenue from CCB of $0 and $4,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2021, the Company had an aggregate receivable balance from CCB of $933. During the nine months ended September 30, 2022, the Company advanced expenses of $569, leaving an aggregate receivable balance of $1,502 at September 30,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and December 31, 2021, the Company had accounts payable due to CCB of $1,811 and $614,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Lindsay Martin, daughter of a director of the Company, is employed as Vice President of Marketing. Ms. Martin was paid approximately $131 and $178, respectively, for her services during the nine months ended September 30,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September 30, 2022, the Company issued 100,430 shares of common stock on the vesting of restricted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 and Information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the related notes appearing elsewhere in this report.</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period ended September 30, 2022, the Company continued to strengthen its supply chain, implement gross margin enhancement initiatives, drive efficiencies in transportation and warehouse costs and reduce operating expenses. In addition, it continues to build its innovation pipeline with sustained growth in Reed’s Real Ginger Ale and Reed’s Classic Mule. At the end of the first quarter, the Company shipped its rebranded Virgil’s zero sugar line in 12 oz. sleek cans and produced its new line of Reed’s Hard Ginger Ale.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above, the Company remains focused on driving sales growth, improving margin, and reducing freight costs.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 particularly delivery and handling expenses. During 2021, the Company experienced elevated transportation costs over the prior year. Whilethese costs remained elevated for the first six months of 2022, averaging $4.47 per case, during the 3 month period ended 9/30/22 transportation costs were reduced to $3.38 per case or a 24% decline. . Plans have been implemented to further mitigate the impact of these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 Market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period ended September 30,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U.S. economy continued to grow during the first quarter of 2022, the continuing impact of the COVID-19 pandemic,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the remainder of 2022.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line="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experienced relief from elevated freight costs. The average cost of shipping and handling for the six months ended June 30, 2022 was $4.47 per case, while is was $3.38 per case for the three month period ended September 30, 2022. The Company believes these challenges will continue throughout the year. In addition, the Company experienced increases in the pricing of several of its raw materials and delays in procuring several of these items. However, mitigation plans have been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throughout 2022.</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September 30, 2022,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observed any material impairments of our assets or a significant change in the fair value of our assets due to the COVID-19 pandemic.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2022, as compared to September 30,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key statistics for the three months ended September 30, 2022 and 2021, respectively,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5"/>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4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Pct.</w:t>
            </w:r>
          </w:p>
        </w:tc>
      </w:tr>
      <w:tr>
        <w:trPr>
          <w:trHeight w:val="237"/>
        </w:trPr>
        <w:tc>
          <w:tcPr>
            <w:tcW w:w="49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 (A)</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 Promotional and other allowances (B)</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2,007</w:t>
            </w:r>
          </w:p>
        </w:tc>
        <w:tc>
          <w:tcPr>
            <w:tcW w:w="44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1,136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9,659</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9,530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Gross billing</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68%</w:t>
            </w:r>
          </w:p>
        </w:tc>
        <w:tc>
          <w:tcPr>
            <w:tcW w:w="4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66%</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80%</w:t>
            </w:r>
          </w:p>
        </w:tc>
        <w:tc>
          <w:tcPr>
            <w:tcW w:w="4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71%</w:t>
            </w: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496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2,435</w:t>
            </w:r>
          </w:p>
        </w:tc>
        <w:tc>
          <w:tcPr>
            <w:tcW w:w="3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3,872</w:t>
            </w:r>
          </w:p>
        </w:tc>
        <w:tc>
          <w:tcPr>
            <w:tcW w:w="380" w:type="dxa"/>
            <w:vAlign w:val="bottom"/>
            <w:tcBorders>
              <w:top w:val="single" w:sz="8" w:color="CCEEFF"/>
              <w:bottom w:val="single" w:sz="8" w:color="CCEEFF"/>
            </w:tcBorders>
          </w:tcPr>
          <w:p>
            <w:pPr>
              <w:spacing w:after="0"/>
              <w:rPr>
                <w:sz w:val="18"/>
                <w:szCs w:val="18"/>
                <w:color w:val="auto"/>
              </w:rPr>
            </w:pPr>
          </w:p>
        </w:tc>
        <w:tc>
          <w:tcPr>
            <w:tcW w:w="160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-37%</w:t>
            </w: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20%</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29%</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and handling</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2,249</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3,093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19%</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23%</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Dollar per case ($)</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3.38</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i w:val="1"/>
                <w:iCs w:val="1"/>
                <w:color w:val="auto"/>
                <w:w w:val="70"/>
              </w:rPr>
              <w:t>$</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3.89</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1,220</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2,644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10%</w:t>
            </w:r>
          </w:p>
        </w:tc>
        <w:tc>
          <w:tcPr>
            <w:tcW w:w="4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1,420</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1,788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12%</w:t>
            </w:r>
          </w:p>
        </w:tc>
        <w:tc>
          <w:tcPr>
            <w:tcW w:w="4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13%</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(2,454)</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 income (expense)</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(777)</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4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(3,231)</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(3,887)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4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(0.03)</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&amp; diluted</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112,652,320</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93,644,935</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6" w:lineRule="exact"/>
        <w:rPr>
          <w:sz w:val="20"/>
          <w:szCs w:val="20"/>
          <w:color w:val="auto"/>
        </w:rPr>
      </w:pPr>
    </w:p>
    <w:p>
      <w:pPr>
        <w:jc w:val="both"/>
        <w:ind w:firstLine="8"/>
        <w:spacing w:after="0" w:line="258" w:lineRule="auto"/>
        <w:tabs>
          <w:tab w:leader="none" w:pos="283"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i w:val="1"/>
          <w:iCs w:val="1"/>
          <w:color w:val="auto"/>
        </w:rPr>
      </w:pPr>
    </w:p>
    <w:p>
      <w:pPr>
        <w:jc w:val="both"/>
        <w:ind w:firstLine="8"/>
        <w:spacing w:after="0" w:line="253" w:lineRule="auto"/>
        <w:tabs>
          <w:tab w:leader="none" w:pos="30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w:t>
      </w:r>
    </w:p>
    <w:p>
      <w:pPr>
        <w:sectPr>
          <w:pgSz w:w="11900" w:h="16854" w:orient="portrait"/>
          <w:cols w:equalWidth="0" w:num="1">
            <w:col w:w="11240"/>
          </w:cols>
          <w:pgMar w:left="320" w:top="661" w:right="339" w:bottom="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 sets forth key statistics for the transition of the Company’s top line activity from the second quarter of 2021 through the third quarter of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9"/>
              </w:rPr>
              <w:t>Sept YTD Per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5"/>
              </w:rPr>
              <w:t>Q3 Per Case</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Case</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2"/>
          </w:tcPr>
          <w:p>
            <w:pPr>
              <w:jc w:val="right"/>
              <w:ind w:right="300"/>
              <w:spacing w:after="0" w:line="115" w:lineRule="exact"/>
              <w:rPr>
                <w:sz w:val="20"/>
                <w:szCs w:val="20"/>
                <w:color w:val="auto"/>
              </w:rPr>
            </w:pPr>
            <w:r>
              <w:rPr>
                <w:rFonts w:ascii="Times New Roman" w:cs="Times New Roman" w:eastAsia="Times New Roman" w:hAnsi="Times New Roman"/>
                <w:sz w:val="13"/>
                <w:szCs w:val="13"/>
                <w:b w:val="1"/>
                <w:bCs w:val="1"/>
                <w:color w:val="auto"/>
              </w:rPr>
              <w:t>Q3</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vs</w:t>
            </w:r>
          </w:p>
        </w:tc>
        <w:tc>
          <w:tcPr>
            <w:tcW w:w="5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YTD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vs</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vs</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Q1</w:t>
            </w:r>
          </w:p>
        </w:tc>
        <w:tc>
          <w:tcPr>
            <w:tcW w:w="80" w:type="dxa"/>
            <w:vAlign w:val="bottom"/>
          </w:tcPr>
          <w:p>
            <w:pPr>
              <w:spacing w:after="0"/>
              <w:rPr>
                <w:sz w:val="14"/>
                <w:szCs w:val="14"/>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Q2</w:t>
            </w:r>
          </w:p>
        </w:tc>
        <w:tc>
          <w:tcPr>
            <w:tcW w:w="80" w:type="dxa"/>
            <w:vAlign w:val="bottom"/>
          </w:tcPr>
          <w:p>
            <w:pPr>
              <w:spacing w:after="0"/>
              <w:rPr>
                <w:sz w:val="14"/>
                <w:szCs w:val="14"/>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Q3</w:t>
            </w:r>
          </w:p>
        </w:tc>
        <w:tc>
          <w:tcPr>
            <w:tcW w:w="8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YTD</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PY</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3"/>
              </w:rPr>
              <w:t>vs PY</w:t>
            </w:r>
          </w:p>
        </w:tc>
        <w:tc>
          <w:tcPr>
            <w:tcW w:w="80" w:type="dxa"/>
            <w:vAlign w:val="bottom"/>
          </w:tcPr>
          <w:p>
            <w:pPr>
              <w:spacing w:after="0"/>
              <w:rPr>
                <w:sz w:val="14"/>
                <w:szCs w:val="14"/>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Q1</w:t>
            </w:r>
          </w:p>
        </w:tc>
        <w:tc>
          <w:tcPr>
            <w:tcW w:w="80" w:type="dxa"/>
            <w:vAlign w:val="bottom"/>
          </w:tcPr>
          <w:p>
            <w:pPr>
              <w:spacing w:after="0"/>
              <w:rPr>
                <w:sz w:val="14"/>
                <w:szCs w:val="14"/>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Q2</w:t>
            </w:r>
          </w:p>
        </w:tc>
        <w:tc>
          <w:tcPr>
            <w:tcW w:w="80" w:type="dxa"/>
            <w:vAlign w:val="bottom"/>
          </w:tcPr>
          <w:p>
            <w:pPr>
              <w:spacing w:after="0"/>
              <w:rPr>
                <w:sz w:val="14"/>
                <w:szCs w:val="14"/>
                <w:color w:val="auto"/>
              </w:rPr>
            </w:pP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Q3</w:t>
            </w:r>
          </w:p>
        </w:tc>
        <w:tc>
          <w:tcPr>
            <w:tcW w:w="8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YTD</w:t>
            </w: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2021</w:t>
            </w:r>
          </w:p>
        </w:tc>
        <w:tc>
          <w:tcPr>
            <w:tcW w:w="200" w:type="dxa"/>
            <w:vAlign w:val="bottom"/>
          </w:tcPr>
          <w:p>
            <w:pPr>
              <w:spacing w:after="0"/>
              <w:rPr>
                <w:sz w:val="14"/>
                <w:szCs w:val="14"/>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PY</w:t>
            </w:r>
          </w:p>
        </w:tc>
        <w:tc>
          <w:tcPr>
            <w:tcW w:w="60" w:type="dxa"/>
            <w:vAlign w:val="bottom"/>
          </w:tcPr>
          <w:p>
            <w:pPr>
              <w:spacing w:after="0"/>
              <w:rPr>
                <w:sz w:val="14"/>
                <w:szCs w:val="14"/>
                <w:color w:val="auto"/>
              </w:rPr>
            </w:pP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84"/>
              </w:rPr>
              <w:t>2022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PY</w:t>
            </w:r>
          </w:p>
        </w:tc>
        <w:tc>
          <w:tcPr>
            <w:tcW w:w="0" w:type="dxa"/>
            <w:vAlign w:val="bottom"/>
          </w:tcPr>
          <w:p>
            <w:pPr>
              <w:spacing w:after="0"/>
              <w:rPr>
                <w:sz w:val="1"/>
                <w:szCs w:val="1"/>
                <w:color w:val="auto"/>
              </w:rPr>
            </w:pPr>
          </w:p>
        </w:tc>
      </w:tr>
      <w:tr>
        <w:trPr>
          <w:trHeight w:val="135"/>
        </w:trPr>
        <w:tc>
          <w:tcPr>
            <w:tcW w:w="90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Cases:</w:t>
            </w: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Reed’s</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415</w:t>
            </w:r>
          </w:p>
        </w:tc>
        <w:tc>
          <w:tcPr>
            <w:tcW w:w="8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357</w:t>
            </w:r>
          </w:p>
        </w:tc>
        <w:tc>
          <w:tcPr>
            <w:tcW w:w="8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1,182</w:t>
            </w: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395</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353</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420</w:t>
            </w:r>
          </w:p>
        </w:tc>
        <w:tc>
          <w:tcPr>
            <w:tcW w:w="8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1,168</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Virgil’s</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351</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304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957</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w:t>
            </w:r>
          </w:p>
        </w:tc>
        <w:tc>
          <w:tcPr>
            <w:tcW w:w="56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339</w:t>
            </w: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347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371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1,057</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auto"/>
              </w:rPr>
              <w:t>Total Core</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717</w:t>
            </w: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761</w:t>
            </w: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661</w:t>
            </w: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2,139</w:t>
            </w:r>
          </w:p>
        </w:tc>
        <w:tc>
          <w:tcPr>
            <w:tcW w:w="200" w:type="dxa"/>
            <w:vAlign w:val="bottom"/>
            <w:vMerge w:val="continue"/>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3"/>
                <w:szCs w:val="13"/>
                <w:b w:val="1"/>
                <w:bCs w:val="1"/>
                <w:color w:val="auto"/>
              </w:rPr>
              <w:t>-16%</w:t>
            </w:r>
          </w:p>
        </w:tc>
        <w:tc>
          <w:tcPr>
            <w:tcW w:w="56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734</w:t>
            </w: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700</w:t>
            </w: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791</w:t>
            </w: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2,225</w:t>
            </w:r>
          </w:p>
        </w:tc>
        <w:tc>
          <w:tcPr>
            <w:tcW w:w="2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Non Core</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Candy</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900" w:type="dxa"/>
            <w:vAlign w:val="bottom"/>
            <w:shd w:val="clear" w:color="auto" w:fill="CCEEFF"/>
          </w:tcPr>
          <w:p>
            <w:pPr>
              <w:spacing w:after="0"/>
              <w:rPr>
                <w:sz w:val="2"/>
                <w:szCs w:val="2"/>
                <w:color w:val="auto"/>
              </w:rPr>
            </w:pPr>
          </w:p>
        </w:tc>
        <w:tc>
          <w:tcPr>
            <w:tcW w:w="7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9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721</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766</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665</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2,152</w:t>
            </w:r>
          </w:p>
        </w:tc>
        <w:tc>
          <w:tcPr>
            <w:tcW w:w="200" w:type="dxa"/>
            <w:vAlign w:val="bottom"/>
            <w:vMerge w:val="continue"/>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-16%</w:t>
            </w:r>
          </w:p>
        </w:tc>
        <w:tc>
          <w:tcPr>
            <w:tcW w:w="560" w:type="dxa"/>
            <w:vAlign w:val="bottom"/>
            <w:tcBorders>
              <w:righ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742</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710</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796</w:t>
            </w:r>
          </w:p>
        </w:tc>
        <w:tc>
          <w:tcPr>
            <w:tcW w:w="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2,248</w:t>
            </w: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Gross Billing:</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Core</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w w:val="94"/>
              </w:rPr>
              <w:t>13,287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14,972</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w w:val="94"/>
              </w:rPr>
              <w:t>13,876</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42,135</w:t>
            </w: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w w:val="94"/>
              </w:rPr>
              <w:t>12,955</w:t>
            </w: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12,200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14,199</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39,354</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21.0</w:t>
            </w: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19.7</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4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Non Core</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560" w:type="dxa"/>
            <w:vAlign w:val="bottom"/>
            <w:tcBorders>
              <w:right w:val="single" w:sz="8" w:color="CCEEFF"/>
            </w:tcBorders>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320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160.0</w:t>
            </w:r>
          </w:p>
        </w:tc>
        <w:tc>
          <w:tcPr>
            <w:tcW w:w="4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Candy</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619</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191</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771</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38.2</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47.6</w:t>
            </w: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27"/>
        </w:trPr>
        <w:tc>
          <w:tcPr>
            <w:tcW w:w="900" w:type="dxa"/>
            <w:vAlign w:val="bottom"/>
            <w:shd w:val="clear" w:color="auto" w:fill="CCEEFF"/>
          </w:tcPr>
          <w:p>
            <w:pPr>
              <w:spacing w:after="0"/>
              <w:rPr>
                <w:sz w:val="2"/>
                <w:szCs w:val="2"/>
                <w:color w:val="auto"/>
              </w:rPr>
            </w:pPr>
          </w:p>
        </w:tc>
        <w:tc>
          <w:tcPr>
            <w:tcW w:w="7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9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13,636</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15,155</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14,101</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42,892</w:t>
            </w:r>
          </w:p>
        </w:tc>
        <w:tc>
          <w:tcPr>
            <w:tcW w:w="200" w:type="dxa"/>
            <w:vAlign w:val="bottom"/>
            <w:vMerge w:val="continue"/>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56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13,281</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12,626</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14,538</w:t>
            </w:r>
          </w:p>
        </w:tc>
        <w:tc>
          <w:tcPr>
            <w:tcW w:w="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40,445</w:t>
            </w: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21.2</w:t>
            </w:r>
          </w:p>
        </w:tc>
        <w:tc>
          <w:tcPr>
            <w:tcW w:w="1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18.3</w:t>
            </w:r>
          </w:p>
        </w:tc>
        <w:tc>
          <w:tcPr>
            <w:tcW w:w="200" w:type="dxa"/>
            <w:vAlign w:val="bottom"/>
            <w:vMerge w:val="continue"/>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16%</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19.9</w:t>
            </w:r>
          </w:p>
        </w:tc>
        <w:tc>
          <w:tcPr>
            <w:tcW w:w="1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18.0</w:t>
            </w:r>
          </w:p>
        </w:tc>
        <w:tc>
          <w:tcPr>
            <w:tcW w:w="180" w:type="dxa"/>
            <w:vAlign w:val="bottom"/>
            <w:vMerge w:val="continue"/>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Discounts:</w:t>
            </w:r>
          </w:p>
        </w:tc>
        <w:tc>
          <w:tcPr>
            <w:tcW w:w="70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(1,454)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(1,430)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(2,007)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(4,891)</w:t>
            </w: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77%</w:t>
            </w:r>
          </w:p>
        </w:tc>
        <w:tc>
          <w:tcPr>
            <w:tcW w:w="56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(1,135)</w:t>
            </w: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(1,356)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(1,136)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(3,627)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(3.0)</w:t>
            </w: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(1.4)</w:t>
            </w: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111%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(2.3)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(1.6)</w:t>
            </w:r>
          </w:p>
        </w:tc>
        <w:tc>
          <w:tcPr>
            <w:tcW w:w="4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COGS: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Core</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(9,150)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w w:val="94"/>
              </w:rPr>
              <w:t>(10,286)</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(9,548)</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w w:val="94"/>
              </w:rPr>
              <w:t>(28,984)</w:t>
            </w: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(8,122)</w:t>
            </w: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(7,851)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(9,372)</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w w:val="98"/>
              </w:rPr>
              <w:t>(25,345)</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(11.9)</w:t>
            </w: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(11.4)</w:t>
            </w:r>
          </w:p>
        </w:tc>
        <w:tc>
          <w:tcPr>
            <w:tcW w:w="4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48"/>
        </w:trPr>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Non Core</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(32)</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-62%</w:t>
            </w: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Candy</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(319)</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(453)</w:t>
            </w:r>
          </w:p>
        </w:tc>
        <w:tc>
          <w:tcPr>
            <w:tcW w:w="60" w:type="dxa"/>
            <w:vAlign w:val="bottom"/>
          </w:tcPr>
          <w:p>
            <w:pPr>
              <w:spacing w:after="0"/>
              <w:rPr>
                <w:sz w:val="12"/>
                <w:szCs w:val="12"/>
                <w:color w:val="auto"/>
              </w:rPr>
            </w:pPr>
          </w:p>
        </w:tc>
        <w:tc>
          <w:tcPr>
            <w:tcW w:w="5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(24.5)</w:t>
            </w:r>
          </w:p>
        </w:tc>
        <w:tc>
          <w:tcPr>
            <w:tcW w:w="6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7"/>
        </w:trPr>
        <w:tc>
          <w:tcPr>
            <w:tcW w:w="900" w:type="dxa"/>
            <w:vAlign w:val="bottom"/>
            <w:shd w:val="clear" w:color="auto" w:fill="CCEEFF"/>
          </w:tcPr>
          <w:p>
            <w:pPr>
              <w:spacing w:after="0"/>
              <w:rPr>
                <w:sz w:val="2"/>
                <w:szCs w:val="2"/>
                <w:color w:val="auto"/>
              </w:rPr>
            </w:pPr>
          </w:p>
        </w:tc>
        <w:tc>
          <w:tcPr>
            <w:tcW w:w="7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9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89"/>
              </w:rPr>
              <w:t>(9,250)</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85"/>
              </w:rPr>
              <w:t>(10,426)</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89"/>
              </w:rPr>
              <w:t>(9,659)</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85"/>
              </w:rPr>
              <w:t>(29,335)</w:t>
            </w:r>
          </w:p>
        </w:tc>
        <w:tc>
          <w:tcPr>
            <w:tcW w:w="200" w:type="dxa"/>
            <w:vAlign w:val="bottom"/>
            <w:vMerge w:val="continue"/>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w:t>
            </w:r>
          </w:p>
        </w:tc>
        <w:tc>
          <w:tcPr>
            <w:tcW w:w="56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89"/>
              </w:rPr>
              <w:t>(8,293)</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(8,001)</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(9,530)</w:t>
            </w:r>
          </w:p>
        </w:tc>
        <w:tc>
          <w:tcPr>
            <w:tcW w:w="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89"/>
              </w:rPr>
              <w:t>(25,824)</w:t>
            </w:r>
          </w:p>
        </w:tc>
        <w:tc>
          <w:tcPr>
            <w:tcW w:w="2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(14.5)</w:t>
            </w:r>
          </w:p>
        </w:tc>
        <w:tc>
          <w:tcPr>
            <w:tcW w:w="1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88"/>
              </w:rPr>
              <w:t>(12.0)</w:t>
            </w:r>
          </w:p>
        </w:tc>
        <w:tc>
          <w:tcPr>
            <w:tcW w:w="200" w:type="dxa"/>
            <w:vAlign w:val="bottom"/>
            <w:vMerge w:val="continue"/>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(13.6)</w:t>
            </w:r>
          </w:p>
        </w:tc>
        <w:tc>
          <w:tcPr>
            <w:tcW w:w="1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(11.5)</w:t>
            </w:r>
          </w:p>
        </w:tc>
        <w:tc>
          <w:tcPr>
            <w:tcW w:w="180" w:type="dxa"/>
            <w:vAlign w:val="bottom"/>
            <w:vMerge w:val="continue"/>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Gross Margin: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2,932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3,299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2,435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8,666</w:t>
            </w: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-37%</w:t>
            </w:r>
          </w:p>
        </w:tc>
        <w:tc>
          <w:tcPr>
            <w:tcW w:w="56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3,853</w:t>
            </w: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3,269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3,872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10,995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3.7</w:t>
            </w: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4.9</w:t>
            </w: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-25%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4.0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4.9</w:t>
            </w:r>
          </w:p>
        </w:tc>
        <w:tc>
          <w:tcPr>
            <w:tcW w:w="4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6"/>
        </w:trPr>
        <w:tc>
          <w:tcPr>
            <w:tcW w:w="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 Net Sales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beverage volume for the three months ended September 30, 2022, represents 99% of all beverage volume.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 brand gross billing decreased by 2% to $13,876 compared to $14,199 during the same period last year, driven by Reed’s volume decline of 15% and Virgil’s volume decline of 18%. The result is a decrease in total gross billing of 3%, to $14,101 during the three months ended September 30, 2022, from $14,538 in the same period last year. Price on our core brands increased 17% to $20.99 per case.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Discounts as a percentage of gross sales increased to 14% from 8% in the same period last year. As a result, net sales revenue decreased 10% in the three months ended September 30, 2022, to $12,094, compared to $13,402 in the same period last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increased $129 during the three months ended September 30, 2022, as compared to the same period last year. As a percentage of net sales, cost of goods sold for the three months ended September 30,2022, was 80% as compared to 71% for the same period last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cost of goods per case increased to $14.52 per case in the three months ended September 30, 2022, from $11.97 per case for the same period last year. The cost of goods sold per case on core brands was $14.44 during the three months ended September 30, 2022, compared to $11.85 for the same period last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decreased to 20% for the three months ended September 30, 2022, compared to 29% for the same period last year.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and Handling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Delivery and handling expenses consist of delivery costs to customers and warehousing costs incurred for handling our finished goods after production. Delivery and handling expenses decreased by $844 in the three months ended September 30, 2022, to $2,249 from $3,093 in the same period last year. Delivery costs in the three months ended September 30, 2022, were 19% of net sales and $3.38 per case, compared to 23% of net sales and $3.89 per case during the same period last year. The decrease was primarily related to freight costs associated with lower inventory production during the third quarter.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were $1,220 during the three months ended September 30, 2022, compared to $2,644 during the same period last year. As a percentage of net sales, selling and marketing were 10% of net sales during the three months ended September 30, 2022, as compared to 20% of net sales during the same period last year. The decrease was driven by lower headcount, reduced marketing spend, stock compensation and distributor buyouts.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 of executive, administrative, and finance personnel, as well as professional fees. General and administrative expenses decreased in the three months ended September 30, 2022, to $1,420 from $1,788, a decrease of $368 over the same period last year. The decrease was driven by lower employee related costs and stock compensation partially offset higher professional fees and bad debt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from operations was $2,454 for the three months ended September 30, 2022, as compared to a loss of $3,653 in the same period last year driven by increased gross profit offset by increases in operating expenses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income for the three months ended September 30, 2022, consisted of $777 of interest expense. During the same period last year, interest and other income consisted of $234 of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Modified EBITDA</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legal settlements, and one-time restructuring-related costs including employee severance and asset impairment.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2alysis.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reconciliation of net loss to Modified EBITDA for the three months ended September 30, 2022 and 2021 (unaudited; in thousands):</w:t>
      </w:r>
    </w:p>
    <w:p>
      <w:pPr>
        <w:spacing w:after="0" w:line="22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Borders>
              <w:bottom w:val="single" w:sz="8" w:color="CCEEFF"/>
            </w:tcBorders>
          </w:tcPr>
          <w:p>
            <w:pPr>
              <w:spacing w:after="0"/>
              <w:rPr>
                <w:sz w:val="21"/>
                <w:szCs w:val="21"/>
                <w:color w:val="auto"/>
              </w:rPr>
            </w:pPr>
          </w:p>
        </w:tc>
        <w:tc>
          <w:tcPr>
            <w:tcW w:w="228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(3,231)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 adjustments:</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other noncash compensation</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r>
      <w:tr>
        <w:trPr>
          <w:trHeight w:val="223"/>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EBITDA adjustments</w:t>
            </w: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w:t>
            </w:r>
          </w:p>
        </w:tc>
        <w:tc>
          <w:tcPr>
            <w:tcW w:w="324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(2,182)</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our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future interest expense, or the cash requirements necessary to service interest or principal payments, on our debts;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key statistics for the nine months ended September 30, 2022 and 2021, respectively,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Pct.</w:t>
            </w:r>
          </w:p>
        </w:tc>
        <w:tc>
          <w:tcPr>
            <w:tcW w:w="0" w:type="dxa"/>
            <w:vAlign w:val="bottom"/>
          </w:tcPr>
          <w:p>
            <w:pPr>
              <w:spacing w:after="0"/>
              <w:rPr>
                <w:sz w:val="1"/>
                <w:szCs w:val="1"/>
                <w:color w:val="auto"/>
              </w:rPr>
            </w:pPr>
          </w:p>
        </w:tc>
      </w:tr>
      <w:tr>
        <w:trPr>
          <w:trHeight w:val="241"/>
        </w:trPr>
        <w:tc>
          <w:tcPr>
            <w:tcW w:w="4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38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 (A)</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42,892</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 Promotional and other allowances (B)</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4,891</w:t>
            </w:r>
          </w:p>
        </w:tc>
        <w:tc>
          <w:tcPr>
            <w:tcW w:w="54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3,627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38,001</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29,335</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25,824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Gross billing</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68%</w:t>
            </w:r>
          </w:p>
        </w:tc>
        <w:tc>
          <w:tcPr>
            <w:tcW w:w="5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64%</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77%</w:t>
            </w:r>
          </w:p>
        </w:tc>
        <w:tc>
          <w:tcPr>
            <w:tcW w:w="5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70%</w:t>
            </w: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8,666</w:t>
            </w:r>
          </w:p>
        </w:tc>
        <w:tc>
          <w:tcPr>
            <w:tcW w:w="380" w:type="dxa"/>
            <w:vAlign w:val="bottom"/>
            <w:tcBorders>
              <w:top w:val="single" w:sz="8" w:color="CCEEFF"/>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10,994</w:t>
            </w:r>
          </w:p>
        </w:tc>
        <w:tc>
          <w:tcPr>
            <w:tcW w:w="380" w:type="dxa"/>
            <w:vAlign w:val="bottom"/>
            <w:tcBorders>
              <w:top w:val="single" w:sz="8" w:color="CCEEFF"/>
              <w:bottom w:val="single" w:sz="8" w:color="CCEEFF"/>
            </w:tcBorders>
          </w:tcPr>
          <w:p>
            <w:pPr>
              <w:spacing w:after="0"/>
              <w:rPr>
                <w:sz w:val="18"/>
                <w:szCs w:val="18"/>
                <w:color w:val="auto"/>
              </w:rPr>
            </w:pPr>
          </w:p>
        </w:tc>
        <w:tc>
          <w:tcPr>
            <w:tcW w:w="160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23%</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30%</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and handling</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8,893</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8,888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23%</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24%</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Dollar per case ($)</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4.13</w:t>
            </w:r>
          </w:p>
        </w:tc>
        <w:tc>
          <w:tcPr>
            <w:tcW w:w="5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3.95</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5,623</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7,493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15%</w:t>
            </w:r>
          </w:p>
        </w:tc>
        <w:tc>
          <w:tcPr>
            <w:tcW w:w="5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5,319</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6,227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14%</w:t>
            </w:r>
          </w:p>
        </w:tc>
        <w:tc>
          <w:tcPr>
            <w:tcW w:w="5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17%</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(11,169)</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(11,614)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 income (expense)</w:t>
            </w: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(2,119)</w:t>
            </w:r>
          </w:p>
        </w:tc>
        <w:tc>
          <w:tcPr>
            <w:tcW w:w="5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(13,288)</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(11,536)</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&amp; diluted</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101,229,082</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90,400,832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980" w:hanging="648"/>
        <w:spacing w:after="0" w:line="267" w:lineRule="auto"/>
        <w:tabs>
          <w:tab w:leader="none" w:pos="9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w:t>
      </w:r>
    </w:p>
    <w:p>
      <w:pPr>
        <w:sectPr>
          <w:pgSz w:w="11900" w:h="16859" w:orient="portrait"/>
          <w:cols w:equalWidth="0" w:num="1">
            <w:col w:w="11240"/>
          </w:cols>
          <w:pgMar w:left="320" w:top="661" w:right="339" w:bottom="0" w:gutter="0" w:footer="0" w:header="0"/>
        </w:sectPr>
      </w:pPr>
    </w:p>
    <w:bookmarkStart w:id="25" w:name="page26"/>
    <w:bookmarkEnd w:id="25"/>
    <w:p>
      <w:pPr>
        <w:spacing w:after="0" w:line="284" w:lineRule="auto"/>
        <w:rPr>
          <w:sz w:val="20"/>
          <w:szCs w:val="20"/>
          <w:color w:val="auto"/>
        </w:rPr>
      </w:pPr>
      <w:r>
        <w:rPr>
          <w:rFonts w:ascii="Times New Roman" w:cs="Times New Roman" w:eastAsia="Times New Roman" w:hAnsi="Times New Roman"/>
          <w:sz w:val="18"/>
          <w:szCs w:val="18"/>
          <w:i w:val="1"/>
          <w:iCs w:val="1"/>
          <w:color w:val="auto"/>
        </w:rPr>
        <w:t>gross billing provides a useful measure of our operating performance. Additionally, gross billing may not be comparable to similarly titled measures used by other companies, as gross billing have been defined by our internal reporting practices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19" w:right="339" w:bottom="1440" w:gutter="0" w:footer="0" w:header="0"/>
        </w:sectPr>
      </w:pPr>
    </w:p>
    <w:bookmarkStart w:id="26" w:name="page27"/>
    <w:bookmarkEnd w:id="26"/>
    <w:p>
      <w:pPr>
        <w:jc w:val="both"/>
        <w:ind w:left="980" w:hanging="648"/>
        <w:spacing w:after="0" w:line="268" w:lineRule="auto"/>
        <w:tabs>
          <w:tab w:leader="none" w:pos="980"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w:t>
      </w:r>
    </w:p>
    <w:p>
      <w:pPr>
        <w:spacing w:after="0" w:line="2" w:lineRule="exact"/>
        <w:rPr>
          <w:rFonts w:ascii="Times New Roman" w:cs="Times New Roman" w:eastAsia="Times New Roman" w:hAnsi="Times New Roman"/>
          <w:sz w:val="17"/>
          <w:szCs w:val="17"/>
          <w:i w:val="1"/>
          <w:iCs w:val="1"/>
          <w:color w:val="auto"/>
        </w:rPr>
      </w:pPr>
    </w:p>
    <w:p>
      <w:pPr>
        <w:jc w:val="both"/>
        <w:ind w:left="980"/>
        <w:spacing w:after="0" w:line="251"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beverage volume for the nine months ended September 30, 2022, represents 99% of all beverage volume.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 brand gross billing increased by 7% to $42,135 compared to $39,354 during the same period last year, driven by Reed’s volume growth of 1% offset by Virgil’s volume decline of 9%. The result is an increase in total gross billing of 6%, to $42,892 during the nine months ended September 30, 2022, from $40,445 in the same period last year. Price on our core brands increased 11% to $19.70 per case.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Discounts as a percentage of gross sales was 11% compared to 9% in the same period last year. As a result, net sales revenue increased 3% in the nine months ended September 30, 2022, to $38,001, compared to $36,818 in the same period last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increased $3,511 during the nine months ended September 30, 2022, as compared to the same period last year. As a percentage of net sales, cost of goods sold for the nine months ended September 30, 2022, was 77% as compared to 70% for the same period last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cost of goods per case increased to $13.63 per case in the nine months ended September 30, 2022, from $11.97 per case for the same period last year. The cost of goods sold per case on core brands was $13.55 during the nine months ended September 30, 2022, compared to $11.85 for the same period last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decreased to 23% for the nine months ended September 30, 2022, compared to 30% for the same period last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and Handling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Delivery and handling expenses consist of delivery costs to customers and warehousing costs incurred for handling our finished goods after production. Delivery and handling expenses increased by $5 in the nine months ended September 30, 2022, to $8,893 from $8,888 in the same period last year. Delivery costs in the nine months ended September 30, 2022, were 23% of net sales and $4.13 per case, compared to 24% of net sales and $3.95 per case during the same period last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were $5,623 during the nine months ended September 30, 2022, compared to $7,493 during the same period last year. As a percentage of net sales, selling and marketing were 15% of net sales during the three months ended September 30, 2022, as compared to 20% of net sales during the same period last year. The decrease was driven by lower employee related cost, stock compensation, distributor buyouts and reduced sampling and marketing spend partially offset by higher professional fees.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 of executive, administrative, and finance personnel, as well as professional fees. General and administrative expenses decreased in the nine months ended September 30, 2022, to $5,319 from $6,227, a decrease of $908 over the same period last year. The decrease was driven by lower employee related costs, stock compensation and legal settlements, partially offset by higher public company costs and bad debt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from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loss from operations was $11,169 for the nine months ended September 30, 2022, as compared to a loss of $11,614 in the same period last year driven by decreased gross profit partially offset by decreases in operating expenses discussed above.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income for the nine months ended September 30, 2022, consisted of $2,119 of interest expense. During the same period last year, interest and other income consisted of $692 of interest expense offset by $770 gain on forgiveness of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Modified EBITDA</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reconciliation of net loss to Modified EBITDA for the nine months ended September 30, 2022 and 2021 (unaudited; in thousands):</w:t>
      </w:r>
    </w:p>
    <w:p>
      <w:pPr>
        <w:spacing w:after="0" w:line="225"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27"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(13,288)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 adjustments: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2,119</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and other noncash compensation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585</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Gain on forgiveness of PPP note payable</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(770)</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0"/>
        </w:trPr>
        <w:tc>
          <w:tcPr>
            <w:tcW w:w="744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EBITDA adjustments</w:t>
            </w: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2,936</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Modified EBITDA</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(10,353)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(9,591)</w:t>
            </w:r>
          </w:p>
        </w:tc>
      </w:tr>
      <w:tr>
        <w:trPr>
          <w:trHeight w:val="20"/>
        </w:trPr>
        <w:tc>
          <w:tcPr>
            <w:tcW w:w="7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3"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our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future interest expense, or the cash requirements necessary to service interest or principal payments, on our debts;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the Company recorded a net loss of $13,288 and used cash in operations of $16,507. As of September 30, 2022, we had a cash balance of $25, with $151 of current availability, and $3,494 of additional borrowing capacity, a stockholder’s deficit of $3,436 and a working capital of $3,533, compared to a cash balance of $49 with borrowing capacity of $109, stockholders’ equity of $4,203 and a working capital of $2,981 at December 31, 2021. Notwithstanding the net loss for the nine months ended September 30, 2022, management projects adequate cash from operations and available line of credit to ensure continuation of the Company as a going concern for at least one year from the date of this quarterly report.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entered into a note purchase agreement with Whitebox Advisors, LLC and agreed to issue $13,750 of secured convertible promissory notes (the “Notes”). The net proceeds from the issuance of the Notes, after deducting placement agent fees and other debt issuance costs, was approximately $12,430.</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will mature on May 9, 2025, bear interest at a rate of 10% per annum (with 5% per annum payable in cash and 5% per annum payable “in kind” by adding such accrued interest to the principal amount of the Notes). The Notes are secured by substantially all of the Company’s assets (including all of its intellectual property) and are subject to a collateral sharing agreement with ACS, the Company’s existing secured lender (see Note 5). During the nine months ended September 30, 2022, principal payment of $400 were made, and accrued interest of $386 was added to the principal balance, leaving a balance owed of $13,736 at September 30, 2022.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consolidated financial statements included in our Annual Report on Form 10-K for the fiscal year ended December 31, 2021, that impacted our condensed consolidated financial statements and related notes included herein.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of the Notes to Condensed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September 30, 2022,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three months ended September 30, 2022 that have materially affected, or are reasonably likely to materially affect, the Company’s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from time to time in the ordinary course of business, none of which are required to be disclosed under this Item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maintain compliance with Nasdaq’s continued listing requirements could result in the delisting of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for trading on The Nasdaq Capital Market. We must satisfy the continued listing requirements of Nasdaq to maintain the listing of our common stock on The Nasdaq Capital Market.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16, 2021, we received notice from the Staff of Nasdaq indicating that, based upon the closing bid price of our common stock for the prior 30 consecutive business days, we were not in compliance with the requirement to maintain a minimum bid price of $1.00 per share for continued listing on Nasdaq as set forth in Nasdaq Listing Rule 5550(a)(2). We had 180 days from August 16, 2021, or through February 14, 2022, to regain compliance with the Bid Price Rule. On February 15, 2022, we were provided an additional 180 calendar day compliance period, or until August 15, 2022, to demonstrate compliance with the Bid Price Rule. On August 16, 2022, we received a letter from the Staff indicating that, based upon our continued non-compliance with the Bid Price Rule, the Staff had determined to delist our securities from Nasdaq unless we timely requested a hearing before the Panel. Such letter also indicated that we were not in compliance with the $2.5 million minimum stockholders’ equity requirement for continued listing of the Common Stock on Nasdaq as set forth in Nasdaq Listing Rule 5550(b)(1). Our Form 10-Q for the period ended June 30, 2022 reported a stockholders’ deficit of $419,000, and as of August 16, 2022 and the date of this prospectus, we did not meet the alternative compliance standards relating to the market value of listed securities or net income from continuing operations.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timely requested a hearing before the Panel. Following the hearing, on September 28, 2022, the Panel granted our request for continued listing of our common stock. Pursuant to the Exception, we have until February 13, 2023 to regain compliance with the Bid Price Rule and the Minimum Stockholders’ Equity Rule. The Exception is subject to a number of conditions that must be satisfied on or before interim deadlines.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satisfy the conditions set forth in the Exception on a timely basis, if at all, or that we will ultimately regain and sustain compliance with all applicable requirements for continued listing on The Nasdaq Capital Market. In the event that we are unable to comply with the terms of the Exception, our common stock may be delisted from Nasdaq.</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our common stock were delisted from Nasdaq, trading of our common stock would most likely take place on an over-the-counter market established for unlisted securities, such as the OTCQB or the Pink Market maintained by OTC Markets Group Inc. An investor would likely find it less convenient to sell, or to obtain accurate quotations in seeking to buy, our common stock on an over-the-counter market, and many investors would likely not buy or sell our common stock due to difficulty in accessing over-the-counter markets, policies preventing them from trading in securities not listed on a national exchange or other reasons. In addition, as a delisted security, our common stock would be subject to SEC rules as a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 In addition, delisting would materially and adversely affect our ability to raise capital on terms acceptable to us, or at all, and may result in the potential loss of confidence by investors, suppliers, customers and employees and fewer business development opportunities.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employees and to raise capital.</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complete a reverse stock split to regain compliance with Nasdaq listing rules prior to December 31, 2022 and we cannot predict the effect that any reverse stock split will have on the market price for shares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complete a reverse stock split on or before December 31, 2022, in order to regain compliance with the Bid Price Rule. We cannot predict the effect that a reverse stock split will have on the market price for shares of our common stock, and the history of similar reverse stock splits for companies in like circumstances has varied. Some investors may have a negative view of a reverse stock split. Even if a reverse stock split has a positive effect on the market price for shares of our common stock, performance of our business and financial results, general economic conditions and the market perception of our business, and other adverse factors which may not be in our control could lead to a decrease in the price of our common stock following the reverse stock split.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number of authorized shares of common stock will not be reduced in accordance with the exchange ratio of the proposed reverse stock split, which will result in a significant increase in the availability of authorized shares of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even if the reverse stock split does result in an increased market price per share of our common stock, the market price per share following the reverse stock split may not increase in proportion to the reduction of the number of shares of our common stock outstanding before the implementation of the reverse stock split. Accordingly, even with an increased market price per share, the total market capitalization of shares of our common stock after a reverse stock split could be lower than the total market capitalization before the reverse stock split. Also, even if there is an initial increase in the market price per share of our common stock after a reverse stock split, the market price many not remain at that level.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market price of shares of our common stock declines following a reverse stock split, the percentage decline as an absolute number and as a percentage of our overall market capitalization may be greater than would occur in the absence of the reverse stock split due to decreased liquidity in the market for our common stock. Accordingly, the total market capitalization of our common stock following the reverse stock split could be lower than the total market capitalization before the reverse stock split.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the proposed reverse stock split will increase our stock price and have the desired effect of maintaining compliance with the Nasdaq bid price rule.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expects that the reverse stock split of our common stock will increase the market price of our common stock so that we are able to attract investment and maintain compliance with the Nasdaq bid price rule. However, the effect of a reverse stock split upon the market price of our common stock cannot be predicted with any certainty, and the history of similar stock splits for companies in like circumstances, is varied. It is possible that (i) the per share price of our common stock after the reverse stock split will not rise in proportion to the reduction in the number of shares of our common stock outstanding resulting from the reverse stock split, (ii) the reverse stock split may not result in a per share price that would attract brokers and investors who do not trade in lower priced stocks, or result in increased trading volume or liquidity; or (iii) the market price per post-reverse stock split share may not exceed or remain in excess of the $1.00 minimum bid price for a sustained period of time. Even after we effect a reverse stock split, the market price of our common stock may decrease due to factors unrelated to the reverse stock split. In any case, the market price of our common stock will be based on other factors which may be unrelated to the number of shares outstanding, including our future performance. If the reverse stock split is consummated and the trading price of our common stock declines, the percentage decline as an absolute number and as a percentage of our overall market capitalization may be greater than would occur in the absence of the reverse stock split. Even if the market price per post-reverse stock split share of our common stock remains in excess of $1.00 per share, we may be delisted due to a failure to meet other continued listing requirements, including the Minimum Stockholders’ Equity Rule.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delisting of our common stock from Nasdaq would constitute a Make-Whole Fundamental Change under our 10% Secured Convertible Promissory Notes.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9, 2022, we sold $11,250 of secured convertible promissory notes (“Notes”) in a private placement. We also granted the investors an option to purchase up to an additional $12,000 aggregate principal amount of Notes, having identical terms (other than with respect to the issue date) to the initial Notes issued. Investors exercised $2,500 of the option on September 14, 2022, subject to certain terms and conditions. The Notes are convertible at the option of the holder into shares of common stock.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delisting of our common stock from Nasdaq would constitute a Make-Whole Fundamental Change under the Notes. In such circumstance, the holders of the Notes would have the right to require Reed’s to repurchase the Notes at a purchase price of 100% of the principal amount held by such holder, plus accrued and unpaid interest through, but not including, the repurchase date. In addition, we would also be required to pay the holders of the Notes a Make-Whole Fundamental Change payment. The repurchase of the Notes as a result of a Make-Whole Fundamental Change would likely render us insolvent and result in a bankruptcy, insolvency, liquidation, reorganization or other similar event. Such an event could result in substantial dilution to investors in our common stock or a total loss of your investment.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total number of authorized shares of common stock will not be reduced in accordance with the exchange ratio of the reverse stock split, which may result in a significant increase in the availability of authorized shares of common stock and will be dilutive to our stockholders.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number of authorized shares of common stock will not be reduced in accordance with the exchange ratio of the reverse stock split, which will result in a significant increase in the availability of authorized shares of common stock. Any additional common stock so authorized will be available for issuance by the board for stock splits or stock dividends, acquisitions, raising additional capital, conversion of our debt into equity, or other corporate purposes, and any such issuances may be dilutive to current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ownership may be diluted if additional capital stock is issued to raise capital, to finance acquisitions or in connection with strategic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to raise additional funds for our operations, to finance acquisitions or to develop strategic relationships by issuing equity or convertible debt securities in addition to the securities issued in this offering, which would reduce the percentage ownership of our existing stockholders. Our board of directors has the authority, without action or vote of the stockholders, to issue all or any part of our authorized but unissued shares of common or preferred stock. Our articles of incorporation authorize us to issue up to 180,000,000 shares of common stock and 500,000 shares of preferred stock. The total number of authorized shares of common stock will not be reduced in accordance with the exchange ratio of the proposed reverse stock split, which will result in a significant increase in the availability of authorized shares of common stock. Any additional common stock so authorized will be available for issuance by the board for stock splits or stock dividends, acquisitions, raising additional capital, conversion of our debt into equity, or other corporate purposes, and any such issuances may be dilutive to current stockholders. Future issuances of common or preferred stock would reduce your influence over matters on which stockholders vote and would be dilutive to earnings per share. In addition, any newly issued preferred stock could have rights, preferences and privileges senior to those of the common stock. Those rights, preferences and privileges could include, among other things, the establishment of dividends that must be paid prior to declaring or paying dividends or other distributions to holders of our common stock or providing for preferential liquidation rights. These rights, preferences and privileges could negatively affect the rights of holders of our common stock, and the right to convert such preferred stock into shares of our common stock at a rate or price that would have a dilutive effect on the outstanding shares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service our indebtedness will depend on our ability to generate cash in the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make payments on our indebtedness (including our Notes) will depend on our ability to generate cash in the future. Our ability to generate cash is subject to general economic and market conditions and financial, competitive, legislative, regulatory and other factors that are beyond our control. Our business may not generate sufficient cash to fund our working capital requirements, capital expenditure, debt service and other liquidity needs, which could result in our inability to comply with financial and other covenants contained in our debt agreements, our being unable to repay or pay interest and penalties on our indebtedness, and our inability to fund our other liquidity needs. If we are unable to service our debt obligations, fund our other liquidity</w:t>
      </w:r>
    </w:p>
    <w:p>
      <w:pPr>
        <w:sectPr>
          <w:pgSz w:w="11900" w:h="16878" w:orient="portrait"/>
          <w:cols w:equalWidth="0" w:num="1">
            <w:col w:w="11240"/>
          </w:cols>
          <w:pgMar w:left="320" w:top="661" w:right="339" w:bottom="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needs and maintain compliance with our financial and other covenants, we could be forced to curtail our operations, our creditors could accelerate our indebtedness and exercise other remedies and we could be required to pursue one or more alternative strategies, such as selling assets or refinancing or restructuring our indebtedness. However, such alternatives may not be feasible or adequate.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that have not been previously disclosed in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14, 2022, Whitebox Advisors, LLC and certain of its affiliates (“Whitebox”) exercised $2,500 of the option previously granted on May 9, 2022, subject to certain additional terms and conditions. In November 2022, the Company paid off the $2,500 of Notes in cash and issued 3,483,993 shares of its common stock related to make whole interest on the $2,500 Notes.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13, 2022, the Company entered into a Limited Waiver Agreement with Whitebox, pursuant to which the Company was provided a waiver of the covenant violation as of September 30, 2022, in exchange for payment of $96 and issuance of 2,470,118 shares of its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common stock referenced have not been registered under the Securities Act of 1933, as amended (the “Securities Act”) and instead were offered pursuant to the exemption provided in Section 4(a)(2) under the Securities Act on the basis of the Company’s pre-existing relationship with the purchaser and that there was no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are “registrable securities” under that certain registration rights agreement by and between the purchasers and the Company dated May 9,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304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tcPr>
          <w:p>
            <w:pPr>
              <w:spacing w:after="0"/>
              <w:rPr>
                <w:sz w:val="19"/>
                <w:szCs w:val="19"/>
                <w:color w:val="auto"/>
              </w:rPr>
            </w:pPr>
          </w:p>
        </w:tc>
        <w:tc>
          <w:tcPr>
            <w:tcW w:w="4880" w:type="dxa"/>
            <w:vAlign w:val="bottom"/>
            <w:gridSpan w:val="10"/>
          </w:tcPr>
          <w:p>
            <w:pPr>
              <w:ind w:left="122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Filed</w:t>
            </w:r>
          </w:p>
        </w:tc>
        <w:tc>
          <w:tcPr>
            <w:tcW w:w="0" w:type="dxa"/>
            <w:vAlign w:val="bottom"/>
          </w:tcPr>
          <w:p>
            <w:pPr>
              <w:spacing w:after="0"/>
              <w:rPr>
                <w:sz w:val="1"/>
                <w:szCs w:val="1"/>
                <w:color w:val="auto"/>
              </w:rPr>
            </w:pPr>
          </w:p>
        </w:tc>
      </w:tr>
      <w:tr>
        <w:trPr>
          <w:trHeight w:val="175"/>
        </w:trPr>
        <w:tc>
          <w:tcPr>
            <w:tcW w:w="9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3(i)</w:t>
            </w:r>
          </w:p>
        </w:tc>
        <w:tc>
          <w:tcPr>
            <w:tcW w:w="140" w:type="dxa"/>
            <w:vAlign w:val="bottom"/>
          </w:tcPr>
          <w:p>
            <w:pPr>
              <w:spacing w:after="0"/>
              <w:rPr>
                <w:sz w:val="15"/>
                <w:szCs w:val="15"/>
                <w:color w:val="auto"/>
              </w:rPr>
            </w:pPr>
          </w:p>
        </w:tc>
        <w:tc>
          <w:tcPr>
            <w:tcW w:w="6140" w:type="dxa"/>
            <w:vAlign w:val="bottom"/>
            <w:tcBorders>
              <w:top w:val="single" w:sz="8" w:color="auto"/>
            </w:tcBorders>
            <w:gridSpan w:val="10"/>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Incorporation of Reed’s, Inc., as amended</w:t>
              </w:r>
            </w:hyperlink>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15"/>
                <w:szCs w:val="15"/>
                <w:color w:val="auto"/>
              </w:rPr>
            </w:pPr>
          </w:p>
        </w:tc>
        <w:tc>
          <w:tcPr>
            <w:tcW w:w="5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3(i)</w:t>
            </w:r>
          </w:p>
        </w:tc>
        <w:tc>
          <w:tcPr>
            <w:tcW w:w="140" w:type="dxa"/>
            <w:vAlign w:val="bottom"/>
          </w:tcPr>
          <w:p>
            <w:pPr>
              <w:spacing w:after="0"/>
              <w:rPr>
                <w:sz w:val="15"/>
                <w:szCs w:val="15"/>
                <w:color w:val="auto"/>
              </w:rPr>
            </w:pPr>
          </w:p>
        </w:tc>
        <w:tc>
          <w:tcPr>
            <w:tcW w:w="6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001-</w:t>
            </w:r>
          </w:p>
        </w:tc>
        <w:tc>
          <w:tcPr>
            <w:tcW w:w="140" w:type="dxa"/>
            <w:vAlign w:val="bottom"/>
          </w:tcPr>
          <w:p>
            <w:pPr>
              <w:spacing w:after="0"/>
              <w:rPr>
                <w:sz w:val="15"/>
                <w:szCs w:val="15"/>
                <w:color w:val="auto"/>
              </w:rPr>
            </w:pPr>
          </w:p>
        </w:tc>
        <w:tc>
          <w:tcPr>
            <w:tcW w:w="8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3/15/2022</w:t>
            </w: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32501</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2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auto"/>
                <w:w w:val="96"/>
              </w:rPr>
              <w:t>3(ii)</w:t>
            </w:r>
          </w:p>
        </w:tc>
        <w:tc>
          <w:tcPr>
            <w:tcW w:w="6220" w:type="dxa"/>
            <w:vAlign w:val="bottom"/>
            <w:gridSpan w:val="11"/>
          </w:tcPr>
          <w:p>
            <w:pPr>
              <w:spacing w:after="0" w:line="194"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Amended and Restated Bylaws of Reed’s, Inc.</w:t>
              </w:r>
            </w:hyperlink>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w w:val="99"/>
              </w:rPr>
              <w:t>10-KA</w:t>
            </w:r>
          </w:p>
        </w:tc>
        <w:tc>
          <w:tcPr>
            <w:tcW w:w="58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6"/>
                <w:szCs w:val="16"/>
                <w:color w:val="auto"/>
              </w:rPr>
            </w:pPr>
          </w:p>
        </w:tc>
        <w:tc>
          <w:tcPr>
            <w:tcW w:w="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001-</w:t>
            </w:r>
          </w:p>
        </w:tc>
        <w:tc>
          <w:tcPr>
            <w:tcW w:w="14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4/08/2020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32501</w:t>
            </w: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0"/>
                <w:szCs w:val="20"/>
                <w:color w:val="auto"/>
              </w:rPr>
            </w:pPr>
          </w:p>
        </w:tc>
        <w:tc>
          <w:tcPr>
            <w:tcW w:w="61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9"/>
              </w:rPr>
              <w:t>Limited Waiver and Amendment to 10% Secured Convertible Notes by and between</w:t>
            </w:r>
          </w:p>
        </w:tc>
        <w:tc>
          <w:tcPr>
            <w:tcW w:w="100" w:type="dxa"/>
            <w:vAlign w:val="bottom"/>
            <w:gridSpan w:val="2"/>
            <w:vMerge w:val="restart"/>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120" w:type="dxa"/>
            <w:vAlign w:val="bottom"/>
            <w:tcBorders>
              <w:bottom w:val="single" w:sz="8" w:color="0000EE"/>
            </w:tcBorders>
            <w:gridSpan w:val="9"/>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Reed’s Inc. and holders dated August 11, 2022</w:t>
            </w:r>
          </w:p>
        </w:tc>
        <w:tc>
          <w:tcPr>
            <w:tcW w:w="2860" w:type="dxa"/>
            <w:vAlign w:val="bottom"/>
            <w:gridSpan w:val="8"/>
          </w:tcPr>
          <w:p>
            <w:pPr>
              <w:spacing w:after="0"/>
              <w:rPr>
                <w:sz w:val="17"/>
                <w:szCs w:val="17"/>
                <w:color w:val="auto"/>
              </w:rPr>
            </w:pPr>
          </w:p>
        </w:tc>
        <w:tc>
          <w:tcPr>
            <w:tcW w:w="8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6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w:t>
            </w:r>
          </w:p>
        </w:tc>
        <w:tc>
          <w:tcPr>
            <w:tcW w:w="1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4880" w:type="dxa"/>
            <w:vAlign w:val="bottom"/>
            <w:gridSpan w:val="10"/>
          </w:tcPr>
          <w:p>
            <w:pPr>
              <w:spacing w:after="0"/>
              <w:rPr>
                <w:sz w:val="17"/>
                <w:szCs w:val="17"/>
                <w:color w:val="auto"/>
              </w:rPr>
            </w:pPr>
          </w:p>
        </w:tc>
        <w:tc>
          <w:tcPr>
            <w:tcW w:w="8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6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w:t>
            </w:r>
          </w:p>
        </w:tc>
        <w:tc>
          <w:tcPr>
            <w:tcW w:w="1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4880" w:type="dxa"/>
            <w:vAlign w:val="bottom"/>
            <w:gridSpan w:val="10"/>
          </w:tcPr>
          <w:p>
            <w:pPr>
              <w:spacing w:after="0"/>
              <w:rPr>
                <w:sz w:val="17"/>
                <w:szCs w:val="17"/>
                <w:color w:val="auto"/>
              </w:rPr>
            </w:pPr>
          </w:p>
        </w:tc>
        <w:tc>
          <w:tcPr>
            <w:tcW w:w="8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6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w:t>
            </w:r>
          </w:p>
        </w:tc>
        <w:tc>
          <w:tcPr>
            <w:tcW w:w="1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c>
          <w:tcPr>
            <w:tcW w:w="1320" w:type="dxa"/>
            <w:vAlign w:val="bottom"/>
            <w:gridSpan w:val="5"/>
          </w:tcPr>
          <w:p>
            <w:pPr>
              <w:spacing w:after="0"/>
              <w:rPr>
                <w:sz w:val="17"/>
                <w:szCs w:val="17"/>
                <w:color w:val="auto"/>
              </w:rPr>
            </w:pPr>
          </w:p>
        </w:tc>
        <w:tc>
          <w:tcPr>
            <w:tcW w:w="8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60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w:t>
            </w:r>
          </w:p>
        </w:tc>
        <w:tc>
          <w:tcPr>
            <w:tcW w:w="14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1340" w:type="dxa"/>
            <w:vAlign w:val="bottom"/>
            <w:gridSpan w:val="6"/>
          </w:tcPr>
          <w:p>
            <w:pPr>
              <w:spacing w:after="0"/>
              <w:rPr>
                <w:sz w:val="17"/>
                <w:szCs w:val="17"/>
                <w:color w:val="auto"/>
              </w:rPr>
            </w:pPr>
          </w:p>
        </w:tc>
        <w:tc>
          <w:tcPr>
            <w:tcW w:w="8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101.SCH</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101.DEF</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40" w:type="dxa"/>
            <w:vAlign w:val="bottom"/>
          </w:tcPr>
          <w:p>
            <w:pPr>
              <w:spacing w:after="0"/>
              <w:rPr>
                <w:sz w:val="20"/>
                <w:szCs w:val="20"/>
                <w:color w:val="auto"/>
              </w:rPr>
            </w:pPr>
          </w:p>
        </w:tc>
        <w:tc>
          <w:tcPr>
            <w:tcW w:w="6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SEC Release 33-8238, Exhibits 32.1 and 32.2 are being furnished and not filed.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Reed’s,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7"/>
          <w:szCs w:val="17"/>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Norman E. Snyder,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J. Spisak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WAIVER AND AMENDMENT TO 10% SECURED CONVERTIBLE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LIMITED WAIVER AND AMENDMENT TO 10% SECURED CONVERTIBLE NOTES DATED MAY 9, 2022 (this “Waiver”) is dated and effective as of August 11, 2022 between REED’S, INC., a Delaware corporation (the “Company”), the Holders party hereto, and WILMINGTON SAVINGS FUND SOCIETY, FSB as holder representative and collateral agent (the “Agent”), in consideration of the mutual covenants herein contained and benefits to be derived herefrom.</w:t>
      </w:r>
    </w:p>
    <w:p>
      <w:pPr>
        <w:spacing w:after="0" w:line="180" w:lineRule="exact"/>
        <w:rPr>
          <w:sz w:val="20"/>
          <w:szCs w:val="20"/>
          <w:color w:val="auto"/>
        </w:rPr>
      </w:pPr>
    </w:p>
    <w:p>
      <w:pPr>
        <w:jc w:val="both"/>
        <w:ind w:firstLine="656"/>
        <w:spacing w:after="0" w:line="261" w:lineRule="auto"/>
        <w:tabs>
          <w:tab w:leader="none" w:pos="8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Terms</w:t>
      </w:r>
      <w:r>
        <w:rPr>
          <w:rFonts w:ascii="Times New Roman" w:cs="Times New Roman" w:eastAsia="Times New Roman" w:hAnsi="Times New Roman"/>
          <w:sz w:val="18"/>
          <w:szCs w:val="18"/>
          <w:color w:val="auto"/>
        </w:rPr>
        <w:t>. All capitalized terms not otherwise defined herein shall have the same meaning as in the 10% Secured Convertible Notes dated May 9, 2022 issued by the Company to the Holders thereto pursuant to the Note Purchase Agreement, dated as of May 9, 2022, by and among the Purchasers from time to time party thereto, Wilmington Savings Fund Society, FSB, as Holder Representative, and the Company (each, a “Note”, and collectively, the “Notes”).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hereby represents and warrants that after giving effect to this Waiver, all representations and warranties contained in the Notes are true and correct, in all material respects, on and as of the date hereof, except (i) to the extent that such representations and warranties specifically refer to an earlier date, in which case they shall be true and correct as of such earlier date, and (ii) in the case of any representation and warranty qualified by materiality, they shall be true and correct in all respects.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Notes</w:t>
      </w:r>
      <w:r>
        <w:rPr>
          <w:rFonts w:ascii="Times New Roman" w:cs="Times New Roman" w:eastAsia="Times New Roman" w:hAnsi="Times New Roman"/>
          <w:sz w:val="18"/>
          <w:szCs w:val="18"/>
          <w:color w:val="auto"/>
        </w:rPr>
        <w:t>. Subject to the satisfaction of the conditions precedent set forth in Section 5 of this Waiver, Agent and the Holders party hereto agree to amend the Notes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Section 7(ii) of each Note is amended by replacing “August 30, 2022” with “October 5,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Subsection (n) of the definition of “Permitted Indebtedness” of each Note is hereby amended and restated in its entirely as follows:</w:t>
      </w:r>
    </w:p>
    <w:p>
      <w:pPr>
        <w:spacing w:after="0" w:line="225" w:lineRule="exact"/>
        <w:rPr>
          <w:sz w:val="20"/>
          <w:szCs w:val="20"/>
          <w:color w:val="auto"/>
        </w:rPr>
      </w:pPr>
    </w:p>
    <w:p>
      <w:pPr>
        <w:jc w:val="both"/>
        <w:ind w:left="1300" w:firstLine="4"/>
        <w:spacing w:after="0" w:line="261" w:lineRule="auto"/>
        <w:tabs>
          <w:tab w:leader="none" w:pos="158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favor of the ABL Lenders arising under the ABL Debt Documents not to exceed in the aggregate at any time outstanding or committed the sum of (i) on or prior to September 30, 2022, $11,534,395, or, on or after October 1, 2022, $6,000,000 plus</w:t>
      </w:r>
    </w:p>
    <w:p>
      <w:pPr>
        <w:jc w:val="both"/>
        <w:ind w:left="1300" w:right="20" w:firstLine="4"/>
        <w:spacing w:after="0" w:line="255" w:lineRule="auto"/>
        <w:tabs>
          <w:tab w:leader="none" w:pos="156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Notes voluntarily converted into Conversion Consideration pursuant to Section 4 of each applicable Note, in each case subject to the terms of the Intercreditor Agreement; provided that the amount in the foregoing clause (ii) shall not exceed $10,000,000 at any time.</w:t>
      </w:r>
    </w:p>
    <w:p>
      <w:pPr>
        <w:spacing w:after="0" w:line="18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is hereby amended to add a new Section 12(g) as follows:</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5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ABL Fee</w:t>
      </w:r>
      <w:r>
        <w:rPr>
          <w:rFonts w:ascii="Times New Roman" w:cs="Times New Roman" w:eastAsia="Times New Roman" w:hAnsi="Times New Roman"/>
          <w:sz w:val="18"/>
          <w:szCs w:val="18"/>
          <w:color w:val="auto"/>
        </w:rPr>
        <w:t>. Without any limitation to any other rights and remedies or provisions in this Note, commencing with the fiscal month ending October 31, 2022, in the event Indebtedness in favor of the ABL Lenders arising under the ABL Debt Documents exceeds the amount set forth in clause (n) of the definition of Permitted Indebtedness as of the last day of such calendar month, the Borrower shall pay a fee in cash to Holder Representative, for pro rata distribution to each holder of the Notes, in an amount equal to ten percent (10%) of the amount by which the Indebtedness in favor of the ABL Lenders arising under the ABL Debt Documents exceeds the amount set forth in clause (n) of the definition of Permitted Indebtedness. Such fee shall be paid to the Holder Representative within two (2) business days following the last day of such fiscal month.</w:t>
      </w:r>
    </w:p>
    <w:p>
      <w:pPr>
        <w:spacing w:after="0" w:line="189" w:lineRule="exact"/>
        <w:rPr>
          <w:sz w:val="20"/>
          <w:szCs w:val="20"/>
          <w:color w:val="auto"/>
        </w:rPr>
      </w:pPr>
    </w:p>
    <w:p>
      <w:pPr>
        <w:jc w:val="both"/>
        <w:ind w:firstLine="656"/>
        <w:spacing w:after="0" w:line="253"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Waivers</w:t>
      </w:r>
      <w:r>
        <w:rPr>
          <w:rFonts w:ascii="Times New Roman" w:cs="Times New Roman" w:eastAsia="Times New Roman" w:hAnsi="Times New Roman"/>
          <w:sz w:val="18"/>
          <w:szCs w:val="18"/>
          <w:color w:val="auto"/>
        </w:rPr>
        <w:t xml:space="preserve">. Subject to the satisfaction of the conditions precedent set forth in Section 5 of this Waiver, Agent and the Holders party hereto hereby waive any existing breach or Default under any provision of the Notes arising from breach of subsections 7(ii) &amp; 7(w) of the Notes through the date hereof. This Section and Section 3 shall be effective only to the extent specifically set forth herein and shall not be construed as a consent to or waiver of any breach or Default other than as specifically waived herein (a) affect the right of Agent or any of the Holders to demand strict compliance by Company with all terms and conditions of the Notes, except as specifically consented to, modified or waived by the terms hereof, (b) be deemed a consent to or waiver of any future transaction or action on the part of any Note Party requiring the Holders’ or the Majority Holders’ consent or approval under the Notes, or (c) diminish, prejudice or waive any of Agent’s or any Holders’ rights and remedies under the Notes or applicable law, whether arising as a consequence of any Event of Default which may now exist or otherwise, and Agent and each of the Holders hereby reserve all of such rights and remedies. For the avoidance of doubt and notwithstanding anything herein to the contrary, to the extent any provision of the Notes is qualified by, or requires the absence of, any Default or Event of Default, a Default or Event of Default shall be deemed to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have occurred for purposes of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firstLine="656"/>
        <w:spacing w:after="0" w:line="282" w:lineRule="auto"/>
        <w:tabs>
          <w:tab w:leader="none" w:pos="8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Waiver shall not be effective until each of the following conditions precedent has been fulfilled to the satisfaction of the Agent (at the direction of the Majority Holders):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4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Waiver shall have been duly executed and delivered by the Company, the Agent, and the Majority Holders, and the Agent shall have received evidence thereof.</w:t>
      </w:r>
    </w:p>
    <w:p>
      <w:pPr>
        <w:spacing w:after="0" w:line="161"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Waiver, no Default or Event of Default shall have occurred and be continuing.</w:t>
      </w:r>
    </w:p>
    <w:p>
      <w:pPr>
        <w:spacing w:after="0" w:line="225"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outstanding fees and expenses of King &amp; Spalding LLP and Agent.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terms and provisions hereof shall be binding upon and inure to the benefit of the parties hereto and their heirs, representatives, successors and assigns.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of Obligations</w:t>
      </w:r>
      <w:r>
        <w:rPr>
          <w:rFonts w:ascii="Times New Roman" w:cs="Times New Roman" w:eastAsia="Times New Roman" w:hAnsi="Times New Roman"/>
          <w:sz w:val="18"/>
          <w:szCs w:val="18"/>
          <w:color w:val="auto"/>
        </w:rPr>
        <w:t>. The Company hereby ratifies the Note Documents and acknowledges and reaffirms (a) that it is bound by all terms of the Note Documents applicable to it and (b) that it is responsible for the observance and full performance of its respective Obligations.</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Document</w:t>
      </w:r>
      <w:r>
        <w:rPr>
          <w:rFonts w:ascii="Times New Roman" w:cs="Times New Roman" w:eastAsia="Times New Roman" w:hAnsi="Times New Roman"/>
          <w:sz w:val="18"/>
          <w:szCs w:val="18"/>
          <w:color w:val="auto"/>
        </w:rPr>
        <w:t>. This Waiver shall constitute a Note Document under the terms of each Note.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Counterparts</w:t>
      </w:r>
      <w:r>
        <w:rPr>
          <w:rFonts w:ascii="Times New Roman" w:cs="Times New Roman" w:eastAsia="Times New Roman" w:hAnsi="Times New Roman"/>
          <w:sz w:val="18"/>
          <w:szCs w:val="18"/>
          <w:color w:val="auto"/>
        </w:rPr>
        <w:t>. This Waiver may be executed in counterparts (and by different parties hereto in different counterparts), each of which shall constitute an original, but all of which when taken together shall constitute a single contract. Delivery of an executed counterpart of a signature page of this Waiver by telecopy, pdf or other electronic transmission shall be as effective as delivery of a manually executed counterpart of this Waiver.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WAIVER AND ANY CLAIMS, CONTROVERSY, DISPUTE OR CAUSE OF ACTION, WHETHER IN LAW OR EQUITY, WHETHER IN CONTRACT OR IN TORT OR OTHERWISE BASED UPON, ARISING OUT OF OR RELATING TO THIS WAIVER AND THE TRANSACTIONS CONTEMPLATED HEREBY SHALL BE GOVERNED BY, AND CONSTRUED IN ACCORDANCE WITH, THE LAW OF THE STATE OF NEW YORK.</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 Service of Process; Waiver of Jury Trial</w:t>
      </w:r>
      <w:r>
        <w:rPr>
          <w:rFonts w:ascii="Times New Roman" w:cs="Times New Roman" w:eastAsia="Times New Roman" w:hAnsi="Times New Roman"/>
          <w:sz w:val="18"/>
          <w:szCs w:val="18"/>
          <w:color w:val="auto"/>
        </w:rPr>
        <w:t>. The jurisdiction, service of process and waiver of jury trial provisions set forth in subsections 13(h) and 13(i) of the Notes are hereby incorporated by reference.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Authorization</w:t>
      </w:r>
      <w:r>
        <w:rPr>
          <w:rFonts w:ascii="Times New Roman" w:cs="Times New Roman" w:eastAsia="Times New Roman" w:hAnsi="Times New Roman"/>
          <w:sz w:val="18"/>
          <w:szCs w:val="18"/>
          <w:color w:val="auto"/>
        </w:rPr>
        <w:t>. Each of the undersigned Holders hereby authorizes and directs Agent to execute and deliver this Waiver on its behalf and, by its execution below, each of the undersigned Holders agrees to be bound by the terms and conditions of this Waiver. In executing this Waiver, the Agent shall be entitled to all of the rights, benefits, protections, indemnities and immunities afforded to it pursuant to the Note Documents.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THIS LIMITED WAIVER AND AMENDMENT TO 10% SECURED CONVERTIBLE NOTES DATED MAY 9, 2022 has been duly executed and delivered by each of the parties hereto as of the date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HOLDER REPRESENTATIVE:</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Reed’s,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Wilmington Savings Fund Society, FSB,</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solely in its capacity as the Holder Representative</w:t>
            </w:r>
          </w:p>
        </w:tc>
      </w:tr>
      <w:tr>
        <w:trPr>
          <w:trHeight w:val="4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Thomas J. Spisak</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Thomas J Spisak</w:t>
            </w:r>
          </w:p>
        </w:tc>
        <w:tc>
          <w:tcPr>
            <w:tcW w:w="7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COLLATERAL AGENT:</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Whitebox Multi-Strategy Partners,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Wilmington Savings Fund Society, FSB,</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solely in its capacity as the Collateral Agent</w:t>
            </w: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Jake Mercer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Jake Mercer</w:t>
            </w:r>
          </w:p>
        </w:tc>
        <w:tc>
          <w:tcPr>
            <w:tcW w:w="7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Whitebox Relative Value Partners, LP</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Jake Mercer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Jake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1457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Pandora Select Partners, LP</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Jake Mercer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Jake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1457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Whitebox GT Fund, LP</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Jake Mercer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Jake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1457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Norman E. Snyder, Jr.,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Reed’s,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7"/>
          <w:szCs w:val="17"/>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Norman E. Snyder,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J. Spisak,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Reed’s,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J. Spisak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Reed’s, Inc., a Delaware corporation (the “Company”) for the period ending September 30, 2022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spacing w:after="0" w:line="180"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REED’S,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Norman E. Snyder, Jr.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Reed’s, Inc., a Delaware corporation (the “Company”) for the period ending September 30, 2022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spacing w:after="0" w:line="180"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REED’S,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Thomas J. Spisak</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upperLetter"/>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upperLetter"/>
      <w:start w:val="1"/>
    </w:lvl>
  </w:abstractNum>
  <w:abstractNum w:abstractNumId="7">
    <w:nsid w:val="109CF92E"/>
    <w:multiLevelType w:val="hybridMultilevel"/>
    <w:lvl w:ilvl="0">
      <w:lvlJc w:val="left"/>
      <w:lvlText w:val="(%1)"/>
      <w:numFmt w:val="upperLetter"/>
      <w:start w:val="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lvl w:ilvl="1">
      <w:lvlJc w:val="left"/>
      <w:lvlText w:val="(%2)"/>
      <w:numFmt w:val="lowerLetter"/>
      <w:start w:val="14"/>
    </w:lvl>
  </w:abstractNum>
  <w:abstractNum w:abstractNumId="11">
    <w:nsid w:val="41A7C4C9"/>
    <w:multiLevelType w:val="hybridMultilevel"/>
    <w:lvl w:ilvl="0">
      <w:lvlJc w:val="left"/>
      <w:lvlText w:val="%1"/>
      <w:numFmt w:val="lowerLetter"/>
      <w:start w:val="1"/>
    </w:lvl>
    <w:lvl w:ilvl="1">
      <w:lvlJc w:val="left"/>
      <w:lvlText w:val="(%2)"/>
      <w:numFmt w:val="lowerLetter"/>
      <w:start w:val="35"/>
    </w:lvl>
  </w:abstractNum>
  <w:abstractNum w:abstractNumId="12">
    <w:nsid w:val="6B68079A"/>
    <w:multiLevelType w:val="hybridMultilevel"/>
    <w:lvl w:ilvl="0">
      <w:lvlJc w:val="left"/>
      <w:lvlText w:val="%1."/>
      <w:numFmt w:val="lowerLetter"/>
      <w:start w:val="3"/>
    </w:lvl>
    <w:lvl w:ilvl="1">
      <w:lvlJc w:val="left"/>
      <w:lvlText w:val="(%2)"/>
      <w:numFmt w:val="lowerLetter"/>
      <w:start w:val="7"/>
    </w:lvl>
  </w:abstractNum>
  <w:abstractNum w:abstractNumId="13">
    <w:nsid w:val="4E6AFB66"/>
    <w:multiLevelType w:val="hybridMultilevel"/>
    <w:lvl w:ilvl="0">
      <w:lvlJc w:val="left"/>
      <w:lvlText w:val="%1."/>
      <w:numFmt w:val="decimal"/>
      <w:start w:val="4"/>
    </w:lvl>
  </w:abstractNum>
  <w:abstractNum w:abstractNumId="14">
    <w:nsid w:val="25E45D32"/>
    <w:multiLevelType w:val="hybridMultilevel"/>
    <w:lvl w:ilvl="0">
      <w:lvlJc w:val="left"/>
      <w:lvlText w:val="%1."/>
      <w:numFmt w:val="decimal"/>
      <w:start w:val="5"/>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44" Type="http://schemas.openxmlformats.org/officeDocument/2006/relationships/hyperlink" Target="https://www.sec.gov/Archives/edgar/data/1140215/000149315221007217/ex3-i.htm" TargetMode="External"/><Relationship Id="rId45" Type="http://schemas.openxmlformats.org/officeDocument/2006/relationships/hyperlink" Target="https://www.sec.gov/Archives/edgar/data/1140215/000149315220006033/ex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2022-11-14T20:32:59Z</dcterms:created>
  <dcterms:modified xsi:type="dcterms:W3CDTF">2022-11-14T20:32:59Z</dcterms:modified>
</cp:coreProperties>
</file>