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F_edei--DocumentQuarterlyReport_c2"/>
      <w:bookmarkEnd w:id="3"/>
      <w:r>
        <w:rPr>
          <w:caps w:val="false"/>
          <w:smallCaps w:val="false"/>
        </w:rPr>
        <w:t xml:space="preserve">☒ </w:t>
      </w:r>
      <w:r>
        <w:rPr>
          <w:rFonts w:ascii="Times New Roman;Times;Serif" w:hAnsi="Times New Roman;Times;Serif"/>
          <w:b w:val="false"/>
          <w:i w:val="false"/>
          <w:caps w:val="false"/>
          <w:smallCaps w:val="false"/>
          <w:sz w:val="20"/>
        </w:rPr>
        <w:t>QUARTERLY REPORT UNDER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6_edei--DocumentPeriodEndDate_c202"/>
      <w:bookmarkEnd w:id="4"/>
      <w:r>
        <w:rPr>
          <w:rFonts w:ascii="Times New Roman;Times;Serif" w:hAnsi="Times New Roman;Times;Serif"/>
          <w:b w:val="false"/>
          <w:i w:val="false"/>
          <w:caps w:val="false"/>
          <w:smallCaps w:val="false"/>
          <w:sz w:val="20"/>
        </w:rPr>
        <w:t xml:space="preserve">March 31, </w:t>
      </w:r>
      <w:bookmarkStart w:id="5" w:name="xdx_906_edei--DocumentFiscalYearFocus_c2"/>
      <w:bookmarkEnd w:id="5"/>
      <w:r>
        <w:rPr>
          <w:rFonts w:ascii="Times New Roman;Times;Serif" w:hAnsi="Times New Roman;Times;Serif"/>
          <w:b w:val="false"/>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 w:name="xdx_905_edei--DocumentTransitionReport_c"/>
      <w:bookmarkEnd w:id="6"/>
      <w:r>
        <w:rPr>
          <w:caps w:val="false"/>
          <w:smallCaps w:val="false"/>
        </w:rPr>
        <w:t xml:space="preserve">☐ </w:t>
      </w:r>
      <w:r>
        <w:rPr>
          <w:rFonts w:ascii="Times New Roman;Times;Serif" w:hAnsi="Times New Roman;Times;Serif"/>
          <w:b w:val="false"/>
          <w:i w:val="false"/>
          <w:caps w:val="false"/>
          <w:smallCaps w:val="false"/>
          <w:sz w:val="20"/>
        </w:rPr>
        <w:t>TRANSITION REPORT UNDER SECTION 13 OR 15(d) OF THE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 to 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B_edei--EntityFileNumber_c20260101"/>
      <w:bookmarkEnd w:id="7"/>
      <w:r>
        <w:rPr>
          <w:rFonts w:ascii="Times New Roman;Times;Serif" w:hAnsi="Times New Roman;Times;Serif"/>
          <w:b w:val="false"/>
          <w:i w:val="false"/>
          <w:caps w:val="false"/>
          <w:smallCaps w:val="false"/>
          <w:sz w:val="20"/>
        </w:rPr>
        <w:t>001-32501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4_edei--EntityRegistrantName_c2026"/>
      <w:bookmarkEnd w:id="8"/>
      <w:r>
        <w:rPr>
          <w:rFonts w:ascii="Times New Roman;Times;Serif" w:hAnsi="Times New Roman;Times;Serif"/>
          <w:b/>
          <w:i w:val="false"/>
          <w:caps w:val="false"/>
          <w:smallCaps w:val="false"/>
          <w:sz w:val="36"/>
        </w:rPr>
        <w:t>REED’S,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2800" w:type="dxa"/>
        <w:jc w:val="left"/>
        <w:tblInd w:w="0" w:type="dxa"/>
        <w:tblLayout w:type="fixed"/>
        <w:tblCellMar>
          <w:top w:w="0" w:type="dxa"/>
          <w:left w:w="0" w:type="dxa"/>
          <w:bottom w:w="28" w:type="dxa"/>
          <w:right w:w="0" w:type="dxa"/>
        </w:tblCellMar>
      </w:tblPr>
      <w:tblGrid>
        <w:gridCol w:w="1205"/>
        <w:gridCol w:w="60"/>
        <w:gridCol w:w="1535"/>
      </w:tblGrid>
      <w:tr>
        <w:trPr/>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 w:name="xdx_90E_edei--EntityIncorporationStateCo"/>
            <w:bookmarkEnd w:id="9"/>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A_edei--EntityTaxIdentificationNum"/>
            <w:bookmarkEnd w:id="10"/>
            <w:r>
              <w:rPr>
                <w:rFonts w:ascii="Times New Roman;Times;Serif" w:hAnsi="Times New Roman;Times;Serif"/>
                <w:b w:val="false"/>
                <w:i w:val="false"/>
                <w:caps w:val="false"/>
                <w:smallCaps w:val="false"/>
                <w:sz w:val="20"/>
              </w:rPr>
              <w:t>35-2177773</w:t>
            </w:r>
          </w:p>
        </w:tc>
      </w:tr>
      <w:tr>
        <w:trPr/>
        <w:tc>
          <w:tcPr>
            <w:tcW w:w="12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w:t>
              <w:br/>
              <w:t>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1" w:name="xdx_90C_edei--EntityAddressAddressLine1_"/>
      <w:bookmarkEnd w:id="11"/>
      <w:r>
        <w:rPr>
          <w:rFonts w:ascii="Times New Roman;Times;Serif" w:hAnsi="Times New Roman;Times;Serif"/>
          <w:b w:val="false"/>
          <w:i w:val="false"/>
          <w:caps w:val="false"/>
          <w:smallCaps w:val="false"/>
          <w:sz w:val="20"/>
        </w:rPr>
        <w:t xml:space="preserve">501 Merritt 7 PH, </w:t>
      </w:r>
      <w:bookmarkStart w:id="12" w:name="xdx_903_edei--EntityAddressCityOrTown_c2"/>
      <w:bookmarkEnd w:id="12"/>
      <w:r>
        <w:rPr>
          <w:rFonts w:ascii="Times New Roman;Times;Serif" w:hAnsi="Times New Roman;Times;Serif"/>
          <w:b w:val="false"/>
          <w:i w:val="false"/>
          <w:caps w:val="false"/>
          <w:smallCaps w:val="false"/>
          <w:sz w:val="20"/>
        </w:rPr>
        <w:t xml:space="preserve">Norwalk, </w:t>
      </w:r>
      <w:bookmarkStart w:id="13" w:name="xdx_902_edei--EntityAddressStateOrProvin"/>
      <w:bookmarkEnd w:id="13"/>
      <w:r>
        <w:rPr>
          <w:rFonts w:ascii="Times New Roman;Times;Serif" w:hAnsi="Times New Roman;Times;Serif"/>
          <w:b w:val="false"/>
          <w:i w:val="false"/>
          <w:caps w:val="false"/>
          <w:smallCaps w:val="false"/>
          <w:sz w:val="20"/>
        </w:rPr>
        <w:t xml:space="preserve">CT. </w:t>
      </w:r>
      <w:bookmarkStart w:id="14" w:name="xdx_90C_edei--EntityAddressPostalZipCode"/>
      <w:bookmarkEnd w:id="14"/>
      <w:r>
        <w:rPr>
          <w:rFonts w:ascii="Times New Roman;Times;Serif" w:hAnsi="Times New Roman;Times;Serif"/>
          <w:b w:val="false"/>
          <w:i w:val="false"/>
          <w:caps w:val="false"/>
          <w:smallCaps w:val="false"/>
          <w:sz w:val="20"/>
        </w:rPr>
        <w:t>06851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5" w:name="xdx_906_edei--CityAreaCode_c20260101__20"/>
      <w:bookmarkEnd w:id="15"/>
      <w:r>
        <w:rPr>
          <w:rFonts w:ascii="Times New Roman;Times;Serif" w:hAnsi="Times New Roman;Times;Serif"/>
          <w:b w:val="false"/>
          <w:i w:val="false"/>
          <w:caps w:val="false"/>
          <w:smallCaps w:val="false"/>
          <w:sz w:val="20"/>
        </w:rPr>
        <w:t xml:space="preserve">(800) </w:t>
      </w:r>
      <w:bookmarkStart w:id="16" w:name="xdx_903_edei--LocalPhoneNumber_c20260101"/>
      <w:bookmarkEnd w:id="16"/>
      <w:r>
        <w:rPr>
          <w:rFonts w:ascii="Times New Roman;Times;Serif" w:hAnsi="Times New Roman;Times;Serif"/>
          <w:b w:val="false"/>
          <w:i w:val="false"/>
          <w:caps w:val="false"/>
          <w:smallCaps w:val="false"/>
          <w:sz w:val="20"/>
        </w:rPr>
        <w:t>997-3337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center"/>
        <w:rPr>
          <w:caps w:val="false"/>
          <w:smallCaps w:val="false"/>
        </w:rPr>
      </w:pPr>
      <w:r>
        <w:rPr>
          <w:caps w:val="false"/>
          <w:smallCaps w:val="false"/>
        </w:rPr>
        <w:t> </w:t>
      </w:r>
    </w:p>
    <w:tbl>
      <w:tblPr>
        <w:tblW w:w="9000" w:type="dxa"/>
        <w:jc w:val="left"/>
        <w:tblInd w:w="0" w:type="dxa"/>
        <w:tblLayout w:type="fixed"/>
        <w:tblCellMar>
          <w:top w:w="0" w:type="dxa"/>
          <w:left w:w="0" w:type="dxa"/>
          <w:bottom w:w="28" w:type="dxa"/>
          <w:right w:w="0" w:type="dxa"/>
        </w:tblCellMar>
      </w:tblPr>
      <w:tblGrid>
        <w:gridCol w:w="3680"/>
        <w:gridCol w:w="60"/>
        <w:gridCol w:w="1415"/>
        <w:gridCol w:w="60"/>
        <w:gridCol w:w="3785"/>
      </w:tblGrid>
      <w:tr>
        <w:trPr/>
        <w:tc>
          <w:tcPr>
            <w:tcW w:w="3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of each exchange on which registered</w:t>
            </w:r>
          </w:p>
        </w:tc>
      </w:tr>
      <w:tr>
        <w:trPr/>
        <w:tc>
          <w:tcPr>
            <w:tcW w:w="36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17" w:name="xdx_900_edei--Security12bTitle_c20260101"/>
            <w:bookmarkEnd w:id="17"/>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2_edei--TradingSymbol_c20260101__2"/>
            <w:bookmarkEnd w:id="18"/>
            <w:r>
              <w:rPr>
                <w:rFonts w:ascii="Times New Roman;Times;Serif" w:hAnsi="Times New Roman;Times;Serif"/>
                <w:b w:val="false"/>
                <w:i w:val="false"/>
                <w:caps w:val="false"/>
                <w:smallCaps w:val="false"/>
                <w:sz w:val="20"/>
              </w:rPr>
              <w:t>REED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19" w:name="xdx_906_edei--SecurityExchangeName_c2026"/>
            <w:bookmarkEnd w:id="19"/>
            <w:r>
              <w:rPr>
                <w:rFonts w:ascii="Times New Roman;Times;Serif" w:hAnsi="Times New Roman;Times;Serif"/>
                <w:b w:val="false"/>
                <w:i w:val="false"/>
                <w:caps w:val="false"/>
                <w:smallCaps w:val="false"/>
                <w:sz w:val="20"/>
              </w:rPr>
              <w:t>NYSE American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 w:name="xdx_90D_edei--EntityCurrentReportingStat"/>
      <w:bookmarkEnd w:id="20"/>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1" w:name="xdx_905_edei--EntityInteractiveDataCurre"/>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7155" w:type="dxa"/>
        <w:jc w:val="left"/>
        <w:tblInd w:w="0" w:type="dxa"/>
        <w:tblLayout w:type="fixed"/>
        <w:tblCellMar>
          <w:top w:w="0" w:type="dxa"/>
          <w:left w:w="0" w:type="dxa"/>
          <w:bottom w:w="0" w:type="dxa"/>
          <w:right w:w="0" w:type="dxa"/>
        </w:tblCellMar>
      </w:tblPr>
      <w:tblGrid>
        <w:gridCol w:w="2585"/>
        <w:gridCol w:w="2525"/>
        <w:gridCol w:w="2045"/>
      </w:tblGrid>
      <w:tr>
        <w:trPr/>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E_edei--EntityFilerCategory_c20260"/>
            <w:bookmarkEnd w:id="22"/>
            <w:r>
              <w:rPr>
                <w:rFonts w:ascii="Times New Roman;Times;Serif" w:hAnsi="Times New Roman;Times;Serif"/>
                <w:b w:val="false"/>
                <w:i w:val="false"/>
                <w:caps w:val="false"/>
                <w:smallCaps w:val="false"/>
                <w:sz w:val="20"/>
              </w:rPr>
              <w:t>Non-Accelerated Filer ☒</w:t>
            </w:r>
          </w:p>
        </w:tc>
      </w:tr>
      <w:tr>
        <w:trPr/>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3" w:name="xdx_90F_edei--EntitySmallBusiness_c20260"/>
            <w:bookmarkEnd w:id="23"/>
            <w:r>
              <w:rPr>
                <w:rFonts w:ascii="Times New Roman;Times;Serif" w:hAnsi="Times New Roman;Times;Serif"/>
                <w:b w:val="false"/>
                <w:i w:val="false"/>
                <w:caps w:val="false"/>
                <w:smallCaps w:val="false"/>
                <w:sz w:val="20"/>
              </w:rPr>
              <w:t>☒</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B_edei--EntityEmergingGrowthCompan"/>
            <w:bookmarkEnd w:id="24"/>
            <w:r>
              <w:rPr>
                <w:rFonts w:ascii="Times New Roman;Times;Serif" w:hAnsi="Times New Roman;Times;Serif"/>
                <w:b w:val="false"/>
                <w:i w:val="false"/>
                <w:caps w:val="false"/>
                <w:smallCaps w:val="false"/>
                <w:sz w:val="20"/>
              </w:rPr>
              <w:t>☐</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issuer is a shell company (as defined in Rule 12b-2 of the Exchange Act). Yes ☐ No </w:t>
      </w:r>
      <w:bookmarkStart w:id="25" w:name="xdx_909_edei--EntityShellCompany_dbF_c20"/>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w:t>
      </w:r>
      <w:bookmarkStart w:id="26" w:name="xdx_909_edei--EntityCommonStockSharesOut"/>
      <w:bookmarkEnd w:id="26"/>
      <w:r>
        <w:rPr>
          <w:rFonts w:ascii="Times New Roman;Times;Serif" w:hAnsi="Times New Roman;Times;Serif"/>
          <w:b w:val="false"/>
          <w:i w:val="false"/>
          <w:caps w:val="false"/>
          <w:smallCaps w:val="false"/>
          <w:sz w:val="20"/>
        </w:rPr>
        <w:t>11,857,086 shares of the Company’s common stock, par value $</w:t>
      </w:r>
      <w:bookmarkStart w:id="27" w:name="xdx_900_edei--EntityListingParValuePerSh"/>
      <w:bookmarkEnd w:id="27"/>
      <w:r>
        <w:rPr>
          <w:rFonts w:ascii="Times New Roman;Times;Serif" w:hAnsi="Times New Roman;Times;Serif"/>
          <w:b w:val="false"/>
          <w:i w:val="false"/>
          <w:caps w:val="false"/>
          <w:smallCaps w:val="false"/>
          <w:sz w:val="20"/>
        </w:rPr>
        <w:t>.0001 per share, outstanding as of May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14"/>
        <w:gridCol w:w="291"/>
      </w:tblGrid>
      <w:tr>
        <w:trPr/>
        <w:tc>
          <w:tcPr>
            <w:tcW w:w="9914" w:type="dxa"/>
            <w:tcBorders/>
            <w:shd w:fill="CCEEFF" w:val="clear"/>
            <w:vAlign w:val="center"/>
          </w:tcPr>
          <w:p>
            <w:pPr>
              <w:pStyle w:val="TableContents"/>
              <w:bidi w:val="0"/>
              <w:spacing w:before="0" w:after="283"/>
              <w:jc w:val="both"/>
              <w:rPr/>
            </w:pPr>
            <w:hyperlink w:anchor="JA_001">
              <w:r>
                <w:rPr>
                  <w:rStyle w:val="InternetLink"/>
                  <w:rFonts w:ascii="Times New Roman;Times;Serif" w:hAnsi="Times New Roman;Times;Serif"/>
                  <w:b w:val="false"/>
                  <w:i w:val="false"/>
                  <w:caps w:val="false"/>
                  <w:smallCaps w:val="false"/>
                  <w:sz w:val="20"/>
                </w:rPr>
                <w:t>PART I - FINANCIAL INFORMATION</w:t>
              </w:r>
            </w:hyperlink>
          </w:p>
        </w:tc>
        <w:tc>
          <w:tcPr>
            <w:tcW w:w="29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91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4" w:type="dxa"/>
            <w:tcBorders/>
            <w:shd w:fill="CCEEFF" w:val="clear"/>
            <w:vAlign w:val="center"/>
          </w:tcPr>
          <w:p>
            <w:pPr>
              <w:pStyle w:val="TableContents"/>
              <w:bidi w:val="0"/>
              <w:spacing w:before="0" w:after="283"/>
              <w:jc w:val="both"/>
              <w:rPr/>
            </w:pPr>
            <w:hyperlink w:anchor="JA_002">
              <w:r>
                <w:rPr>
                  <w:rStyle w:val="InternetLink"/>
                  <w:rFonts w:ascii="Times New Roman;Times;Serif" w:hAnsi="Times New Roman;Times;Serif"/>
                  <w:b w:val="false"/>
                  <w:i w:val="false"/>
                  <w:caps w:val="false"/>
                  <w:smallCaps w:val="false"/>
                  <w:sz w:val="20"/>
                </w:rPr>
                <w:t>Item 1. Condensed Consolidated Financial Statements</w:t>
              </w:r>
            </w:hyperlink>
          </w:p>
        </w:tc>
        <w:tc>
          <w:tcPr>
            <w:tcW w:w="29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91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4" w:type="dxa"/>
            <w:tcBorders/>
            <w:shd w:fill="CCEEFF" w:val="clear"/>
            <w:vAlign w:val="center"/>
          </w:tcPr>
          <w:p>
            <w:pPr>
              <w:pStyle w:val="TableContents"/>
              <w:bidi w:val="0"/>
              <w:spacing w:before="0" w:after="283"/>
              <w:jc w:val="both"/>
              <w:rPr/>
            </w:pPr>
            <w:hyperlink w:anchor="JA_003">
              <w:r>
                <w:rPr>
                  <w:rStyle w:val="InternetLink"/>
                  <w:rFonts w:ascii="Times New Roman;Times;Serif" w:hAnsi="Times New Roman;Times;Serif"/>
                  <w:b w:val="false"/>
                  <w:i w:val="false"/>
                  <w:caps w:val="false"/>
                  <w:smallCaps w:val="false"/>
                  <w:sz w:val="20"/>
                </w:rPr>
                <w:t>Condensed Consolidated Balance Sheets - March 31, 2026 (Unaudited) and December 31, 2025</w:t>
              </w:r>
            </w:hyperlink>
          </w:p>
        </w:tc>
        <w:tc>
          <w:tcPr>
            <w:tcW w:w="29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91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4" w:type="dxa"/>
            <w:tcBorders/>
            <w:shd w:fill="CCEEFF" w:val="clear"/>
            <w:vAlign w:val="center"/>
          </w:tcPr>
          <w:p>
            <w:pPr>
              <w:pStyle w:val="TableContents"/>
              <w:bidi w:val="0"/>
              <w:spacing w:before="0" w:after="283"/>
              <w:jc w:val="both"/>
              <w:rPr/>
            </w:pPr>
            <w:hyperlink w:anchor="JA_004">
              <w:r>
                <w:rPr>
                  <w:rStyle w:val="InternetLink"/>
                  <w:rFonts w:ascii="Times New Roman;Times;Serif" w:hAnsi="Times New Roman;Times;Serif"/>
                  <w:b w:val="false"/>
                  <w:i w:val="false"/>
                  <w:caps w:val="false"/>
                  <w:smallCaps w:val="false"/>
                  <w:sz w:val="20"/>
                </w:rPr>
                <w:t>Condensed Consolidated Statements of Operations for the three months ended March 31, 2026 and 2025 (Unaudited)</w:t>
              </w:r>
            </w:hyperlink>
          </w:p>
        </w:tc>
        <w:tc>
          <w:tcPr>
            <w:tcW w:w="29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91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4" w:type="dxa"/>
            <w:tcBorders/>
            <w:shd w:fill="CCEEFF" w:val="clear"/>
            <w:vAlign w:val="center"/>
          </w:tcPr>
          <w:p>
            <w:pPr>
              <w:pStyle w:val="TableContents"/>
              <w:bidi w:val="0"/>
              <w:spacing w:before="0" w:after="283"/>
              <w:jc w:val="both"/>
              <w:rPr/>
            </w:pPr>
            <w:hyperlink w:anchor="JA_005">
              <w:r>
                <w:rPr>
                  <w:rStyle w:val="InternetLink"/>
                  <w:rFonts w:ascii="Times New Roman;Times;Serif" w:hAnsi="Times New Roman;Times;Serif"/>
                  <w:b w:val="false"/>
                  <w:i w:val="false"/>
                  <w:caps w:val="false"/>
                  <w:smallCaps w:val="false"/>
                  <w:sz w:val="20"/>
                </w:rPr>
                <w:t>Condensed Consolidated Statements of Changes in Stockholders’ Equity for the three months ended March 31, 2026 and 2025 (Unaudited)</w:t>
              </w:r>
            </w:hyperlink>
          </w:p>
        </w:tc>
        <w:tc>
          <w:tcPr>
            <w:tcW w:w="29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91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4" w:type="dxa"/>
            <w:tcBorders/>
            <w:shd w:fill="CCEEFF" w:val="clear"/>
            <w:vAlign w:val="center"/>
          </w:tcPr>
          <w:p>
            <w:pPr>
              <w:pStyle w:val="TableContents"/>
              <w:bidi w:val="0"/>
              <w:spacing w:before="0" w:after="283"/>
              <w:jc w:val="both"/>
              <w:rPr/>
            </w:pPr>
            <w:hyperlink w:anchor="JA_006">
              <w:r>
                <w:rPr>
                  <w:rStyle w:val="InternetLink"/>
                  <w:rFonts w:ascii="Times New Roman;Times;Serif" w:hAnsi="Times New Roman;Times;Serif"/>
                  <w:b w:val="false"/>
                  <w:i w:val="false"/>
                  <w:caps w:val="false"/>
                  <w:smallCaps w:val="false"/>
                  <w:sz w:val="20"/>
                </w:rPr>
                <w:t>Condensed Consolidated Statements of Cash Flows for the three months ended March 31, 2026 and 2025 (Unaudited)</w:t>
              </w:r>
            </w:hyperlink>
          </w:p>
        </w:tc>
        <w:tc>
          <w:tcPr>
            <w:tcW w:w="29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91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4" w:type="dxa"/>
            <w:tcBorders/>
            <w:shd w:fill="CCEEFF" w:val="clear"/>
            <w:vAlign w:val="center"/>
          </w:tcPr>
          <w:p>
            <w:pPr>
              <w:pStyle w:val="TableContents"/>
              <w:bidi w:val="0"/>
              <w:spacing w:before="0" w:after="283"/>
              <w:jc w:val="both"/>
              <w:rPr/>
            </w:pPr>
            <w:hyperlink w:anchor="JA_007">
              <w:r>
                <w:rPr>
                  <w:rStyle w:val="InternetLink"/>
                  <w:rFonts w:ascii="Times New Roman;Times;Serif" w:hAnsi="Times New Roman;Times;Serif"/>
                  <w:b w:val="false"/>
                  <w:i w:val="false"/>
                  <w:caps w:val="false"/>
                  <w:smallCaps w:val="false"/>
                  <w:sz w:val="20"/>
                </w:rPr>
                <w:t>Notes to Condensed Consolidated Financial Statements three months ended March 31, 2026 and 2025 (Unaudited)</w:t>
              </w:r>
            </w:hyperlink>
          </w:p>
        </w:tc>
        <w:tc>
          <w:tcPr>
            <w:tcW w:w="29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91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4" w:type="dxa"/>
            <w:tcBorders/>
            <w:shd w:fill="CCEEFF" w:val="clear"/>
            <w:vAlign w:val="center"/>
          </w:tcPr>
          <w:p>
            <w:pPr>
              <w:pStyle w:val="TableContents"/>
              <w:bidi w:val="0"/>
              <w:spacing w:before="0" w:after="283"/>
              <w:jc w:val="both"/>
              <w:rPr/>
            </w:pPr>
            <w:hyperlink w:anchor="su_001">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29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1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4" w:type="dxa"/>
            <w:tcBorders/>
            <w:shd w:fill="CCEEFF" w:val="clear"/>
            <w:vAlign w:val="center"/>
          </w:tcPr>
          <w:p>
            <w:pPr>
              <w:pStyle w:val="TableContents"/>
              <w:bidi w:val="0"/>
              <w:spacing w:before="0" w:after="283"/>
              <w:jc w:val="both"/>
              <w:rPr/>
            </w:pPr>
            <w:hyperlink w:anchor="su_002">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29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91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4" w:type="dxa"/>
            <w:tcBorders/>
            <w:shd w:fill="CCEEFF" w:val="clear"/>
            <w:vAlign w:val="center"/>
          </w:tcPr>
          <w:p>
            <w:pPr>
              <w:pStyle w:val="TableContents"/>
              <w:bidi w:val="0"/>
              <w:spacing w:before="0" w:after="283"/>
              <w:jc w:val="both"/>
              <w:rPr/>
            </w:pPr>
            <w:hyperlink w:anchor="su_003">
              <w:r>
                <w:rPr>
                  <w:rStyle w:val="InternetLink"/>
                  <w:rFonts w:ascii="Times New Roman;Times;Serif" w:hAnsi="Times New Roman;Times;Serif"/>
                  <w:b w:val="false"/>
                  <w:i w:val="false"/>
                  <w:caps w:val="false"/>
                  <w:smallCaps w:val="false"/>
                  <w:sz w:val="20"/>
                </w:rPr>
                <w:t>Item 4. Controls and Procedures</w:t>
              </w:r>
            </w:hyperlink>
          </w:p>
        </w:tc>
        <w:tc>
          <w:tcPr>
            <w:tcW w:w="29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91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4" w:type="dxa"/>
            <w:tcBorders/>
            <w:shd w:fill="CCEEFF" w:val="clear"/>
            <w:vAlign w:val="center"/>
          </w:tcPr>
          <w:p>
            <w:pPr>
              <w:pStyle w:val="TableContents"/>
              <w:bidi w:val="0"/>
              <w:spacing w:before="0" w:after="283"/>
              <w:jc w:val="both"/>
              <w:rPr/>
            </w:pPr>
            <w:hyperlink w:anchor="su_004">
              <w:r>
                <w:rPr>
                  <w:rStyle w:val="InternetLink"/>
                  <w:rFonts w:ascii="Times New Roman;Times;Serif" w:hAnsi="Times New Roman;Times;Serif"/>
                  <w:b w:val="false"/>
                  <w:i w:val="false"/>
                  <w:caps w:val="false"/>
                  <w:smallCaps w:val="false"/>
                  <w:sz w:val="20"/>
                </w:rPr>
                <w:t>PART II – OTHER INFORMATION</w:t>
              </w:r>
            </w:hyperlink>
          </w:p>
        </w:tc>
        <w:tc>
          <w:tcPr>
            <w:tcW w:w="29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91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4" w:type="dxa"/>
            <w:tcBorders/>
            <w:shd w:fill="CCEEFF" w:val="clear"/>
            <w:vAlign w:val="center"/>
          </w:tcPr>
          <w:p>
            <w:pPr>
              <w:pStyle w:val="TableContents"/>
              <w:bidi w:val="0"/>
              <w:spacing w:before="0" w:after="283"/>
              <w:jc w:val="both"/>
              <w:rPr/>
            </w:pPr>
            <w:hyperlink w:anchor="su_005">
              <w:r>
                <w:rPr>
                  <w:rStyle w:val="InternetLink"/>
                  <w:rFonts w:ascii="Times New Roman;Times;Serif" w:hAnsi="Times New Roman;Times;Serif"/>
                  <w:b w:val="false"/>
                  <w:i w:val="false"/>
                  <w:caps w:val="false"/>
                  <w:smallCaps w:val="false"/>
                  <w:sz w:val="20"/>
                </w:rPr>
                <w:t>Item 1. Legal Proceedings</w:t>
              </w:r>
            </w:hyperlink>
          </w:p>
        </w:tc>
        <w:tc>
          <w:tcPr>
            <w:tcW w:w="29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91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4" w:type="dxa"/>
            <w:tcBorders/>
            <w:shd w:fill="CCEEFF" w:val="clear"/>
            <w:vAlign w:val="center"/>
          </w:tcPr>
          <w:p>
            <w:pPr>
              <w:pStyle w:val="TableContents"/>
              <w:bidi w:val="0"/>
              <w:spacing w:before="0" w:after="283"/>
              <w:jc w:val="both"/>
              <w:rPr/>
            </w:pPr>
            <w:hyperlink w:anchor="su_006">
              <w:r>
                <w:rPr>
                  <w:rStyle w:val="InternetLink"/>
                  <w:rFonts w:ascii="Times New Roman;Times;Serif" w:hAnsi="Times New Roman;Times;Serif"/>
                  <w:b w:val="false"/>
                  <w:i w:val="false"/>
                  <w:caps w:val="false"/>
                  <w:smallCaps w:val="false"/>
                  <w:sz w:val="20"/>
                </w:rPr>
                <w:t>Item 1A. Risk Factors</w:t>
              </w:r>
            </w:hyperlink>
          </w:p>
        </w:tc>
        <w:tc>
          <w:tcPr>
            <w:tcW w:w="29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91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4" w:type="dxa"/>
            <w:tcBorders/>
            <w:shd w:fill="CCEEFF" w:val="clear"/>
            <w:vAlign w:val="center"/>
          </w:tcPr>
          <w:p>
            <w:pPr>
              <w:pStyle w:val="TableContents"/>
              <w:bidi w:val="0"/>
              <w:spacing w:before="0" w:after="283"/>
              <w:jc w:val="both"/>
              <w:rPr/>
            </w:pPr>
            <w:hyperlink w:anchor="su_007">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29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91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4" w:type="dxa"/>
            <w:tcBorders/>
            <w:shd w:fill="CCEEFF" w:val="clear"/>
            <w:vAlign w:val="center"/>
          </w:tcPr>
          <w:p>
            <w:pPr>
              <w:pStyle w:val="TableContents"/>
              <w:bidi w:val="0"/>
              <w:spacing w:before="0" w:after="283"/>
              <w:jc w:val="both"/>
              <w:rPr/>
            </w:pPr>
            <w:hyperlink w:anchor="su_008">
              <w:r>
                <w:rPr>
                  <w:rStyle w:val="InternetLink"/>
                  <w:rFonts w:ascii="Times New Roman;Times;Serif" w:hAnsi="Times New Roman;Times;Serif"/>
                  <w:b w:val="false"/>
                  <w:i w:val="false"/>
                  <w:caps w:val="false"/>
                  <w:smallCaps w:val="false"/>
                  <w:sz w:val="20"/>
                </w:rPr>
                <w:t>Item 3. Defaults Upon Senior Securities</w:t>
              </w:r>
            </w:hyperlink>
          </w:p>
        </w:tc>
        <w:tc>
          <w:tcPr>
            <w:tcW w:w="29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91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4" w:type="dxa"/>
            <w:tcBorders/>
            <w:shd w:fill="CCEEFF" w:val="clear"/>
            <w:vAlign w:val="center"/>
          </w:tcPr>
          <w:p>
            <w:pPr>
              <w:pStyle w:val="TableContents"/>
              <w:bidi w:val="0"/>
              <w:spacing w:before="0" w:after="283"/>
              <w:jc w:val="both"/>
              <w:rPr/>
            </w:pPr>
            <w:hyperlink w:anchor="su_009">
              <w:r>
                <w:rPr>
                  <w:rStyle w:val="InternetLink"/>
                  <w:rFonts w:ascii="Times New Roman;Times;Serif" w:hAnsi="Times New Roman;Times;Serif"/>
                  <w:b w:val="false"/>
                  <w:i w:val="false"/>
                  <w:caps w:val="false"/>
                  <w:smallCaps w:val="false"/>
                  <w:sz w:val="20"/>
                </w:rPr>
                <w:t>Item 4. Mine Safety Disclosures</w:t>
              </w:r>
            </w:hyperlink>
          </w:p>
        </w:tc>
        <w:tc>
          <w:tcPr>
            <w:tcW w:w="29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91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4" w:type="dxa"/>
            <w:tcBorders/>
            <w:shd w:fill="CCEEFF" w:val="clear"/>
            <w:vAlign w:val="center"/>
          </w:tcPr>
          <w:p>
            <w:pPr>
              <w:pStyle w:val="TableContents"/>
              <w:bidi w:val="0"/>
              <w:spacing w:before="0" w:after="283"/>
              <w:jc w:val="both"/>
              <w:rPr/>
            </w:pPr>
            <w:hyperlink w:anchor="su_010">
              <w:r>
                <w:rPr>
                  <w:rStyle w:val="InternetLink"/>
                  <w:rFonts w:ascii="Times New Roman;Times;Serif" w:hAnsi="Times New Roman;Times;Serif"/>
                  <w:b w:val="false"/>
                  <w:i w:val="false"/>
                  <w:caps w:val="false"/>
                  <w:smallCaps w:val="false"/>
                  <w:sz w:val="20"/>
                </w:rPr>
                <w:t>Item 5. Other Information</w:t>
              </w:r>
            </w:hyperlink>
          </w:p>
        </w:tc>
        <w:tc>
          <w:tcPr>
            <w:tcW w:w="29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91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4" w:type="dxa"/>
            <w:tcBorders/>
            <w:shd w:fill="CCEEFF" w:val="clear"/>
            <w:vAlign w:val="center"/>
          </w:tcPr>
          <w:p>
            <w:pPr>
              <w:pStyle w:val="TableContents"/>
              <w:bidi w:val="0"/>
              <w:spacing w:before="0" w:after="283"/>
              <w:jc w:val="both"/>
              <w:rPr/>
            </w:pPr>
            <w:hyperlink w:anchor="su_011">
              <w:r>
                <w:rPr>
                  <w:rStyle w:val="InternetLink"/>
                  <w:rFonts w:ascii="Times New Roman;Times;Serif" w:hAnsi="Times New Roman;Times;Serif"/>
                  <w:b w:val="false"/>
                  <w:i w:val="false"/>
                  <w:caps w:val="false"/>
                  <w:smallCaps w:val="false"/>
                  <w:sz w:val="20"/>
                </w:rPr>
                <w:t>Item 6. Exhibits</w:t>
              </w:r>
            </w:hyperlink>
          </w:p>
        </w:tc>
        <w:tc>
          <w:tcPr>
            <w:tcW w:w="29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 AND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report contains statements reflecting our views about our future performance that constitute “forward-looking statements” within the meaning of the Private Securities Litigation Reform Act of 1995 (Reform Act). Statements that constitute forward-looking statements within the meaning of the Reform Act are generally identified through the inclusion of words such as “aim,” “anticipate,” “believe,” “drive,” “estimate,” “expect,” “forecast,” “future,” “goal,” “guidance,” “intend,” “may,” “objective,” “outlook,” “plan,” “position,”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within the meaning of the Reform Act.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These risks and uncertainties include, but are not limited to, those described in “Part I, Item 1A. Risk Factors” of our Annual Report on Form 10-K for the fiscal year ended December 31, 2025 (“2025 Form 10-K”) as updated by “Part II, Item 1A” of this report, which should be considered when evaluating our trends and future results. Investors are cautioned not to place undue reliance on any such forward-looking statements, which speak only as of the date they are made. We undertake no obligation to update any forward-looking statement, whether as a result of new information, future events or otherwise. The discussion of risks in this report is by no means all-inclusive but is designed to highlight what we believe are important factors to consider when evaluating our future performance.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JA_001"/>
      <w:bookmarkEnd w:id="28"/>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JA_002"/>
      <w:bookmarkEnd w:id="29"/>
      <w:r>
        <w:rPr>
          <w:rFonts w:ascii="Times New Roman;Times;Serif" w:hAnsi="Times New Roman;Times;Serif"/>
          <w:b/>
          <w:i w:val="false"/>
          <w:caps w:val="false"/>
          <w:smallCaps w:val="false"/>
          <w:sz w:val="20"/>
        </w:rPr>
        <w:t>Item 1.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JA_003"/>
      <w:bookmarkEnd w:id="30"/>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 w:name="xdx_308_111_pn3n3_z41WiDNTKaS1"/>
      <w:bookmarkStart w:id="32" w:name="xdx_308_111_pn3n3_z41WiDNTKaS1"/>
      <w:bookmarkEnd w:id="32"/>
    </w:p>
    <w:tbl>
      <w:tblPr>
        <w:tblW w:w="10205" w:type="dxa"/>
        <w:jc w:val="left"/>
        <w:tblInd w:w="0" w:type="dxa"/>
        <w:tblLayout w:type="fixed"/>
        <w:tblCellMar>
          <w:top w:w="0" w:type="dxa"/>
          <w:left w:w="0" w:type="dxa"/>
          <w:bottom w:w="0" w:type="dxa"/>
          <w:right w:w="0" w:type="dxa"/>
        </w:tblCellMar>
      </w:tblPr>
      <w:tblGrid>
        <w:gridCol w:w="7373"/>
        <w:gridCol w:w="60"/>
        <w:gridCol w:w="140"/>
        <w:gridCol w:w="875"/>
        <w:gridCol w:w="95"/>
        <w:gridCol w:w="60"/>
        <w:gridCol w:w="204"/>
        <w:gridCol w:w="1286"/>
        <w:gridCol w:w="112"/>
      </w:tblGrid>
      <w:tr>
        <w:trPr/>
        <w:tc>
          <w:tcPr>
            <w:tcW w:w="73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3" w:name="xdx_498_20260331_zCsNTChFBtVg"/>
            <w:bookmarkEnd w:id="33"/>
          </w:p>
        </w:tc>
        <w:tc>
          <w:tcPr>
            <w:tcW w:w="101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3_20251231_zzBwu0Jc2dw9"/>
            <w:bookmarkEnd w:id="34"/>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2" w:type="dxa"/>
            <w:tcBorders/>
            <w:vAlign w:val="center"/>
          </w:tcPr>
          <w:p>
            <w:pPr>
              <w:pStyle w:val="TableContents"/>
              <w:bidi w:val="0"/>
              <w:spacing w:before="0" w:after="283"/>
              <w:jc w:val="left"/>
              <w:rPr/>
            </w:pPr>
            <w:r>
              <w:rPr/>
              <w:t> </w:t>
            </w:r>
          </w:p>
        </w:tc>
      </w:tr>
      <w:tr>
        <w:trPr/>
        <w:tc>
          <w:tcPr>
            <w:tcW w:w="73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73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bookmarkStart w:id="35" w:name="xdx_400_eus-gaap--AssetsAbstract_iB_z88u"/>
            <w:bookmarkEnd w:id="35"/>
          </w:p>
        </w:tc>
      </w:tr>
      <w:tr>
        <w:trPr/>
        <w:tc>
          <w:tcPr>
            <w:tcW w:w="7373"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6" w:name="xdx_406_eus-gaap--AssetsCurrentAbstract_"/>
            <w:bookmarkEnd w:id="36"/>
          </w:p>
        </w:tc>
      </w:tr>
      <w:tr>
        <w:trPr/>
        <w:tc>
          <w:tcPr>
            <w:tcW w:w="7373"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7" w:name="xdx_405_eus-gaap--Cash_i02I_maCzy7i_zq0L"/>
            <w:bookmarkEnd w:id="37"/>
          </w:p>
        </w:tc>
      </w:tr>
      <w:tr>
        <w:trPr/>
        <w:tc>
          <w:tcPr>
            <w:tcW w:w="7373"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286" w:type="dxa"/>
            <w:tcBorders/>
            <w:shd w:fill="CCEEFF" w:val="clear"/>
            <w:vAlign w:val="center"/>
          </w:tcPr>
          <w:p>
            <w:pPr>
              <w:pStyle w:val="TableContents"/>
              <w:bidi w:val="0"/>
              <w:spacing w:before="0" w:after="283"/>
              <w:jc w:val="right"/>
              <w:rPr/>
            </w:pPr>
            <w:r>
              <w:rPr/>
              <w:t>10,424</w:t>
            </w:r>
          </w:p>
        </w:tc>
        <w:tc>
          <w:tcPr>
            <w:tcW w:w="112" w:type="dxa"/>
            <w:tcBorders/>
            <w:shd w:fill="CCEEFF" w:val="clear"/>
            <w:vAlign w:val="center"/>
          </w:tcPr>
          <w:p>
            <w:pPr>
              <w:pStyle w:val="TableContents"/>
              <w:bidi w:val="0"/>
              <w:spacing w:before="0" w:after="283"/>
              <w:jc w:val="left"/>
              <w:rPr/>
            </w:pPr>
            <w:r>
              <w:rPr/>
              <w:t> </w:t>
            </w:r>
            <w:bookmarkStart w:id="38" w:name="xdx_40B_eus-gaap--AccountsReceivableNetC"/>
            <w:bookmarkEnd w:id="38"/>
          </w:p>
        </w:tc>
      </w:tr>
      <w:tr>
        <w:trPr/>
        <w:tc>
          <w:tcPr>
            <w:tcW w:w="7373" w:type="dxa"/>
            <w:tcBorders/>
            <w:shd w:fill="FFFFFF" w:val="clear"/>
            <w:vAlign w:val="center"/>
          </w:tcPr>
          <w:p>
            <w:pPr>
              <w:pStyle w:val="TableContents"/>
              <w:bidi w:val="0"/>
              <w:spacing w:before="0" w:after="283"/>
              <w:jc w:val="left"/>
              <w:rPr/>
            </w:pPr>
            <w:r>
              <w:rPr/>
              <w:t>Accounts receivable, net of allowance of $</w:t>
            </w:r>
            <w:bookmarkStart w:id="39" w:name="xdx_909_eus-gaap--AllowanceForDoubtfulAc"/>
            <w:bookmarkEnd w:id="39"/>
            <w:r>
              <w:rPr/>
              <w:t>982 and $</w:t>
            </w:r>
            <w:bookmarkStart w:id="40" w:name="xdx_90C_eus-gaap--AllowanceForDoubtfulAc"/>
            <w:bookmarkEnd w:id="40"/>
            <w:r>
              <w:rPr/>
              <w:t>980,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2,317</w:t>
            </w:r>
          </w:p>
        </w:tc>
        <w:tc>
          <w:tcPr>
            <w:tcW w:w="112" w:type="dxa"/>
            <w:tcBorders/>
            <w:shd w:fill="FFFFFF" w:val="clear"/>
            <w:vAlign w:val="center"/>
          </w:tcPr>
          <w:p>
            <w:pPr>
              <w:pStyle w:val="TableContents"/>
              <w:bidi w:val="0"/>
              <w:spacing w:before="0" w:after="283"/>
              <w:jc w:val="left"/>
              <w:rPr/>
            </w:pPr>
            <w:r>
              <w:rPr/>
              <w:t> </w:t>
            </w:r>
            <w:bookmarkStart w:id="41" w:name="xdx_405_eus-gaap--InventoryNet_i02I_maCz"/>
            <w:bookmarkEnd w:id="41"/>
          </w:p>
        </w:tc>
      </w:tr>
      <w:tr>
        <w:trPr/>
        <w:tc>
          <w:tcPr>
            <w:tcW w:w="7373" w:type="dxa"/>
            <w:tcBorders/>
            <w:shd w:fill="CCEEFF" w:val="clear"/>
            <w:vAlign w:val="center"/>
          </w:tcPr>
          <w:p>
            <w:pPr>
              <w:pStyle w:val="TableContents"/>
              <w:bidi w:val="0"/>
              <w:spacing w:before="0" w:after="283"/>
              <w:jc w:val="left"/>
              <w:rPr/>
            </w:pPr>
            <w:r>
              <w:rPr/>
              <w:t>Inventory,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8,046</w:t>
            </w:r>
          </w:p>
        </w:tc>
        <w:tc>
          <w:tcPr>
            <w:tcW w:w="112" w:type="dxa"/>
            <w:tcBorders/>
            <w:shd w:fill="CCEEFF" w:val="clear"/>
            <w:vAlign w:val="center"/>
          </w:tcPr>
          <w:p>
            <w:pPr>
              <w:pStyle w:val="TableContents"/>
              <w:bidi w:val="0"/>
              <w:spacing w:before="0" w:after="283"/>
              <w:jc w:val="left"/>
              <w:rPr/>
            </w:pPr>
            <w:r>
              <w:rPr/>
              <w:t> </w:t>
            </w:r>
            <w:bookmarkStart w:id="42" w:name="xdx_40A_eus-gaap--PrepaidExpenseAndOther"/>
            <w:bookmarkEnd w:id="42"/>
          </w:p>
        </w:tc>
      </w:tr>
      <w:tr>
        <w:trPr/>
        <w:tc>
          <w:tcPr>
            <w:tcW w:w="7373"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6" w:type="dxa"/>
            <w:tcBorders>
              <w:bottom w:val="single" w:sz="8" w:space="0" w:color="000000"/>
            </w:tcBorders>
            <w:shd w:fill="FFFFFF" w:val="clear"/>
            <w:tcMar>
              <w:bottom w:w="28" w:type="dxa"/>
            </w:tcMar>
            <w:vAlign w:val="center"/>
          </w:tcPr>
          <w:p>
            <w:pPr>
              <w:pStyle w:val="TableContents"/>
              <w:bidi w:val="0"/>
              <w:spacing w:before="0" w:after="283"/>
              <w:jc w:val="right"/>
              <w:rPr/>
            </w:pPr>
            <w:r>
              <w:rPr/>
              <w:t>673</w:t>
            </w:r>
          </w:p>
        </w:tc>
        <w:tc>
          <w:tcPr>
            <w:tcW w:w="112" w:type="dxa"/>
            <w:tcBorders/>
            <w:shd w:fill="FFFFFF" w:val="clear"/>
            <w:vAlign w:val="center"/>
          </w:tcPr>
          <w:p>
            <w:pPr>
              <w:pStyle w:val="TableContents"/>
              <w:bidi w:val="0"/>
              <w:spacing w:before="0" w:after="283"/>
              <w:jc w:val="left"/>
              <w:rPr/>
            </w:pPr>
            <w:r>
              <w:rPr/>
              <w:t> </w:t>
            </w:r>
            <w:bookmarkStart w:id="43" w:name="xdx_403_eus-gaap--AssetsCurrent_i02TI_mt"/>
            <w:bookmarkEnd w:id="43"/>
          </w:p>
        </w:tc>
      </w:tr>
      <w:tr>
        <w:trPr/>
        <w:tc>
          <w:tcPr>
            <w:tcW w:w="7373" w:type="dxa"/>
            <w:tcBorders/>
            <w:shd w:fill="CCEEFF" w:val="clear"/>
            <w:vAlign w:val="center"/>
          </w:tcPr>
          <w:p>
            <w:pPr>
              <w:pStyle w:val="TableContents"/>
              <w:bidi w:val="0"/>
              <w:spacing w:before="0" w:after="283"/>
              <w:jc w:val="left"/>
              <w:rPr>
                <w:i/>
              </w:rPr>
            </w:pPr>
            <w:r>
              <w:rPr>
                <w:i/>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21,460</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4" w:name="xdx_407_eus-gaap--PropertyPlantAndEquipm"/>
            <w:bookmarkEnd w:id="44"/>
          </w:p>
        </w:tc>
      </w:tr>
      <w:tr>
        <w:trPr/>
        <w:tc>
          <w:tcPr>
            <w:tcW w:w="7373" w:type="dxa"/>
            <w:tcBorders/>
            <w:shd w:fill="CCEEFF" w:val="clear"/>
            <w:vAlign w:val="center"/>
          </w:tcPr>
          <w:p>
            <w:pPr>
              <w:pStyle w:val="TableContents"/>
              <w:bidi w:val="0"/>
              <w:spacing w:before="0" w:after="283"/>
              <w:jc w:val="left"/>
              <w:rPr/>
            </w:pPr>
            <w:r>
              <w:rPr/>
              <w:t>Property and equipment, net of accumulated depreciation of $</w:t>
            </w:r>
            <w:bookmarkStart w:id="45" w:name="xdx_903_eus-gaap--AccumulatedDepreciatio"/>
            <w:bookmarkEnd w:id="45"/>
            <w:r>
              <w:rPr/>
              <w:t>827 and $</w:t>
            </w:r>
            <w:bookmarkStart w:id="46" w:name="xdx_907_eus-gaap--AccumulatedDepreciatio"/>
            <w:bookmarkEnd w:id="46"/>
            <w:r>
              <w:rPr/>
              <w:t>785,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1,231</w:t>
            </w:r>
          </w:p>
        </w:tc>
        <w:tc>
          <w:tcPr>
            <w:tcW w:w="112" w:type="dxa"/>
            <w:tcBorders/>
            <w:shd w:fill="CCEEFF" w:val="clear"/>
            <w:vAlign w:val="center"/>
          </w:tcPr>
          <w:p>
            <w:pPr>
              <w:pStyle w:val="TableContents"/>
              <w:bidi w:val="0"/>
              <w:spacing w:before="0" w:after="283"/>
              <w:jc w:val="left"/>
              <w:rPr/>
            </w:pPr>
            <w:r>
              <w:rPr/>
              <w:t> </w:t>
            </w:r>
            <w:bookmarkStart w:id="47" w:name="xdx_40D_eus-gaap--IntangibleAssetsNetExc"/>
            <w:bookmarkEnd w:id="47"/>
          </w:p>
        </w:tc>
      </w:tr>
      <w:tr>
        <w:trPr/>
        <w:tc>
          <w:tcPr>
            <w:tcW w:w="7373"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6" w:type="dxa"/>
            <w:tcBorders>
              <w:bottom w:val="single" w:sz="8" w:space="0" w:color="000000"/>
            </w:tcBorders>
            <w:shd w:fill="FFFFFF" w:val="clear"/>
            <w:tcMar>
              <w:bottom w:w="28" w:type="dxa"/>
            </w:tcMar>
            <w:vAlign w:val="center"/>
          </w:tcPr>
          <w:p>
            <w:pPr>
              <w:pStyle w:val="TableContents"/>
              <w:bidi w:val="0"/>
              <w:spacing w:before="0" w:after="283"/>
              <w:jc w:val="right"/>
              <w:rPr/>
            </w:pPr>
            <w:r>
              <w:rPr/>
              <w:t>650</w:t>
            </w:r>
          </w:p>
        </w:tc>
        <w:tc>
          <w:tcPr>
            <w:tcW w:w="112" w:type="dxa"/>
            <w:tcBorders/>
            <w:shd w:fill="FFFFFF" w:val="clear"/>
            <w:vAlign w:val="center"/>
          </w:tcPr>
          <w:p>
            <w:pPr>
              <w:pStyle w:val="TableContents"/>
              <w:bidi w:val="0"/>
              <w:spacing w:before="0" w:after="283"/>
              <w:jc w:val="left"/>
              <w:rPr/>
            </w:pPr>
            <w:r>
              <w:rPr/>
              <w:t> </w:t>
            </w:r>
            <w:bookmarkStart w:id="48" w:name="xdx_408_eus-gaap--Assets_i01TI_mtCzxyX_z"/>
            <w:bookmarkEnd w:id="48"/>
          </w:p>
        </w:tc>
      </w:tr>
      <w:tr>
        <w:trPr/>
        <w:tc>
          <w:tcPr>
            <w:tcW w:w="7373"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18,686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6" w:type="dxa"/>
            <w:tcBorders>
              <w:bottom w:val="double" w:sz="6" w:space="0" w:color="000000"/>
            </w:tcBorders>
            <w:shd w:fill="CCEEFF" w:val="clear"/>
            <w:tcMar>
              <w:bottom w:w="28" w:type="dxa"/>
            </w:tcMar>
            <w:vAlign w:val="center"/>
          </w:tcPr>
          <w:p>
            <w:pPr>
              <w:pStyle w:val="TableContents"/>
              <w:bidi w:val="0"/>
              <w:spacing w:before="0" w:after="283"/>
              <w:jc w:val="right"/>
              <w:rPr/>
            </w:pPr>
            <w:r>
              <w:rPr/>
              <w:t>23,341</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9" w:name="xdx_401_eus-gaap--LiabilitiesAndStockhol"/>
            <w:bookmarkEnd w:id="49"/>
          </w:p>
        </w:tc>
      </w:tr>
      <w:tr>
        <w:trPr/>
        <w:tc>
          <w:tcPr>
            <w:tcW w:w="7373"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0" w:name="xdx_406_eus-gaap--LiabilitiesCurrentAbst"/>
            <w:bookmarkEnd w:id="50"/>
          </w:p>
        </w:tc>
      </w:tr>
      <w:tr>
        <w:trPr/>
        <w:tc>
          <w:tcPr>
            <w:tcW w:w="7373"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1" w:name="xdx_40E_eus-gaap--AccountsPayableCurrent"/>
            <w:bookmarkEnd w:id="51"/>
          </w:p>
        </w:tc>
      </w:tr>
      <w:tr>
        <w:trPr/>
        <w:tc>
          <w:tcPr>
            <w:tcW w:w="7373"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5,062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286" w:type="dxa"/>
            <w:tcBorders/>
            <w:shd w:fill="CCEEFF" w:val="clear"/>
            <w:vAlign w:val="center"/>
          </w:tcPr>
          <w:p>
            <w:pPr>
              <w:pStyle w:val="TableContents"/>
              <w:bidi w:val="0"/>
              <w:spacing w:before="0" w:after="283"/>
              <w:jc w:val="right"/>
              <w:rPr/>
            </w:pPr>
            <w:r>
              <w:rPr/>
              <w:t>3,496</w:t>
            </w:r>
          </w:p>
        </w:tc>
        <w:tc>
          <w:tcPr>
            <w:tcW w:w="112" w:type="dxa"/>
            <w:tcBorders/>
            <w:shd w:fill="CCEEFF" w:val="clear"/>
            <w:vAlign w:val="center"/>
          </w:tcPr>
          <w:p>
            <w:pPr>
              <w:pStyle w:val="TableContents"/>
              <w:bidi w:val="0"/>
              <w:spacing w:before="0" w:after="283"/>
              <w:jc w:val="left"/>
              <w:rPr/>
            </w:pPr>
            <w:r>
              <w:rPr/>
              <w:t> </w:t>
            </w:r>
            <w:bookmarkStart w:id="52" w:name="xdx_40F_eus-gaap--AccruedLiabilitiesCurr"/>
            <w:bookmarkEnd w:id="52"/>
          </w:p>
        </w:tc>
      </w:tr>
      <w:tr>
        <w:trPr/>
        <w:tc>
          <w:tcPr>
            <w:tcW w:w="7373"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669</w:t>
            </w:r>
          </w:p>
        </w:tc>
        <w:tc>
          <w:tcPr>
            <w:tcW w:w="112" w:type="dxa"/>
            <w:tcBorders/>
            <w:shd w:fill="FFFFFF" w:val="clear"/>
            <w:vAlign w:val="center"/>
          </w:tcPr>
          <w:p>
            <w:pPr>
              <w:pStyle w:val="TableContents"/>
              <w:bidi w:val="0"/>
              <w:spacing w:before="0" w:after="283"/>
              <w:jc w:val="left"/>
              <w:rPr/>
            </w:pPr>
            <w:r>
              <w:rPr/>
              <w:t> </w:t>
            </w:r>
            <w:bookmarkStart w:id="53" w:name="xdx_407_eus-gaap--ContractWithCustomerLi"/>
            <w:bookmarkEnd w:id="53"/>
          </w:p>
        </w:tc>
      </w:tr>
      <w:tr>
        <w:trPr/>
        <w:tc>
          <w:tcPr>
            <w:tcW w:w="7373"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54" w:name="xdx_402_eus-gaap--SecuredDebtCurrent_i02"/>
            <w:bookmarkEnd w:id="54"/>
          </w:p>
        </w:tc>
      </w:tr>
      <w:tr>
        <w:trPr/>
        <w:tc>
          <w:tcPr>
            <w:tcW w:w="7373" w:type="dxa"/>
            <w:tcBorders/>
            <w:shd w:fill="FFFFFF" w:val="clear"/>
            <w:vAlign w:val="center"/>
          </w:tcPr>
          <w:p>
            <w:pPr>
              <w:pStyle w:val="TableContents"/>
              <w:bidi w:val="0"/>
              <w:spacing w:before="0" w:after="283"/>
              <w:jc w:val="left"/>
              <w:rPr/>
            </w:pPr>
            <w:r>
              <w:rPr/>
              <w:t>Senior secured loan, net of deferred financing costs of $</w:t>
            </w:r>
            <w:bookmarkStart w:id="55" w:name="xdx_907_eus-gaap--DeferredFinanceCostsNe"/>
            <w:bookmarkEnd w:id="55"/>
            <w:r>
              <w:rPr/>
              <w:t>45 and $</w:t>
            </w:r>
            <w:bookmarkStart w:id="56" w:name="xdx_905_eus-gaap--DeferredFinanceCostsNe"/>
            <w:bookmarkEnd w:id="56"/>
            <w:r>
              <w:rPr/>
              <w:t>68,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9,182</w:t>
            </w:r>
          </w:p>
        </w:tc>
        <w:tc>
          <w:tcPr>
            <w:tcW w:w="112" w:type="dxa"/>
            <w:tcBorders/>
            <w:shd w:fill="FFFFFF" w:val="clear"/>
            <w:vAlign w:val="center"/>
          </w:tcPr>
          <w:p>
            <w:pPr>
              <w:pStyle w:val="TableContents"/>
              <w:bidi w:val="0"/>
              <w:spacing w:before="0" w:after="283"/>
              <w:jc w:val="left"/>
              <w:rPr/>
            </w:pPr>
            <w:r>
              <w:rPr/>
              <w:t> </w:t>
            </w:r>
            <w:bookmarkStart w:id="57" w:name="xdx_40B_eus-gaap--OperatingLeaseLiabilit"/>
            <w:bookmarkEnd w:id="57"/>
          </w:p>
        </w:tc>
      </w:tr>
      <w:tr>
        <w:trPr/>
        <w:tc>
          <w:tcPr>
            <w:tcW w:w="7373" w:type="dxa"/>
            <w:tcBorders/>
            <w:shd w:fill="CCEEFF" w:val="clear"/>
            <w:vAlign w:val="center"/>
          </w:tcPr>
          <w:p>
            <w:pPr>
              <w:pStyle w:val="TableContents"/>
              <w:bidi w:val="0"/>
              <w:spacing w:before="0" w:after="283"/>
              <w:jc w:val="left"/>
              <w:rPr/>
            </w:pPr>
            <w:r>
              <w:rPr/>
              <w:t>Current portion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112" w:type="dxa"/>
            <w:tcBorders/>
            <w:shd w:fill="CCEEFF" w:val="clear"/>
            <w:vAlign w:val="center"/>
          </w:tcPr>
          <w:p>
            <w:pPr>
              <w:pStyle w:val="TableContents"/>
              <w:bidi w:val="0"/>
              <w:spacing w:before="0" w:after="283"/>
              <w:jc w:val="left"/>
              <w:rPr/>
            </w:pPr>
            <w:r>
              <w:rPr/>
              <w:t> </w:t>
            </w:r>
            <w:bookmarkStart w:id="58" w:name="xdx_40E_eus-gaap--LiabilitiesCurrent_i02"/>
            <w:bookmarkEnd w:id="58"/>
          </w:p>
        </w:tc>
      </w:tr>
      <w:tr>
        <w:trPr/>
        <w:tc>
          <w:tcPr>
            <w:tcW w:w="7373" w:type="dxa"/>
            <w:tcBorders/>
            <w:shd w:fill="FFFFFF" w:val="clear"/>
            <w:vAlign w:val="center"/>
          </w:tcPr>
          <w:p>
            <w:pPr>
              <w:pStyle w:val="TableContents"/>
              <w:bidi w:val="0"/>
              <w:spacing w:before="0" w:after="283"/>
              <w:jc w:val="left"/>
              <w:rPr>
                <w:i/>
              </w:rPr>
            </w:pPr>
            <w:r>
              <w:rPr>
                <w:i/>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15,195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13,387</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9" w:name="xdx_400_eus-gaap--OperatingLeaseLiabilit"/>
            <w:bookmarkEnd w:id="59"/>
          </w:p>
        </w:tc>
      </w:tr>
      <w:tr>
        <w:trPr/>
        <w:tc>
          <w:tcPr>
            <w:tcW w:w="7373" w:type="dxa"/>
            <w:tcBorders/>
            <w:shd w:fill="FFFFFF" w:val="clear"/>
            <w:vAlign w:val="center"/>
          </w:tcPr>
          <w:p>
            <w:pPr>
              <w:pStyle w:val="TableContents"/>
              <w:bidi w:val="0"/>
              <w:spacing w:before="0" w:after="283"/>
              <w:jc w:val="left"/>
              <w:rPr/>
            </w:pPr>
            <w:r>
              <w:rPr/>
              <w:t>Lease liabilities, less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6" w:type="dxa"/>
            <w:tcBorders>
              <w:bottom w:val="single" w:sz="8" w:space="0" w:color="000000"/>
            </w:tcBorders>
            <w:shd w:fill="FFFFFF" w:val="clear"/>
            <w:tcMar>
              <w:bottom w:w="28" w:type="dxa"/>
            </w:tcMar>
            <w:vAlign w:val="center"/>
          </w:tcPr>
          <w:p>
            <w:pPr>
              <w:pStyle w:val="TableContents"/>
              <w:bidi w:val="0"/>
              <w:spacing w:before="0" w:after="283"/>
              <w:jc w:val="right"/>
              <w:rPr/>
            </w:pPr>
            <w:r>
              <w:rPr/>
              <w:t>803</w:t>
            </w:r>
          </w:p>
        </w:tc>
        <w:tc>
          <w:tcPr>
            <w:tcW w:w="112" w:type="dxa"/>
            <w:tcBorders/>
            <w:shd w:fill="FFFFFF" w:val="clear"/>
            <w:vAlign w:val="center"/>
          </w:tcPr>
          <w:p>
            <w:pPr>
              <w:pStyle w:val="TableContents"/>
              <w:bidi w:val="0"/>
              <w:spacing w:before="0" w:after="283"/>
              <w:jc w:val="left"/>
              <w:rPr/>
            </w:pPr>
            <w:r>
              <w:rPr/>
              <w:t> </w:t>
            </w:r>
            <w:bookmarkStart w:id="60" w:name="xdx_40D_eus-gaap--Liabilities_i01TI_mtCz"/>
            <w:bookmarkEnd w:id="60"/>
          </w:p>
        </w:tc>
      </w:tr>
      <w:tr>
        <w:trPr/>
        <w:tc>
          <w:tcPr>
            <w:tcW w:w="7373"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15,994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8" w:space="0" w:color="000000"/>
            </w:tcBorders>
            <w:shd w:fill="CCEEFF" w:val="clear"/>
            <w:tcMar>
              <w:bottom w:w="28" w:type="dxa"/>
            </w:tcMar>
            <w:vAlign w:val="center"/>
          </w:tcPr>
          <w:p>
            <w:pPr>
              <w:pStyle w:val="TableContents"/>
              <w:bidi w:val="0"/>
              <w:spacing w:before="0" w:after="283"/>
              <w:jc w:val="right"/>
              <w:rPr/>
            </w:pPr>
            <w:r>
              <w:rPr/>
              <w:t>14,190</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1" w:name="xdx_408_eus-gaap--CommitmentsAndContinge"/>
            <w:bookmarkEnd w:id="61"/>
          </w:p>
        </w:tc>
      </w:tr>
      <w:tr>
        <w:trPr/>
        <w:tc>
          <w:tcPr>
            <w:tcW w:w="7373"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2" w:name="xdx_40D_eus-gaap--StockholdersEquityAbst"/>
            <w:bookmarkEnd w:id="62"/>
          </w:p>
        </w:tc>
      </w:tr>
      <w:tr>
        <w:trPr/>
        <w:tc>
          <w:tcPr>
            <w:tcW w:w="7373"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3" w:name="xdx_406_eus-gaap--PreferredStockValue_i0"/>
            <w:bookmarkEnd w:id="63"/>
          </w:p>
        </w:tc>
      </w:tr>
      <w:tr>
        <w:trPr/>
        <w:tc>
          <w:tcPr>
            <w:tcW w:w="7373" w:type="dxa"/>
            <w:tcBorders/>
            <w:shd w:fill="FFFFFF" w:val="clear"/>
            <w:vAlign w:val="center"/>
          </w:tcPr>
          <w:p>
            <w:pPr>
              <w:pStyle w:val="TableContents"/>
              <w:bidi w:val="0"/>
              <w:spacing w:before="0" w:after="283"/>
              <w:jc w:val="left"/>
              <w:rPr/>
            </w:pPr>
            <w:r>
              <w:rPr/>
              <w:t>Series A Convertible Preferred stock, $</w:t>
            </w:r>
            <w:bookmarkStart w:id="64" w:name="xdx_90B_eus-gaap--PreferredStockParOrSta"/>
            <w:bookmarkStart w:id="65" w:name="xdx_902_eus-gaap--PreferredStockParOrSta"/>
            <w:bookmarkEnd w:id="64"/>
            <w:bookmarkEnd w:id="65"/>
            <w:r>
              <w:rPr/>
              <w:t xml:space="preserve">10 par value, </w:t>
            </w:r>
            <w:bookmarkStart w:id="66" w:name="xdx_90A_eus-gaap--PreferredStockSharesAu"/>
            <w:bookmarkStart w:id="67" w:name="xdx_902_eus-gaap--PreferredStockSharesAu"/>
            <w:bookmarkEnd w:id="66"/>
            <w:bookmarkEnd w:id="67"/>
            <w:r>
              <w:rPr/>
              <w:t xml:space="preserve">500,000 shares authorized, </w:t>
            </w:r>
            <w:bookmarkStart w:id="68" w:name="xdx_905_eus-gaap--PreferredStockSharesOu"/>
            <w:bookmarkStart w:id="69" w:name="xdx_907_eus-gaap--PreferredStockSharesOu"/>
            <w:bookmarkStart w:id="70" w:name="xdx_906_eus-gaap--PreferredStockSharesIs"/>
            <w:bookmarkStart w:id="71" w:name="xdx_90A_eus-gaap--PreferredStockSharesIs"/>
            <w:bookmarkEnd w:id="68"/>
            <w:bookmarkEnd w:id="69"/>
            <w:bookmarkEnd w:id="70"/>
            <w:bookmarkEnd w:id="71"/>
            <w:r>
              <w:rPr/>
              <w:t>9,411 shares issued and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94</w:t>
            </w:r>
          </w:p>
        </w:tc>
        <w:tc>
          <w:tcPr>
            <w:tcW w:w="112" w:type="dxa"/>
            <w:tcBorders/>
            <w:shd w:fill="FFFFFF" w:val="clear"/>
            <w:vAlign w:val="center"/>
          </w:tcPr>
          <w:p>
            <w:pPr>
              <w:pStyle w:val="TableContents"/>
              <w:bidi w:val="0"/>
              <w:spacing w:before="0" w:after="283"/>
              <w:jc w:val="left"/>
              <w:rPr/>
            </w:pPr>
            <w:r>
              <w:rPr/>
              <w:t> </w:t>
            </w:r>
            <w:bookmarkStart w:id="72" w:name="xdx_40B_eus-gaap--CommonStockValue_i02I_"/>
            <w:bookmarkEnd w:id="72"/>
          </w:p>
        </w:tc>
      </w:tr>
      <w:tr>
        <w:trPr/>
        <w:tc>
          <w:tcPr>
            <w:tcW w:w="7373" w:type="dxa"/>
            <w:tcBorders/>
            <w:shd w:fill="CCEEFF" w:val="clear"/>
            <w:vAlign w:val="center"/>
          </w:tcPr>
          <w:p>
            <w:pPr>
              <w:pStyle w:val="TableContents"/>
              <w:bidi w:val="0"/>
              <w:spacing w:before="0" w:after="283"/>
              <w:jc w:val="left"/>
              <w:rPr/>
            </w:pPr>
            <w:r>
              <w:rPr/>
              <w:t>Common stock, $</w:t>
            </w:r>
            <w:bookmarkStart w:id="73" w:name="xdx_90B_eus-gaap--CommonStockParOrStated"/>
            <w:bookmarkStart w:id="74" w:name="xdx_901_eus-gaap--CommonStockParOrStated"/>
            <w:bookmarkEnd w:id="73"/>
            <w:bookmarkEnd w:id="74"/>
            <w:r>
              <w:rPr/>
              <w:t xml:space="preserve">.0001 par value, </w:t>
            </w:r>
            <w:bookmarkStart w:id="75" w:name="xdx_90E_eus-gaap--CommonStockSharesAutho"/>
            <w:bookmarkStart w:id="76" w:name="xdx_904_eus-gaap--CommonStockSharesAutho"/>
            <w:bookmarkEnd w:id="75"/>
            <w:bookmarkEnd w:id="76"/>
            <w:r>
              <w:rPr/>
              <w:t xml:space="preserve">60,000,000 shares authorized; </w:t>
            </w:r>
            <w:bookmarkStart w:id="77" w:name="xdx_904_eus-gaap--CommonStockSharesOutst"/>
            <w:bookmarkStart w:id="78" w:name="xdx_90B_eus-gaap--CommonStockSharesIssue"/>
            <w:bookmarkEnd w:id="77"/>
            <w:bookmarkEnd w:id="78"/>
            <w:r>
              <w:rPr/>
              <w:t xml:space="preserve">11,820,429 and </w:t>
            </w:r>
            <w:bookmarkStart w:id="79" w:name="xdx_906_eus-gaap--CommonStockSharesOutst"/>
            <w:bookmarkStart w:id="80" w:name="xdx_90B_eus-gaap--CommonStockSharesIssue"/>
            <w:bookmarkEnd w:id="79"/>
            <w:bookmarkEnd w:id="80"/>
            <w:r>
              <w:rPr/>
              <w:t>11,820,429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 </w:t>
            </w:r>
            <w:bookmarkStart w:id="81" w:name="xdx_404_eus-gaap--AdditionalPaidInCapita"/>
            <w:bookmarkEnd w:id="81"/>
          </w:p>
        </w:tc>
      </w:tr>
      <w:tr>
        <w:trPr/>
        <w:tc>
          <w:tcPr>
            <w:tcW w:w="7373"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176,788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176,783</w:t>
            </w:r>
          </w:p>
        </w:tc>
        <w:tc>
          <w:tcPr>
            <w:tcW w:w="112" w:type="dxa"/>
            <w:tcBorders/>
            <w:shd w:fill="FFFFFF" w:val="clear"/>
            <w:vAlign w:val="center"/>
          </w:tcPr>
          <w:p>
            <w:pPr>
              <w:pStyle w:val="TableContents"/>
              <w:bidi w:val="0"/>
              <w:spacing w:before="0" w:after="283"/>
              <w:jc w:val="left"/>
              <w:rPr/>
            </w:pPr>
            <w:r>
              <w:rPr/>
              <w:t> </w:t>
            </w:r>
            <w:bookmarkStart w:id="82" w:name="xdx_409_eus-gaap--RetainedEarningsAccumu"/>
            <w:bookmarkEnd w:id="82"/>
          </w:p>
        </w:tc>
      </w:tr>
      <w:tr>
        <w:trPr/>
        <w:tc>
          <w:tcPr>
            <w:tcW w:w="7373"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(174,195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8" w:space="0" w:color="000000"/>
            </w:tcBorders>
            <w:shd w:fill="CCEEFF" w:val="clear"/>
            <w:tcMar>
              <w:bottom w:w="28" w:type="dxa"/>
            </w:tcMar>
            <w:vAlign w:val="center"/>
          </w:tcPr>
          <w:p>
            <w:pPr>
              <w:pStyle w:val="TableContents"/>
              <w:bidi w:val="0"/>
              <w:spacing w:before="0" w:after="283"/>
              <w:jc w:val="right"/>
              <w:rPr/>
            </w:pPr>
            <w:r>
              <w:rPr/>
              <w:t>(167,731</w:t>
            </w:r>
          </w:p>
        </w:tc>
        <w:tc>
          <w:tcPr>
            <w:tcW w:w="112" w:type="dxa"/>
            <w:tcBorders/>
            <w:shd w:fill="CCEEFF" w:val="clear"/>
            <w:vAlign w:val="center"/>
          </w:tcPr>
          <w:p>
            <w:pPr>
              <w:pStyle w:val="TableContents"/>
              <w:bidi w:val="0"/>
              <w:spacing w:before="0" w:after="283"/>
              <w:jc w:val="left"/>
              <w:rPr/>
            </w:pPr>
            <w:r>
              <w:rPr/>
              <w:t>)</w:t>
            </w:r>
            <w:bookmarkStart w:id="83" w:name="xdx_405_eus-gaap--StockholdersEquity_i02"/>
            <w:bookmarkEnd w:id="83"/>
          </w:p>
        </w:tc>
      </w:tr>
      <w:tr>
        <w:trPr/>
        <w:tc>
          <w:tcPr>
            <w:tcW w:w="7373"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6" w:type="dxa"/>
            <w:tcBorders>
              <w:bottom w:val="single" w:sz="8" w:space="0" w:color="000000"/>
            </w:tcBorders>
            <w:shd w:fill="FFFFFF" w:val="clear"/>
            <w:tcMar>
              <w:bottom w:w="28" w:type="dxa"/>
            </w:tcMar>
            <w:vAlign w:val="center"/>
          </w:tcPr>
          <w:p>
            <w:pPr>
              <w:pStyle w:val="TableContents"/>
              <w:bidi w:val="0"/>
              <w:spacing w:before="0" w:after="283"/>
              <w:jc w:val="right"/>
              <w:rPr/>
            </w:pPr>
            <w:r>
              <w:rPr/>
              <w:t>9,151</w:t>
            </w:r>
          </w:p>
        </w:tc>
        <w:tc>
          <w:tcPr>
            <w:tcW w:w="112" w:type="dxa"/>
            <w:tcBorders/>
            <w:shd w:fill="FFFFFF" w:val="clear"/>
            <w:vAlign w:val="center"/>
          </w:tcPr>
          <w:p>
            <w:pPr>
              <w:pStyle w:val="TableContents"/>
              <w:bidi w:val="0"/>
              <w:spacing w:before="0" w:after="283"/>
              <w:jc w:val="left"/>
              <w:rPr/>
            </w:pPr>
            <w:r>
              <w:rPr/>
              <w:t> </w:t>
            </w:r>
            <w:bookmarkStart w:id="84" w:name="xdx_406_eus-gaap--LiabilitiesAndStockhol"/>
            <w:bookmarkEnd w:id="84"/>
          </w:p>
        </w:tc>
      </w:tr>
      <w:tr>
        <w:trPr/>
        <w:tc>
          <w:tcPr>
            <w:tcW w:w="7373"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18,686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6" w:type="dxa"/>
            <w:tcBorders>
              <w:bottom w:val="double" w:sz="6" w:space="0" w:color="000000"/>
            </w:tcBorders>
            <w:shd w:fill="CCEEFF" w:val="clear"/>
            <w:tcMar>
              <w:bottom w:w="28" w:type="dxa"/>
            </w:tcMar>
            <w:vAlign w:val="center"/>
          </w:tcPr>
          <w:p>
            <w:pPr>
              <w:pStyle w:val="TableContents"/>
              <w:bidi w:val="0"/>
              <w:spacing w:before="0" w:after="283"/>
              <w:jc w:val="right"/>
              <w:rPr/>
            </w:pPr>
            <w:r>
              <w:rPr/>
              <w:t>23,341</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5" w:name="JA_004"/>
      <w:bookmarkEnd w:id="85"/>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6" w:name="xdx_30C_113_pn3n3_z2RGhe3ekppf"/>
      <w:bookmarkStart w:id="87" w:name="xdx_30C_113_pn3n3_z2RGhe3ekppf"/>
      <w:bookmarkEnd w:id="87"/>
    </w:p>
    <w:tbl>
      <w:tblPr>
        <w:tblW w:w="9095" w:type="dxa"/>
        <w:jc w:val="left"/>
        <w:tblInd w:w="0" w:type="dxa"/>
        <w:tblLayout w:type="fixed"/>
        <w:tblCellMar>
          <w:top w:w="0" w:type="dxa"/>
          <w:left w:w="0" w:type="dxa"/>
          <w:bottom w:w="0" w:type="dxa"/>
          <w:right w:w="0" w:type="dxa"/>
        </w:tblCellMar>
      </w:tblPr>
      <w:tblGrid>
        <w:gridCol w:w="6410"/>
        <w:gridCol w:w="60"/>
        <w:gridCol w:w="140"/>
        <w:gridCol w:w="1100"/>
        <w:gridCol w:w="95"/>
        <w:gridCol w:w="60"/>
        <w:gridCol w:w="140"/>
        <w:gridCol w:w="980"/>
        <w:gridCol w:w="110"/>
      </w:tblGrid>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8" w:name="xdx_497_20260101__20260331_z9hvVE4vQrIb"/>
            <w:bookmarkEnd w:id="88"/>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 w:name="xdx_490_20250101__20250331_zzMs0CLS52O3"/>
            <w:bookmarkEnd w:id="89"/>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2025</w:t>
            </w:r>
          </w:p>
        </w:tc>
        <w:tc>
          <w:tcPr>
            <w:tcW w:w="110" w:type="dxa"/>
            <w:tcBorders/>
            <w:vAlign w:val="center"/>
          </w:tcPr>
          <w:p>
            <w:pPr>
              <w:pStyle w:val="TableContents"/>
              <w:bidi w:val="0"/>
              <w:spacing w:before="0" w:after="283"/>
              <w:jc w:val="left"/>
              <w:rPr/>
            </w:pPr>
            <w:r>
              <w:rPr/>
              <w:t> </w:t>
            </w:r>
            <w:bookmarkStart w:id="90" w:name="xdx_408_eus-gaap--RevenueFromContractWit"/>
            <w:bookmarkEnd w:id="90"/>
          </w:p>
        </w:tc>
      </w:tr>
      <w:tr>
        <w:trPr/>
        <w:tc>
          <w:tcPr>
            <w:tcW w:w="641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10,029</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1" w:name="xdx_40A_eus-gaap--CostOfGoodsAndServices"/>
            <w:bookmarkEnd w:id="91"/>
          </w:p>
        </w:tc>
      </w:tr>
      <w:tr>
        <w:trPr/>
        <w:tc>
          <w:tcPr>
            <w:tcW w:w="6410"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6,526</w:t>
            </w:r>
          </w:p>
        </w:tc>
        <w:tc>
          <w:tcPr>
            <w:tcW w:w="110" w:type="dxa"/>
            <w:tcBorders/>
            <w:shd w:fill="CCEEFF" w:val="clear"/>
            <w:vAlign w:val="center"/>
          </w:tcPr>
          <w:p>
            <w:pPr>
              <w:pStyle w:val="TableContents"/>
              <w:bidi w:val="0"/>
              <w:spacing w:before="0" w:after="283"/>
              <w:jc w:val="left"/>
              <w:rPr/>
            </w:pPr>
            <w:r>
              <w:rPr/>
              <w:t> </w:t>
            </w:r>
            <w:bookmarkStart w:id="92" w:name="xdx_403_ecustom--CostOfDiscontinuedInven"/>
            <w:bookmarkEnd w:id="92"/>
          </w:p>
        </w:tc>
      </w:tr>
      <w:tr>
        <w:trPr/>
        <w:tc>
          <w:tcPr>
            <w:tcW w:w="6410" w:type="dxa"/>
            <w:tcBorders/>
            <w:shd w:fill="FFFFFF" w:val="clear"/>
            <w:vAlign w:val="center"/>
          </w:tcPr>
          <w:p>
            <w:pPr>
              <w:pStyle w:val="TableContents"/>
              <w:bidi w:val="0"/>
              <w:spacing w:before="0" w:after="283"/>
              <w:jc w:val="left"/>
              <w:rPr/>
            </w:pPr>
            <w:r>
              <w:rPr/>
              <w:t>Cost of discontinued inventory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101</w:t>
            </w:r>
          </w:p>
        </w:tc>
        <w:tc>
          <w:tcPr>
            <w:tcW w:w="110" w:type="dxa"/>
            <w:tcBorders/>
            <w:shd w:fill="FFFFFF" w:val="clear"/>
            <w:vAlign w:val="center"/>
          </w:tcPr>
          <w:p>
            <w:pPr>
              <w:pStyle w:val="TableContents"/>
              <w:bidi w:val="0"/>
              <w:spacing w:before="0" w:after="283"/>
              <w:jc w:val="left"/>
              <w:rPr/>
            </w:pPr>
            <w:r>
              <w:rPr/>
              <w:t> </w:t>
            </w:r>
            <w:bookmarkStart w:id="93" w:name="xdx_409_eus-gaap--CostOfRevenue_iT_mtCOR"/>
            <w:bookmarkEnd w:id="93"/>
          </w:p>
        </w:tc>
      </w:tr>
      <w:tr>
        <w:trPr/>
        <w:tc>
          <w:tcPr>
            <w:tcW w:w="6410" w:type="dxa"/>
            <w:tcBorders/>
            <w:shd w:fill="CCEEFF" w:val="clear"/>
            <w:vAlign w:val="center"/>
          </w:tcPr>
          <w:p>
            <w:pPr>
              <w:pStyle w:val="TableContents"/>
              <w:bidi w:val="0"/>
              <w:spacing w:before="0" w:after="283"/>
              <w:jc w:val="left"/>
              <w:rPr>
                <w:b/>
              </w:rPr>
            </w:pPr>
            <w:r>
              <w:rPr>
                <w:b/>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6,627</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4" w:name="xdx_401_eus-gaap--GrossProfit_iT_maCzgBe"/>
            <w:bookmarkEnd w:id="94"/>
          </w:p>
        </w:tc>
      </w:tr>
      <w:tr>
        <w:trPr/>
        <w:tc>
          <w:tcPr>
            <w:tcW w:w="64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3,402</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5" w:name="xdx_408_eus-gaap--OperatingExpensesAbstr"/>
            <w:bookmarkEnd w:id="95"/>
          </w:p>
        </w:tc>
      </w:tr>
      <w:tr>
        <w:trPr/>
        <w:tc>
          <w:tcPr>
            <w:tcW w:w="641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6" w:name="xdx_40B_ecustom--DeliveryAndHandlingExpe"/>
            <w:bookmarkEnd w:id="96"/>
          </w:p>
        </w:tc>
      </w:tr>
      <w:tr>
        <w:trPr/>
        <w:tc>
          <w:tcPr>
            <w:tcW w:w="6410" w:type="dxa"/>
            <w:tcBorders/>
            <w:shd w:fill="CCEEFF" w:val="clear"/>
            <w:vAlign w:val="center"/>
          </w:tcPr>
          <w:p>
            <w:pPr>
              <w:pStyle w:val="TableContents"/>
              <w:bidi w:val="0"/>
              <w:spacing w:before="0" w:after="283"/>
              <w:jc w:val="left"/>
              <w:rPr/>
            </w:pPr>
            <w:r>
              <w:rPr/>
              <w:t>Delivery and handling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1,627</w:t>
            </w:r>
          </w:p>
        </w:tc>
        <w:tc>
          <w:tcPr>
            <w:tcW w:w="110" w:type="dxa"/>
            <w:tcBorders/>
            <w:shd w:fill="CCEEFF" w:val="clear"/>
            <w:vAlign w:val="center"/>
          </w:tcPr>
          <w:p>
            <w:pPr>
              <w:pStyle w:val="TableContents"/>
              <w:bidi w:val="0"/>
              <w:spacing w:before="0" w:after="283"/>
              <w:jc w:val="left"/>
              <w:rPr/>
            </w:pPr>
            <w:r>
              <w:rPr/>
              <w:t> </w:t>
            </w:r>
            <w:bookmarkStart w:id="97" w:name="xdx_409_eus-gaap--SellingAndMarketingExp"/>
            <w:bookmarkEnd w:id="97"/>
          </w:p>
        </w:tc>
      </w:tr>
      <w:tr>
        <w:trPr/>
        <w:tc>
          <w:tcPr>
            <w:tcW w:w="6410" w:type="dxa"/>
            <w:tcBorders/>
            <w:shd w:fill="FFFFFF" w:val="clear"/>
            <w:vAlign w:val="center"/>
          </w:tcPr>
          <w:p>
            <w:pPr>
              <w:pStyle w:val="TableContents"/>
              <w:bidi w:val="0"/>
              <w:spacing w:before="0" w:after="283"/>
              <w:jc w:val="left"/>
              <w:rPr/>
            </w:pPr>
            <w:r>
              <w:rPr/>
              <w:t>Selling and marketing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1,502</w:t>
            </w:r>
          </w:p>
        </w:tc>
        <w:tc>
          <w:tcPr>
            <w:tcW w:w="110" w:type="dxa"/>
            <w:tcBorders/>
            <w:shd w:fill="FFFFFF" w:val="clear"/>
            <w:vAlign w:val="center"/>
          </w:tcPr>
          <w:p>
            <w:pPr>
              <w:pStyle w:val="TableContents"/>
              <w:bidi w:val="0"/>
              <w:spacing w:before="0" w:after="283"/>
              <w:jc w:val="left"/>
              <w:rPr/>
            </w:pPr>
            <w:r>
              <w:rPr/>
              <w:t> </w:t>
            </w:r>
            <w:bookmarkStart w:id="98" w:name="xdx_408_eus-gaap--GeneralAndAdministrati"/>
            <w:bookmarkEnd w:id="98"/>
          </w:p>
        </w:tc>
      </w:tr>
      <w:tr>
        <w:trPr/>
        <w:tc>
          <w:tcPr>
            <w:tcW w:w="6410" w:type="dxa"/>
            <w:tcBorders/>
            <w:shd w:fill="CCEEFF" w:val="clear"/>
            <w:vAlign w:val="center"/>
          </w:tcPr>
          <w:p>
            <w:pPr>
              <w:pStyle w:val="TableContents"/>
              <w:bidi w:val="0"/>
              <w:spacing w:before="0" w:after="283"/>
              <w:jc w:val="left"/>
              <w:rPr/>
            </w:pPr>
            <w:r>
              <w:rPr/>
              <w:t>General and administrative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2,015</w:t>
            </w:r>
          </w:p>
        </w:tc>
        <w:tc>
          <w:tcPr>
            <w:tcW w:w="110" w:type="dxa"/>
            <w:tcBorders/>
            <w:shd w:fill="CCEEFF" w:val="clear"/>
            <w:vAlign w:val="center"/>
          </w:tcPr>
          <w:p>
            <w:pPr>
              <w:pStyle w:val="TableContents"/>
              <w:bidi w:val="0"/>
              <w:spacing w:before="0" w:after="283"/>
              <w:jc w:val="left"/>
              <w:rPr/>
            </w:pPr>
            <w:r>
              <w:rPr/>
              <w:t> </w:t>
            </w:r>
            <w:bookmarkStart w:id="99" w:name="xdx_408_eus-gaap--OperatingExpenses_i01T"/>
            <w:bookmarkEnd w:id="99"/>
          </w:p>
        </w:tc>
      </w:tr>
      <w:tr>
        <w:trPr/>
        <w:tc>
          <w:tcPr>
            <w:tcW w:w="641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5,144</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0" w:name="xdx_40F_eus-gaap--OperatingIncomeLoss_iT"/>
            <w:bookmarkEnd w:id="100"/>
          </w:p>
        </w:tc>
      </w:tr>
      <w:tr>
        <w:trPr/>
        <w:tc>
          <w:tcPr>
            <w:tcW w:w="641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(6,215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(1,742</w:t>
            </w:r>
          </w:p>
        </w:tc>
        <w:tc>
          <w:tcPr>
            <w:tcW w:w="110" w:type="dxa"/>
            <w:tcBorders/>
            <w:shd w:fill="FFFFFF" w:val="clear"/>
            <w:vAlign w:val="center"/>
          </w:tcPr>
          <w:p>
            <w:pPr>
              <w:pStyle w:val="TableContents"/>
              <w:bidi w:val="0"/>
              <w:spacing w:before="0" w:after="283"/>
              <w:jc w:val="left"/>
              <w:rPr/>
            </w:pPr>
            <w:r>
              <w:rPr/>
              <w:t>)</w:t>
            </w:r>
          </w:p>
        </w:tc>
      </w:tr>
      <w:tr>
        <w:trPr/>
        <w:tc>
          <w:tcPr>
            <w:tcW w:w="6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1" w:name="xdx_407_eus-gaap--OtherIncome_maCzgEI_zJ"/>
            <w:bookmarkEnd w:id="101"/>
          </w:p>
        </w:tc>
      </w:tr>
      <w:tr>
        <w:trPr/>
        <w:tc>
          <w:tcPr>
            <w:tcW w:w="641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2" w:name="xdx_401_eus-gaap--InterestExpense_iN_di_"/>
            <w:bookmarkEnd w:id="102"/>
          </w:p>
        </w:tc>
      </w:tr>
      <w:tr>
        <w:trPr/>
        <w:tc>
          <w:tcPr>
            <w:tcW w:w="641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(289</w:t>
            </w:r>
          </w:p>
        </w:tc>
        <w:tc>
          <w:tcPr>
            <w:tcW w:w="110" w:type="dxa"/>
            <w:tcBorders/>
            <w:shd w:fill="CCEEFF" w:val="clear"/>
            <w:vAlign w:val="center"/>
          </w:tcPr>
          <w:p>
            <w:pPr>
              <w:pStyle w:val="TableContents"/>
              <w:bidi w:val="0"/>
              <w:spacing w:before="0" w:after="283"/>
              <w:jc w:val="left"/>
              <w:rPr/>
            </w:pPr>
            <w:r>
              <w:rPr/>
              <w:t>)</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 w:name="xdx_406_eus-gaap--NetIncomeLoss_iT_mtCzg"/>
            <w:bookmarkEnd w:id="103"/>
          </w:p>
        </w:tc>
      </w:tr>
      <w:tr>
        <w:trPr/>
        <w:tc>
          <w:tcPr>
            <w:tcW w:w="641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(6,464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(2,031</w:t>
            </w:r>
          </w:p>
        </w:tc>
        <w:tc>
          <w:tcPr>
            <w:tcW w:w="110" w:type="dxa"/>
            <w:tcBorders/>
            <w:shd w:fill="CCEEFF" w:val="clear"/>
            <w:vAlign w:val="center"/>
          </w:tcPr>
          <w:p>
            <w:pPr>
              <w:pStyle w:val="TableContents"/>
              <w:bidi w:val="0"/>
              <w:spacing w:before="0" w:after="283"/>
              <w:jc w:val="left"/>
              <w:rPr/>
            </w:pPr>
            <w:r>
              <w:rPr/>
              <w:t>)</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b/>
              </w:rPr>
            </w:pPr>
            <w:r>
              <w:rPr>
                <w:b/>
              </w:rPr>
              <w:t>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4" w:name="xdx_908_eus-gaap--EarningsPerShareDilute"/>
            <w:bookmarkStart w:id="105" w:name="xdx_90A_eus-gaap--EarningsPerShareBasic_"/>
            <w:bookmarkEnd w:id="104"/>
            <w:bookmarkEnd w:id="105"/>
            <w:r>
              <w:rPr/>
              <w:t>(0.55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6" w:name="xdx_90C_eus-gaap--EarningsPerShareDilute"/>
            <w:bookmarkStart w:id="107" w:name="xdx_908_eus-gaap--EarningsPerShareBasic_"/>
            <w:bookmarkEnd w:id="106"/>
            <w:bookmarkEnd w:id="107"/>
            <w:r>
              <w:rPr/>
              <w:t>(0.27</w:t>
            </w:r>
          </w:p>
        </w:tc>
        <w:tc>
          <w:tcPr>
            <w:tcW w:w="110" w:type="dxa"/>
            <w:tcBorders/>
            <w:shd w:fill="CCEEFF" w:val="clear"/>
            <w:vAlign w:val="center"/>
          </w:tcPr>
          <w:p>
            <w:pPr>
              <w:pStyle w:val="TableContents"/>
              <w:bidi w:val="0"/>
              <w:spacing w:before="0" w:after="283"/>
              <w:jc w:val="left"/>
              <w:rPr/>
            </w:pPr>
            <w:r>
              <w:rPr/>
              <w:t>)</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Weighted average number of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8" w:name="xdx_90B_eus-gaap--WeightedAverageNumberO"/>
            <w:bookmarkStart w:id="109" w:name="xdx_902_eus-gaap--WeightedAverageNumberO"/>
            <w:bookmarkEnd w:id="108"/>
            <w:bookmarkEnd w:id="109"/>
            <w:r>
              <w:rPr/>
              <w:t>11,820,429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0" w:name="xdx_90E_eus-gaap--WeightedAverageNumberO"/>
            <w:bookmarkStart w:id="111" w:name="xdx_90E_eus-gaap--WeightedAverageNumberO"/>
            <w:bookmarkEnd w:id="110"/>
            <w:bookmarkEnd w:id="111"/>
            <w:r>
              <w:rPr/>
              <w:t>7,561,875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2" w:name="JA_005"/>
      <w:bookmarkEnd w:id="112"/>
      <w:r>
        <w:rPr>
          <w:rFonts w:ascii="Times New Roman;Times;Serif" w:hAnsi="Times New Roman;Times;Serif"/>
          <w:b/>
          <w:i w:val="false"/>
          <w:caps w:val="false"/>
          <w:smallCaps w:val="false"/>
          <w:sz w:val="20"/>
        </w:rPr>
        <w:t>CONDENSED CONSOLIDATED STATEMENTS OF CHANGES IN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13" w:name="xdx_303_114_pn3n3_zijR3F68WwD5"/>
      <w:bookmarkStart w:id="114" w:name="xdx_303_114_pn3n3_zijR3F68WwD5"/>
      <w:bookmarkEnd w:id="114"/>
    </w:p>
    <w:tbl>
      <w:tblPr>
        <w:tblW w:w="10205" w:type="dxa"/>
        <w:jc w:val="left"/>
        <w:tblInd w:w="0" w:type="dxa"/>
        <w:tblLayout w:type="fixed"/>
        <w:tblCellMar>
          <w:top w:w="0" w:type="dxa"/>
          <w:left w:w="0" w:type="dxa"/>
          <w:bottom w:w="0" w:type="dxa"/>
          <w:right w:w="0" w:type="dxa"/>
        </w:tblCellMar>
      </w:tblPr>
      <w:tblGrid>
        <w:gridCol w:w="1464"/>
        <w:gridCol w:w="60"/>
        <w:gridCol w:w="60"/>
        <w:gridCol w:w="1100"/>
        <w:gridCol w:w="60"/>
        <w:gridCol w:w="60"/>
        <w:gridCol w:w="430"/>
        <w:gridCol w:w="430"/>
        <w:gridCol w:w="60"/>
        <w:gridCol w:w="60"/>
        <w:gridCol w:w="68"/>
        <w:gridCol w:w="642"/>
        <w:gridCol w:w="60"/>
        <w:gridCol w:w="60"/>
        <w:gridCol w:w="301"/>
        <w:gridCol w:w="559"/>
        <w:gridCol w:w="60"/>
        <w:gridCol w:w="60"/>
        <w:gridCol w:w="196"/>
        <w:gridCol w:w="1130"/>
        <w:gridCol w:w="60"/>
        <w:gridCol w:w="60"/>
        <w:gridCol w:w="188"/>
        <w:gridCol w:w="1182"/>
        <w:gridCol w:w="95"/>
        <w:gridCol w:w="60"/>
        <w:gridCol w:w="275"/>
        <w:gridCol w:w="1253"/>
        <w:gridCol w:w="112"/>
      </w:tblGrid>
      <w:tr>
        <w:trPr/>
        <w:tc>
          <w:tcPr>
            <w:tcW w:w="1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 w:name="xdx_4BA_us-gaap--StatementEquityComponen"/>
            <w:bookmarkEnd w:id="115"/>
          </w:p>
        </w:tc>
        <w:tc>
          <w:tcPr>
            <w:tcW w:w="860" w:type="dxa"/>
            <w:gridSpan w:val="2"/>
            <w:tcBorders/>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 w:name="xdx_4BF_us-gaap--StatementEquityComponen"/>
            <w:bookmarkEnd w:id="116"/>
          </w:p>
        </w:tc>
        <w:tc>
          <w:tcPr>
            <w:tcW w:w="860" w:type="dxa"/>
            <w:gridSpan w:val="2"/>
            <w:tcBorders/>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 w:name="xdx_4B1_us-gaap--StatementEquityComponen"/>
            <w:bookmarkEnd w:id="117"/>
          </w:p>
        </w:tc>
        <w:tc>
          <w:tcPr>
            <w:tcW w:w="1326" w:type="dxa"/>
            <w:gridSpan w:val="2"/>
            <w:tcBorders/>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 w:name="xdx_4B5_us-gaap--StatementEquityComponen"/>
            <w:bookmarkEnd w:id="118"/>
          </w:p>
        </w:tc>
        <w:tc>
          <w:tcPr>
            <w:tcW w:w="1370" w:type="dxa"/>
            <w:gridSpan w:val="2"/>
            <w:tcBorders/>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 w:name="xdx_4B6_ziGT48iJKcF2"/>
            <w:bookmarkEnd w:id="119"/>
          </w:p>
        </w:tc>
        <w:tc>
          <w:tcPr>
            <w:tcW w:w="1528" w:type="dxa"/>
            <w:gridSpan w:val="2"/>
            <w:tcBorders/>
            <w:vAlign w:val="center"/>
          </w:tcPr>
          <w:p>
            <w:pPr>
              <w:pStyle w:val="TableContents"/>
              <w:bidi w:val="0"/>
              <w:spacing w:before="0" w:after="283"/>
              <w:jc w:val="center"/>
              <w:rPr>
                <w:b/>
              </w:rPr>
            </w:pPr>
            <w:r>
              <w:rPr>
                <w:b/>
              </w:rPr>
              <w:t>Equity</w:t>
            </w:r>
          </w:p>
        </w:tc>
        <w:tc>
          <w:tcPr>
            <w:tcW w:w="112" w:type="dxa"/>
            <w:tcBorders/>
            <w:vAlign w:val="center"/>
          </w:tcPr>
          <w:p>
            <w:pPr>
              <w:pStyle w:val="TableContents"/>
              <w:bidi w:val="0"/>
              <w:spacing w:before="0" w:after="283"/>
              <w:jc w:val="left"/>
              <w:rPr/>
            </w:pPr>
            <w:r>
              <w:rPr/>
              <w:t> </w:t>
            </w:r>
          </w:p>
        </w:tc>
      </w:tr>
      <w:tr>
        <w:trPr/>
        <w:tc>
          <w:tcPr>
            <w:tcW w:w="1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6" w:type="dxa"/>
            <w:gridSpan w:val="2"/>
            <w:tcBorders/>
            <w:vAlign w:val="center"/>
          </w:tcPr>
          <w:p>
            <w:pPr>
              <w:pStyle w:val="TableContents"/>
              <w:bidi w:val="0"/>
              <w:spacing w:before="0" w:after="283"/>
              <w:jc w:val="center"/>
              <w:rPr>
                <w:b/>
              </w:rPr>
            </w:pPr>
            <w:r>
              <w:rPr>
                <w:b/>
              </w:rPr>
              <w:t>Additional 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8" w:type="dxa"/>
            <w:gridSpan w:val="2"/>
            <w:tcBorders/>
            <w:vAlign w:val="center"/>
          </w:tcPr>
          <w:p>
            <w:pPr>
              <w:pStyle w:val="TableContents"/>
              <w:bidi w:val="0"/>
              <w:spacing w:before="0" w:after="283"/>
              <w:jc w:val="center"/>
              <w:rPr>
                <w:b/>
              </w:rPr>
            </w:pPr>
            <w:r>
              <w:rPr>
                <w:b/>
              </w:rPr>
              <w:t>Total Stockholders’</w:t>
            </w:r>
          </w:p>
        </w:tc>
        <w:tc>
          <w:tcPr>
            <w:tcW w:w="112" w:type="dxa"/>
            <w:tcBorders/>
            <w:vAlign w:val="center"/>
          </w:tcPr>
          <w:p>
            <w:pPr>
              <w:pStyle w:val="TableContents"/>
              <w:bidi w:val="0"/>
              <w:spacing w:before="0" w:after="283"/>
              <w:jc w:val="left"/>
              <w:rPr/>
            </w:pPr>
            <w:r>
              <w:rPr/>
              <w:t> </w:t>
            </w:r>
          </w:p>
        </w:tc>
      </w:tr>
      <w:tr>
        <w:trPr/>
        <w:tc>
          <w:tcPr>
            <w:tcW w:w="1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2" w:type="dxa"/>
            <w:tcBorders/>
            <w:vAlign w:val="center"/>
          </w:tcPr>
          <w:p>
            <w:pPr>
              <w:pStyle w:val="TableContents"/>
              <w:bidi w:val="0"/>
              <w:spacing w:before="0" w:after="283"/>
              <w:jc w:val="left"/>
              <w:rPr/>
            </w:pPr>
            <w:r>
              <w:rPr/>
              <w:t> </w:t>
            </w:r>
            <w:bookmarkStart w:id="120" w:name="xdx_437_c20260101__20260331_eus-gaap--St"/>
            <w:bookmarkEnd w:id="120"/>
          </w:p>
        </w:tc>
      </w:tr>
      <w:tr>
        <w:trPr/>
        <w:tc>
          <w:tcPr>
            <w:tcW w:w="1464" w:type="dxa"/>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 w:name="xdx_981_eus-gaap--SharesOutstanding_iS_p"/>
            <w:bookmarkEnd w:id="121"/>
          </w:p>
        </w:tc>
        <w:tc>
          <w:tcPr>
            <w:tcW w:w="1100" w:type="dxa"/>
            <w:tcBorders/>
            <w:shd w:fill="CCEEFF" w:val="clear"/>
            <w:vAlign w:val="center"/>
          </w:tcPr>
          <w:p>
            <w:pPr>
              <w:pStyle w:val="TableContents"/>
              <w:bidi w:val="0"/>
              <w:spacing w:before="0" w:after="283"/>
              <w:jc w:val="right"/>
              <w:rPr/>
            </w:pPr>
            <w:r>
              <w:rPr/>
              <w:t>11,820,429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22" w:name="xdx_980_eus-gaap--SharesOutstanding_iS_p"/>
            <w:bookmarkEnd w:id="122"/>
          </w:p>
        </w:tc>
        <w:tc>
          <w:tcPr>
            <w:tcW w:w="642" w:type="dxa"/>
            <w:tcBorders/>
            <w:shd w:fill="CCEEFF" w:val="clear"/>
            <w:vAlign w:val="center"/>
          </w:tcPr>
          <w:p>
            <w:pPr>
              <w:pStyle w:val="TableContents"/>
              <w:bidi w:val="0"/>
              <w:spacing w:before="0" w:after="283"/>
              <w:jc w:val="right"/>
              <w:rPr/>
            </w:pPr>
            <w:r>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176,783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(167,731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9,151</w:t>
            </w:r>
          </w:p>
        </w:tc>
        <w:tc>
          <w:tcPr>
            <w:tcW w:w="112" w:type="dxa"/>
            <w:tcBorders/>
            <w:shd w:fill="CCEEFF" w:val="clear"/>
            <w:vAlign w:val="center"/>
          </w:tcPr>
          <w:p>
            <w:pPr>
              <w:pStyle w:val="TableContents"/>
              <w:bidi w:val="0"/>
              <w:spacing w:before="0" w:after="283"/>
              <w:jc w:val="left"/>
              <w:rPr/>
            </w:pPr>
            <w:r>
              <w:rPr/>
              <w:t> </w:t>
            </w:r>
            <w:bookmarkStart w:id="123" w:name="xdx_40D_ecustom--AdjustmentsToAdditional"/>
            <w:bookmarkEnd w:id="123"/>
          </w:p>
        </w:tc>
      </w:tr>
      <w:tr>
        <w:trPr/>
        <w:tc>
          <w:tcPr>
            <w:tcW w:w="1464"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5</w:t>
            </w:r>
          </w:p>
        </w:tc>
        <w:tc>
          <w:tcPr>
            <w:tcW w:w="112" w:type="dxa"/>
            <w:tcBorders/>
            <w:shd w:fill="FFFFFF" w:val="clear"/>
            <w:vAlign w:val="center"/>
          </w:tcPr>
          <w:p>
            <w:pPr>
              <w:pStyle w:val="TableContents"/>
              <w:bidi w:val="0"/>
              <w:spacing w:before="0" w:after="283"/>
              <w:jc w:val="left"/>
              <w:rPr/>
            </w:pPr>
            <w:r>
              <w:rPr/>
              <w:t> </w:t>
            </w:r>
          </w:p>
        </w:tc>
      </w:tr>
      <w:tr>
        <w:trPr/>
        <w:tc>
          <w:tcPr>
            <w:tcW w:w="14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24" w:name="xdx_405_eus-gaap--NetIncomeLoss_zTeVY3MM"/>
            <w:bookmarkEnd w:id="124"/>
          </w:p>
        </w:tc>
      </w:tr>
      <w:tr>
        <w:trPr/>
        <w:tc>
          <w:tcPr>
            <w:tcW w:w="1464"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(6,464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3" w:type="dxa"/>
            <w:tcBorders>
              <w:bottom w:val="single" w:sz="8" w:space="0" w:color="000000"/>
            </w:tcBorders>
            <w:shd w:fill="FFFFFF" w:val="clear"/>
            <w:tcMar>
              <w:bottom w:w="28" w:type="dxa"/>
            </w:tcMar>
            <w:vAlign w:val="center"/>
          </w:tcPr>
          <w:p>
            <w:pPr>
              <w:pStyle w:val="TableContents"/>
              <w:bidi w:val="0"/>
              <w:spacing w:before="0" w:after="283"/>
              <w:jc w:val="right"/>
              <w:rPr/>
            </w:pPr>
            <w:r>
              <w:rPr/>
              <w:t>(6,464</w:t>
            </w:r>
          </w:p>
        </w:tc>
        <w:tc>
          <w:tcPr>
            <w:tcW w:w="112" w:type="dxa"/>
            <w:tcBorders/>
            <w:shd w:fill="FFFFFF" w:val="clear"/>
            <w:vAlign w:val="center"/>
          </w:tcPr>
          <w:p>
            <w:pPr>
              <w:pStyle w:val="TableContents"/>
              <w:bidi w:val="0"/>
              <w:spacing w:before="0" w:after="283"/>
              <w:jc w:val="left"/>
              <w:rPr/>
            </w:pPr>
            <w:r>
              <w:rPr/>
              <w:t>)</w:t>
            </w:r>
            <w:bookmarkStart w:id="125" w:name="xdx_434_c20260101__20260331_eus-gaap--St"/>
            <w:bookmarkEnd w:id="125"/>
          </w:p>
        </w:tc>
      </w:tr>
      <w:tr>
        <w:trPr/>
        <w:tc>
          <w:tcPr>
            <w:tcW w:w="1464" w:type="dxa"/>
            <w:tcBorders/>
            <w:shd w:fill="CCEEFF" w:val="clear"/>
            <w:vAlign w:val="center"/>
          </w:tcPr>
          <w:p>
            <w:pPr>
              <w:pStyle w:val="TableContents"/>
              <w:bidi w:val="0"/>
              <w:spacing w:before="0" w:after="283"/>
              <w:jc w:val="left"/>
              <w:rPr>
                <w:b/>
              </w:rPr>
            </w:pPr>
            <w:r>
              <w:rPr>
                <w:b/>
              </w:rPr>
              <w:t>Balance,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6" w:name="xdx_98C_eus-gaap--SharesOutstanding_iE_p"/>
            <w:bookmarkEnd w:id="12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11,820,429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7" w:name="xdx_98A_eus-gaap--SharesOutstanding_iE_p"/>
            <w:bookmarkEnd w:id="127"/>
          </w:p>
        </w:tc>
        <w:tc>
          <w:tcPr>
            <w:tcW w:w="642" w:type="dxa"/>
            <w:tcBorders>
              <w:bottom w:val="double" w:sz="6" w:space="0" w:color="000000"/>
            </w:tcBorders>
            <w:shd w:fill="CCEEFF" w:val="clear"/>
            <w:tcMar>
              <w:bottom w:w="28" w:type="dxa"/>
            </w:tcMar>
            <w:vAlign w:val="center"/>
          </w:tcPr>
          <w:p>
            <w:pPr>
              <w:pStyle w:val="TableContents"/>
              <w:bidi w:val="0"/>
              <w:spacing w:before="0" w:after="283"/>
              <w:jc w:val="right"/>
              <w:rPr/>
            </w:pPr>
            <w:r>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176,788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(174,195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3" w:type="dxa"/>
            <w:tcBorders>
              <w:bottom w:val="double" w:sz="6" w:space="0" w:color="000000"/>
            </w:tcBorders>
            <w:shd w:fill="CCEEFF" w:val="clear"/>
            <w:tcMar>
              <w:bottom w:w="28" w:type="dxa"/>
            </w:tcMar>
            <w:vAlign w:val="center"/>
          </w:tcPr>
          <w:p>
            <w:pPr>
              <w:pStyle w:val="TableContents"/>
              <w:bidi w:val="0"/>
              <w:spacing w:before="0" w:after="283"/>
              <w:jc w:val="right"/>
              <w:rPr/>
            </w:pPr>
            <w:r>
              <w:rPr/>
              <w:t>2,692</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4"/>
        <w:gridCol w:w="60"/>
        <w:gridCol w:w="61"/>
        <w:gridCol w:w="1009"/>
        <w:gridCol w:w="61"/>
        <w:gridCol w:w="61"/>
        <w:gridCol w:w="430"/>
        <w:gridCol w:w="430"/>
        <w:gridCol w:w="60"/>
        <w:gridCol w:w="60"/>
        <w:gridCol w:w="86"/>
        <w:gridCol w:w="675"/>
        <w:gridCol w:w="67"/>
        <w:gridCol w:w="67"/>
        <w:gridCol w:w="301"/>
        <w:gridCol w:w="559"/>
        <w:gridCol w:w="60"/>
        <w:gridCol w:w="60"/>
        <w:gridCol w:w="197"/>
        <w:gridCol w:w="1133"/>
        <w:gridCol w:w="60"/>
        <w:gridCol w:w="60"/>
        <w:gridCol w:w="188"/>
        <w:gridCol w:w="1182"/>
        <w:gridCol w:w="95"/>
        <w:gridCol w:w="60"/>
        <w:gridCol w:w="276"/>
        <w:gridCol w:w="1255"/>
        <w:gridCol w:w="118"/>
      </w:tblGrid>
      <w:tr>
        <w:trPr/>
        <w:tc>
          <w:tcPr>
            <w:tcW w:w="14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5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center"/>
              <w:rPr>
                <w:b/>
              </w:rPr>
            </w:pPr>
            <w:r>
              <w:rPr>
                <w:b/>
              </w:rPr>
              <w:t>Additional 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1" w:type="dxa"/>
            <w:gridSpan w:val="2"/>
            <w:tcBorders/>
            <w:vAlign w:val="center"/>
          </w:tcPr>
          <w:p>
            <w:pPr>
              <w:pStyle w:val="TableContents"/>
              <w:bidi w:val="0"/>
              <w:spacing w:before="0" w:after="283"/>
              <w:jc w:val="center"/>
              <w:rPr>
                <w:b/>
              </w:rPr>
            </w:pPr>
            <w:r>
              <w:rPr>
                <w:b/>
              </w:rPr>
              <w:t>Total Stockholders’</w:t>
            </w:r>
          </w:p>
        </w:tc>
        <w:tc>
          <w:tcPr>
            <w:tcW w:w="118" w:type="dxa"/>
            <w:tcBorders/>
            <w:vAlign w:val="center"/>
          </w:tcPr>
          <w:p>
            <w:pPr>
              <w:pStyle w:val="TableContents"/>
              <w:bidi w:val="0"/>
              <w:spacing w:before="0" w:after="283"/>
              <w:jc w:val="left"/>
              <w:rPr/>
            </w:pPr>
            <w:r>
              <w:rPr/>
              <w:t> </w:t>
            </w:r>
          </w:p>
        </w:tc>
      </w:tr>
      <w:tr>
        <w:trPr/>
        <w:tc>
          <w:tcPr>
            <w:tcW w:w="14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8" w:type="dxa"/>
            <w:tcBorders/>
            <w:vAlign w:val="center"/>
          </w:tcPr>
          <w:p>
            <w:pPr>
              <w:pStyle w:val="TableContents"/>
              <w:bidi w:val="0"/>
              <w:spacing w:before="0" w:after="283"/>
              <w:jc w:val="left"/>
              <w:rPr/>
            </w:pPr>
            <w:r>
              <w:rPr/>
              <w:t> </w:t>
            </w:r>
            <w:bookmarkStart w:id="128" w:name="xdx_432_c20250101__20250331_eus-gaap--St"/>
            <w:bookmarkEnd w:id="128"/>
          </w:p>
        </w:tc>
      </w:tr>
      <w:tr>
        <w:trPr/>
        <w:tc>
          <w:tcPr>
            <w:tcW w:w="1474" w:type="dxa"/>
            <w:tcBorders/>
            <w:shd w:fill="CCEEFF" w:val="clear"/>
            <w:vAlign w:val="center"/>
          </w:tcPr>
          <w:p>
            <w:pPr>
              <w:pStyle w:val="TableContents"/>
              <w:bidi w:val="0"/>
              <w:spacing w:before="0" w:after="283"/>
              <w:jc w:val="left"/>
              <w:rPr>
                <w:b/>
              </w:rPr>
            </w:pPr>
            <w:r>
              <w:rPr>
                <w:b/>
              </w:rPr>
              <w:t>Balance, December 31, 2024</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29" w:name="xdx_980_eus-gaap--SharesOutstanding_iS_p"/>
            <w:bookmarkEnd w:id="129"/>
          </w:p>
        </w:tc>
        <w:tc>
          <w:tcPr>
            <w:tcW w:w="1009" w:type="dxa"/>
            <w:tcBorders/>
            <w:shd w:fill="CCEEFF" w:val="clear"/>
            <w:vAlign w:val="center"/>
          </w:tcPr>
          <w:p>
            <w:pPr>
              <w:pStyle w:val="TableContents"/>
              <w:bidi w:val="0"/>
              <w:spacing w:before="0" w:after="283"/>
              <w:jc w:val="right"/>
              <w:rPr/>
            </w:pPr>
            <w:r>
              <w:rPr/>
              <w:t>7,561,875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bookmarkStart w:id="130" w:name="xdx_98F_eus-gaap--SharesOutstanding_iS_p"/>
            <w:bookmarkEnd w:id="130"/>
          </w:p>
        </w:tc>
        <w:tc>
          <w:tcPr>
            <w:tcW w:w="675" w:type="dxa"/>
            <w:tcBorders/>
            <w:shd w:fill="CCEEFF" w:val="clear"/>
            <w:vAlign w:val="center"/>
          </w:tcPr>
          <w:p>
            <w:pPr>
              <w:pStyle w:val="TableContents"/>
              <w:bidi w:val="0"/>
              <w:spacing w:before="0" w:after="283"/>
              <w:jc w:val="right"/>
              <w:rPr/>
            </w:pPr>
            <w:r>
              <w:rPr/>
              <w:t>9,411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133" w:type="dxa"/>
            <w:tcBorders/>
            <w:shd w:fill="CCEEFF" w:val="clear"/>
            <w:vAlign w:val="center"/>
          </w:tcPr>
          <w:p>
            <w:pPr>
              <w:pStyle w:val="TableContents"/>
              <w:bidi w:val="0"/>
              <w:spacing w:before="0" w:after="283"/>
              <w:jc w:val="right"/>
              <w:rPr/>
            </w:pPr>
            <w:r>
              <w:rPr/>
              <w:t>158,437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(151,884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6,648</w:t>
            </w:r>
          </w:p>
        </w:tc>
        <w:tc>
          <w:tcPr>
            <w:tcW w:w="118" w:type="dxa"/>
            <w:tcBorders/>
            <w:shd w:fill="CCEEFF" w:val="clear"/>
            <w:vAlign w:val="center"/>
          </w:tcPr>
          <w:p>
            <w:pPr>
              <w:pStyle w:val="TableContents"/>
              <w:bidi w:val="0"/>
              <w:spacing w:before="0" w:after="283"/>
              <w:jc w:val="left"/>
              <w:rPr/>
            </w:pPr>
            <w:r>
              <w:rPr/>
              <w:t> </w:t>
            </w:r>
            <w:bookmarkStart w:id="131" w:name="xdx_43B_c20250101__20250331_eus-gaap--St"/>
            <w:bookmarkEnd w:id="131"/>
          </w:p>
        </w:tc>
      </w:tr>
      <w:tr>
        <w:trPr/>
        <w:tc>
          <w:tcPr>
            <w:tcW w:w="1474"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32" w:name="xdx_982_eus-gaap--SharesOutstanding_iS_p"/>
            <w:bookmarkEnd w:id="132"/>
          </w:p>
        </w:tc>
        <w:tc>
          <w:tcPr>
            <w:tcW w:w="1009" w:type="dxa"/>
            <w:tcBorders/>
            <w:shd w:fill="CCEEFF" w:val="clear"/>
            <w:vAlign w:val="center"/>
          </w:tcPr>
          <w:p>
            <w:pPr>
              <w:pStyle w:val="TableContents"/>
              <w:bidi w:val="0"/>
              <w:spacing w:before="0" w:after="283"/>
              <w:jc w:val="right"/>
              <w:rPr/>
            </w:pPr>
            <w:r>
              <w:rPr/>
              <w:t>7,561,875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bookmarkStart w:id="133" w:name="xdx_98A_eus-gaap--SharesOutstanding_iS_p"/>
            <w:bookmarkEnd w:id="133"/>
          </w:p>
        </w:tc>
        <w:tc>
          <w:tcPr>
            <w:tcW w:w="675" w:type="dxa"/>
            <w:tcBorders/>
            <w:shd w:fill="CCEEFF" w:val="clear"/>
            <w:vAlign w:val="center"/>
          </w:tcPr>
          <w:p>
            <w:pPr>
              <w:pStyle w:val="TableContents"/>
              <w:bidi w:val="0"/>
              <w:spacing w:before="0" w:after="283"/>
              <w:jc w:val="right"/>
              <w:rPr/>
            </w:pPr>
            <w:r>
              <w:rPr/>
              <w:t>9,411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133" w:type="dxa"/>
            <w:tcBorders/>
            <w:shd w:fill="CCEEFF" w:val="clear"/>
            <w:vAlign w:val="center"/>
          </w:tcPr>
          <w:p>
            <w:pPr>
              <w:pStyle w:val="TableContents"/>
              <w:bidi w:val="0"/>
              <w:spacing w:before="0" w:after="283"/>
              <w:jc w:val="right"/>
              <w:rPr/>
            </w:pPr>
            <w:r>
              <w:rPr/>
              <w:t>158,437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(151,884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6,648</w:t>
            </w:r>
          </w:p>
        </w:tc>
        <w:tc>
          <w:tcPr>
            <w:tcW w:w="118" w:type="dxa"/>
            <w:tcBorders/>
            <w:shd w:fill="CCEEFF" w:val="clear"/>
            <w:vAlign w:val="center"/>
          </w:tcPr>
          <w:p>
            <w:pPr>
              <w:pStyle w:val="TableContents"/>
              <w:bidi w:val="0"/>
              <w:spacing w:before="0" w:after="283"/>
              <w:jc w:val="left"/>
              <w:rPr/>
            </w:pPr>
            <w:r>
              <w:rPr/>
              <w:t> </w:t>
            </w:r>
            <w:bookmarkStart w:id="134" w:name="xdx_40D_ecustom--AdjustmentsToAdditional"/>
            <w:bookmarkEnd w:id="134"/>
          </w:p>
        </w:tc>
      </w:tr>
      <w:tr>
        <w:trPr/>
        <w:tc>
          <w:tcPr>
            <w:tcW w:w="1474"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47</w:t>
            </w:r>
          </w:p>
        </w:tc>
        <w:tc>
          <w:tcPr>
            <w:tcW w:w="118" w:type="dxa"/>
            <w:tcBorders/>
            <w:shd w:fill="FFFFFF" w:val="clear"/>
            <w:vAlign w:val="center"/>
          </w:tcPr>
          <w:p>
            <w:pPr>
              <w:pStyle w:val="TableContents"/>
              <w:bidi w:val="0"/>
              <w:spacing w:before="0" w:after="283"/>
              <w:jc w:val="left"/>
              <w:rPr/>
            </w:pPr>
            <w:r>
              <w:rPr/>
              <w:t> </w:t>
            </w:r>
          </w:p>
        </w:tc>
      </w:tr>
      <w:tr>
        <w:trPr/>
        <w:tc>
          <w:tcPr>
            <w:tcW w:w="14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bookmarkStart w:id="135" w:name="xdx_405_eus-gaap--NetIncomeLoss_zhAUPCAO"/>
            <w:bookmarkEnd w:id="135"/>
          </w:p>
        </w:tc>
      </w:tr>
      <w:tr>
        <w:trPr/>
        <w:tc>
          <w:tcPr>
            <w:tcW w:w="1474"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(2,031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r>
              <w:rPr/>
              <w:t>(2,031</w:t>
            </w:r>
          </w:p>
        </w:tc>
        <w:tc>
          <w:tcPr>
            <w:tcW w:w="118" w:type="dxa"/>
            <w:tcBorders/>
            <w:shd w:fill="FFFFFF" w:val="clear"/>
            <w:vAlign w:val="center"/>
          </w:tcPr>
          <w:p>
            <w:pPr>
              <w:pStyle w:val="TableContents"/>
              <w:bidi w:val="0"/>
              <w:spacing w:before="0" w:after="283"/>
              <w:jc w:val="left"/>
              <w:rPr/>
            </w:pPr>
            <w:r>
              <w:rPr/>
              <w:t>)</w:t>
            </w:r>
            <w:bookmarkStart w:id="136" w:name="xdx_434_c20250101__20250331_eus-gaap--St"/>
            <w:bookmarkEnd w:id="136"/>
          </w:p>
        </w:tc>
      </w:tr>
      <w:tr>
        <w:trPr/>
        <w:tc>
          <w:tcPr>
            <w:tcW w:w="1474" w:type="dxa"/>
            <w:tcBorders/>
            <w:shd w:fill="CCEEFF" w:val="clear"/>
            <w:vAlign w:val="center"/>
          </w:tcPr>
          <w:p>
            <w:pPr>
              <w:pStyle w:val="TableContents"/>
              <w:bidi w:val="0"/>
              <w:spacing w:before="0" w:after="283"/>
              <w:jc w:val="left"/>
              <w:rPr>
                <w:b/>
              </w:rPr>
            </w:pPr>
            <w:r>
              <w:rPr>
                <w:b/>
              </w:rPr>
              <w:t>Balance, March 31, 2025</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7" w:name="xdx_984_eus-gaap--SharesOutstanding_iE_p"/>
            <w:bookmarkEnd w:id="137"/>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pPr>
            <w:r>
              <w:rPr/>
              <w:t>7,561,875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8" w:name="xdx_982_eus-gaap--SharesOutstanding_iE_p"/>
            <w:bookmarkEnd w:id="138"/>
          </w:p>
        </w:tc>
        <w:tc>
          <w:tcPr>
            <w:tcW w:w="675" w:type="dxa"/>
            <w:tcBorders>
              <w:bottom w:val="double" w:sz="6" w:space="0" w:color="000000"/>
            </w:tcBorders>
            <w:shd w:fill="CCEEFF" w:val="clear"/>
            <w:tcMar>
              <w:bottom w:w="28" w:type="dxa"/>
            </w:tcMar>
            <w:vAlign w:val="center"/>
          </w:tcPr>
          <w:p>
            <w:pPr>
              <w:pStyle w:val="TableContents"/>
              <w:bidi w:val="0"/>
              <w:spacing w:before="0" w:after="283"/>
              <w:jc w:val="right"/>
              <w:rPr/>
            </w:pPr>
            <w:r>
              <w:rPr/>
              <w:t>9,411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3" w:type="dxa"/>
            <w:tcBorders>
              <w:bottom w:val="double" w:sz="6" w:space="0" w:color="000000"/>
            </w:tcBorders>
            <w:shd w:fill="CCEEFF" w:val="clear"/>
            <w:tcMar>
              <w:bottom w:w="28" w:type="dxa"/>
            </w:tcMar>
            <w:vAlign w:val="center"/>
          </w:tcPr>
          <w:p>
            <w:pPr>
              <w:pStyle w:val="TableContents"/>
              <w:bidi w:val="0"/>
              <w:spacing w:before="0" w:after="283"/>
              <w:jc w:val="right"/>
              <w:rPr/>
            </w:pPr>
            <w:r>
              <w:rPr/>
              <w:t>158,484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(153,915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CCEEFF" w:val="clear"/>
            <w:tcMar>
              <w:bottom w:w="28" w:type="dxa"/>
            </w:tcMar>
            <w:vAlign w:val="center"/>
          </w:tcPr>
          <w:p>
            <w:pPr>
              <w:pStyle w:val="TableContents"/>
              <w:bidi w:val="0"/>
              <w:spacing w:before="0" w:after="283"/>
              <w:jc w:val="right"/>
              <w:rPr/>
            </w:pPr>
            <w:r>
              <w:rPr/>
              <w:t>4,664</w:t>
            </w:r>
          </w:p>
        </w:tc>
        <w:tc>
          <w:tcPr>
            <w:tcW w:w="118" w:type="dxa"/>
            <w:tcBorders/>
            <w:shd w:fill="CCEEFF" w:val="clear"/>
            <w:vAlign w:val="center"/>
          </w:tcPr>
          <w:p>
            <w:pPr>
              <w:pStyle w:val="TableContents"/>
              <w:bidi w:val="0"/>
              <w:spacing w:before="0" w:after="283"/>
              <w:jc w:val="left"/>
              <w:rPr/>
            </w:pPr>
            <w:r>
              <w:rPr/>
              <w:t> </w:t>
            </w:r>
            <w:bookmarkStart w:id="139" w:name="xdx_433_c20250101__20250331_eus-gaap--St"/>
            <w:bookmarkEnd w:id="139"/>
          </w:p>
        </w:tc>
      </w:tr>
      <w:tr>
        <w:trPr/>
        <w:tc>
          <w:tcPr>
            <w:tcW w:w="1474"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0" w:name="xdx_989_eus-gaap--SharesOutstanding_iE_p"/>
            <w:bookmarkEnd w:id="140"/>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pPr>
            <w:r>
              <w:rPr/>
              <w:t>7,561,875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1" w:name="xdx_98C_eus-gaap--SharesOutstanding_iE_p"/>
            <w:bookmarkEnd w:id="141"/>
          </w:p>
        </w:tc>
        <w:tc>
          <w:tcPr>
            <w:tcW w:w="675" w:type="dxa"/>
            <w:tcBorders>
              <w:bottom w:val="double" w:sz="6" w:space="0" w:color="000000"/>
            </w:tcBorders>
            <w:shd w:fill="CCEEFF" w:val="clear"/>
            <w:tcMar>
              <w:bottom w:w="28" w:type="dxa"/>
            </w:tcMar>
            <w:vAlign w:val="center"/>
          </w:tcPr>
          <w:p>
            <w:pPr>
              <w:pStyle w:val="TableContents"/>
              <w:bidi w:val="0"/>
              <w:spacing w:before="0" w:after="283"/>
              <w:jc w:val="right"/>
              <w:rPr/>
            </w:pPr>
            <w:r>
              <w:rPr/>
              <w:t>9,411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3" w:type="dxa"/>
            <w:tcBorders>
              <w:bottom w:val="double" w:sz="6" w:space="0" w:color="000000"/>
            </w:tcBorders>
            <w:shd w:fill="CCEEFF" w:val="clear"/>
            <w:tcMar>
              <w:bottom w:w="28" w:type="dxa"/>
            </w:tcMar>
            <w:vAlign w:val="center"/>
          </w:tcPr>
          <w:p>
            <w:pPr>
              <w:pStyle w:val="TableContents"/>
              <w:bidi w:val="0"/>
              <w:spacing w:before="0" w:after="283"/>
              <w:jc w:val="right"/>
              <w:rPr/>
            </w:pPr>
            <w:r>
              <w:rPr/>
              <w:t>158,484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(153,915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CCEEFF" w:val="clear"/>
            <w:tcMar>
              <w:bottom w:w="28" w:type="dxa"/>
            </w:tcMar>
            <w:vAlign w:val="center"/>
          </w:tcPr>
          <w:p>
            <w:pPr>
              <w:pStyle w:val="TableContents"/>
              <w:bidi w:val="0"/>
              <w:spacing w:before="0" w:after="283"/>
              <w:jc w:val="right"/>
              <w:rPr/>
            </w:pPr>
            <w:r>
              <w:rPr/>
              <w:t>4,664</w:t>
            </w:r>
          </w:p>
        </w:tc>
        <w:tc>
          <w:tcPr>
            <w:tcW w:w="11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2" w:name="JA_006"/>
      <w:bookmarkEnd w:id="142"/>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3" w:name="xdx_30A_112_pn3n3_zI1cfvnuA9Zc"/>
      <w:bookmarkStart w:id="144" w:name="xdx_30A_112_pn3n3_zI1cfvnuA9Zc"/>
      <w:bookmarkEnd w:id="144"/>
    </w:p>
    <w:tbl>
      <w:tblPr>
        <w:tblW w:w="9338" w:type="dxa"/>
        <w:jc w:val="left"/>
        <w:tblInd w:w="0" w:type="dxa"/>
        <w:tblLayout w:type="fixed"/>
        <w:tblCellMar>
          <w:top w:w="0" w:type="dxa"/>
          <w:left w:w="0" w:type="dxa"/>
          <w:bottom w:w="0" w:type="dxa"/>
          <w:right w:w="0" w:type="dxa"/>
        </w:tblCellMar>
      </w:tblPr>
      <w:tblGrid>
        <w:gridCol w:w="6875"/>
        <w:gridCol w:w="60"/>
        <w:gridCol w:w="182"/>
        <w:gridCol w:w="887"/>
        <w:gridCol w:w="95"/>
        <w:gridCol w:w="60"/>
        <w:gridCol w:w="182"/>
        <w:gridCol w:w="887"/>
        <w:gridCol w:w="110"/>
      </w:tblGrid>
      <w:tr>
        <w:trPr/>
        <w:tc>
          <w:tcPr>
            <w:tcW w:w="6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5" w:name="xdx_495_20260101__20260331_zIqICu9KIC05"/>
            <w:bookmarkEnd w:id="145"/>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6" w:name="xdx_490_20250101__20250331_z1o4nslkOw66"/>
            <w:bookmarkEnd w:id="146"/>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2025</w:t>
            </w:r>
          </w:p>
        </w:tc>
        <w:tc>
          <w:tcPr>
            <w:tcW w:w="110" w:type="dxa"/>
            <w:tcBorders/>
            <w:vAlign w:val="center"/>
          </w:tcPr>
          <w:p>
            <w:pPr>
              <w:pStyle w:val="TableContents"/>
              <w:bidi w:val="0"/>
              <w:spacing w:before="0" w:after="283"/>
              <w:jc w:val="left"/>
              <w:rPr/>
            </w:pPr>
            <w:r>
              <w:rPr/>
              <w:t> </w:t>
            </w:r>
            <w:bookmarkStart w:id="147" w:name="xdx_40C_eus-gaap--NetCashProvidedByUsedI"/>
            <w:bookmarkEnd w:id="147"/>
          </w:p>
        </w:tc>
      </w:tr>
      <w:tr>
        <w:trPr/>
        <w:tc>
          <w:tcPr>
            <w:tcW w:w="6875" w:type="dxa"/>
            <w:tcBorders/>
            <w:shd w:fill="CCEEFF" w:val="clear"/>
            <w:vAlign w:val="center"/>
          </w:tcPr>
          <w:p>
            <w:pPr>
              <w:pStyle w:val="TableContents"/>
              <w:bidi w:val="0"/>
              <w:spacing w:before="0" w:after="283"/>
              <w:jc w:val="left"/>
              <w:rPr>
                <w:i/>
              </w:rPr>
            </w:pPr>
            <w:r>
              <w:rPr>
                <w:i/>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8" w:name="xdx_409_eus-gaap--NetIncomeLoss_i01_maNC"/>
            <w:bookmarkEnd w:id="148"/>
          </w:p>
        </w:tc>
      </w:tr>
      <w:tr>
        <w:trPr/>
        <w:tc>
          <w:tcPr>
            <w:tcW w:w="687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887" w:type="dxa"/>
            <w:tcBorders/>
            <w:shd w:fill="FFFFFF" w:val="clear"/>
            <w:vAlign w:val="center"/>
          </w:tcPr>
          <w:p>
            <w:pPr>
              <w:pStyle w:val="TableContents"/>
              <w:bidi w:val="0"/>
              <w:spacing w:before="0" w:after="283"/>
              <w:jc w:val="right"/>
              <w:rPr/>
            </w:pPr>
            <w:r>
              <w:rPr/>
              <w:t>(6,464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887" w:type="dxa"/>
            <w:tcBorders/>
            <w:shd w:fill="FFFFFF" w:val="clear"/>
            <w:vAlign w:val="center"/>
          </w:tcPr>
          <w:p>
            <w:pPr>
              <w:pStyle w:val="TableContents"/>
              <w:bidi w:val="0"/>
              <w:spacing w:before="0" w:after="283"/>
              <w:jc w:val="right"/>
              <w:rPr/>
            </w:pPr>
            <w:r>
              <w:rPr/>
              <w:t>(2,031</w:t>
            </w:r>
          </w:p>
        </w:tc>
        <w:tc>
          <w:tcPr>
            <w:tcW w:w="110" w:type="dxa"/>
            <w:tcBorders/>
            <w:shd w:fill="FFFFFF" w:val="clear"/>
            <w:vAlign w:val="center"/>
          </w:tcPr>
          <w:p>
            <w:pPr>
              <w:pStyle w:val="TableContents"/>
              <w:bidi w:val="0"/>
              <w:spacing w:before="0" w:after="283"/>
              <w:jc w:val="left"/>
              <w:rPr/>
            </w:pPr>
            <w:r>
              <w:rPr/>
              <w:t>)</w:t>
            </w:r>
            <w:bookmarkStart w:id="149" w:name="xdx_40C_eus-gaap--AdjustmentsToReconcile"/>
            <w:bookmarkEnd w:id="149"/>
          </w:p>
        </w:tc>
      </w:tr>
      <w:tr>
        <w:trPr/>
        <w:tc>
          <w:tcPr>
            <w:tcW w:w="6875" w:type="dxa"/>
            <w:tcBorders/>
            <w:shd w:fill="CCEEFF" w:val="clear"/>
            <w:vAlign w:val="center"/>
          </w:tcPr>
          <w:p>
            <w:pPr>
              <w:pStyle w:val="TableContents"/>
              <w:bidi w:val="0"/>
              <w:spacing w:before="0" w:after="283"/>
              <w:jc w:val="left"/>
              <w:rPr>
                <w:i/>
              </w:rPr>
            </w:pPr>
            <w:r>
              <w:rPr>
                <w:i/>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0" w:name="xdx_408_eus-gaap--Depreciation_i02_maNCP"/>
            <w:bookmarkEnd w:id="150"/>
          </w:p>
        </w:tc>
      </w:tr>
      <w:tr>
        <w:trPr/>
        <w:tc>
          <w:tcPr>
            <w:tcW w:w="687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41</w:t>
            </w:r>
          </w:p>
        </w:tc>
        <w:tc>
          <w:tcPr>
            <w:tcW w:w="110" w:type="dxa"/>
            <w:tcBorders/>
            <w:shd w:fill="FFFFFF" w:val="clear"/>
            <w:vAlign w:val="center"/>
          </w:tcPr>
          <w:p>
            <w:pPr>
              <w:pStyle w:val="TableContents"/>
              <w:bidi w:val="0"/>
              <w:spacing w:before="0" w:after="283"/>
              <w:jc w:val="left"/>
              <w:rPr/>
            </w:pPr>
            <w:r>
              <w:rPr/>
              <w:t> </w:t>
            </w:r>
            <w:bookmarkStart w:id="151" w:name="xdx_408_eus-gaap--AmortizationOfDebtDisc"/>
            <w:bookmarkEnd w:id="151"/>
          </w:p>
        </w:tc>
      </w:tr>
      <w:tr>
        <w:trPr/>
        <w:tc>
          <w:tcPr>
            <w:tcW w:w="6875" w:type="dxa"/>
            <w:tcBorders/>
            <w:shd w:fill="CCEEFF" w:val="clear"/>
            <w:vAlign w:val="center"/>
          </w:tcPr>
          <w:p>
            <w:pPr>
              <w:pStyle w:val="TableContents"/>
              <w:bidi w:val="0"/>
              <w:spacing w:before="0" w:after="283"/>
              <w:jc w:val="left"/>
              <w:rPr/>
            </w:pPr>
            <w:r>
              <w:rPr/>
              <w:t>Amortization of debt discount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95</w:t>
            </w:r>
          </w:p>
        </w:tc>
        <w:tc>
          <w:tcPr>
            <w:tcW w:w="110" w:type="dxa"/>
            <w:tcBorders/>
            <w:shd w:fill="CCEEFF" w:val="clear"/>
            <w:vAlign w:val="center"/>
          </w:tcPr>
          <w:p>
            <w:pPr>
              <w:pStyle w:val="TableContents"/>
              <w:bidi w:val="0"/>
              <w:spacing w:before="0" w:after="283"/>
              <w:jc w:val="left"/>
              <w:rPr/>
            </w:pPr>
            <w:r>
              <w:rPr/>
              <w:t> </w:t>
            </w:r>
            <w:bookmarkStart w:id="152" w:name="xdx_402_ecustom--FairValueOfVestedOption"/>
            <w:bookmarkEnd w:id="152"/>
          </w:p>
        </w:tc>
      </w:tr>
      <w:tr>
        <w:trPr/>
        <w:tc>
          <w:tcPr>
            <w:tcW w:w="6875"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47</w:t>
            </w:r>
          </w:p>
        </w:tc>
        <w:tc>
          <w:tcPr>
            <w:tcW w:w="110" w:type="dxa"/>
            <w:tcBorders/>
            <w:shd w:fill="FFFFFF" w:val="clear"/>
            <w:vAlign w:val="center"/>
          </w:tcPr>
          <w:p>
            <w:pPr>
              <w:pStyle w:val="TableContents"/>
              <w:bidi w:val="0"/>
              <w:spacing w:before="0" w:after="283"/>
              <w:jc w:val="left"/>
              <w:rPr/>
            </w:pPr>
            <w:r>
              <w:rPr/>
              <w:t> </w:t>
            </w:r>
            <w:bookmarkStart w:id="153" w:name="xdx_400_eus-gaap--ProvisionForDoubtfulAc"/>
            <w:bookmarkEnd w:id="153"/>
          </w:p>
        </w:tc>
      </w:tr>
      <w:tr>
        <w:trPr/>
        <w:tc>
          <w:tcPr>
            <w:tcW w:w="6875" w:type="dxa"/>
            <w:tcBorders/>
            <w:shd w:fill="CCEEFF" w:val="clear"/>
            <w:vAlign w:val="center"/>
          </w:tcPr>
          <w:p>
            <w:pPr>
              <w:pStyle w:val="TableContents"/>
              <w:bidi w:val="0"/>
              <w:spacing w:before="0" w:after="283"/>
              <w:jc w:val="left"/>
              <w:rPr/>
            </w:pPr>
            <w:r>
              <w:rPr/>
              <w:t>Allowance for estimated credit losses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980</w:t>
            </w:r>
          </w:p>
        </w:tc>
        <w:tc>
          <w:tcPr>
            <w:tcW w:w="110" w:type="dxa"/>
            <w:tcBorders/>
            <w:shd w:fill="CCEEFF" w:val="clear"/>
            <w:vAlign w:val="center"/>
          </w:tcPr>
          <w:p>
            <w:pPr>
              <w:pStyle w:val="TableContents"/>
              <w:bidi w:val="0"/>
              <w:spacing w:before="0" w:after="283"/>
              <w:jc w:val="left"/>
              <w:rPr/>
            </w:pPr>
            <w:r>
              <w:rPr/>
              <w:t> </w:t>
            </w:r>
            <w:bookmarkStart w:id="154" w:name="xdx_409_ecustom--DiscontinuedInventory_i"/>
            <w:bookmarkEnd w:id="154"/>
          </w:p>
        </w:tc>
      </w:tr>
      <w:tr>
        <w:trPr/>
        <w:tc>
          <w:tcPr>
            <w:tcW w:w="6875" w:type="dxa"/>
            <w:tcBorders/>
            <w:shd w:fill="FFFFFF" w:val="clear"/>
            <w:vAlign w:val="center"/>
          </w:tcPr>
          <w:p>
            <w:pPr>
              <w:pStyle w:val="TableContents"/>
              <w:bidi w:val="0"/>
              <w:spacing w:before="0" w:after="283"/>
              <w:jc w:val="left"/>
              <w:rPr/>
            </w:pPr>
            <w:r>
              <w:rPr/>
              <w:t>Discontinued inventory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101</w:t>
            </w:r>
          </w:p>
        </w:tc>
        <w:tc>
          <w:tcPr>
            <w:tcW w:w="110" w:type="dxa"/>
            <w:tcBorders/>
            <w:shd w:fill="FFFFFF" w:val="clear"/>
            <w:vAlign w:val="center"/>
          </w:tcPr>
          <w:p>
            <w:pPr>
              <w:pStyle w:val="TableContents"/>
              <w:bidi w:val="0"/>
              <w:spacing w:before="0" w:after="283"/>
              <w:jc w:val="left"/>
              <w:rPr/>
            </w:pPr>
            <w:r>
              <w:rPr/>
              <w:t> </w:t>
            </w:r>
            <w:bookmarkStart w:id="155" w:name="xdx_401_ecustom--OperatingLeasePaymentsI"/>
            <w:bookmarkEnd w:id="155"/>
          </w:p>
        </w:tc>
      </w:tr>
      <w:tr>
        <w:trPr/>
        <w:tc>
          <w:tcPr>
            <w:tcW w:w="687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17</w:t>
            </w:r>
          </w:p>
        </w:tc>
        <w:tc>
          <w:tcPr>
            <w:tcW w:w="110" w:type="dxa"/>
            <w:tcBorders/>
            <w:shd w:fill="CCEEFF" w:val="clear"/>
            <w:vAlign w:val="center"/>
          </w:tcPr>
          <w:p>
            <w:pPr>
              <w:pStyle w:val="TableContents"/>
              <w:bidi w:val="0"/>
              <w:spacing w:before="0" w:after="283"/>
              <w:jc w:val="left"/>
              <w:rPr/>
            </w:pPr>
            <w:r>
              <w:rPr/>
              <w:t> </w:t>
            </w:r>
            <w:bookmarkStart w:id="156" w:name="xdx_400_eus-gaap--IncreaseDecreaseInOper"/>
            <w:bookmarkEnd w:id="156"/>
          </w:p>
        </w:tc>
      </w:tr>
      <w:tr>
        <w:trPr/>
        <w:tc>
          <w:tcPr>
            <w:tcW w:w="6875" w:type="dxa"/>
            <w:tcBorders/>
            <w:shd w:fill="FFFFFF" w:val="clear"/>
            <w:vAlign w:val="center"/>
          </w:tcPr>
          <w:p>
            <w:pPr>
              <w:pStyle w:val="TableContents"/>
              <w:bidi w:val="0"/>
              <w:spacing w:before="0" w:after="283"/>
              <w:jc w:val="left"/>
              <w:rPr>
                <w:i/>
              </w:rPr>
            </w:pPr>
            <w:r>
              <w:rPr>
                <w:i/>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7" w:name="xdx_405_eus-gaap--IncreaseDecreaseInAcco"/>
            <w:bookmarkEnd w:id="157"/>
          </w:p>
        </w:tc>
      </w:tr>
      <w:tr>
        <w:trPr/>
        <w:tc>
          <w:tcPr>
            <w:tcW w:w="687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(1,330</w:t>
            </w:r>
          </w:p>
        </w:tc>
        <w:tc>
          <w:tcPr>
            <w:tcW w:w="110" w:type="dxa"/>
            <w:tcBorders/>
            <w:shd w:fill="CCEEFF" w:val="clear"/>
            <w:vAlign w:val="center"/>
          </w:tcPr>
          <w:p>
            <w:pPr>
              <w:pStyle w:val="TableContents"/>
              <w:bidi w:val="0"/>
              <w:spacing w:before="0" w:after="283"/>
              <w:jc w:val="left"/>
              <w:rPr/>
            </w:pPr>
            <w:r>
              <w:rPr/>
              <w:t>)</w:t>
            </w:r>
            <w:bookmarkStart w:id="158" w:name="xdx_40E_eus-gaap--IncreaseDecreaseInInve"/>
            <w:bookmarkEnd w:id="158"/>
          </w:p>
        </w:tc>
      </w:tr>
      <w:tr>
        <w:trPr/>
        <w:tc>
          <w:tcPr>
            <w:tcW w:w="6875"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(740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(4,320</w:t>
            </w:r>
          </w:p>
        </w:tc>
        <w:tc>
          <w:tcPr>
            <w:tcW w:w="110" w:type="dxa"/>
            <w:tcBorders/>
            <w:shd w:fill="FFFFFF" w:val="clear"/>
            <w:vAlign w:val="center"/>
          </w:tcPr>
          <w:p>
            <w:pPr>
              <w:pStyle w:val="TableContents"/>
              <w:bidi w:val="0"/>
              <w:spacing w:before="0" w:after="283"/>
              <w:jc w:val="left"/>
              <w:rPr/>
            </w:pPr>
            <w:r>
              <w:rPr/>
              <w:t>)</w:t>
            </w:r>
            <w:bookmarkStart w:id="159" w:name="xdx_408_eus-gaap--IncreaseDecreaseInPrep"/>
            <w:bookmarkEnd w:id="159"/>
          </w:p>
        </w:tc>
      </w:tr>
      <w:tr>
        <w:trPr/>
        <w:tc>
          <w:tcPr>
            <w:tcW w:w="6875"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(634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(293</w:t>
            </w:r>
          </w:p>
        </w:tc>
        <w:tc>
          <w:tcPr>
            <w:tcW w:w="110" w:type="dxa"/>
            <w:tcBorders/>
            <w:shd w:fill="CCEEFF" w:val="clear"/>
            <w:vAlign w:val="center"/>
          </w:tcPr>
          <w:p>
            <w:pPr>
              <w:pStyle w:val="TableContents"/>
              <w:bidi w:val="0"/>
              <w:spacing w:before="0" w:after="283"/>
              <w:jc w:val="left"/>
              <w:rPr/>
            </w:pPr>
            <w:r>
              <w:rPr/>
              <w:t>)</w:t>
            </w:r>
            <w:bookmarkStart w:id="160" w:name="xdx_40F_ecustom--IncreaseDecreaseInAmort"/>
            <w:bookmarkEnd w:id="160"/>
          </w:p>
        </w:tc>
      </w:tr>
      <w:tr>
        <w:trPr/>
        <w:tc>
          <w:tcPr>
            <w:tcW w:w="6875" w:type="dxa"/>
            <w:tcBorders/>
            <w:shd w:fill="FFFFFF" w:val="clear"/>
            <w:vAlign w:val="center"/>
          </w:tcPr>
          <w:p>
            <w:pPr>
              <w:pStyle w:val="TableContents"/>
              <w:bidi w:val="0"/>
              <w:spacing w:before="0" w:after="283"/>
              <w:jc w:val="left"/>
              <w:rPr/>
            </w:pPr>
            <w:r>
              <w:rPr/>
              <w:t>Decrease in right of use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12</w:t>
            </w:r>
          </w:p>
        </w:tc>
        <w:tc>
          <w:tcPr>
            <w:tcW w:w="110" w:type="dxa"/>
            <w:tcBorders/>
            <w:shd w:fill="FFFFFF" w:val="clear"/>
            <w:vAlign w:val="center"/>
          </w:tcPr>
          <w:p>
            <w:pPr>
              <w:pStyle w:val="TableContents"/>
              <w:bidi w:val="0"/>
              <w:spacing w:before="0" w:after="283"/>
              <w:jc w:val="left"/>
              <w:rPr/>
            </w:pPr>
            <w:r>
              <w:rPr/>
              <w:t> </w:t>
            </w:r>
            <w:bookmarkStart w:id="161" w:name="xdx_40B_eus-gaap--IncreaseDecreaseInAcco"/>
            <w:bookmarkEnd w:id="161"/>
          </w:p>
        </w:tc>
      </w:tr>
      <w:tr>
        <w:trPr/>
        <w:tc>
          <w:tcPr>
            <w:tcW w:w="687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989</w:t>
            </w:r>
          </w:p>
        </w:tc>
        <w:tc>
          <w:tcPr>
            <w:tcW w:w="110" w:type="dxa"/>
            <w:tcBorders/>
            <w:shd w:fill="CCEEFF" w:val="clear"/>
            <w:vAlign w:val="center"/>
          </w:tcPr>
          <w:p>
            <w:pPr>
              <w:pStyle w:val="TableContents"/>
              <w:bidi w:val="0"/>
              <w:spacing w:before="0" w:after="283"/>
              <w:jc w:val="left"/>
              <w:rPr/>
            </w:pPr>
            <w:r>
              <w:rPr/>
              <w:t> </w:t>
            </w:r>
            <w:bookmarkStart w:id="162" w:name="xdx_40C_eus-gaap--IncreaseDecreaseInAccr"/>
            <w:bookmarkEnd w:id="162"/>
          </w:p>
        </w:tc>
      </w:tr>
      <w:tr>
        <w:trPr/>
        <w:tc>
          <w:tcPr>
            <w:tcW w:w="687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209</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330</w:t>
            </w:r>
          </w:p>
        </w:tc>
        <w:tc>
          <w:tcPr>
            <w:tcW w:w="110" w:type="dxa"/>
            <w:tcBorders/>
            <w:shd w:fill="FFFFFF" w:val="clear"/>
            <w:vAlign w:val="center"/>
          </w:tcPr>
          <w:p>
            <w:pPr>
              <w:pStyle w:val="TableContents"/>
              <w:bidi w:val="0"/>
              <w:spacing w:before="0" w:after="283"/>
              <w:jc w:val="left"/>
              <w:rPr/>
            </w:pPr>
            <w:r>
              <w:rPr/>
              <w:t> </w:t>
            </w:r>
            <w:bookmarkStart w:id="163" w:name="xdx_406_eus-gaap--IncreaseDecreaseInCont"/>
            <w:bookmarkEnd w:id="163"/>
          </w:p>
        </w:tc>
      </w:tr>
      <w:tr>
        <w:trPr/>
        <w:tc>
          <w:tcPr>
            <w:tcW w:w="6875"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4" w:name="xdx_404_eus-gaap--NetCashProvidedByUsedI"/>
            <w:bookmarkEnd w:id="164"/>
          </w:p>
        </w:tc>
      </w:tr>
      <w:tr>
        <w:trPr/>
        <w:tc>
          <w:tcPr>
            <w:tcW w:w="6875"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(5,844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(5,362</w:t>
            </w:r>
          </w:p>
        </w:tc>
        <w:tc>
          <w:tcPr>
            <w:tcW w:w="110" w:type="dxa"/>
            <w:tcBorders/>
            <w:shd w:fill="CCEEFF" w:val="clear"/>
            <w:vAlign w:val="center"/>
          </w:tcPr>
          <w:p>
            <w:pPr>
              <w:pStyle w:val="TableContents"/>
              <w:bidi w:val="0"/>
              <w:spacing w:before="0" w:after="283"/>
              <w:jc w:val="left"/>
              <w:rPr/>
            </w:pPr>
            <w:r>
              <w:rPr/>
              <w:t>)</w:t>
            </w:r>
            <w:bookmarkStart w:id="165" w:name="xdx_404_eus-gaap--NetCashProvidedByUsedI"/>
            <w:bookmarkEnd w:id="165"/>
          </w:p>
        </w:tc>
      </w:tr>
      <w:tr>
        <w:trPr/>
        <w:tc>
          <w:tcPr>
            <w:tcW w:w="6875" w:type="dxa"/>
            <w:tcBorders/>
            <w:shd w:fill="FFFFFF" w:val="clear"/>
            <w:vAlign w:val="center"/>
          </w:tcPr>
          <w:p>
            <w:pPr>
              <w:pStyle w:val="TableContents"/>
              <w:bidi w:val="0"/>
              <w:spacing w:before="0" w:after="283"/>
              <w:jc w:val="left"/>
              <w:rPr>
                <w:i/>
              </w:rPr>
            </w:pPr>
            <w:r>
              <w:rPr>
                <w:i/>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6" w:name="xdx_405_eus-gaap--PaymentsToAcquireIntan"/>
            <w:bookmarkEnd w:id="166"/>
          </w:p>
        </w:tc>
      </w:tr>
      <w:tr>
        <w:trPr/>
        <w:tc>
          <w:tcPr>
            <w:tcW w:w="6875" w:type="dxa"/>
            <w:tcBorders/>
            <w:shd w:fill="CCEEFF" w:val="clear"/>
            <w:vAlign w:val="center"/>
          </w:tcPr>
          <w:p>
            <w:pPr>
              <w:pStyle w:val="TableContents"/>
              <w:bidi w:val="0"/>
              <w:spacing w:before="0" w:after="283"/>
              <w:jc w:val="left"/>
              <w:rPr/>
            </w:pPr>
            <w:r>
              <w:rPr/>
              <w:t>Trademark costs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w:t>
            </w:r>
            <w:bookmarkStart w:id="167" w:name="xdx_409_eus-gaap--PaymentsToAcquirePrope"/>
            <w:bookmarkEnd w:id="167"/>
          </w:p>
        </w:tc>
      </w:tr>
      <w:tr>
        <w:trPr/>
        <w:tc>
          <w:tcPr>
            <w:tcW w:w="6875"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jc w:val="left"/>
              <w:rPr/>
            </w:pPr>
            <w:r>
              <w:rPr/>
              <w:t>)</w:t>
            </w:r>
            <w:bookmarkStart w:id="168" w:name="xdx_40E_eus-gaap--NetCashProvidedByUsedI"/>
            <w:bookmarkEnd w:id="168"/>
          </w:p>
        </w:tc>
      </w:tr>
      <w:tr>
        <w:trPr/>
        <w:tc>
          <w:tcPr>
            <w:tcW w:w="6875"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(74</w:t>
            </w:r>
          </w:p>
        </w:tc>
        <w:tc>
          <w:tcPr>
            <w:tcW w:w="110" w:type="dxa"/>
            <w:tcBorders/>
            <w:shd w:fill="CCEEFF" w:val="clear"/>
            <w:vAlign w:val="center"/>
          </w:tcPr>
          <w:p>
            <w:pPr>
              <w:pStyle w:val="TableContents"/>
              <w:bidi w:val="0"/>
              <w:spacing w:before="0" w:after="283"/>
              <w:jc w:val="left"/>
              <w:rPr/>
            </w:pPr>
            <w:r>
              <w:rPr/>
              <w:t>)</w:t>
            </w:r>
            <w:bookmarkStart w:id="169" w:name="xdx_402_eus-gaap--NetCashProvidedByUsedI"/>
            <w:bookmarkEnd w:id="169"/>
          </w:p>
        </w:tc>
      </w:tr>
      <w:tr>
        <w:trPr/>
        <w:tc>
          <w:tcPr>
            <w:tcW w:w="6875" w:type="dxa"/>
            <w:tcBorders/>
            <w:shd w:fill="FFFFFF" w:val="clear"/>
            <w:vAlign w:val="center"/>
          </w:tcPr>
          <w:p>
            <w:pPr>
              <w:pStyle w:val="TableContents"/>
              <w:bidi w:val="0"/>
              <w:spacing w:before="0" w:after="283"/>
              <w:jc w:val="left"/>
              <w:rPr>
                <w:i/>
              </w:rPr>
            </w:pPr>
            <w:r>
              <w:rPr>
                <w:i/>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0" w:name="xdx_40A_ecustom--PaymentOfCashRecordedAs"/>
            <w:bookmarkEnd w:id="170"/>
          </w:p>
        </w:tc>
      </w:tr>
      <w:tr>
        <w:trPr/>
        <w:tc>
          <w:tcPr>
            <w:tcW w:w="6875" w:type="dxa"/>
            <w:tcBorders/>
            <w:shd w:fill="CCEEFF" w:val="clear"/>
            <w:vAlign w:val="center"/>
          </w:tcPr>
          <w:p>
            <w:pPr>
              <w:pStyle w:val="TableContents"/>
              <w:bidi w:val="0"/>
              <w:spacing w:before="0" w:after="283"/>
              <w:jc w:val="left"/>
              <w:rPr/>
            </w:pPr>
            <w:r>
              <w:rPr/>
              <w:t>Payment of cost recorded as debt discount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(18</w:t>
            </w:r>
          </w:p>
        </w:tc>
        <w:tc>
          <w:tcPr>
            <w:tcW w:w="110" w:type="dxa"/>
            <w:tcBorders/>
            <w:shd w:fill="CCEEFF" w:val="clear"/>
            <w:vAlign w:val="center"/>
          </w:tcPr>
          <w:p>
            <w:pPr>
              <w:pStyle w:val="TableContents"/>
              <w:bidi w:val="0"/>
              <w:spacing w:before="0" w:after="283"/>
              <w:jc w:val="left"/>
              <w:rPr/>
            </w:pPr>
            <w:r>
              <w:rPr/>
              <w:t>)</w:t>
            </w:r>
            <w:bookmarkStart w:id="171" w:name="xdx_403_eus-gaap--ProceedsFromRepayments"/>
            <w:bookmarkEnd w:id="171"/>
          </w:p>
        </w:tc>
      </w:tr>
      <w:tr>
        <w:trPr/>
        <w:tc>
          <w:tcPr>
            <w:tcW w:w="6875" w:type="dxa"/>
            <w:tcBorders/>
            <w:shd w:fill="FFFFFF" w:val="clear"/>
            <w:vAlign w:val="center"/>
          </w:tcPr>
          <w:p>
            <w:pPr>
              <w:pStyle w:val="TableContents"/>
              <w:bidi w:val="0"/>
              <w:spacing w:before="0" w:after="283"/>
              <w:jc w:val="left"/>
              <w:rPr/>
            </w:pPr>
            <w:r>
              <w:rPr/>
              <w:t>Amounts from former related party, net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pPr>
            <w:r>
              <w:rPr/>
              <w:t>(75</w:t>
            </w:r>
          </w:p>
        </w:tc>
        <w:tc>
          <w:tcPr>
            <w:tcW w:w="110" w:type="dxa"/>
            <w:tcBorders/>
            <w:shd w:fill="FFFFFF" w:val="clear"/>
            <w:vAlign w:val="center"/>
          </w:tcPr>
          <w:p>
            <w:pPr>
              <w:pStyle w:val="TableContents"/>
              <w:bidi w:val="0"/>
              <w:spacing w:before="0" w:after="283"/>
              <w:jc w:val="left"/>
              <w:rPr/>
            </w:pPr>
            <w:r>
              <w:rPr/>
              <w:t>)</w:t>
            </w:r>
            <w:bookmarkStart w:id="172" w:name="xdx_408_eus-gaap--NetCashProvidedByUsedI"/>
            <w:bookmarkEnd w:id="172"/>
          </w:p>
        </w:tc>
      </w:tr>
      <w:tr>
        <w:trPr/>
        <w:tc>
          <w:tcPr>
            <w:tcW w:w="6875" w:type="dxa"/>
            <w:tcBorders/>
            <w:shd w:fill="CCEEFF" w:val="clear"/>
            <w:vAlign w:val="center"/>
          </w:tcPr>
          <w:p>
            <w:pPr>
              <w:pStyle w:val="TableContents"/>
              <w:bidi w:val="0"/>
              <w:spacing w:before="0" w:after="283"/>
              <w:jc w:val="left"/>
              <w:rPr>
                <w:b/>
              </w:rPr>
            </w:pPr>
            <w:r>
              <w:rPr>
                <w:b/>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(93</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3" w:name="xdx_408_eus-gaap--CashCashEquivalentsRes"/>
            <w:bookmarkEnd w:id="173"/>
          </w:p>
        </w:tc>
      </w:tr>
      <w:tr>
        <w:trPr/>
        <w:tc>
          <w:tcPr>
            <w:tcW w:w="6875"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(5,844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(5,529</w:t>
            </w:r>
          </w:p>
        </w:tc>
        <w:tc>
          <w:tcPr>
            <w:tcW w:w="110" w:type="dxa"/>
            <w:tcBorders/>
            <w:shd w:fill="CCEEFF" w:val="clear"/>
            <w:vAlign w:val="center"/>
          </w:tcPr>
          <w:p>
            <w:pPr>
              <w:pStyle w:val="TableContents"/>
              <w:bidi w:val="0"/>
              <w:spacing w:before="0" w:after="283"/>
              <w:jc w:val="left"/>
              <w:rPr/>
            </w:pPr>
            <w:r>
              <w:rPr/>
              <w:t>)</w:t>
            </w:r>
            <w:bookmarkStart w:id="174" w:name="xdx_40A_eus-gaap--CashCashEquivalentsRes"/>
            <w:bookmarkEnd w:id="174"/>
          </w:p>
        </w:tc>
      </w:tr>
      <w:tr>
        <w:trPr/>
        <w:tc>
          <w:tcPr>
            <w:tcW w:w="6875"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pPr>
            <w:r>
              <w:rPr/>
              <w:t>10,424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pPr>
            <w:r>
              <w:rPr/>
              <w:t>10,391</w:t>
            </w:r>
          </w:p>
        </w:tc>
        <w:tc>
          <w:tcPr>
            <w:tcW w:w="110" w:type="dxa"/>
            <w:tcBorders/>
            <w:shd w:fill="FFFFFF" w:val="clear"/>
            <w:vAlign w:val="center"/>
          </w:tcPr>
          <w:p>
            <w:pPr>
              <w:pStyle w:val="TableContents"/>
              <w:bidi w:val="0"/>
              <w:spacing w:before="0" w:after="283"/>
              <w:jc w:val="left"/>
              <w:rPr/>
            </w:pPr>
            <w:r>
              <w:rPr/>
              <w:t> </w:t>
            </w:r>
            <w:bookmarkStart w:id="175" w:name="xdx_40A_eus-gaap--CashCashEquivalentsRes"/>
            <w:bookmarkEnd w:id="175"/>
          </w:p>
        </w:tc>
      </w:tr>
      <w:tr>
        <w:trPr/>
        <w:tc>
          <w:tcPr>
            <w:tcW w:w="6875"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jc w:val="right"/>
              <w:rPr/>
            </w:pPr>
            <w:r>
              <w:rPr/>
              <w:t>4,580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jc w:val="right"/>
              <w:rPr/>
            </w:pPr>
            <w:r>
              <w:rPr/>
              <w:t>4,862</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6" w:name="xdx_404_eus-gaap--SupplementalCashFlowIn"/>
            <w:bookmarkEnd w:id="176"/>
          </w:p>
        </w:tc>
      </w:tr>
      <w:tr>
        <w:trPr/>
        <w:tc>
          <w:tcPr>
            <w:tcW w:w="6875"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7" w:name="xdx_403_eus-gaap--InterestPaidNet_i01_z6"/>
            <w:bookmarkEnd w:id="177"/>
          </w:p>
        </w:tc>
      </w:tr>
      <w:tr>
        <w:trPr/>
        <w:tc>
          <w:tcPr>
            <w:tcW w:w="6875"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887" w:type="dxa"/>
            <w:tcBorders/>
            <w:shd w:fill="FFFFFF" w:val="clear"/>
            <w:vAlign w:val="center"/>
          </w:tcPr>
          <w:p>
            <w:pPr>
              <w:pStyle w:val="TableContents"/>
              <w:bidi w:val="0"/>
              <w:spacing w:before="0" w:after="283"/>
              <w:jc w:val="right"/>
              <w:rPr/>
            </w:pPr>
            <w:r>
              <w:rPr/>
              <w:t>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887" w:type="dxa"/>
            <w:tcBorders/>
            <w:shd w:fill="FFFFFF" w:val="clear"/>
            <w:vAlign w:val="center"/>
          </w:tcPr>
          <w:p>
            <w:pPr>
              <w:pStyle w:val="TableContents"/>
              <w:bidi w:val="0"/>
              <w:spacing w:before="0" w:after="283"/>
              <w:jc w:val="right"/>
              <w:rPr/>
            </w:pPr>
            <w:r>
              <w:rPr/>
              <w:t>199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8" w:name="JA_007"/>
      <w:bookmarkEnd w:id="178"/>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 and 2025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9" w:name="xdx_806_eus-gaap--BasisOfPresentationAnd"/>
      <w:bookmarkEnd w:id="179"/>
      <w:r>
        <w:rPr>
          <w:rFonts w:ascii="Times New Roman;Times;Serif" w:hAnsi="Times New Roman;Times;Serif"/>
          <w:b/>
          <w:i w:val="false"/>
          <w:caps w:val="false"/>
          <w:smallCaps w:val="false"/>
          <w:sz w:val="20"/>
        </w:rPr>
        <w:t xml:space="preserve">1. </w:t>
      </w:r>
      <w:bookmarkStart w:id="180" w:name="xdx_824_zYjgXK75CBef"/>
      <w:bookmarkEnd w:id="180"/>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of Reed’s, Inc. (the “Company”, “we”, “us”, or “our”),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The Company believes that the disclosures contained in these condensed consolidated financial statements are adequate to make the information presented herein not misleading. These condensed consolidated financial statements should be read in conjunction with the financial statements contained in the Company’s Annual Report on Form 10-K for the year ended December 31, 2025, filed with the SEC on March 25, 2026. The accompanying condensed consolidated financial statements are unaudited, but in the opinion of management, contain all adjustments, including normal recurring adjustments, necessary to present fairly the Company’s financial position as of March 31, 2026, and the results of its operations and its cash flows for the three months ended March 31, 2026 and 2025. The balance sheet as of December 31, 2025 is derived from the Company’s 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began an expansion into new geographic markets in the Asia Pacific region. The Company formed a wholly owned subsidiary Reed’s (Asia) Limited (BVI). Reed’s (Asia) Limited subsequently formed five additional wholly owned subsidiaries, Reed’s (Hong Kong) Limited, Reed’s (Japan) Limited, Jiangzhi Beverage (Hainan) Co. Limited, Reed’s Beverages (Singapore) PTE Limited, and Shenshen Jiangzi Beverage Co. Limited. These subsidiaries are an early part of the Company’s strategic expansion in the Asia Pacific region. The Company expects continued investment in its Asia Pacific growth initiative. Reed’s (Asia) Limited did not generate material sales in the period ended March 31, 2026 or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three months ended March 31, 2026, are not necessarily indicative of the results of operations to be expected for the full fiscal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the Company recorded a net loss of $</w:t>
      </w:r>
      <w:bookmarkStart w:id="181" w:name="xdx_90C_eus-gaap--NetIncomeLoss_iN_pn3n3"/>
      <w:bookmarkEnd w:id="181"/>
      <w:r>
        <w:rPr>
          <w:rFonts w:ascii="Times New Roman;Times;Serif" w:hAnsi="Times New Roman;Times;Serif"/>
          <w:b w:val="false"/>
          <w:i w:val="false"/>
          <w:caps w:val="false"/>
          <w:smallCaps w:val="false"/>
          <w:sz w:val="20"/>
        </w:rPr>
        <w:t>6,464 and used cash in operations of $</w:t>
      </w:r>
      <w:bookmarkStart w:id="182" w:name="xdx_900_eus-gaap--NetCashProvidedByUsedI"/>
      <w:bookmarkEnd w:id="182"/>
      <w:r>
        <w:rPr>
          <w:rFonts w:ascii="Times New Roman;Times;Serif" w:hAnsi="Times New Roman;Times;Serif"/>
          <w:b w:val="false"/>
          <w:i w:val="false"/>
          <w:caps w:val="false"/>
          <w:smallCaps w:val="false"/>
          <w:sz w:val="20"/>
        </w:rPr>
        <w:t>5,844. Cash used in operations was primarily from the Company’s operating losses, working capital, and investment in strategic growth initiatives. As of March 31, 2026, the Company had a cash balance of $</w:t>
      </w:r>
      <w:bookmarkStart w:id="183" w:name="xdx_90D_eus-gaap--Cash_iI_pn3n3_c2026033"/>
      <w:bookmarkEnd w:id="183"/>
      <w:r>
        <w:rPr>
          <w:rFonts w:ascii="Times New Roman;Times;Serif" w:hAnsi="Times New Roman;Times;Serif"/>
          <w:b w:val="false"/>
          <w:i w:val="false"/>
          <w:caps w:val="false"/>
          <w:smallCaps w:val="false"/>
          <w:sz w:val="20"/>
        </w:rPr>
        <w:t xml:space="preserve">4,580 and no remaining availability under the Company’s Senior Secured Loan. In accordance with Accounting Standards Codification (“ASC”) 205-40, </w:t>
      </w:r>
      <w:r>
        <w:rPr>
          <w:rFonts w:ascii="Times New Roman;Times;Serif" w:hAnsi="Times New Roman;Times;Serif"/>
          <w:b w:val="false"/>
          <w:i/>
          <w:caps w:val="false"/>
          <w:smallCaps w:val="false"/>
          <w:sz w:val="20"/>
        </w:rPr>
        <w:t>Going Concern</w:t>
      </w:r>
      <w:r>
        <w:rPr>
          <w:rFonts w:ascii="Times New Roman;Times;Serif" w:hAnsi="Times New Roman;Times;Serif"/>
          <w:b w:val="false"/>
          <w:i w:val="false"/>
          <w:caps w:val="false"/>
          <w:smallCaps w:val="false"/>
          <w:sz w:val="20"/>
        </w:rPr>
        <w:t>, the Company’s management has evaluated whether there are conditions and events, considered in the aggregate, that raise substantial doubt about the Company’s ability to continue as a going concern within one year after the date the accompanying financial statements were issued. As of the issuance date of these financial statements, management expects that the Company’s existing cash of $</w:t>
      </w:r>
      <w:bookmarkStart w:id="184" w:name="xdx_906_eus-gaap--Cash_iI_pn3n3_c2026033"/>
      <w:bookmarkEnd w:id="184"/>
      <w:r>
        <w:rPr>
          <w:rFonts w:ascii="Times New Roman;Times;Serif" w:hAnsi="Times New Roman;Times;Serif"/>
          <w:b w:val="false"/>
          <w:i w:val="false"/>
          <w:caps w:val="false"/>
          <w:smallCaps w:val="false"/>
          <w:sz w:val="20"/>
        </w:rPr>
        <w:t>4,580 will be sufficient to fund the Company’s current operating plan for at least twelve months from the date of issuance of these financial statements. The financial statements do not include any adjustments that might be necessary if the Company is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has financed its operations through existing cash balances, cash generated from operations, public and private issuance of common stock, preferred stock, convertible debt instruments, term loans and credit lines from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expects that the Company’s existing cash of $</w:t>
      </w:r>
      <w:bookmarkStart w:id="185" w:name="xdx_900_eus-gaap--Cash_iI_pn3n3_c2026033"/>
      <w:bookmarkEnd w:id="185"/>
      <w:r>
        <w:rPr>
          <w:rFonts w:ascii="Times New Roman;Times;Serif" w:hAnsi="Times New Roman;Times;Serif"/>
          <w:b w:val="false"/>
          <w:i w:val="false"/>
          <w:caps w:val="false"/>
          <w:smallCaps w:val="false"/>
          <w:sz w:val="20"/>
        </w:rPr>
        <w:t>4,580, cash generated from operations, and access to committed financing will be sufficient to fund the Company’s operating plan, which was approved by the board of directors in February 2026, for at least twelve months from the date of issuance of the financial statements; however, if the Company’s management and board of directors approve additional growth initiatives and related investment in human resources, working capital, new geographic markets, information technology, and other uses of cash, the Company may require additional funding.</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alleviate any funding considerations, management periodically evaluates various funding alternatives and may seek to raise additional funds through the issuance of equity, mezzanine or debt securities, through arrangements with strategic partners, strategic transactions, or through obtaining credit from financial institutions. As the Company seeks additional sources of financing, there can be no assurance that such financing will be available to the Company on favorable terms or at all. The Company’s ability to obtain additional financing in the debt and equity capital markets is subject to several factors, including market and economic conditions, the Company’s performance and investor sentiment with respect to the Company and its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continuing to take actions to improve the Company’s operating performance and cash generated from operations, including product portfolio optimization, implementing strategies to increase sales, streamlining operations, improving supply chains, negotiating equitable vendor contracts, and managing product price architecture. However, the Company may be unsuccessful in executing these actions in a timely manner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raise additional capital whenever necessary or otherwise improve its operating performance or generation of cash from operations, it may be forced to decelerate or curtail certain of its operations until such time as additional capital becomes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Trends -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actions by the Federal Reserve to address inflation, fluctuations in energy prices, and the potential impacts of tariffs, trade tensions and geopolitical events create uncertainty about the future economic environment which will continue to evolve and may impact the Company’s business in future periods. The Company has experienced supply chain challenges, including increased lead times, as well as inflation of raw materials, logistics and labor costs due to availability constraints and high demand. Although the Company regularly monitors vendors in its supply chain, and uses alternative suppliers when necessary and available, supply chain constraints could cause a disruption in the Company’s ability to obtain raw materials required to manufacture its products and adversely affect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and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notes have been prepared in accordance with accounting principles U.S. GAAP. The consolidated financial statements include the accounts of Reed’s Inc. and its wholly owned subsidiary Reed’s (Asia) Limited (BVI). Reed’s (Asia) Limited subsequently formed five additional wholly owned subsidiaries, Reed’s (Hong Kong) Limited, Reed’s (Japan) Limited, Jiangzhi Beverage (Hainan) Co. Limited, Reed’s Beverages (Singapore) PTE Limited, and Shenshen Jiangzi Beverage Co. Limited. All significant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6" w:name="xdx_809_eus-gaap--SignificantAccountingP"/>
      <w:bookmarkEnd w:id="186"/>
      <w:r>
        <w:rPr>
          <w:rFonts w:ascii="Times New Roman;Times;Serif" w:hAnsi="Times New Roman;Times;Serif"/>
          <w:b/>
          <w:i w:val="false"/>
          <w:caps w:val="false"/>
          <w:smallCaps w:val="false"/>
          <w:sz w:val="20"/>
        </w:rPr>
        <w:t xml:space="preserve">2. </w:t>
      </w:r>
      <w:bookmarkStart w:id="187" w:name="xdx_827_zstLlqG8crZg"/>
      <w:bookmarkEnd w:id="187"/>
      <w:r>
        <w:rPr>
          <w:rFonts w:ascii="Times New Roman;Times;Serif" w:hAnsi="Times New Roman;Times;Serif"/>
          <w:b/>
          <w:i w:val="false"/>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8" w:name="xdx_86C_z50ELIlyclFi"/>
      <w:bookmarkStart w:id="189" w:name="xdx_84C_eus-gaap--UseOfEstimates_zgKT2tT"/>
      <w:bookmarkEnd w:id="188"/>
      <w:bookmarkEnd w:id="189"/>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credit loss reserves for accounts receivable, assumptions used in valuing inventories at net realizable value, impairment testing of recorded long-term tangible and intangible assets, the realizability of deferred tax assets and the related valuation allowance, accruals for potential liabilities, assumptions made in valuing stock instruments issued for services, and assumptions used in the determination of the Company’s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0" w:name="xdx_867_zpIQHwnowkr8"/>
      <w:bookmarkStart w:id="191" w:name="xdx_843_eus-gaap--RevenueFromContractWit"/>
      <w:bookmarkEnd w:id="190"/>
      <w:bookmarkEnd w:id="191"/>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Revenue and costs of sales are recognized when control of the products transfers to the Company’s customer, which generally occurs upon shipment from the Company’s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fulfillment activity rather than a promised service to the customer. All of the Company’s products are offered for sale as finished goods only, and there are no performance obligations required post-shipment for customers to derive the expected value from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allow for returns, except for damaged products when the damage occurred pre-fulfillment. Damaged product returns have historically been insignificant. Because of this, the stand-alone nature of the Company’s products, and the Company’s assessment of performance obligations and transaction pricing for its sales contracts, the Company does not currently maintain a contract asset or liability balance for obligations. The Company assesses its contracts and the reasonableness of its conclusions on a quarterly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2" w:name="xdx_865_zSt2TJKf8YMd"/>
      <w:bookmarkStart w:id="193" w:name="xdx_840_eus-gaap--EarningsPerSharePolicy"/>
      <w:bookmarkEnd w:id="192"/>
      <w:bookmarkEnd w:id="193"/>
      <w:r>
        <w:rPr>
          <w:rFonts w:ascii="Times New Roman;Times;Serif" w:hAnsi="Times New Roman;Times;Serif"/>
          <w:b/>
          <w:i w:val="false"/>
          <w:caps w:val="false"/>
          <w:smallCaps w:val="false"/>
          <w:sz w:val="20"/>
        </w:rPr>
        <w:t>Loss per Common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is computed by dividing the net income (loss) applicable to common stockholders by the weighted average number of shares of common stock outstanding during the period. Diluted earnings (loss) per share is computed by dividing the net income (loss)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4" w:name="xdx_893_eus-gaap--ScheduleOfAntidilutive"/>
      <w:bookmarkEnd w:id="194"/>
      <w:r>
        <w:rPr>
          <w:rFonts w:ascii="Times New Roman;Times;Serif" w:hAnsi="Times New Roman;Times;Serif"/>
          <w:b w:val="false"/>
          <w:i w:val="false"/>
          <w:caps w:val="false"/>
          <w:smallCaps w:val="false"/>
          <w:sz w:val="20"/>
        </w:rPr>
        <w:t>For the three months ended March 31, 2026 and 2025, the calculations of basic and diluted loss per share are the same because potential dilutive securities would have had an antidilutive effect. The potentially dilutive securities consisted of the following:</w:t>
      </w:r>
    </w:p>
    <w:p>
      <w:pPr>
        <w:pStyle w:val="TextBody"/>
        <w:bidi w:val="0"/>
        <w:spacing w:before="0" w:after="0"/>
        <w:ind w:left="0" w:right="0" w:hanging="0"/>
        <w:jc w:val="both"/>
        <w:rPr>
          <w:caps w:val="false"/>
          <w:smallCaps w:val="false"/>
        </w:rPr>
      </w:pPr>
      <w:r>
        <w:rPr>
          <w:caps w:val="false"/>
          <w:smallCaps w:val="false"/>
        </w:rPr>
        <w:t> </w:t>
      </w:r>
      <w:bookmarkStart w:id="195" w:name="xdx_8B4_zoCMmn81Jmgb"/>
      <w:bookmarkEnd w:id="195"/>
      <w:r>
        <w:rPr>
          <w:rFonts w:ascii="Times New Roman;Times;Serif" w:hAnsi="Times New Roman;Times;Serif"/>
          <w:b w:val="false"/>
          <w:i w:val="false"/>
          <w:caps w:val="false"/>
          <w:smallCaps w:val="false"/>
          <w:sz w:val="20"/>
        </w:rPr>
        <w:t>Schedule of Potentially Dilutive Securities</w:t>
      </w:r>
    </w:p>
    <w:tbl>
      <w:tblPr>
        <w:tblW w:w="8683" w:type="dxa"/>
        <w:jc w:val="left"/>
        <w:tblInd w:w="0" w:type="dxa"/>
        <w:tblLayout w:type="fixed"/>
        <w:tblCellMar>
          <w:top w:w="0" w:type="dxa"/>
          <w:left w:w="0" w:type="dxa"/>
          <w:bottom w:w="0" w:type="dxa"/>
          <w:right w:w="0" w:type="dxa"/>
        </w:tblCellMar>
      </w:tblPr>
      <w:tblGrid>
        <w:gridCol w:w="6290"/>
        <w:gridCol w:w="60"/>
        <w:gridCol w:w="61"/>
        <w:gridCol w:w="1008"/>
        <w:gridCol w:w="60"/>
        <w:gridCol w:w="60"/>
        <w:gridCol w:w="74"/>
        <w:gridCol w:w="995"/>
        <w:gridCol w:w="75"/>
      </w:tblGrid>
      <w:tr>
        <w:trPr/>
        <w:tc>
          <w:tcPr>
            <w:tcW w:w="62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96" w:name="xdx_49E_20260101__20260331_zc4SVQCzOIQh"/>
            <w:bookmarkEnd w:id="196"/>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7" w:name="xdx_494_20250101__20250331_zXrypwOHo1h"/>
            <w:bookmarkEnd w:id="197"/>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2025</w:t>
            </w:r>
          </w:p>
        </w:tc>
        <w:tc>
          <w:tcPr>
            <w:tcW w:w="75" w:type="dxa"/>
            <w:tcBorders/>
            <w:vAlign w:val="center"/>
          </w:tcPr>
          <w:p>
            <w:pPr>
              <w:pStyle w:val="TableContents"/>
              <w:bidi w:val="0"/>
              <w:spacing w:before="0" w:after="283"/>
              <w:jc w:val="left"/>
              <w:rPr/>
            </w:pPr>
            <w:r>
              <w:rPr/>
              <w:t> </w:t>
            </w:r>
            <w:bookmarkStart w:id="198" w:name="xdx_402_eus-gaap--AntidilutiveSecurities"/>
            <w:bookmarkEnd w:id="198"/>
          </w:p>
        </w:tc>
      </w:tr>
      <w:tr>
        <w:trPr/>
        <w:tc>
          <w:tcPr>
            <w:tcW w:w="6290"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2,963,215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91,549</w:t>
            </w:r>
          </w:p>
        </w:tc>
        <w:tc>
          <w:tcPr>
            <w:tcW w:w="75" w:type="dxa"/>
            <w:tcBorders/>
            <w:shd w:fill="CCEEFF" w:val="clear"/>
            <w:vAlign w:val="center"/>
          </w:tcPr>
          <w:p>
            <w:pPr>
              <w:pStyle w:val="TableContents"/>
              <w:bidi w:val="0"/>
              <w:spacing w:before="0" w:after="283"/>
              <w:jc w:val="left"/>
              <w:rPr/>
            </w:pPr>
            <w:r>
              <w:rPr/>
              <w:t> </w:t>
            </w:r>
            <w:bookmarkStart w:id="199" w:name="xdx_40C_eus-gaap--AntidilutiveSecurities"/>
            <w:bookmarkEnd w:id="199"/>
          </w:p>
        </w:tc>
      </w:tr>
      <w:tr>
        <w:trPr/>
        <w:tc>
          <w:tcPr>
            <w:tcW w:w="6290" w:type="dxa"/>
            <w:tcBorders/>
            <w:shd w:fill="FFFFFF" w:val="clear"/>
            <w:vAlign w:val="center"/>
          </w:tcPr>
          <w:p>
            <w:pPr>
              <w:pStyle w:val="TableContents"/>
              <w:bidi w:val="0"/>
              <w:spacing w:before="0" w:after="283"/>
              <w:jc w:val="left"/>
              <w:rPr/>
            </w:pPr>
            <w:r>
              <w:rPr/>
              <w:t>Options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25,191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54,034</w:t>
            </w:r>
          </w:p>
        </w:tc>
        <w:tc>
          <w:tcPr>
            <w:tcW w:w="75" w:type="dxa"/>
            <w:tcBorders/>
            <w:shd w:fill="FFFFFF" w:val="clear"/>
            <w:vAlign w:val="center"/>
          </w:tcPr>
          <w:p>
            <w:pPr>
              <w:pStyle w:val="TableContents"/>
              <w:bidi w:val="0"/>
              <w:spacing w:before="0" w:after="283"/>
              <w:jc w:val="left"/>
              <w:rPr/>
            </w:pPr>
            <w:r>
              <w:rPr/>
              <w:t> </w:t>
            </w:r>
            <w:bookmarkStart w:id="200" w:name="xdx_40A_eus-gaap--AntidilutiveSecurities"/>
            <w:bookmarkEnd w:id="200"/>
          </w:p>
        </w:tc>
      </w:tr>
      <w:tr>
        <w:trPr/>
        <w:tc>
          <w:tcPr>
            <w:tcW w:w="6290" w:type="dxa"/>
            <w:tcBorders/>
            <w:shd w:fill="CCEEFF" w:val="clear"/>
            <w:vAlign w:val="center"/>
          </w:tcPr>
          <w:p>
            <w:pPr>
              <w:pStyle w:val="TableContents"/>
              <w:bidi w:val="0"/>
              <w:spacing w:before="0" w:after="283"/>
              <w:jc w:val="left"/>
              <w:rPr/>
            </w:pPr>
            <w:r>
              <w:rPr/>
              <w:t>Common stock equivalent of Series A Convertible Preferred stock</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pPr>
            <w:r>
              <w:rPr/>
              <w:t>125</w:t>
            </w:r>
          </w:p>
        </w:tc>
        <w:tc>
          <w:tcPr>
            <w:tcW w:w="75" w:type="dxa"/>
            <w:tcBorders/>
            <w:shd w:fill="CCEEFF" w:val="clear"/>
            <w:vAlign w:val="center"/>
          </w:tcPr>
          <w:p>
            <w:pPr>
              <w:pStyle w:val="TableContents"/>
              <w:bidi w:val="0"/>
              <w:spacing w:before="0" w:after="283"/>
              <w:jc w:val="left"/>
              <w:rPr/>
            </w:pPr>
            <w:r>
              <w:rPr/>
              <w:t> </w:t>
            </w:r>
            <w:bookmarkStart w:id="201" w:name="xdx_40C_eus-gaap--AntidilutiveSecurities"/>
            <w:bookmarkEnd w:id="201"/>
          </w:p>
        </w:tc>
      </w:tr>
      <w:tr>
        <w:trPr/>
        <w:tc>
          <w:tcPr>
            <w:tcW w:w="62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pPr>
            <w:r>
              <w:rPr/>
              <w:t>2,988,531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double" w:sz="6" w:space="0" w:color="000000"/>
            </w:tcBorders>
            <w:shd w:fill="FFFFFF" w:val="clear"/>
            <w:tcMar>
              <w:bottom w:w="28" w:type="dxa"/>
            </w:tcMar>
            <w:vAlign w:val="center"/>
          </w:tcPr>
          <w:p>
            <w:pPr>
              <w:pStyle w:val="TableContents"/>
              <w:bidi w:val="0"/>
              <w:spacing w:before="0" w:after="283"/>
              <w:jc w:val="right"/>
              <w:rPr/>
            </w:pPr>
            <w:r>
              <w:rPr/>
              <w:t>145,708</w:t>
            </w:r>
          </w:p>
        </w:tc>
        <w:tc>
          <w:tcPr>
            <w:tcW w:w="75" w:type="dxa"/>
            <w:tcBorders/>
            <w:shd w:fill="FFFFFF" w:val="clear"/>
            <w:vAlign w:val="center"/>
          </w:tcPr>
          <w:p>
            <w:pPr>
              <w:pStyle w:val="TableContents"/>
              <w:bidi w:val="0"/>
              <w:spacing w:before="0" w:after="283"/>
              <w:jc w:val="left"/>
              <w:rPr/>
            </w:pPr>
            <w:r>
              <w:rPr/>
              <w:t> </w:t>
            </w:r>
            <w:bookmarkStart w:id="202" w:name="xdx_400_eus-gaap--AntidilutiveSecurities"/>
            <w:bookmarkEnd w:id="202"/>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Anti-dilutive Securities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pPr>
            <w:r>
              <w:rPr/>
              <w:t>2,988,531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double" w:sz="6" w:space="0" w:color="000000"/>
            </w:tcBorders>
            <w:shd w:fill="FFFFFF" w:val="clear"/>
            <w:tcMar>
              <w:bottom w:w="28" w:type="dxa"/>
            </w:tcMar>
            <w:vAlign w:val="center"/>
          </w:tcPr>
          <w:p>
            <w:pPr>
              <w:pStyle w:val="TableContents"/>
              <w:bidi w:val="0"/>
              <w:spacing w:before="0" w:after="283"/>
              <w:jc w:val="right"/>
              <w:rPr/>
            </w:pPr>
            <w:r>
              <w:rPr/>
              <w:t>145,708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03" w:name="xdx_8A4_zwDqb6teeT68"/>
      <w:bookmarkEnd w:id="20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4" w:name="xdx_861_zXDUul2D30jk"/>
      <w:bookmarkStart w:id="205" w:name="xdx_845_eus-gaap--ShareBasedCompensation"/>
      <w:bookmarkEnd w:id="204"/>
      <w:bookmarkEnd w:id="205"/>
      <w:r>
        <w:rPr>
          <w:rFonts w:ascii="Times New Roman;Times;Serif" w:hAnsi="Times New Roman;Times;Serif"/>
          <w:b/>
          <w:i w:val="false"/>
          <w:caps w:val="false"/>
          <w:smallCaps w:val="false"/>
          <w:sz w:val="20"/>
        </w:rPr>
        <w:t>Stock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6" w:name="xdx_864_zfSpBlSuC2q3"/>
      <w:bookmarkStart w:id="207" w:name="xdx_849_eus-gaap--AdvertisingCostsPolicy"/>
      <w:bookmarkEnd w:id="206"/>
      <w:bookmarkEnd w:id="207"/>
      <w:r>
        <w:rPr>
          <w:rFonts w:ascii="Times New Roman;Times;Serif" w:hAnsi="Times New Roman;Times;Serif"/>
          <w:b/>
          <w:i w:val="false"/>
          <w:caps w:val="false"/>
          <w:smallCaps w:val="false"/>
          <w:sz w:val="20"/>
        </w:rPr>
        <w:t>Advertising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and are included in selling and marketing expense. Advertising costs aggregated $</w:t>
      </w:r>
      <w:bookmarkStart w:id="208" w:name="xdx_909_eus-gaap--AdvertisingExpense_pn3"/>
      <w:bookmarkEnd w:id="208"/>
      <w:r>
        <w:rPr>
          <w:rFonts w:ascii="Times New Roman;Times;Serif" w:hAnsi="Times New Roman;Times;Serif"/>
          <w:b w:val="false"/>
          <w:i w:val="false"/>
          <w:caps w:val="false"/>
          <w:smallCaps w:val="false"/>
          <w:sz w:val="20"/>
        </w:rPr>
        <w:t>311 and $</w:t>
      </w:r>
      <w:bookmarkStart w:id="209" w:name="xdx_909_eus-gaap--AdvertisingExpense_pn3"/>
      <w:bookmarkEnd w:id="209"/>
      <w:r>
        <w:rPr>
          <w:rFonts w:ascii="Times New Roman;Times;Serif" w:hAnsi="Times New Roman;Times;Serif"/>
          <w:b w:val="false"/>
          <w:i w:val="false"/>
          <w:caps w:val="false"/>
          <w:smallCaps w:val="false"/>
          <w:sz w:val="20"/>
        </w:rPr>
        <w:t>33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0" w:name="xdx_863_zqcojhDvHep9"/>
      <w:bookmarkStart w:id="211" w:name="xdx_845_eus-gaap--ConcentrationRiskCredi"/>
      <w:bookmarkEnd w:id="210"/>
      <w:bookmarkEnd w:id="211"/>
      <w:r>
        <w:rPr>
          <w:rFonts w:ascii="Times New Roman;Times;Serif" w:hAnsi="Times New Roman;Times;Serif"/>
          <w:b/>
          <w:i w:val="false"/>
          <w:caps w:val="false"/>
          <w:smallCaps w:val="false"/>
          <w:sz w:val="20"/>
        </w:rPr>
        <w:t>Concentrations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sales.</w:t>
      </w:r>
      <w:r>
        <w:rPr>
          <w:rFonts w:ascii="Times New Roman;Times;Serif" w:hAnsi="Times New Roman;Times;Serif"/>
          <w:b w:val="false"/>
          <w:i w:val="false"/>
          <w:caps w:val="false"/>
          <w:smallCaps w:val="false"/>
          <w:sz w:val="20"/>
        </w:rPr>
        <w:t xml:space="preserve"> During the three months ended March 31, 2026, the Company’s three largest customers accounted for </w:t>
      </w:r>
      <w:bookmarkStart w:id="212" w:name="xdx_90B_eus-gaap--ConcentrationRiskPerce"/>
      <w:bookmarkEnd w:id="212"/>
      <w:r>
        <w:rPr>
          <w:rFonts w:ascii="Times New Roman;Times;Serif" w:hAnsi="Times New Roman;Times;Serif"/>
          <w:b w:val="false"/>
          <w:i w:val="false"/>
          <w:caps w:val="false"/>
          <w:smallCaps w:val="false"/>
          <w:sz w:val="20"/>
        </w:rPr>
        <w:t xml:space="preserve">23%, </w:t>
      </w:r>
      <w:bookmarkStart w:id="213" w:name="xdx_90A_eus-gaap--ConcentrationRiskPerce"/>
      <w:bookmarkEnd w:id="213"/>
      <w:r>
        <w:rPr>
          <w:rFonts w:ascii="Times New Roman;Times;Serif" w:hAnsi="Times New Roman;Times;Serif"/>
          <w:b w:val="false"/>
          <w:i w:val="false"/>
          <w:caps w:val="false"/>
          <w:smallCaps w:val="false"/>
          <w:sz w:val="20"/>
        </w:rPr>
        <w:t xml:space="preserve">14%, and </w:t>
      </w:r>
      <w:bookmarkStart w:id="214" w:name="xdx_905_eus-gaap--ConcentrationRiskPerce"/>
      <w:bookmarkEnd w:id="214"/>
      <w:r>
        <w:rPr>
          <w:rFonts w:ascii="Times New Roman;Times;Serif" w:hAnsi="Times New Roman;Times;Serif"/>
          <w:b w:val="false"/>
          <w:i w:val="false"/>
          <w:caps w:val="false"/>
          <w:smallCaps w:val="false"/>
          <w:sz w:val="20"/>
        </w:rPr>
        <w:t xml:space="preserve">11% of net sales, respectively. During the three months ended March 31, 2025, the Company’s three largest customers accounted for </w:t>
      </w:r>
      <w:bookmarkStart w:id="215" w:name="xdx_900_eus-gaap--ConcentrationRiskPerce"/>
      <w:bookmarkEnd w:id="215"/>
      <w:r>
        <w:rPr>
          <w:rFonts w:ascii="Times New Roman;Times;Serif" w:hAnsi="Times New Roman;Times;Serif"/>
          <w:b w:val="false"/>
          <w:i w:val="false"/>
          <w:caps w:val="false"/>
          <w:smallCaps w:val="false"/>
          <w:sz w:val="20"/>
        </w:rPr>
        <w:t xml:space="preserve">21%, </w:t>
      </w:r>
      <w:bookmarkStart w:id="216" w:name="xdx_908_eus-gaap--ConcentrationRiskPerce"/>
      <w:bookmarkEnd w:id="216"/>
      <w:r>
        <w:rPr>
          <w:rFonts w:ascii="Times New Roman;Times;Serif" w:hAnsi="Times New Roman;Times;Serif"/>
          <w:b w:val="false"/>
          <w:i w:val="false"/>
          <w:caps w:val="false"/>
          <w:smallCaps w:val="false"/>
          <w:sz w:val="20"/>
        </w:rPr>
        <w:t xml:space="preserve">17%, and </w:t>
      </w:r>
      <w:bookmarkStart w:id="217" w:name="xdx_90B_eus-gaap--ConcentrationRiskPerce"/>
      <w:bookmarkEnd w:id="217"/>
      <w:r>
        <w:rPr>
          <w:rFonts w:ascii="Times New Roman;Times;Serif" w:hAnsi="Times New Roman;Times;Serif"/>
          <w:b w:val="false"/>
          <w:i w:val="false"/>
          <w:caps w:val="false"/>
          <w:smallCaps w:val="false"/>
          <w:sz w:val="20"/>
        </w:rPr>
        <w:t>17% of net sales, respectively. No other customers exceeded 10% of net sales in either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receivable.</w:t>
      </w:r>
      <w:r>
        <w:rPr>
          <w:rFonts w:ascii="Times New Roman;Times;Serif" w:hAnsi="Times New Roman;Times;Serif"/>
          <w:b w:val="false"/>
          <w:i w:val="false"/>
          <w:caps w:val="false"/>
          <w:smallCaps w:val="false"/>
          <w:sz w:val="20"/>
        </w:rPr>
        <w:t xml:space="preserve"> As of March 31, 2026, the Company had accounts receivable from four customers which comprised </w:t>
      </w:r>
      <w:bookmarkStart w:id="218" w:name="xdx_909_eus-gaap--ConcentrationRiskPerce"/>
      <w:bookmarkEnd w:id="218"/>
      <w:r>
        <w:rPr>
          <w:rFonts w:ascii="Times New Roman;Times;Serif" w:hAnsi="Times New Roman;Times;Serif"/>
          <w:b w:val="false"/>
          <w:i w:val="false"/>
          <w:caps w:val="false"/>
          <w:smallCaps w:val="false"/>
          <w:sz w:val="20"/>
        </w:rPr>
        <w:t xml:space="preserve">23%, </w:t>
      </w:r>
      <w:bookmarkStart w:id="219" w:name="xdx_903_eus-gaap--ConcentrationRiskPerce"/>
      <w:bookmarkEnd w:id="219"/>
      <w:r>
        <w:rPr>
          <w:rFonts w:ascii="Times New Roman;Times;Serif" w:hAnsi="Times New Roman;Times;Serif"/>
          <w:b w:val="false"/>
          <w:i w:val="false"/>
          <w:caps w:val="false"/>
          <w:smallCaps w:val="false"/>
          <w:sz w:val="20"/>
        </w:rPr>
        <w:t xml:space="preserve">15%, </w:t>
      </w:r>
      <w:bookmarkStart w:id="220" w:name="xdx_903_eus-gaap--ConcentrationRiskPerce"/>
      <w:bookmarkEnd w:id="220"/>
      <w:r>
        <w:rPr>
          <w:rFonts w:ascii="Times New Roman;Times;Serif" w:hAnsi="Times New Roman;Times;Serif"/>
          <w:b w:val="false"/>
          <w:i w:val="false"/>
          <w:caps w:val="false"/>
          <w:smallCaps w:val="false"/>
          <w:sz w:val="20"/>
        </w:rPr>
        <w:t xml:space="preserve">14%, and </w:t>
      </w:r>
      <w:bookmarkStart w:id="221" w:name="xdx_900_eus-gaap--ConcentrationRiskPerce"/>
      <w:bookmarkEnd w:id="221"/>
      <w:r>
        <w:rPr>
          <w:rFonts w:ascii="Times New Roman;Times;Serif" w:hAnsi="Times New Roman;Times;Serif"/>
          <w:b w:val="false"/>
          <w:i w:val="false"/>
          <w:caps w:val="false"/>
          <w:smallCaps w:val="false"/>
          <w:sz w:val="20"/>
        </w:rPr>
        <w:t xml:space="preserve">12% of its net accounts receivable, respectively. As of December 31, 2025, the Company had accounts receivable from three customers which comprised </w:t>
      </w:r>
      <w:bookmarkStart w:id="222" w:name="xdx_900_eus-gaap--ConcentrationRiskPerce"/>
      <w:bookmarkEnd w:id="222"/>
      <w:r>
        <w:rPr>
          <w:rFonts w:ascii="Times New Roman;Times;Serif" w:hAnsi="Times New Roman;Times;Serif"/>
          <w:b w:val="false"/>
          <w:i w:val="false"/>
          <w:caps w:val="false"/>
          <w:smallCaps w:val="false"/>
          <w:sz w:val="20"/>
        </w:rPr>
        <w:t xml:space="preserve">35%, </w:t>
      </w:r>
      <w:bookmarkStart w:id="223" w:name="xdx_906_eus-gaap--ConcentrationRiskPerce"/>
      <w:bookmarkEnd w:id="223"/>
      <w:r>
        <w:rPr>
          <w:rFonts w:ascii="Times New Roman;Times;Serif" w:hAnsi="Times New Roman;Times;Serif"/>
          <w:b w:val="false"/>
          <w:i w:val="false"/>
          <w:caps w:val="false"/>
          <w:smallCaps w:val="false"/>
          <w:sz w:val="20"/>
        </w:rPr>
        <w:t xml:space="preserve">24% and </w:t>
      </w:r>
      <w:bookmarkStart w:id="224" w:name="xdx_906_eus-gaap--ConcentrationRiskPerce"/>
      <w:bookmarkEnd w:id="224"/>
      <w:r>
        <w:rPr>
          <w:rFonts w:ascii="Times New Roman;Times;Serif" w:hAnsi="Times New Roman;Times;Serif"/>
          <w:b w:val="false"/>
          <w:i w:val="false"/>
          <w:caps w:val="false"/>
          <w:smallCaps w:val="false"/>
          <w:sz w:val="20"/>
        </w:rPr>
        <w:t>11% of its net accounts receivable, respectively. No other customers exceeded 10% of gross accounts receivable in either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Company utilizes co-packers to produce 100% of its products.</w:t>
      </w:r>
      <w:r>
        <w:rPr>
          <w:rFonts w:ascii="Times New Roman;Times;Serif" w:hAnsi="Times New Roman;Times;Serif"/>
          <w:b w:val="false"/>
          <w:i w:val="false"/>
          <w:caps w:val="false"/>
          <w:smallCaps w:val="false"/>
          <w:sz w:val="20"/>
        </w:rPr>
        <w:t xml:space="preserve"> During the three months ended March 31, 2026 and the year ended December 31, 2025, the Company utilized seven separate co-packers for most of its production and bottling of beverage products in the United States. The Company has established relationships with these co-packers, including a former related party (see Note 10). Although there are other co-packers available to the Company, a change in co-packers may cause a delay in the production process, which could adversely affect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Purchases from vendors.</w:t>
      </w:r>
      <w:r>
        <w:rPr>
          <w:rFonts w:ascii="Times New Roman;Times;Serif" w:hAnsi="Times New Roman;Times;Serif"/>
          <w:b w:val="false"/>
          <w:i w:val="false"/>
          <w:caps w:val="false"/>
          <w:smallCaps w:val="false"/>
          <w:sz w:val="20"/>
        </w:rPr>
        <w:t xml:space="preserve"> During the three months ended March 31, 2026, the Company’s two largest vendors accounted for approximately </w:t>
      </w:r>
      <w:bookmarkStart w:id="225" w:name="xdx_905_eus-gaap--ConcentrationRiskPerce"/>
      <w:bookmarkEnd w:id="225"/>
      <w:r>
        <w:rPr>
          <w:rFonts w:ascii="Times New Roman;Times;Serif" w:hAnsi="Times New Roman;Times;Serif"/>
          <w:b w:val="false"/>
          <w:i w:val="false"/>
          <w:caps w:val="false"/>
          <w:smallCaps w:val="false"/>
          <w:sz w:val="20"/>
        </w:rPr>
        <w:t xml:space="preserve">11% and </w:t>
      </w:r>
      <w:bookmarkStart w:id="226" w:name="xdx_90C_eus-gaap--ConcentrationRiskPerce"/>
      <w:bookmarkEnd w:id="226"/>
      <w:r>
        <w:rPr>
          <w:rFonts w:ascii="Times New Roman;Times;Serif" w:hAnsi="Times New Roman;Times;Serif"/>
          <w:b w:val="false"/>
          <w:i w:val="false"/>
          <w:caps w:val="false"/>
          <w:smallCaps w:val="false"/>
          <w:sz w:val="20"/>
        </w:rPr>
        <w:t xml:space="preserve">10% of all purchases. During the three months ended March 31, 2025, the Company’s largest vendor accounted for approximately </w:t>
      </w:r>
      <w:bookmarkStart w:id="227" w:name="xdx_905_eus-gaap--ConcentrationRiskPerce"/>
      <w:bookmarkEnd w:id="227"/>
      <w:r>
        <w:rPr>
          <w:rFonts w:ascii="Times New Roman;Times;Serif" w:hAnsi="Times New Roman;Times;Serif"/>
          <w:b w:val="false"/>
          <w:i w:val="false"/>
          <w:caps w:val="false"/>
          <w:smallCaps w:val="false"/>
          <w:sz w:val="20"/>
        </w:rPr>
        <w:t>13% of all purchases. No other vendors exceeded 10% of all purchases in either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payable.</w:t>
      </w:r>
      <w:r>
        <w:rPr>
          <w:rFonts w:ascii="Times New Roman;Times;Serif" w:hAnsi="Times New Roman;Times;Serif"/>
          <w:b w:val="false"/>
          <w:i w:val="false"/>
          <w:caps w:val="false"/>
          <w:smallCaps w:val="false"/>
          <w:sz w:val="20"/>
        </w:rPr>
        <w:t xml:space="preserve"> As of March 31, 2026, two vendors accounted for </w:t>
      </w:r>
      <w:bookmarkStart w:id="228" w:name="xdx_90F_eus-gaap--ConcentrationRiskPerce"/>
      <w:bookmarkEnd w:id="228"/>
      <w:r>
        <w:rPr>
          <w:rFonts w:ascii="Times New Roman;Times;Serif" w:hAnsi="Times New Roman;Times;Serif"/>
          <w:b w:val="false"/>
          <w:i w:val="false"/>
          <w:caps w:val="false"/>
          <w:smallCaps w:val="false"/>
          <w:sz w:val="20"/>
        </w:rPr>
        <w:t xml:space="preserve">11% and </w:t>
      </w:r>
      <w:bookmarkStart w:id="229" w:name="xdx_90F_eus-gaap--ConcentrationRiskPerce"/>
      <w:bookmarkEnd w:id="229"/>
      <w:r>
        <w:rPr>
          <w:rFonts w:ascii="Times New Roman;Times;Serif" w:hAnsi="Times New Roman;Times;Serif"/>
          <w:b w:val="false"/>
          <w:i w:val="false"/>
          <w:caps w:val="false"/>
          <w:smallCaps w:val="false"/>
          <w:sz w:val="20"/>
        </w:rPr>
        <w:t xml:space="preserve">10% of total accounts payable. As of December 31, 2025, no vendor accounted for more than </w:t>
      </w:r>
      <w:bookmarkStart w:id="230" w:name="xdx_901_eus-gaap--ConcentrationRiskPerce"/>
      <w:bookmarkEnd w:id="230"/>
      <w:r>
        <w:rPr>
          <w:rFonts w:ascii="Times New Roman;Times;Serif" w:hAnsi="Times New Roman;Times;Serif"/>
          <w:b w:val="false"/>
          <w:i w:val="false"/>
          <w:caps w:val="false"/>
          <w:smallCaps w:val="false"/>
          <w:sz w:val="20"/>
        </w:rPr>
        <w:t xml:space="preserve">10% of total accounts payable. No other vendors exceeded </w:t>
      </w:r>
      <w:bookmarkStart w:id="231" w:name="xdx_90D_eus-gaap--ConcentrationRiskPerce"/>
      <w:bookmarkEnd w:id="231"/>
      <w:r>
        <w:rPr>
          <w:rFonts w:ascii="Times New Roman;Times;Serif" w:hAnsi="Times New Roman;Times;Serif"/>
          <w:b w:val="false"/>
          <w:i w:val="false"/>
          <w:caps w:val="false"/>
          <w:smallCaps w:val="false"/>
          <w:sz w:val="20"/>
        </w:rPr>
        <w:t>10% of accounts payable in either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2" w:name="xdx_86C_z54L9Zu70atf"/>
      <w:bookmarkStart w:id="233" w:name="xdx_843_eus-gaap--FairValueOfFinancialIn"/>
      <w:bookmarkEnd w:id="232"/>
      <w:bookmarkEnd w:id="233"/>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Accounting Standards Codification Section 820 defines the following levels of subjectivity associated with the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or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2—Inputs, other than the quoted prices in active markets, that are observable either directly or indirectly.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3—Unobservable inputs in which there is little or no market data for the asset or liability which requires the Company to develop its own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 carrying amounts of certain financial instruments, including cash and cash equivalents, accounts receivable, short-term bank loans, accounts payable, notes payable and other payables, approximate their fair values because of the short-term nature of such instruments. The carrying values of capital lease obligations and long-term financing obligations approximate their fair values because interest rates on these obligations are based on prevailing market interest rates.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4" w:name="xdx_868_zQdb1dYSLan3"/>
      <w:bookmarkStart w:id="235" w:name="xdx_846_eus-gaap--ForeignCurrencyTransac"/>
      <w:bookmarkEnd w:id="234"/>
      <w:bookmarkEnd w:id="235"/>
      <w:r>
        <w:rPr>
          <w:rFonts w:ascii="Times New Roman;Times;Serif" w:hAnsi="Times New Roman;Times;Serif"/>
          <w:b/>
          <w:i w:val="false"/>
          <w:caps w:val="false"/>
          <w:smallCaps w:val="false"/>
          <w:sz w:val="20"/>
        </w:rPr>
        <w:t>Foreign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36" w:name="xdx_90C_eus-gaap--DescriptionOfDifferenc"/>
      <w:bookmarkStart w:id="237" w:name="xdx_90A_eus-gaap--DescriptionOfDifferenc"/>
      <w:bookmarkEnd w:id="236"/>
      <w:bookmarkEnd w:id="237"/>
      <w:r>
        <w:rPr>
          <w:rFonts w:ascii="Times New Roman;Times;Serif" w:hAnsi="Times New Roman;Times;Serif"/>
          <w:b w:val="false"/>
          <w:i w:val="false"/>
          <w:caps w:val="false"/>
          <w:smallCaps w:val="false"/>
          <w:sz w:val="20"/>
        </w:rPr>
        <w:t>Cash denominated in Japanese Yen (JPY) with an aggregate US Dollar equivalent of $394 and $131 at March 31, 2026 and December 31, 2025, respectively, was held by the Company in accounts at a financial institution in Japan. The Company used the exchange rate in the following table to translate amounts denominated in non-USD currencies as of the periods noted:</w:t>
      </w:r>
    </w:p>
    <w:p>
      <w:pPr>
        <w:pStyle w:val="TextBody"/>
        <w:bidi w:val="0"/>
        <w:spacing w:before="0" w:after="0"/>
        <w:ind w:left="0" w:right="0" w:hanging="0"/>
        <w:jc w:val="both"/>
        <w:rPr>
          <w:caps w:val="false"/>
          <w:smallCaps w:val="false"/>
        </w:rPr>
      </w:pPr>
      <w:bookmarkStart w:id="238" w:name="xdx_89C_eus-gaap--ScheduleOfForeignExcha"/>
      <w:bookmarkEnd w:id="238"/>
      <w:r>
        <w:rPr>
          <w:caps w:val="false"/>
          <w:smallCaps w:val="false"/>
        </w:rPr>
        <w:t> </w:t>
      </w:r>
      <w:bookmarkStart w:id="239" w:name="xdx_8BB_zNzvpssFJVc4"/>
      <w:bookmarkEnd w:id="239"/>
      <w:r>
        <w:rPr>
          <w:rFonts w:ascii="Times New Roman;Times;Serif" w:hAnsi="Times New Roman;Times;Serif"/>
          <w:b w:val="false"/>
          <w:i w:val="false"/>
          <w:caps w:val="false"/>
          <w:smallCaps w:val="false"/>
          <w:sz w:val="20"/>
        </w:rPr>
        <w:t>Schedule of Foreign Currency Exchange Rate</w:t>
      </w:r>
    </w:p>
    <w:tbl>
      <w:tblPr>
        <w:tblW w:w="3388" w:type="dxa"/>
        <w:jc w:val="left"/>
        <w:tblInd w:w="0" w:type="dxa"/>
        <w:tblLayout w:type="fixed"/>
        <w:tblCellMar>
          <w:top w:w="0" w:type="dxa"/>
          <w:left w:w="0" w:type="dxa"/>
          <w:bottom w:w="0" w:type="dxa"/>
          <w:right w:w="0" w:type="dxa"/>
        </w:tblCellMar>
      </w:tblPr>
      <w:tblGrid>
        <w:gridCol w:w="785"/>
        <w:gridCol w:w="60"/>
        <w:gridCol w:w="75"/>
        <w:gridCol w:w="859"/>
        <w:gridCol w:w="60"/>
        <w:gridCol w:w="60"/>
        <w:gridCol w:w="114"/>
        <w:gridCol w:w="1300"/>
        <w:gridCol w:w="75"/>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JPY:USD</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240" w:name="xdx_988_eus-gaap--ForeignCurrencyExchang"/>
            <w:bookmarkEnd w:id="240"/>
          </w:p>
        </w:tc>
        <w:tc>
          <w:tcPr>
            <w:tcW w:w="859" w:type="dxa"/>
            <w:tcBorders/>
            <w:shd w:fill="CCEEFF" w:val="clear"/>
            <w:vAlign w:val="center"/>
          </w:tcPr>
          <w:p>
            <w:pPr>
              <w:pStyle w:val="TableContents"/>
              <w:bidi w:val="0"/>
              <w:spacing w:before="0" w:after="283"/>
              <w:jc w:val="right"/>
              <w:rPr/>
            </w:pPr>
            <w:r>
              <w:rPr/>
              <w:t>159.12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bookmarkStart w:id="241" w:name="xdx_980_eus-gaap--ForeignCurrencyExchang"/>
            <w:bookmarkEnd w:id="241"/>
          </w:p>
        </w:tc>
        <w:tc>
          <w:tcPr>
            <w:tcW w:w="1300" w:type="dxa"/>
            <w:tcBorders/>
            <w:shd w:fill="CCEEFF" w:val="clear"/>
            <w:vAlign w:val="center"/>
          </w:tcPr>
          <w:p>
            <w:pPr>
              <w:pStyle w:val="TableContents"/>
              <w:bidi w:val="0"/>
              <w:spacing w:before="0" w:after="283"/>
              <w:jc w:val="right"/>
              <w:rPr/>
            </w:pPr>
            <w:r>
              <w:rPr/>
              <w:t>156.81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42" w:name="xdx_8A5_za7dmA4zPx79"/>
      <w:bookmarkEnd w:id="24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3" w:name="xdx_868_zh8MxKQgTvlb"/>
      <w:bookmarkStart w:id="244" w:name="xdx_845_eus-gaap--NewAccountingPronounce"/>
      <w:bookmarkEnd w:id="243"/>
      <w:bookmarkEnd w:id="244"/>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FASB issued ASU 2024-03 Income Statement—Reporting Comprehensive Income—Expense Disaggregation Disclosures (Subtopic 220-40) Disaggregation of Income Statement Expenses. The guidance in ASU 2024-03 requires public business entities to disclose in the notes to the financial statements, among other things, specific information 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currently evaluating the provisions of this guidance and assessing the potential impact on its financial statement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pStyle w:val="TextBody"/>
        <w:bidi w:val="0"/>
        <w:spacing w:before="0" w:after="0"/>
        <w:ind w:left="0" w:right="0" w:hanging="0"/>
        <w:jc w:val="both"/>
        <w:rPr>
          <w:caps w:val="false"/>
          <w:smallCaps w:val="false"/>
        </w:rPr>
      </w:pPr>
      <w:bookmarkStart w:id="245" w:name="xdx_85C_zzlaT2QV8wgl"/>
      <w:bookmarkEnd w:id="24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6" w:name="xdx_80F_eus-gaap--InventoryDisclosureTex"/>
      <w:bookmarkEnd w:id="246"/>
      <w:r>
        <w:rPr>
          <w:rFonts w:ascii="Times New Roman;Times;Serif" w:hAnsi="Times New Roman;Times;Serif"/>
          <w:b/>
          <w:i w:val="false"/>
          <w:caps w:val="false"/>
          <w:smallCaps w:val="false"/>
          <w:sz w:val="20"/>
        </w:rPr>
        <w:t xml:space="preserve">3. </w:t>
      </w:r>
      <w:bookmarkStart w:id="247" w:name="xdx_829_zfR0M7d2Mzw"/>
      <w:bookmarkEnd w:id="247"/>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8" w:name="xdx_892_eus-gaap--ScheduleOfInventoryCur"/>
      <w:bookmarkEnd w:id="248"/>
      <w:r>
        <w:rPr>
          <w:rFonts w:ascii="Times New Roman;Times;Serif" w:hAnsi="Times New Roman;Times;Serif"/>
          <w:b w:val="false"/>
          <w:i w:val="false"/>
          <w:caps w:val="false"/>
          <w:smallCaps w:val="false"/>
          <w:sz w:val="20"/>
        </w:rPr>
        <w:t>Inventory consisted of the following (in thousands):</w:t>
      </w:r>
    </w:p>
    <w:p>
      <w:pPr>
        <w:pStyle w:val="TextBody"/>
        <w:bidi w:val="0"/>
        <w:spacing w:before="0" w:after="0"/>
        <w:ind w:left="0" w:right="0" w:hanging="0"/>
        <w:jc w:val="both"/>
        <w:rPr>
          <w:caps w:val="false"/>
          <w:smallCaps w:val="false"/>
        </w:rPr>
      </w:pPr>
      <w:r>
        <w:rPr>
          <w:caps w:val="false"/>
          <w:smallCaps w:val="false"/>
        </w:rPr>
        <w:t> </w:t>
      </w:r>
      <w:bookmarkStart w:id="249" w:name="xdx_8B2_zNvs04Wk5Jwj"/>
      <w:bookmarkEnd w:id="249"/>
      <w:r>
        <w:rPr>
          <w:rFonts w:ascii="Times New Roman;Times;Serif" w:hAnsi="Times New Roman;Times;Serif"/>
          <w:b w:val="false"/>
          <w:i w:val="false"/>
          <w:caps w:val="false"/>
          <w:smallCaps w:val="false"/>
          <w:sz w:val="20"/>
        </w:rPr>
        <w:t>Schedule of Inventory</w:t>
      </w:r>
    </w:p>
    <w:tbl>
      <w:tblPr>
        <w:tblW w:w="4320" w:type="dxa"/>
        <w:jc w:val="left"/>
        <w:tblInd w:w="0" w:type="dxa"/>
        <w:tblLayout w:type="fixed"/>
        <w:tblCellMar>
          <w:top w:w="0" w:type="dxa"/>
          <w:left w:w="0" w:type="dxa"/>
          <w:bottom w:w="0" w:type="dxa"/>
          <w:right w:w="0" w:type="dxa"/>
        </w:tblCellMar>
      </w:tblPr>
      <w:tblGrid>
        <w:gridCol w:w="1715"/>
        <w:gridCol w:w="60"/>
        <w:gridCol w:w="187"/>
        <w:gridCol w:w="748"/>
        <w:gridCol w:w="60"/>
        <w:gridCol w:w="60"/>
        <w:gridCol w:w="283"/>
        <w:gridCol w:w="1132"/>
        <w:gridCol w:w="75"/>
      </w:tblGrid>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0" w:name="xdx_49E_20260331_zCrZrmIaAMr5"/>
            <w:bookmarkEnd w:id="250"/>
          </w:p>
        </w:tc>
        <w:tc>
          <w:tcPr>
            <w:tcW w:w="93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1" w:name="xdx_499_20251231_zGaju0EE00Ak"/>
            <w:bookmarkEnd w:id="251"/>
          </w:p>
        </w:tc>
        <w:tc>
          <w:tcPr>
            <w:tcW w:w="1415"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252" w:name="xdx_405_eus-gaap--InventoryRawMaterials_"/>
            <w:bookmarkEnd w:id="252"/>
          </w:p>
        </w:tc>
      </w:tr>
      <w:tr>
        <w:trPr/>
        <w:tc>
          <w:tcPr>
            <w:tcW w:w="1715" w:type="dxa"/>
            <w:tcBorders/>
            <w:shd w:fill="CCEEFF" w:val="clear"/>
            <w:vAlign w:val="center"/>
          </w:tcPr>
          <w:p>
            <w:pPr>
              <w:pStyle w:val="TableContents"/>
              <w:bidi w:val="0"/>
              <w:spacing w:before="0" w:after="283"/>
              <w:jc w:val="left"/>
              <w:rPr/>
            </w:pPr>
            <w:r>
              <w:rPr/>
              <w:t xml:space="preserve">Raw materials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3,314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3,951</w:t>
            </w:r>
          </w:p>
        </w:tc>
        <w:tc>
          <w:tcPr>
            <w:tcW w:w="75" w:type="dxa"/>
            <w:tcBorders/>
            <w:shd w:fill="CCEEFF" w:val="clear"/>
            <w:vAlign w:val="center"/>
          </w:tcPr>
          <w:p>
            <w:pPr>
              <w:pStyle w:val="TableContents"/>
              <w:bidi w:val="0"/>
              <w:spacing w:before="0" w:after="283"/>
              <w:jc w:val="left"/>
              <w:rPr/>
            </w:pPr>
            <w:r>
              <w:rPr/>
              <w:t> </w:t>
            </w:r>
            <w:bookmarkStart w:id="253" w:name="xdx_401_eus-gaap--InventoryFinishedGoods"/>
            <w:bookmarkEnd w:id="253"/>
          </w:p>
        </w:tc>
      </w:tr>
      <w:tr>
        <w:trPr/>
        <w:tc>
          <w:tcPr>
            <w:tcW w:w="1715" w:type="dxa"/>
            <w:tcBorders/>
            <w:shd w:fill="FFFFFF" w:val="clear"/>
            <w:vAlign w:val="center"/>
          </w:tcPr>
          <w:p>
            <w:pPr>
              <w:pStyle w:val="TableContents"/>
              <w:bidi w:val="0"/>
              <w:spacing w:before="0" w:after="283"/>
              <w:jc w:val="left"/>
              <w:rPr/>
            </w:pPr>
            <w:r>
              <w:rPr/>
              <w:t>Finished products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right"/>
              <w:rPr/>
            </w:pPr>
            <w:r>
              <w:rPr/>
              <w:t>4,734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4,095</w:t>
            </w:r>
          </w:p>
        </w:tc>
        <w:tc>
          <w:tcPr>
            <w:tcW w:w="75" w:type="dxa"/>
            <w:tcBorders/>
            <w:shd w:fill="FFFFFF" w:val="clear"/>
            <w:vAlign w:val="center"/>
          </w:tcPr>
          <w:p>
            <w:pPr>
              <w:pStyle w:val="TableContents"/>
              <w:bidi w:val="0"/>
              <w:spacing w:before="0" w:after="283"/>
              <w:jc w:val="left"/>
              <w:rPr/>
            </w:pPr>
            <w:r>
              <w:rPr/>
              <w:t> </w:t>
            </w:r>
            <w:bookmarkStart w:id="254" w:name="xdx_403_eus-gaap--InventoryNet_iTI_pn3n3"/>
            <w:bookmarkEnd w:id="254"/>
          </w:p>
        </w:tc>
      </w:tr>
      <w:tr>
        <w:trPr/>
        <w:tc>
          <w:tcPr>
            <w:tcW w:w="171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48" w:type="dxa"/>
            <w:tcBorders>
              <w:bottom w:val="double" w:sz="6" w:space="0" w:color="000000"/>
            </w:tcBorders>
            <w:shd w:fill="CCEEFF" w:val="clear"/>
            <w:tcMar>
              <w:bottom w:w="28" w:type="dxa"/>
            </w:tcMar>
            <w:vAlign w:val="center"/>
          </w:tcPr>
          <w:p>
            <w:pPr>
              <w:pStyle w:val="TableContents"/>
              <w:bidi w:val="0"/>
              <w:spacing w:before="0" w:after="283"/>
              <w:jc w:val="right"/>
              <w:rPr/>
            </w:pPr>
            <w:r>
              <w:rPr/>
              <w:t>8,048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8,046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55" w:name="xdx_8A7_z343mInlzJ9g"/>
      <w:bookmarkEnd w:id="25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inventory was net of a reserve of $</w:t>
      </w:r>
      <w:bookmarkStart w:id="256" w:name="xdx_90E_eus-gaap--InventoryFinishedGoods"/>
      <w:bookmarkEnd w:id="256"/>
      <w:r>
        <w:rPr>
          <w:rFonts w:ascii="Times New Roman;Times;Serif" w:hAnsi="Times New Roman;Times;Serif"/>
          <w:b w:val="false"/>
          <w:i w:val="false"/>
          <w:caps w:val="false"/>
          <w:smallCaps w:val="false"/>
          <w:sz w:val="20"/>
        </w:rPr>
        <w:t>1,390 and $</w:t>
      </w:r>
      <w:bookmarkStart w:id="257" w:name="xdx_909_eus-gaap--InventoryFinishedGoods"/>
      <w:bookmarkEnd w:id="257"/>
      <w:r>
        <w:rPr>
          <w:rFonts w:ascii="Times New Roman;Times;Serif" w:hAnsi="Times New Roman;Times;Serif"/>
          <w:b w:val="false"/>
          <w:i w:val="false"/>
          <w:caps w:val="false"/>
          <w:smallCaps w:val="false"/>
          <w:sz w:val="20"/>
        </w:rPr>
        <w:t>835, respectively. During the three months ended March 31, 2026, the Company incurred $</w:t>
      </w:r>
      <w:bookmarkStart w:id="258" w:name="xdx_90F_eus-gaap--OtherCostOfOperatingRe"/>
      <w:bookmarkEnd w:id="258"/>
      <w:r>
        <w:rPr>
          <w:rFonts w:ascii="Times New Roman;Times;Serif" w:hAnsi="Times New Roman;Times;Serif"/>
          <w:b w:val="false"/>
          <w:i w:val="false"/>
          <w:caps w:val="false"/>
          <w:smallCaps w:val="false"/>
          <w:sz w:val="20"/>
        </w:rPr>
        <w:t>738 of inventory charges related to changes in product portfolio optimization made by new management. The $</w:t>
      </w:r>
      <w:bookmarkStart w:id="259" w:name="xdx_902_eus-gaap--OtherCostOfOperatingRe"/>
      <w:bookmarkEnd w:id="259"/>
      <w:r>
        <w:rPr>
          <w:rFonts w:ascii="Times New Roman;Times;Serif" w:hAnsi="Times New Roman;Times;Serif"/>
          <w:b w:val="false"/>
          <w:i w:val="false"/>
          <w:caps w:val="false"/>
          <w:smallCaps w:val="false"/>
          <w:sz w:val="20"/>
        </w:rPr>
        <w:t>738 of inventory charges consisted of $</w:t>
      </w:r>
      <w:bookmarkStart w:id="260" w:name="xdx_90C_eus-gaap--InventoryRawMaterialsN"/>
      <w:bookmarkEnd w:id="260"/>
      <w:r>
        <w:rPr>
          <w:rFonts w:ascii="Times New Roman;Times;Serif" w:hAnsi="Times New Roman;Times;Serif"/>
          <w:b w:val="false"/>
          <w:i w:val="false"/>
          <w:caps w:val="false"/>
          <w:smallCaps w:val="false"/>
          <w:sz w:val="20"/>
        </w:rPr>
        <w:t>717 related to raw materials and $</w:t>
      </w:r>
      <w:bookmarkStart w:id="261" w:name="xdx_90E_eus-gaap--InventoryFinishedGoods"/>
      <w:bookmarkEnd w:id="261"/>
      <w:r>
        <w:rPr>
          <w:rFonts w:ascii="Times New Roman;Times;Serif" w:hAnsi="Times New Roman;Times;Serif"/>
          <w:b w:val="false"/>
          <w:i w:val="false"/>
          <w:caps w:val="false"/>
          <w:smallCaps w:val="false"/>
          <w:sz w:val="20"/>
        </w:rPr>
        <w:t>21 related to finished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2" w:name="xdx_809_eus-gaap--PropertyPlantAndEquipm"/>
      <w:bookmarkEnd w:id="262"/>
      <w:r>
        <w:rPr>
          <w:rFonts w:ascii="Times New Roman;Times;Serif" w:hAnsi="Times New Roman;Times;Serif"/>
          <w:b/>
          <w:i w:val="false"/>
          <w:caps w:val="false"/>
          <w:smallCaps w:val="false"/>
          <w:sz w:val="20"/>
        </w:rPr>
        <w:t xml:space="preserve">4. </w:t>
      </w:r>
      <w:bookmarkStart w:id="263" w:name="xdx_821_ziv83G8QOyN6"/>
      <w:bookmarkEnd w:id="263"/>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4" w:name="xdx_89D_eus-gaap--PropertyPlantAndEquipm"/>
      <w:bookmarkEnd w:id="264"/>
      <w:r>
        <w:rPr>
          <w:rFonts w:ascii="Times New Roman;Times;Serif" w:hAnsi="Times New Roman;Times;Serif"/>
          <w:b w:val="false"/>
          <w:i w:val="false"/>
          <w:caps w:val="false"/>
          <w:smallCaps w:val="false"/>
          <w:sz w:val="20"/>
        </w:rPr>
        <w:t>Property and equipment comprise the following (in thousands):</w:t>
      </w:r>
    </w:p>
    <w:p>
      <w:pPr>
        <w:pStyle w:val="TextBody"/>
        <w:bidi w:val="0"/>
        <w:spacing w:before="0" w:after="0"/>
        <w:ind w:left="0" w:right="0" w:hanging="0"/>
        <w:jc w:val="both"/>
        <w:rPr>
          <w:caps w:val="false"/>
          <w:smallCaps w:val="false"/>
        </w:rPr>
      </w:pPr>
      <w:r>
        <w:rPr>
          <w:caps w:val="false"/>
          <w:smallCaps w:val="false"/>
        </w:rPr>
        <w:t> </w:t>
      </w:r>
      <w:bookmarkStart w:id="265" w:name="xdx_8BC_zRL0OzTiP4rj"/>
      <w:bookmarkEnd w:id="265"/>
      <w:r>
        <w:rPr>
          <w:rFonts w:ascii="Times New Roman;Times;Serif" w:hAnsi="Times New Roman;Times;Serif"/>
          <w:b w:val="false"/>
          <w:i w:val="false"/>
          <w:caps w:val="false"/>
          <w:smallCaps w:val="false"/>
          <w:sz w:val="20"/>
        </w:rPr>
        <w:t>Schedule of Property and Equipment</w:t>
      </w:r>
    </w:p>
    <w:tbl>
      <w:tblPr>
        <w:tblW w:w="6820" w:type="dxa"/>
        <w:jc w:val="left"/>
        <w:tblInd w:w="0" w:type="dxa"/>
        <w:tblLayout w:type="fixed"/>
        <w:tblCellMar>
          <w:top w:w="0" w:type="dxa"/>
          <w:left w:w="0" w:type="dxa"/>
          <w:bottom w:w="0" w:type="dxa"/>
          <w:right w:w="0" w:type="dxa"/>
        </w:tblCellMar>
      </w:tblPr>
      <w:tblGrid>
        <w:gridCol w:w="4145"/>
        <w:gridCol w:w="60"/>
        <w:gridCol w:w="187"/>
        <w:gridCol w:w="748"/>
        <w:gridCol w:w="95"/>
        <w:gridCol w:w="60"/>
        <w:gridCol w:w="283"/>
        <w:gridCol w:w="1132"/>
        <w:gridCol w:w="11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6" w:name="xdx_492_20260331_zTaJ1uR6Cpf7"/>
            <w:bookmarkEnd w:id="266"/>
          </w:p>
        </w:tc>
        <w:tc>
          <w:tcPr>
            <w:tcW w:w="93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7" w:name="xdx_49B_20251231_zBJP7XPfXkvf"/>
            <w:bookmarkEnd w:id="267"/>
          </w:p>
        </w:tc>
        <w:tc>
          <w:tcPr>
            <w:tcW w:w="1415"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268" w:name="xdx_40E_eus-gaap--PropertyPlantAndEquipm"/>
            <w:bookmarkEnd w:id="268"/>
          </w:p>
        </w:tc>
      </w:tr>
      <w:tr>
        <w:trPr/>
        <w:tc>
          <w:tcPr>
            <w:tcW w:w="4145" w:type="dxa"/>
            <w:tcBorders/>
            <w:shd w:fill="CCEEFF" w:val="clear"/>
            <w:vAlign w:val="center"/>
          </w:tcPr>
          <w:p>
            <w:pPr>
              <w:pStyle w:val="TableContents"/>
              <w:bidi w:val="0"/>
              <w:spacing w:before="0" w:after="283"/>
              <w:jc w:val="left"/>
              <w:rPr/>
            </w:pPr>
            <w:r>
              <w:rPr/>
              <w:t>Right-of-use assets under operating leases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832</w:t>
            </w:r>
          </w:p>
        </w:tc>
        <w:tc>
          <w:tcPr>
            <w:tcW w:w="110" w:type="dxa"/>
            <w:tcBorders/>
            <w:shd w:fill="CCEEFF" w:val="clear"/>
            <w:vAlign w:val="center"/>
          </w:tcPr>
          <w:p>
            <w:pPr>
              <w:pStyle w:val="TableContents"/>
              <w:bidi w:val="0"/>
              <w:spacing w:before="0" w:after="283"/>
              <w:jc w:val="left"/>
              <w:rPr/>
            </w:pPr>
            <w:r>
              <w:rPr/>
              <w:t> </w:t>
            </w:r>
            <w:bookmarkStart w:id="269" w:name="xdx_40C_eus-gaap--PropertyPlantAndEquipm"/>
            <w:bookmarkEnd w:id="269"/>
          </w:p>
        </w:tc>
      </w:tr>
      <w:tr>
        <w:trPr/>
        <w:tc>
          <w:tcPr>
            <w:tcW w:w="414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164</w:t>
            </w:r>
          </w:p>
        </w:tc>
        <w:tc>
          <w:tcPr>
            <w:tcW w:w="110" w:type="dxa"/>
            <w:tcBorders/>
            <w:shd w:fill="FFFFFF" w:val="clear"/>
            <w:vAlign w:val="center"/>
          </w:tcPr>
          <w:p>
            <w:pPr>
              <w:pStyle w:val="TableContents"/>
              <w:bidi w:val="0"/>
              <w:spacing w:before="0" w:after="283"/>
              <w:jc w:val="left"/>
              <w:rPr/>
            </w:pPr>
            <w:r>
              <w:rPr/>
              <w:t> </w:t>
            </w:r>
            <w:bookmarkStart w:id="270" w:name="xdx_406_eus-gaap--PropertyPlantAndEquipm"/>
            <w:bookmarkEnd w:id="270"/>
          </w:p>
        </w:tc>
      </w:tr>
      <w:tr>
        <w:trPr/>
        <w:tc>
          <w:tcPr>
            <w:tcW w:w="4145" w:type="dxa"/>
            <w:tcBorders/>
            <w:shd w:fill="CCEEFF" w:val="clear"/>
            <w:vAlign w:val="center"/>
          </w:tcPr>
          <w:p>
            <w:pPr>
              <w:pStyle w:val="TableContents"/>
              <w:bidi w:val="0"/>
              <w:spacing w:before="0" w:after="283"/>
              <w:jc w:val="left"/>
              <w:rPr/>
            </w:pPr>
            <w:r>
              <w:rPr/>
              <w:t>Computer hardware and software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595</w:t>
            </w:r>
          </w:p>
        </w:tc>
        <w:tc>
          <w:tcPr>
            <w:tcW w:w="110" w:type="dxa"/>
            <w:tcBorders/>
            <w:shd w:fill="CCEEFF" w:val="clear"/>
            <w:vAlign w:val="center"/>
          </w:tcPr>
          <w:p>
            <w:pPr>
              <w:pStyle w:val="TableContents"/>
              <w:bidi w:val="0"/>
              <w:spacing w:before="0" w:after="283"/>
              <w:jc w:val="left"/>
              <w:rPr/>
            </w:pPr>
            <w:r>
              <w:rPr/>
              <w:t> </w:t>
            </w:r>
            <w:bookmarkStart w:id="271" w:name="xdx_407_eus-gaap--PropertyPlantAndEquipm"/>
            <w:bookmarkEnd w:id="271"/>
          </w:p>
        </w:tc>
      </w:tr>
      <w:tr>
        <w:trPr/>
        <w:tc>
          <w:tcPr>
            <w:tcW w:w="4145" w:type="dxa"/>
            <w:tcBorders/>
            <w:shd w:fill="FFFFFF" w:val="clear"/>
            <w:vAlign w:val="center"/>
          </w:tcPr>
          <w:p>
            <w:pPr>
              <w:pStyle w:val="TableContents"/>
              <w:bidi w:val="0"/>
              <w:spacing w:before="0" w:after="283"/>
              <w:jc w:val="left"/>
              <w:rPr/>
            </w:pPr>
            <w:r>
              <w:rPr/>
              <w:t>Machinery and equipment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275</w:t>
            </w:r>
          </w:p>
        </w:tc>
        <w:tc>
          <w:tcPr>
            <w:tcW w:w="110" w:type="dxa"/>
            <w:tcBorders/>
            <w:shd w:fill="FFFFFF" w:val="clear"/>
            <w:vAlign w:val="center"/>
          </w:tcPr>
          <w:p>
            <w:pPr>
              <w:pStyle w:val="TableContents"/>
              <w:bidi w:val="0"/>
              <w:spacing w:before="0" w:after="283"/>
              <w:jc w:val="left"/>
              <w:rPr/>
            </w:pPr>
            <w:r>
              <w:rPr/>
              <w:t> </w:t>
            </w:r>
            <w:bookmarkStart w:id="272" w:name="xdx_40A_eus-gaap--PropertyPlantAndEquipm"/>
            <w:bookmarkEnd w:id="272"/>
          </w:p>
        </w:tc>
      </w:tr>
      <w:tr>
        <w:trPr/>
        <w:tc>
          <w:tcPr>
            <w:tcW w:w="4145" w:type="dxa"/>
            <w:tcBorders/>
            <w:shd w:fill="CCEEFF" w:val="clear"/>
            <w:vAlign w:val="center"/>
          </w:tcPr>
          <w:p>
            <w:pPr>
              <w:pStyle w:val="TableContents"/>
              <w:bidi w:val="0"/>
              <w:spacing w:before="0" w:after="283"/>
              <w:jc w:val="left"/>
              <w:rPr/>
            </w:pPr>
            <w:r>
              <w:rPr/>
              <w:t>Vehicles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68</w:t>
            </w:r>
          </w:p>
        </w:tc>
        <w:tc>
          <w:tcPr>
            <w:tcW w:w="110" w:type="dxa"/>
            <w:tcBorders/>
            <w:shd w:fill="CCEEFF" w:val="clear"/>
            <w:vAlign w:val="center"/>
          </w:tcPr>
          <w:p>
            <w:pPr>
              <w:pStyle w:val="TableContents"/>
              <w:bidi w:val="0"/>
              <w:spacing w:before="0" w:after="283"/>
              <w:jc w:val="left"/>
              <w:rPr/>
            </w:pPr>
            <w:r>
              <w:rPr/>
              <w:t> </w:t>
            </w:r>
            <w:bookmarkStart w:id="273" w:name="xdx_404_eus-gaap--PropertyPlantAndEquipm"/>
            <w:bookmarkEnd w:id="273"/>
          </w:p>
        </w:tc>
      </w:tr>
      <w:tr>
        <w:trPr/>
        <w:tc>
          <w:tcPr>
            <w:tcW w:w="4145" w:type="dxa"/>
            <w:tcBorders/>
            <w:shd w:fill="FFFFFF" w:val="clear"/>
            <w:vAlign w:val="center"/>
          </w:tcPr>
          <w:p>
            <w:pPr>
              <w:pStyle w:val="TableContents"/>
              <w:bidi w:val="0"/>
              <w:spacing w:before="0" w:after="283"/>
              <w:jc w:val="left"/>
              <w:rPr/>
            </w:pPr>
            <w:r>
              <w:rPr/>
              <w:t>Construction in progress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right"/>
              <w:rPr/>
            </w:pPr>
            <w:r>
              <w:rPr/>
              <w:t>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82</w:t>
            </w:r>
          </w:p>
        </w:tc>
        <w:tc>
          <w:tcPr>
            <w:tcW w:w="110" w:type="dxa"/>
            <w:tcBorders/>
            <w:shd w:fill="FFFFFF" w:val="clear"/>
            <w:vAlign w:val="center"/>
          </w:tcPr>
          <w:p>
            <w:pPr>
              <w:pStyle w:val="TableContents"/>
              <w:bidi w:val="0"/>
              <w:spacing w:before="0" w:after="283"/>
              <w:jc w:val="left"/>
              <w:rPr/>
            </w:pPr>
            <w:r>
              <w:rPr/>
              <w:t> </w:t>
            </w:r>
            <w:bookmarkStart w:id="274" w:name="xdx_404_eus-gaap--PropertyPlantAndEquipm"/>
            <w:bookmarkEnd w:id="274"/>
          </w:p>
        </w:tc>
      </w:tr>
      <w:tr>
        <w:trPr/>
        <w:tc>
          <w:tcPr>
            <w:tcW w:w="4145" w:type="dxa"/>
            <w:tcBorders/>
            <w:shd w:fill="CCEEFF" w:val="clear"/>
            <w:vAlign w:val="center"/>
          </w:tcPr>
          <w:p>
            <w:pPr>
              <w:pStyle w:val="TableContents"/>
              <w:bidi w:val="0"/>
              <w:spacing w:before="0" w:after="283"/>
              <w:jc w:val="left"/>
              <w:rPr/>
            </w:pPr>
            <w:r>
              <w:rPr/>
              <w:t>Total cost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2,016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2,016</w:t>
            </w:r>
          </w:p>
        </w:tc>
        <w:tc>
          <w:tcPr>
            <w:tcW w:w="110" w:type="dxa"/>
            <w:tcBorders/>
            <w:shd w:fill="CCEEFF" w:val="clear"/>
            <w:vAlign w:val="center"/>
          </w:tcPr>
          <w:p>
            <w:pPr>
              <w:pStyle w:val="TableContents"/>
              <w:bidi w:val="0"/>
              <w:spacing w:before="0" w:after="283"/>
              <w:jc w:val="left"/>
              <w:rPr/>
            </w:pPr>
            <w:r>
              <w:rPr/>
              <w:t> </w:t>
            </w:r>
            <w:bookmarkStart w:id="275" w:name="xdx_40A_eus-gaap--AccumulatedDepreciatio"/>
            <w:bookmarkEnd w:id="275"/>
          </w:p>
        </w:tc>
      </w:tr>
      <w:tr>
        <w:trPr/>
        <w:tc>
          <w:tcPr>
            <w:tcW w:w="4145" w:type="dxa"/>
            <w:tcBorders/>
            <w:shd w:fill="FFFFFF" w:val="clear"/>
            <w:vAlign w:val="center"/>
          </w:tcPr>
          <w:p>
            <w:pPr>
              <w:pStyle w:val="TableContents"/>
              <w:bidi w:val="0"/>
              <w:spacing w:before="0" w:after="283"/>
              <w:jc w:val="left"/>
              <w:rPr/>
            </w:pPr>
            <w:r>
              <w:rPr/>
              <w:t>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right"/>
              <w:rPr/>
            </w:pPr>
            <w:r>
              <w:rPr/>
              <w:t>(827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(785</w:t>
            </w:r>
          </w:p>
        </w:tc>
        <w:tc>
          <w:tcPr>
            <w:tcW w:w="110" w:type="dxa"/>
            <w:tcBorders/>
            <w:shd w:fill="FFFFFF" w:val="clear"/>
            <w:vAlign w:val="center"/>
          </w:tcPr>
          <w:p>
            <w:pPr>
              <w:pStyle w:val="TableContents"/>
              <w:bidi w:val="0"/>
              <w:spacing w:before="0" w:after="283"/>
              <w:jc w:val="left"/>
              <w:rPr/>
            </w:pPr>
            <w:r>
              <w:rPr/>
              <w:t>)</w:t>
            </w:r>
            <w:bookmarkStart w:id="276" w:name="xdx_408_eus-gaap--PropertyPlantAndEquipm"/>
            <w:bookmarkEnd w:id="276"/>
          </w:p>
        </w:tc>
      </w:tr>
      <w:tr>
        <w:trPr/>
        <w:tc>
          <w:tcPr>
            <w:tcW w:w="4145" w:type="dxa"/>
            <w:tcBorders/>
            <w:shd w:fill="CCEEFF" w:val="clear"/>
            <w:vAlign w:val="center"/>
          </w:tcPr>
          <w:p>
            <w:pPr>
              <w:pStyle w:val="TableContents"/>
              <w:bidi w:val="0"/>
              <w:spacing w:before="0" w:after="283"/>
              <w:jc w:val="left"/>
              <w:rPr/>
            </w:pPr>
            <w:r>
              <w:rPr/>
              <w:t>Net book value</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48" w:type="dxa"/>
            <w:tcBorders>
              <w:bottom w:val="double" w:sz="6" w:space="0" w:color="000000"/>
            </w:tcBorders>
            <w:shd w:fill="CCEEFF" w:val="clear"/>
            <w:tcMar>
              <w:bottom w:w="28" w:type="dxa"/>
            </w:tcMar>
            <w:vAlign w:val="center"/>
          </w:tcPr>
          <w:p>
            <w:pPr>
              <w:pStyle w:val="TableContents"/>
              <w:bidi w:val="0"/>
              <w:spacing w:before="0" w:after="283"/>
              <w:jc w:val="right"/>
              <w:rPr/>
            </w:pPr>
            <w:r>
              <w:rPr/>
              <w:t>1,189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1,231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77" w:name="xdx_8A4_zlc0OvH38zA7"/>
      <w:bookmarkEnd w:id="2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March 31, 2026 and 2025 was $</w:t>
      </w:r>
      <w:bookmarkStart w:id="278" w:name="xdx_90A_eus-gaap--Depreciation_pn3n3_c20"/>
      <w:bookmarkEnd w:id="278"/>
      <w:r>
        <w:rPr>
          <w:rFonts w:ascii="Times New Roman;Times;Serif" w:hAnsi="Times New Roman;Times;Serif"/>
          <w:b w:val="false"/>
          <w:i w:val="false"/>
          <w:caps w:val="false"/>
          <w:smallCaps w:val="false"/>
          <w:sz w:val="20"/>
        </w:rPr>
        <w:t>30 and $</w:t>
      </w:r>
      <w:bookmarkStart w:id="279" w:name="xdx_909_eus-gaap--Depreciation_pn3n3_c20"/>
      <w:bookmarkEnd w:id="279"/>
      <w:r>
        <w:rPr>
          <w:rFonts w:ascii="Times New Roman;Times;Serif" w:hAnsi="Times New Roman;Times;Serif"/>
          <w:b w:val="false"/>
          <w:i w:val="false"/>
          <w:caps w:val="false"/>
          <w:smallCaps w:val="false"/>
          <w:sz w:val="20"/>
        </w:rPr>
        <w:t>41, respectively, and amortization of right-of-use assets for the three months ended March 31, 2026 and 2025 was $</w:t>
      </w:r>
      <w:bookmarkStart w:id="280" w:name="xdx_902_eus-gaap--OperatingLeaseRightOfU"/>
      <w:bookmarkEnd w:id="280"/>
      <w:r>
        <w:rPr>
          <w:rFonts w:ascii="Times New Roman;Times;Serif" w:hAnsi="Times New Roman;Times;Serif"/>
          <w:b w:val="false"/>
          <w:i w:val="false"/>
          <w:caps w:val="false"/>
          <w:smallCaps w:val="false"/>
          <w:sz w:val="20"/>
        </w:rPr>
        <w:t>12 and $</w:t>
      </w:r>
      <w:bookmarkStart w:id="281" w:name="xdx_904_eus-gaap--OperatingLeaseRightOfU"/>
      <w:bookmarkEnd w:id="281"/>
      <w:r>
        <w:rPr>
          <w:rFonts w:ascii="Times New Roman;Times;Serif" w:hAnsi="Times New Roman;Times;Serif"/>
          <w:b w:val="false"/>
          <w:i w:val="false"/>
          <w:caps w:val="false"/>
          <w:smallCaps w:val="false"/>
          <w:sz w:val="20"/>
        </w:rPr>
        <w:t>12, respectively.</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2" w:name="xdx_807_eus-gaap--IntangibleAssetsDisclo"/>
      <w:bookmarkEnd w:id="282"/>
      <w:r>
        <w:rPr>
          <w:rFonts w:ascii="Times New Roman;Times;Serif" w:hAnsi="Times New Roman;Times;Serif"/>
          <w:b/>
          <w:i w:val="false"/>
          <w:caps w:val="false"/>
          <w:smallCaps w:val="false"/>
          <w:sz w:val="20"/>
        </w:rPr>
        <w:t xml:space="preserve">5. </w:t>
      </w:r>
      <w:bookmarkStart w:id="283" w:name="xdx_828_zd5OD7OaVmt3"/>
      <w:bookmarkEnd w:id="283"/>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4" w:name="xdx_896_eus-gaap--ScheduleOfIndefiniteLi"/>
      <w:bookmarkEnd w:id="284"/>
      <w:r>
        <w:rPr>
          <w:rFonts w:ascii="Times New Roman;Times;Serif" w:hAnsi="Times New Roman;Times;Serif"/>
          <w:b w:val="false"/>
          <w:i w:val="false"/>
          <w:caps w:val="false"/>
          <w:smallCaps w:val="false"/>
          <w:sz w:val="20"/>
        </w:rPr>
        <w:t>Intangible assets consisted of the following (in thousands):</w:t>
      </w:r>
    </w:p>
    <w:p>
      <w:pPr>
        <w:pStyle w:val="TextBody"/>
        <w:bidi w:val="0"/>
        <w:spacing w:before="0" w:after="0"/>
        <w:ind w:left="0" w:right="0" w:hanging="0"/>
        <w:jc w:val="both"/>
        <w:rPr>
          <w:caps w:val="false"/>
          <w:smallCaps w:val="false"/>
        </w:rPr>
      </w:pPr>
      <w:r>
        <w:rPr>
          <w:caps w:val="false"/>
          <w:smallCaps w:val="false"/>
        </w:rPr>
        <w:t> </w:t>
      </w:r>
      <w:bookmarkStart w:id="285" w:name="xdx_8B2_zORFZqaZBFI9"/>
      <w:bookmarkEnd w:id="285"/>
      <w:r>
        <w:rPr>
          <w:rFonts w:ascii="Times New Roman;Times;Serif" w:hAnsi="Times New Roman;Times;Serif"/>
          <w:b w:val="false"/>
          <w:i w:val="false"/>
          <w:caps w:val="false"/>
          <w:smallCaps w:val="false"/>
          <w:sz w:val="20"/>
        </w:rPr>
        <w:t>Schedule of Intangible Assets</w:t>
      </w:r>
    </w:p>
    <w:tbl>
      <w:tblPr>
        <w:tblW w:w="3883" w:type="dxa"/>
        <w:jc w:val="left"/>
        <w:tblInd w:w="0" w:type="dxa"/>
        <w:tblLayout w:type="fixed"/>
        <w:tblCellMar>
          <w:top w:w="0" w:type="dxa"/>
          <w:left w:w="0" w:type="dxa"/>
          <w:bottom w:w="0" w:type="dxa"/>
          <w:right w:w="0" w:type="dxa"/>
        </w:tblCellMar>
      </w:tblPr>
      <w:tblGrid>
        <w:gridCol w:w="1280"/>
        <w:gridCol w:w="60"/>
        <w:gridCol w:w="250"/>
        <w:gridCol w:w="684"/>
        <w:gridCol w:w="60"/>
        <w:gridCol w:w="60"/>
        <w:gridCol w:w="380"/>
        <w:gridCol w:w="1034"/>
        <w:gridCol w:w="75"/>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6" w:name="xdx_49B_20260331_z1oKGtGAbU5l"/>
            <w:bookmarkEnd w:id="286"/>
          </w:p>
        </w:tc>
        <w:tc>
          <w:tcPr>
            <w:tcW w:w="93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7" w:name="xdx_496_20251231_zbdLMvuiKaLc"/>
            <w:bookmarkEnd w:id="287"/>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288" w:name="xdx_403_eus-gaap--IndefiniteLivedTradeNa"/>
            <w:bookmarkEnd w:id="288"/>
          </w:p>
        </w:tc>
      </w:tr>
      <w:tr>
        <w:trPr/>
        <w:tc>
          <w:tcPr>
            <w:tcW w:w="1280" w:type="dxa"/>
            <w:tcBorders/>
            <w:shd w:fill="CCEEFF" w:val="clear"/>
            <w:vAlign w:val="center"/>
          </w:tcPr>
          <w:p>
            <w:pPr>
              <w:pStyle w:val="TableContents"/>
              <w:bidi w:val="0"/>
              <w:spacing w:before="0" w:after="283"/>
              <w:jc w:val="left"/>
              <w:rPr/>
            </w:pPr>
            <w:r>
              <w:rPr/>
              <w:t>Brand names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684" w:type="dxa"/>
            <w:tcBorders/>
            <w:shd w:fill="CCEEFF" w:val="clear"/>
            <w:vAlign w:val="center"/>
          </w:tcPr>
          <w:p>
            <w:pPr>
              <w:pStyle w:val="TableContents"/>
              <w:bidi w:val="0"/>
              <w:spacing w:before="0" w:after="283"/>
              <w:jc w:val="right"/>
              <w:rPr/>
            </w:pPr>
            <w:r>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576</w:t>
            </w:r>
          </w:p>
        </w:tc>
        <w:tc>
          <w:tcPr>
            <w:tcW w:w="75" w:type="dxa"/>
            <w:tcBorders/>
            <w:shd w:fill="CCEEFF" w:val="clear"/>
            <w:vAlign w:val="center"/>
          </w:tcPr>
          <w:p>
            <w:pPr>
              <w:pStyle w:val="TableContents"/>
              <w:bidi w:val="0"/>
              <w:spacing w:before="0" w:after="283"/>
              <w:jc w:val="left"/>
              <w:rPr/>
            </w:pPr>
            <w:r>
              <w:rPr/>
              <w:t> </w:t>
            </w:r>
            <w:bookmarkStart w:id="289" w:name="xdx_407_eus-gaap--IndefiniteLivedTradema"/>
            <w:bookmarkEnd w:id="289"/>
          </w:p>
        </w:tc>
      </w:tr>
      <w:tr>
        <w:trPr/>
        <w:tc>
          <w:tcPr>
            <w:tcW w:w="1280" w:type="dxa"/>
            <w:tcBorders/>
            <w:shd w:fill="FFFFFF" w:val="clear"/>
            <w:vAlign w:val="center"/>
          </w:tcPr>
          <w:p>
            <w:pPr>
              <w:pStyle w:val="TableContents"/>
              <w:bidi w:val="0"/>
              <w:spacing w:before="0" w:after="283"/>
              <w:jc w:val="left"/>
              <w:rPr/>
            </w:pPr>
            <w:r>
              <w:rPr/>
              <w:t>Trademarks</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8" w:space="0" w:color="000000"/>
            </w:tcBorders>
            <w:shd w:fill="FFFFFF" w:val="clear"/>
            <w:tcMar>
              <w:bottom w:w="28" w:type="dxa"/>
            </w:tcMar>
            <w:vAlign w:val="center"/>
          </w:tcPr>
          <w:p>
            <w:pPr>
              <w:pStyle w:val="TableContents"/>
              <w:bidi w:val="0"/>
              <w:spacing w:before="0" w:after="283"/>
              <w:jc w:val="right"/>
              <w:rPr/>
            </w:pPr>
            <w:r>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74</w:t>
            </w:r>
          </w:p>
        </w:tc>
        <w:tc>
          <w:tcPr>
            <w:tcW w:w="75" w:type="dxa"/>
            <w:tcBorders/>
            <w:shd w:fill="FFFFFF" w:val="clear"/>
            <w:vAlign w:val="center"/>
          </w:tcPr>
          <w:p>
            <w:pPr>
              <w:pStyle w:val="TableContents"/>
              <w:bidi w:val="0"/>
              <w:spacing w:before="0" w:after="283"/>
              <w:jc w:val="left"/>
              <w:rPr/>
            </w:pPr>
            <w:r>
              <w:rPr/>
              <w:t> </w:t>
            </w:r>
            <w:bookmarkStart w:id="290" w:name="xdx_402_eus-gaap--IndefiniteLivedIntangi"/>
            <w:bookmarkEnd w:id="290"/>
          </w:p>
        </w:tc>
      </w:tr>
      <w:tr>
        <w:trPr/>
        <w:tc>
          <w:tcPr>
            <w:tcW w:w="12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4" w:type="dxa"/>
            <w:tcBorders>
              <w:bottom w:val="double" w:sz="6" w:space="0" w:color="000000"/>
            </w:tcBorders>
            <w:shd w:fill="CCEEFF" w:val="clear"/>
            <w:tcMar>
              <w:bottom w:w="28" w:type="dxa"/>
            </w:tcMar>
            <w:vAlign w:val="center"/>
          </w:tcPr>
          <w:p>
            <w:pPr>
              <w:pStyle w:val="TableContents"/>
              <w:bidi w:val="0"/>
              <w:spacing w:before="0" w:after="283"/>
              <w:jc w:val="right"/>
              <w:rPr/>
            </w:pPr>
            <w:r>
              <w:rPr/>
              <w:t>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650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1" w:name="xdx_8AF_z0BVKSnAit9k"/>
      <w:bookmarkEnd w:id="29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2" w:name="xdx_800_eus-gaap--DebtDisclosureTextBloc"/>
      <w:bookmarkEnd w:id="292"/>
      <w:r>
        <w:rPr>
          <w:rFonts w:ascii="Times New Roman;Times;Serif" w:hAnsi="Times New Roman;Times;Serif"/>
          <w:b/>
          <w:i w:val="false"/>
          <w:caps w:val="false"/>
          <w:smallCaps w:val="false"/>
          <w:sz w:val="20"/>
        </w:rPr>
        <w:t xml:space="preserve">6. </w:t>
      </w:r>
      <w:bookmarkStart w:id="293" w:name="xdx_822_zUb1VbluPpg4"/>
      <w:bookmarkEnd w:id="293"/>
      <w:r>
        <w:rPr>
          <w:rFonts w:ascii="Times New Roman;Times;Serif" w:hAnsi="Times New Roman;Times;Serif"/>
          <w:b/>
          <w:i w:val="false"/>
          <w:caps w:val="false"/>
          <w:smallCaps w:val="false"/>
          <w:sz w:val="20"/>
        </w:rPr>
        <w:t xml:space="preserve">Senior Secured Loan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4" w:name="xdx_89D_eus-gaap--ScheduleOfDebtTableTex"/>
      <w:bookmarkEnd w:id="294"/>
      <w:r>
        <w:rPr>
          <w:rFonts w:ascii="Times New Roman;Times;Serif" w:hAnsi="Times New Roman;Times;Serif"/>
          <w:b w:val="false"/>
          <w:i w:val="false"/>
          <w:caps w:val="false"/>
          <w:smallCaps w:val="false"/>
          <w:sz w:val="20"/>
        </w:rPr>
        <w:t>The following sets forth amounts in respect of the Company’s senior secured loan:</w:t>
      </w:r>
    </w:p>
    <w:p>
      <w:pPr>
        <w:pStyle w:val="TextBody"/>
        <w:bidi w:val="0"/>
        <w:spacing w:before="0" w:after="0"/>
        <w:ind w:left="0" w:right="0" w:hanging="0"/>
        <w:jc w:val="both"/>
        <w:rPr>
          <w:caps w:val="false"/>
          <w:smallCaps w:val="false"/>
        </w:rPr>
      </w:pPr>
      <w:r>
        <w:rPr>
          <w:caps w:val="false"/>
          <w:smallCaps w:val="false"/>
        </w:rPr>
        <w:t> </w:t>
      </w:r>
      <w:bookmarkStart w:id="295" w:name="xdx_8BB_z3dwGcZZroca"/>
      <w:bookmarkEnd w:id="295"/>
      <w:r>
        <w:rPr>
          <w:rFonts w:ascii="Times New Roman;Times;Serif" w:hAnsi="Times New Roman;Times;Serif"/>
          <w:b w:val="false"/>
          <w:i w:val="false"/>
          <w:caps w:val="false"/>
          <w:smallCaps w:val="false"/>
          <w:sz w:val="20"/>
        </w:rPr>
        <w:t>Schedule of Secured Notes Payable</w:t>
      </w:r>
    </w:p>
    <w:tbl>
      <w:tblPr>
        <w:tblW w:w="5560" w:type="dxa"/>
        <w:jc w:val="left"/>
        <w:tblInd w:w="0" w:type="dxa"/>
        <w:tblLayout w:type="fixed"/>
        <w:tblCellMar>
          <w:top w:w="0" w:type="dxa"/>
          <w:left w:w="0" w:type="dxa"/>
          <w:bottom w:w="0" w:type="dxa"/>
          <w:right w:w="0" w:type="dxa"/>
        </w:tblCellMar>
      </w:tblPr>
      <w:tblGrid>
        <w:gridCol w:w="2345"/>
        <w:gridCol w:w="60"/>
        <w:gridCol w:w="187"/>
        <w:gridCol w:w="748"/>
        <w:gridCol w:w="95"/>
        <w:gridCol w:w="60"/>
        <w:gridCol w:w="391"/>
        <w:gridCol w:w="1564"/>
        <w:gridCol w:w="11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6" w:name="xdx_49F_20260331__us-gaap--DebtInstrumen"/>
            <w:bookmarkEnd w:id="296"/>
          </w:p>
        </w:tc>
        <w:tc>
          <w:tcPr>
            <w:tcW w:w="93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7" w:name="xdx_49C_20251231__us-gaap--DebtInstrumen"/>
            <w:bookmarkEnd w:id="297"/>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bookmarkStart w:id="298" w:name="xdx_406_ecustom--SeniorSecuredLoan_iI_pn"/>
            <w:bookmarkEnd w:id="298"/>
          </w:p>
        </w:tc>
      </w:tr>
      <w:tr>
        <w:trPr/>
        <w:tc>
          <w:tcPr>
            <w:tcW w:w="2345" w:type="dxa"/>
            <w:tcBorders/>
            <w:shd w:fill="CCEEFF" w:val="clear"/>
            <w:vAlign w:val="center"/>
          </w:tcPr>
          <w:p>
            <w:pPr>
              <w:pStyle w:val="TableContents"/>
              <w:bidi w:val="0"/>
              <w:spacing w:before="0" w:after="283"/>
              <w:jc w:val="left"/>
              <w:rPr/>
            </w:pPr>
            <w:r>
              <w:rPr/>
              <w:t>Senior secured loan</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9,250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9,250</w:t>
            </w:r>
          </w:p>
        </w:tc>
        <w:tc>
          <w:tcPr>
            <w:tcW w:w="110" w:type="dxa"/>
            <w:tcBorders/>
            <w:shd w:fill="CCEEFF" w:val="clear"/>
            <w:vAlign w:val="center"/>
          </w:tcPr>
          <w:p>
            <w:pPr>
              <w:pStyle w:val="TableContents"/>
              <w:bidi w:val="0"/>
              <w:spacing w:before="0" w:after="283"/>
              <w:jc w:val="left"/>
              <w:rPr/>
            </w:pPr>
            <w:r>
              <w:rPr/>
              <w:t> </w:t>
            </w:r>
            <w:bookmarkStart w:id="299" w:name="xdx_405_eus-gaap--DeferredFinanceCostsNe"/>
            <w:bookmarkEnd w:id="299"/>
          </w:p>
        </w:tc>
      </w:tr>
      <w:tr>
        <w:trPr/>
        <w:tc>
          <w:tcPr>
            <w:tcW w:w="2345" w:type="dxa"/>
            <w:tcBorders/>
            <w:shd w:fill="FFFFFF" w:val="clear"/>
            <w:vAlign w:val="center"/>
          </w:tcPr>
          <w:p>
            <w:pPr>
              <w:pStyle w:val="TableContents"/>
              <w:bidi w:val="0"/>
              <w:spacing w:before="0" w:after="283"/>
              <w:jc w:val="left"/>
              <w:rPr/>
            </w:pPr>
            <w:r>
              <w:rPr/>
              <w:t>Deferred financing costs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right"/>
              <w:rPr/>
            </w:pPr>
            <w:r>
              <w:rPr/>
              <w:t>(45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(68</w:t>
            </w:r>
          </w:p>
        </w:tc>
        <w:tc>
          <w:tcPr>
            <w:tcW w:w="110" w:type="dxa"/>
            <w:tcBorders/>
            <w:shd w:fill="FFFFFF" w:val="clear"/>
            <w:vAlign w:val="center"/>
          </w:tcPr>
          <w:p>
            <w:pPr>
              <w:pStyle w:val="TableContents"/>
              <w:bidi w:val="0"/>
              <w:spacing w:before="0" w:after="283"/>
              <w:jc w:val="left"/>
              <w:rPr/>
            </w:pPr>
            <w:r>
              <w:rPr/>
              <w:t>)</w:t>
            </w:r>
            <w:bookmarkStart w:id="300" w:name="xdx_407_eus-gaap--SecuredDebt_iTI_pn3n3_"/>
            <w:bookmarkEnd w:id="300"/>
          </w:p>
        </w:tc>
      </w:tr>
      <w:tr>
        <w:trPr/>
        <w:tc>
          <w:tcPr>
            <w:tcW w:w="234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48" w:type="dxa"/>
            <w:tcBorders>
              <w:bottom w:val="double" w:sz="6" w:space="0" w:color="000000"/>
            </w:tcBorders>
            <w:shd w:fill="CCEEFF" w:val="clear"/>
            <w:tcMar>
              <w:bottom w:w="28" w:type="dxa"/>
            </w:tcMar>
            <w:vAlign w:val="center"/>
          </w:tcPr>
          <w:p>
            <w:pPr>
              <w:pStyle w:val="TableContents"/>
              <w:bidi w:val="0"/>
              <w:spacing w:before="0" w:after="283"/>
              <w:jc w:val="right"/>
              <w:rPr/>
            </w:pPr>
            <w:r>
              <w:rPr/>
              <w:t>9,205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bidi w:val="0"/>
              <w:spacing w:before="0" w:after="283"/>
              <w:jc w:val="right"/>
              <w:rPr/>
            </w:pPr>
            <w:r>
              <w:rPr/>
              <w:t>9,182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01" w:name="xdx_8AA_zywUBT5kQUxi"/>
      <w:bookmarkEnd w:id="30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2024, the Company entered into a Senior Secured Loan and Security Agreement (the “Loan Agreement”) with certain funds affiliated with Whitebox Advisors LLC (“Whitebox”), as lenders, and Cantor Fitzgerald Securities, as administrative agent and collateral agent. The Loan Agreement provided a revolving credit commitment in an aggregate amount of $</w:t>
      </w:r>
      <w:bookmarkStart w:id="302" w:name="xdx_90B_eus-gaap--RepaymentsOfLinesOfCre"/>
      <w:bookmarkEnd w:id="302"/>
      <w:r>
        <w:rPr>
          <w:rFonts w:ascii="Times New Roman;Times;Serif" w:hAnsi="Times New Roman;Times;Serif"/>
          <w:b w:val="false"/>
          <w:i w:val="false"/>
          <w:caps w:val="false"/>
          <w:smallCaps w:val="false"/>
          <w:sz w:val="20"/>
        </w:rPr>
        <w:t>10,000 (the “Senior Secured Loan”). On September 26, 2025, the Company entered into an Amended Loan Agreement. The Amended Loan Agreement (i) reduced the aggregate principal amount of the revolving credit commitment to $</w:t>
      </w:r>
      <w:bookmarkStart w:id="303" w:name="xdx_901_eus-gaap--LineOfCreditFacilityMa"/>
      <w:bookmarkEnd w:id="303"/>
      <w:r>
        <w:rPr>
          <w:rFonts w:ascii="Times New Roman;Times;Serif" w:hAnsi="Times New Roman;Times;Serif"/>
          <w:b w:val="false"/>
          <w:i w:val="false"/>
          <w:caps w:val="false"/>
          <w:smallCaps w:val="false"/>
          <w:sz w:val="20"/>
        </w:rPr>
        <w:t>9,250 from $</w:t>
      </w:r>
      <w:bookmarkStart w:id="304" w:name="xdx_908_eus-gaap--LineOfCreditFacilityMa"/>
      <w:bookmarkEnd w:id="304"/>
      <w:r>
        <w:rPr>
          <w:rFonts w:ascii="Times New Roman;Times;Serif" w:hAnsi="Times New Roman;Times;Serif"/>
          <w:b w:val="false"/>
          <w:i w:val="false"/>
          <w:caps w:val="false"/>
          <w:smallCaps w:val="false"/>
          <w:sz w:val="20"/>
        </w:rPr>
        <w:t xml:space="preserve">10,000, (ii) changed interest payments on the revolving loan to be due monthly in arrears from quarterly in arrears, (iii) and extended the maturity date to </w:t>
      </w:r>
      <w:bookmarkStart w:id="305" w:name="xdx_908_eus-gaap--DebtInstrumentMaturity"/>
      <w:bookmarkEnd w:id="305"/>
      <w:r>
        <w:rPr>
          <w:rFonts w:ascii="Times New Roman;Times;Serif" w:hAnsi="Times New Roman;Times;Serif"/>
          <w:b w:val="false"/>
          <w:i w:val="false"/>
          <w:caps w:val="false"/>
          <w:smallCaps w:val="false"/>
          <w:sz w:val="20"/>
        </w:rPr>
        <w:t xml:space="preserve">September 30, 2026. The Senior Secured Loan accrues interest at a per annum rate equal to </w:t>
      </w:r>
      <w:bookmarkStart w:id="306" w:name="xdx_901_eus-gaap--DebtInstrumentInterest"/>
      <w:bookmarkEnd w:id="306"/>
      <w:r>
        <w:rPr>
          <w:rFonts w:ascii="Times New Roman;Times;Serif" w:hAnsi="Times New Roman;Times;Serif"/>
          <w:b w:val="false"/>
          <w:i w:val="false"/>
          <w:caps w:val="false"/>
          <w:smallCaps w:val="false"/>
          <w:sz w:val="20"/>
        </w:rPr>
        <w:t>8.00% on the principal amount outstanding, payable monthly in arrears. The Senior Secured Loan also accrues an unused fee at a rate per annum equal to 3.00% on the excess, if any, of the revolving credit commitment over the average principal amount outstanding from time to time during the preceding fiscal quarter, payable monthly in arrears. The Senior Secured Loan is secured by substantially all of the Company’s assets, including all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principal amount outstanding on the Senior Secured Loan was $</w:t>
      </w:r>
      <w:bookmarkStart w:id="307" w:name="xdx_90E_eus-gaap--SecuredDebt_iI_pn3n3_c"/>
      <w:bookmarkEnd w:id="307"/>
      <w:r>
        <w:rPr>
          <w:rFonts w:ascii="Times New Roman;Times;Serif" w:hAnsi="Times New Roman;Times;Serif"/>
          <w:b w:val="false"/>
          <w:i w:val="false"/>
          <w:caps w:val="false"/>
          <w:smallCaps w:val="false"/>
          <w:sz w:val="20"/>
        </w:rPr>
        <w:t>9,250 and $</w:t>
      </w:r>
      <w:bookmarkStart w:id="308" w:name="xdx_90F_eus-gaap--SecuredDebt_iI_pn3n3_c"/>
      <w:bookmarkEnd w:id="308"/>
      <w:r>
        <w:rPr>
          <w:rFonts w:ascii="Times New Roman;Times;Serif" w:hAnsi="Times New Roman;Times;Serif"/>
          <w:b w:val="false"/>
          <w:i w:val="false"/>
          <w:caps w:val="false"/>
          <w:smallCaps w:val="false"/>
          <w:sz w:val="20"/>
        </w:rPr>
        <w:t xml:space="preserve">9,250, respectively. There was </w:t>
      </w:r>
      <w:bookmarkStart w:id="309" w:name="xdx_90A_eus-gaap--LineOfCreditFacilityCu"/>
      <w:bookmarkEnd w:id="309"/>
      <w:r>
        <w:rPr>
          <w:rFonts w:ascii="Times New Roman;Times;Serif" w:hAnsi="Times New Roman;Times;Serif"/>
          <w:b w:val="false"/>
          <w:i w:val="false"/>
          <w:caps w:val="false"/>
          <w:smallCaps w:val="false"/>
          <w:sz w:val="20"/>
        </w:rPr>
        <w:t>no availability under the Loan Agreement at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Loan Agreement includes customary restrictions that limit the Company’s ability to engage in certain types of transactions. Additionally, the agreement contains a financial covenant that requires the Company to meet a certain minimum cash balance and liquidity threshold as of the end of each month. The Company was in compliance with the Amended Loan Agreement as of March 31,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w:t>
      </w:r>
      <w:bookmarkStart w:id="310" w:name="xdx_90C_eus-gaap--DirectOperatingCosts_p"/>
      <w:bookmarkEnd w:id="310"/>
      <w:r>
        <w:rPr>
          <w:rFonts w:ascii="Times New Roman;Times;Serif" w:hAnsi="Times New Roman;Times;Serif"/>
          <w:b w:val="false"/>
          <w:i w:val="false"/>
          <w:caps w:val="false"/>
          <w:smallCaps w:val="false"/>
          <w:sz w:val="20"/>
        </w:rPr>
        <w:t>410 of direct costs associated with the Senior Secured Loan transaction, consisting primarily of broker, bank and legal fees. These costs have been deferred and are being amortized over the life of the agreement. The unamortized debt discount balance was $</w:t>
      </w:r>
      <w:bookmarkStart w:id="311" w:name="xdx_909_eus-gaap--DebtInstrumentUnamorti"/>
      <w:bookmarkEnd w:id="311"/>
      <w:r>
        <w:rPr>
          <w:rFonts w:ascii="Times New Roman;Times;Serif" w:hAnsi="Times New Roman;Times;Serif"/>
          <w:b w:val="false"/>
          <w:i w:val="false"/>
          <w:caps w:val="false"/>
          <w:smallCaps w:val="false"/>
          <w:sz w:val="20"/>
        </w:rPr>
        <w:t>68 at December 31, 2025. For the three months ended March 31, 2026 and 2025, the amortization of debt discount was $</w:t>
      </w:r>
      <w:bookmarkStart w:id="312" w:name="xdx_903_eus-gaap--DebtInstrumentUnamorti"/>
      <w:bookmarkEnd w:id="312"/>
      <w:r>
        <w:rPr>
          <w:rFonts w:ascii="Times New Roman;Times;Serif" w:hAnsi="Times New Roman;Times;Serif"/>
          <w:b w:val="false"/>
          <w:i w:val="false"/>
          <w:caps w:val="false"/>
          <w:smallCaps w:val="false"/>
          <w:sz w:val="20"/>
        </w:rPr>
        <w:t>23 and $</w:t>
      </w:r>
      <w:bookmarkStart w:id="313" w:name="xdx_90B_eus-gaap--DebtInstrumentUnamorti"/>
      <w:bookmarkEnd w:id="313"/>
      <w:r>
        <w:rPr>
          <w:rFonts w:ascii="Times New Roman;Times;Serif" w:hAnsi="Times New Roman;Times;Serif"/>
          <w:b w:val="false"/>
          <w:i w:val="false"/>
          <w:caps w:val="false"/>
          <w:smallCaps w:val="false"/>
          <w:sz w:val="20"/>
        </w:rPr>
        <w:t>95, respectively. The unamortized debt discount balance was $</w:t>
      </w:r>
      <w:bookmarkStart w:id="314" w:name="xdx_901_eus-gaap--DebtInstrumentUnamorti"/>
      <w:bookmarkEnd w:id="314"/>
      <w:r>
        <w:rPr>
          <w:rFonts w:ascii="Times New Roman;Times;Serif" w:hAnsi="Times New Roman;Times;Serif"/>
          <w:b w:val="false"/>
          <w:i w:val="false"/>
          <w:caps w:val="false"/>
          <w:smallCaps w:val="false"/>
          <w:sz w:val="20"/>
        </w:rPr>
        <w:t>45 at March 31, 2026. Additionally, in connection with the Amended Loan Agreement, the Company incurred $</w:t>
      </w:r>
      <w:bookmarkStart w:id="315" w:name="xdx_906_eus-gaap--DirectOperatingCosts_p"/>
      <w:bookmarkEnd w:id="315"/>
      <w:r>
        <w:rPr>
          <w:rFonts w:ascii="Times New Roman;Times;Serif" w:hAnsi="Times New Roman;Times;Serif"/>
          <w:b w:val="false"/>
          <w:i w:val="false"/>
          <w:caps w:val="false"/>
          <w:smallCaps w:val="false"/>
          <w:sz w:val="20"/>
        </w:rPr>
        <w:t>40 of direct costs, which were expensed.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6" w:name="xdx_80E_eus-gaap--LesseeOperatingLeasesT"/>
      <w:bookmarkEnd w:id="316"/>
      <w:r>
        <w:rPr>
          <w:rFonts w:ascii="Times New Roman;Times;Serif" w:hAnsi="Times New Roman;Times;Serif"/>
          <w:b/>
          <w:i w:val="false"/>
          <w:caps w:val="false"/>
          <w:smallCaps w:val="false"/>
          <w:sz w:val="20"/>
        </w:rPr>
        <w:t xml:space="preserve">7. </w:t>
      </w:r>
      <w:bookmarkStart w:id="317" w:name="xdx_822_zsqrsLok3rmc"/>
      <w:bookmarkEnd w:id="317"/>
      <w:r>
        <w:rPr>
          <w:rFonts w:ascii="Times New Roman;Times;Serif" w:hAnsi="Times New Roman;Times;Serif"/>
          <w:b/>
          <w:i w:val="false"/>
          <w:caps w:val="false"/>
          <w:smallCaps w:val="false"/>
          <w:sz w:val="20"/>
        </w:rPr>
        <w:t xml:space="preserve">Lease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lease costs totaled $</w:t>
      </w:r>
      <w:bookmarkStart w:id="318" w:name="xdx_902_eus-gaap--LeaseCost_pn3n3_c20260"/>
      <w:bookmarkEnd w:id="318"/>
      <w:r>
        <w:rPr>
          <w:rFonts w:ascii="Times New Roman;Times;Serif" w:hAnsi="Times New Roman;Times;Serif"/>
          <w:b w:val="false"/>
          <w:i w:val="false"/>
          <w:caps w:val="false"/>
          <w:smallCaps w:val="false"/>
          <w:sz w:val="20"/>
        </w:rPr>
        <w:t>12 and $</w:t>
      </w:r>
      <w:bookmarkStart w:id="319" w:name="xdx_904_eus-gaap--LeaseCost_pn3n3_c20250"/>
      <w:bookmarkEnd w:id="319"/>
      <w:r>
        <w:rPr>
          <w:rFonts w:ascii="Times New Roman;Times;Serif" w:hAnsi="Times New Roman;Times;Serif"/>
          <w:b w:val="false"/>
          <w:i w:val="false"/>
          <w:caps w:val="false"/>
          <w:smallCaps w:val="false"/>
          <w:sz w:val="20"/>
        </w:rPr>
        <w:t>12,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operating lease liabilities totaled $</w:t>
      </w:r>
      <w:bookmarkStart w:id="320" w:name="xdx_907_eus-gaap--OperatingLeaseLiabilit"/>
      <w:bookmarkEnd w:id="320"/>
      <w:r>
        <w:rPr>
          <w:rFonts w:ascii="Times New Roman;Times;Serif" w:hAnsi="Times New Roman;Times;Serif"/>
          <w:b w:val="false"/>
          <w:i w:val="false"/>
          <w:caps w:val="false"/>
          <w:smallCaps w:val="false"/>
          <w:sz w:val="20"/>
        </w:rPr>
        <w:t>843. During the three months ended March 31, 2026, the Company made aggregate payments of $</w:t>
      </w:r>
      <w:bookmarkStart w:id="321" w:name="xdx_90D_eus-gaap--OperatingLeaseLeaseInc"/>
      <w:bookmarkEnd w:id="321"/>
      <w:r>
        <w:rPr>
          <w:rFonts w:ascii="Times New Roman;Times;Serif" w:hAnsi="Times New Roman;Times;Serif"/>
          <w:b w:val="false"/>
          <w:i w:val="false"/>
          <w:caps w:val="false"/>
          <w:smallCaps w:val="false"/>
          <w:sz w:val="20"/>
        </w:rPr>
        <w:t>11 towards its operating lease liability. As of March 31, 2026, operating lease liabilities totaled $</w:t>
      </w:r>
      <w:bookmarkStart w:id="322" w:name="xdx_901_eus-gaap--OperatingLeaseLiabilit"/>
      <w:bookmarkEnd w:id="322"/>
      <w:r>
        <w:rPr>
          <w:rFonts w:ascii="Times New Roman;Times;Serif" w:hAnsi="Times New Roman;Times;Serif"/>
          <w:b w:val="false"/>
          <w:i w:val="false"/>
          <w:caps w:val="false"/>
          <w:smallCaps w:val="false"/>
          <w:sz w:val="20"/>
        </w:rPr>
        <w:t>832, of which $</w:t>
      </w:r>
      <w:bookmarkStart w:id="323" w:name="xdx_907_eus-gaap--OperatingLeaseLiabilit"/>
      <w:bookmarkEnd w:id="323"/>
      <w:r>
        <w:rPr>
          <w:rFonts w:ascii="Times New Roman;Times;Serif" w:hAnsi="Times New Roman;Times;Serif"/>
          <w:b w:val="false"/>
          <w:i w:val="false"/>
          <w:caps w:val="false"/>
          <w:smallCaps w:val="false"/>
          <w:sz w:val="20"/>
        </w:rPr>
        <w:t>33 was current. The Company’s right of use assets are presented as part of property and equipment (see Note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 weighted average remaining lease terms for an operating lease are </w:t>
      </w:r>
      <w:bookmarkStart w:id="324" w:name="xdx_90C_eus-gaap--OperatingLeaseWeighted"/>
      <w:bookmarkEnd w:id="324"/>
      <w:r>
        <w:rPr>
          <w:rFonts w:ascii="Times New Roman;Times;Serif" w:hAnsi="Times New Roman;Times;Serif"/>
          <w:b w:val="false"/>
          <w:i w:val="false"/>
          <w:caps w:val="false"/>
          <w:smallCaps w:val="false"/>
          <w:sz w:val="20"/>
        </w:rPr>
        <w:t xml:space="preserve">9.67 years. As of March 31, 2026, the weighted average discount rate on the operating lease is </w:t>
      </w:r>
      <w:bookmarkStart w:id="325" w:name="xdx_907_eus-gaap--OperatingLeaseWeighted"/>
      <w:bookmarkEnd w:id="325"/>
      <w:r>
        <w:rPr>
          <w:rFonts w:ascii="Times New Roman;Times;Serif" w:hAnsi="Times New Roman;Times;Serif"/>
          <w:b w:val="false"/>
          <w:i w:val="false"/>
          <w:caps w:val="false"/>
          <w:smallCaps w:val="false"/>
          <w:sz w:val="20"/>
        </w:rPr>
        <w:t>8.0%.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6" w:name="xdx_801_eus-gaap--DisclosureOfCompensati"/>
      <w:bookmarkEnd w:id="326"/>
      <w:r>
        <w:rPr>
          <w:rFonts w:ascii="Times New Roman;Times;Serif" w:hAnsi="Times New Roman;Times;Serif"/>
          <w:b/>
          <w:i w:val="false"/>
          <w:caps w:val="false"/>
          <w:smallCaps w:val="false"/>
          <w:sz w:val="20"/>
        </w:rPr>
        <w:t xml:space="preserve">8. </w:t>
      </w:r>
      <w:bookmarkStart w:id="327" w:name="xdx_82A_z6GOmPQqdHmf"/>
      <w:bookmarkEnd w:id="327"/>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8" w:name="xdx_89D_eus-gaap--ScheduleOfShareBasedCo"/>
      <w:bookmarkEnd w:id="328"/>
      <w:r>
        <w:rPr>
          <w:rFonts w:ascii="Times New Roman;Times;Serif" w:hAnsi="Times New Roman;Times;Serif"/>
          <w:b w:val="false"/>
          <w:i w:val="false"/>
          <w:caps w:val="false"/>
          <w:smallCaps w:val="false"/>
          <w:sz w:val="20"/>
        </w:rPr>
        <w:t>The following table summarizes stock option activity during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329" w:name="xdx_8B8_z47YCi8IuWHh"/>
      <w:bookmarkEnd w:id="329"/>
      <w:r>
        <w:rPr>
          <w:rFonts w:ascii="Times New Roman;Times;Serif" w:hAnsi="Times New Roman;Times;Serif"/>
          <w:b w:val="false"/>
          <w:i w:val="false"/>
          <w:caps w:val="false"/>
          <w:smallCaps w:val="false"/>
          <w:sz w:val="20"/>
        </w:rPr>
        <w:t>Schedule of Stock Option Activity</w:t>
      </w:r>
    </w:p>
    <w:tbl>
      <w:tblPr>
        <w:tblW w:w="7858" w:type="dxa"/>
        <w:jc w:val="left"/>
        <w:tblInd w:w="0" w:type="dxa"/>
        <w:tblLayout w:type="fixed"/>
        <w:tblCellMar>
          <w:top w:w="0" w:type="dxa"/>
          <w:left w:w="0" w:type="dxa"/>
          <w:bottom w:w="0" w:type="dxa"/>
          <w:right w:w="0" w:type="dxa"/>
        </w:tblCellMar>
      </w:tblPr>
      <w:tblGrid>
        <w:gridCol w:w="3350"/>
        <w:gridCol w:w="60"/>
        <w:gridCol w:w="60"/>
        <w:gridCol w:w="680"/>
        <w:gridCol w:w="95"/>
        <w:gridCol w:w="60"/>
        <w:gridCol w:w="212"/>
        <w:gridCol w:w="1037"/>
        <w:gridCol w:w="60"/>
        <w:gridCol w:w="60"/>
        <w:gridCol w:w="124"/>
        <w:gridCol w:w="916"/>
        <w:gridCol w:w="60"/>
        <w:gridCol w:w="60"/>
        <w:gridCol w:w="565"/>
        <w:gridCol w:w="384"/>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Aggregate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Intrinsic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30" w:name="xdx_98C_eus-gaap--ShareBasedCompensation"/>
            <w:bookmarkEnd w:id="330"/>
          </w:p>
        </w:tc>
        <w:tc>
          <w:tcPr>
            <w:tcW w:w="680" w:type="dxa"/>
            <w:tcBorders/>
            <w:shd w:fill="CCEEFF" w:val="clear"/>
            <w:vAlign w:val="center"/>
          </w:tcPr>
          <w:p>
            <w:pPr>
              <w:pStyle w:val="TableContents"/>
              <w:bidi w:val="0"/>
              <w:spacing w:before="0" w:after="283"/>
              <w:jc w:val="right"/>
              <w:rPr/>
            </w:pPr>
            <w:r>
              <w:rPr/>
              <w:t>29,028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bookmarkStart w:id="331" w:name="xdx_98B_eus-gaap--ShareBasedCompensation"/>
            <w:bookmarkEnd w:id="331"/>
          </w:p>
        </w:tc>
        <w:tc>
          <w:tcPr>
            <w:tcW w:w="1037" w:type="dxa"/>
            <w:tcBorders/>
            <w:shd w:fill="CCEEFF" w:val="clear"/>
            <w:vAlign w:val="center"/>
          </w:tcPr>
          <w:p>
            <w:pPr>
              <w:pStyle w:val="TableContents"/>
              <w:bidi w:val="0"/>
              <w:spacing w:before="0" w:after="283"/>
              <w:jc w:val="right"/>
              <w:rPr/>
            </w:pPr>
            <w:r>
              <w:rPr/>
              <w:t>137.22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bookmarkStart w:id="332" w:name="xdx_903_eus-gaap--SharebasedCompensation"/>
            <w:bookmarkEnd w:id="332"/>
            <w:r>
              <w:rPr/>
              <w:t>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w:t>
            </w:r>
            <w:bookmarkStart w:id="333" w:name="xdx_989_eus-gaap--ShareBasedCompensation"/>
            <w:bookmarkEnd w:id="333"/>
          </w:p>
        </w:tc>
        <w:tc>
          <w:tcPr>
            <w:tcW w:w="38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4" w:name="xdx_988_eus-gaap--ShareBasedCompensation"/>
            <w:bookmarkEnd w:id="334"/>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bookmarkStart w:id="335" w:name="xdx_981_eus-gaap--ShareBasedCompensation"/>
            <w:bookmarkEnd w:id="335"/>
          </w:p>
        </w:tc>
        <w:tc>
          <w:tcPr>
            <w:tcW w:w="10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36" w:name="xdx_98F_eus-gaap--StockIssuedDuringPerio"/>
            <w:bookmarkEnd w:id="336"/>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bookmarkStart w:id="337" w:name="xdx_98E_eus-gaap--ShareBasedCompensation"/>
            <w:bookmarkEnd w:id="337"/>
          </w:p>
        </w:tc>
        <w:tc>
          <w:tcPr>
            <w:tcW w:w="10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Unvested 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8" w:name="xdx_986_eus-gaap--ShareBasedCompensation"/>
            <w:bookmarkEnd w:id="338"/>
          </w:p>
        </w:tc>
        <w:tc>
          <w:tcPr>
            <w:tcW w:w="680"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bookmarkStart w:id="339" w:name="xdx_983_eus-gaap--ShareBasedCompensation"/>
            <w:bookmarkEnd w:id="339"/>
          </w:p>
        </w:tc>
        <w:tc>
          <w:tcPr>
            <w:tcW w:w="1037" w:type="dxa"/>
            <w:tcBorders/>
            <w:shd w:fill="FFFFFF" w:val="clear"/>
            <w:vAlign w:val="center"/>
          </w:tcPr>
          <w:p>
            <w:pPr>
              <w:pStyle w:val="TableContents"/>
              <w:bidi w:val="0"/>
              <w:spacing w:before="0" w:after="283"/>
              <w:jc w:val="right"/>
              <w:rPr/>
            </w:pPr>
            <w:r>
              <w:rPr/>
              <w:t>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Vested forfeited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40" w:name="xdx_98A_ecustom--ShareBasedCompensationA"/>
            <w:bookmarkEnd w:id="340"/>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(3,753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41" w:name="xdx_983_ecustom--ShareBasedCompensationA"/>
            <w:bookmarkEnd w:id="341"/>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pPr>
            <w:r>
              <w:rPr/>
              <w:t>346.52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Outstanding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42" w:name="xdx_984_eus-gaap--ShareBasedCompensation"/>
            <w:bookmarkEnd w:id="342"/>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25,191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343" w:name="xdx_988_eus-gaap--ShareBasedCompensation"/>
            <w:bookmarkEnd w:id="343"/>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106.46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344" w:name="xdx_905_eus-gaap--SharebasedCompensation"/>
            <w:bookmarkEnd w:id="344"/>
            <w:r>
              <w:rPr/>
              <w:t>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345" w:name="xdx_98F_eus-gaap--ShareBasedCompensation"/>
            <w:bookmarkEnd w:id="345"/>
          </w:p>
        </w:tc>
        <w:tc>
          <w:tcPr>
            <w:tcW w:w="38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Exercisable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46" w:name="xdx_98D_eus-gaap--ShareBasedCompensation"/>
            <w:bookmarkEnd w:id="346"/>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24,148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47" w:name="xdx_981_eus-gaap--ShareBasedCompensation"/>
            <w:bookmarkEnd w:id="347"/>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112.51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348" w:name="xdx_901_eus-gaap--SharebasedCompensation"/>
            <w:bookmarkEnd w:id="348"/>
            <w:r>
              <w:rPr/>
              <w:t>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49" w:name="xdx_981_eus-gaap--SharebasedCompensation"/>
            <w:bookmarkEnd w:id="349"/>
          </w:p>
        </w:tc>
        <w:tc>
          <w:tcPr>
            <w:tcW w:w="38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0" w:name="xdx_8A8_z0yU7tUhRya6"/>
      <w:bookmarkEnd w:id="35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the Company recognized $</w:t>
      </w:r>
      <w:bookmarkStart w:id="351" w:name="xdx_905_eus-gaap--SharebasedCompensation"/>
      <w:bookmarkEnd w:id="351"/>
      <w:r>
        <w:rPr>
          <w:rFonts w:ascii="Times New Roman;Times;Serif" w:hAnsi="Times New Roman;Times;Serif"/>
          <w:b w:val="false"/>
          <w:i w:val="false"/>
          <w:caps w:val="false"/>
          <w:smallCaps w:val="false"/>
          <w:sz w:val="20"/>
        </w:rPr>
        <w:t>5 and $</w:t>
      </w:r>
      <w:bookmarkStart w:id="352" w:name="xdx_90D_eus-gaap--SharebasedCompensation"/>
      <w:bookmarkEnd w:id="352"/>
      <w:r>
        <w:rPr>
          <w:rFonts w:ascii="Times New Roman;Times;Serif" w:hAnsi="Times New Roman;Times;Serif"/>
          <w:b w:val="false"/>
          <w:i w:val="false"/>
          <w:caps w:val="false"/>
          <w:smallCaps w:val="false"/>
          <w:sz w:val="20"/>
        </w:rPr>
        <w:t>47 of compensation expense relating to vested stock options. As of March 31, 2026, the aggregate amount of unvested compensation related to stock options was approximately $</w:t>
      </w:r>
      <w:bookmarkStart w:id="353" w:name="xdx_902_eus-gaap--EmployeeServiceShareBa"/>
      <w:bookmarkEnd w:id="353"/>
      <w:r>
        <w:rPr>
          <w:rFonts w:ascii="Times New Roman;Times;Serif" w:hAnsi="Times New Roman;Times;Serif"/>
          <w:b w:val="false"/>
          <w:i w:val="false"/>
          <w:caps w:val="false"/>
          <w:smallCaps w:val="false"/>
          <w:sz w:val="20"/>
        </w:rPr>
        <w:t>5, which will be recognized as an expense as the options vest in future periods through April 30,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outstanding and exercisable options have no aggregate intrinsic value. The aggregate intrinsic value was calculated as the difference between the closing market price as of March 31, 2026, which was $</w:t>
      </w:r>
      <w:bookmarkStart w:id="354" w:name="xdx_90D_eus-gaap--SharePrice_iI_pid_c202"/>
      <w:bookmarkEnd w:id="354"/>
      <w:r>
        <w:rPr>
          <w:rFonts w:ascii="Times New Roman;Times;Serif" w:hAnsi="Times New Roman;Times;Serif"/>
          <w:b w:val="false"/>
          <w:i w:val="false"/>
          <w:caps w:val="false"/>
          <w:smallCaps w:val="false"/>
          <w:sz w:val="20"/>
        </w:rPr>
        <w:t>3.63, and the exercise price of the outstanding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5" w:name="xdx_801_ecustom--StockWarrantsTextBlock_"/>
      <w:bookmarkEnd w:id="355"/>
      <w:r>
        <w:rPr>
          <w:rFonts w:ascii="Times New Roman;Times;Serif" w:hAnsi="Times New Roman;Times;Serif"/>
          <w:b/>
          <w:i w:val="false"/>
          <w:caps w:val="false"/>
          <w:smallCaps w:val="false"/>
          <w:sz w:val="20"/>
        </w:rPr>
        <w:t xml:space="preserve">9. </w:t>
      </w:r>
      <w:bookmarkStart w:id="356" w:name="xdx_823_ztqE1iEw61X8"/>
      <w:bookmarkEnd w:id="356"/>
      <w:r>
        <w:rPr>
          <w:rFonts w:ascii="Times New Roman;Times;Serif" w:hAnsi="Times New Roman;Times;Serif"/>
          <w:b/>
          <w:i w:val="false"/>
          <w:caps w:val="false"/>
          <w:smallCaps w:val="false"/>
          <w:sz w:val="20"/>
        </w:rPr>
        <w:t>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7" w:name="xdx_897_ecustom--ScheduleOfNonOptionEqui"/>
      <w:bookmarkEnd w:id="357"/>
      <w:r>
        <w:rPr>
          <w:rFonts w:ascii="Times New Roman;Times;Serif" w:hAnsi="Times New Roman;Times;Serif"/>
          <w:b w:val="false"/>
          <w:i w:val="false"/>
          <w:caps w:val="false"/>
          <w:smallCaps w:val="false"/>
          <w:sz w:val="20"/>
        </w:rPr>
        <w:t>The Company’s warrant activity during the three months ended March 31, 2026 is as follows:</w:t>
      </w:r>
    </w:p>
    <w:p>
      <w:pPr>
        <w:pStyle w:val="TextBody"/>
        <w:bidi w:val="0"/>
        <w:spacing w:before="0" w:after="0"/>
        <w:ind w:left="0" w:right="0" w:hanging="0"/>
        <w:jc w:val="both"/>
        <w:rPr>
          <w:caps w:val="false"/>
          <w:smallCaps w:val="false"/>
        </w:rPr>
      </w:pPr>
      <w:r>
        <w:rPr>
          <w:caps w:val="false"/>
          <w:smallCaps w:val="false"/>
        </w:rPr>
        <w:t> </w:t>
      </w:r>
      <w:bookmarkStart w:id="358" w:name="xdx_8BE_zLPTgih2EoSh"/>
      <w:bookmarkEnd w:id="358"/>
      <w:r>
        <w:rPr>
          <w:rFonts w:ascii="Times New Roman;Times;Serif" w:hAnsi="Times New Roman;Times;Serif"/>
          <w:b w:val="false"/>
          <w:i w:val="false"/>
          <w:caps w:val="false"/>
          <w:smallCaps w:val="false"/>
          <w:sz w:val="20"/>
        </w:rPr>
        <w:t>Schedule of Warrant Activity</w:t>
      </w:r>
    </w:p>
    <w:tbl>
      <w:tblPr>
        <w:tblW w:w="8275" w:type="dxa"/>
        <w:jc w:val="left"/>
        <w:tblInd w:w="0" w:type="dxa"/>
        <w:tblLayout w:type="fixed"/>
        <w:tblCellMar>
          <w:top w:w="0" w:type="dxa"/>
          <w:left w:w="0" w:type="dxa"/>
          <w:bottom w:w="0" w:type="dxa"/>
          <w:right w:w="0" w:type="dxa"/>
        </w:tblCellMar>
      </w:tblPr>
      <w:tblGrid>
        <w:gridCol w:w="3350"/>
        <w:gridCol w:w="60"/>
        <w:gridCol w:w="60"/>
        <w:gridCol w:w="980"/>
        <w:gridCol w:w="60"/>
        <w:gridCol w:w="60"/>
        <w:gridCol w:w="258"/>
        <w:gridCol w:w="812"/>
        <w:gridCol w:w="60"/>
        <w:gridCol w:w="60"/>
        <w:gridCol w:w="150"/>
        <w:gridCol w:w="1100"/>
        <w:gridCol w:w="60"/>
        <w:gridCol w:w="60"/>
        <w:gridCol w:w="637"/>
        <w:gridCol w:w="433"/>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Terms</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Intrinsic</w:t>
              <w:br/>
              <w:t>Value</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59" w:name="xdx_98C_eus-gaap--ShareBasedCompensation"/>
            <w:bookmarkEnd w:id="359"/>
          </w:p>
        </w:tc>
        <w:tc>
          <w:tcPr>
            <w:tcW w:w="980" w:type="dxa"/>
            <w:tcBorders/>
            <w:shd w:fill="CCEEFF" w:val="clear"/>
            <w:vAlign w:val="center"/>
          </w:tcPr>
          <w:p>
            <w:pPr>
              <w:pStyle w:val="TableContents"/>
              <w:bidi w:val="0"/>
              <w:spacing w:before="0" w:after="283"/>
              <w:jc w:val="right"/>
              <w:rPr/>
            </w:pPr>
            <w:r>
              <w:rPr/>
              <w:t>2,963,215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bookmarkStart w:id="360" w:name="xdx_981_ecustom--ShareBasedCompensationA"/>
            <w:bookmarkEnd w:id="360"/>
          </w:p>
        </w:tc>
        <w:tc>
          <w:tcPr>
            <w:tcW w:w="812" w:type="dxa"/>
            <w:tcBorders/>
            <w:shd w:fill="CCEEFF" w:val="clear"/>
            <w:vAlign w:val="center"/>
          </w:tcPr>
          <w:p>
            <w:pPr>
              <w:pStyle w:val="TableContents"/>
              <w:bidi w:val="0"/>
              <w:spacing w:before="0" w:after="283"/>
              <w:jc w:val="right"/>
              <w:rPr/>
            </w:pPr>
            <w:r>
              <w:rPr/>
              <w:t>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361" w:name="xdx_90A_ecustom--ShareBasedCompensationA"/>
            <w:bookmarkEnd w:id="361"/>
            <w:r>
              <w:rPr/>
              <w:t>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w:t>
            </w:r>
            <w:bookmarkStart w:id="362" w:name="xdx_98D_ecustom--ShareBasedCompensationA"/>
            <w:bookmarkEnd w:id="362"/>
          </w:p>
        </w:tc>
        <w:tc>
          <w:tcPr>
            <w:tcW w:w="43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63" w:name="xdx_989_eus-gaap--ShareBasedCompensation"/>
            <w:bookmarkEnd w:id="363"/>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bookmarkStart w:id="364" w:name="xdx_982_ecustom--ShareBasedCompensationA"/>
            <w:bookmarkEnd w:id="364"/>
          </w:p>
        </w:tc>
        <w:tc>
          <w:tcPr>
            <w:tcW w:w="8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65" w:name="xdx_98E_eus-gaap--ShareBasedCompensation"/>
            <w:bookmarkEnd w:id="365"/>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bookmarkStart w:id="366" w:name="xdx_985_ecustom--ShareBasedCompensationA"/>
            <w:bookmarkEnd w:id="366"/>
          </w:p>
        </w:tc>
        <w:tc>
          <w:tcPr>
            <w:tcW w:w="8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67" w:name="xdx_98F_eus-gaap--ShareBasedCompensation"/>
            <w:bookmarkEnd w:id="367"/>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68" w:name="xdx_989_ecustom--ShareBasedCompensationA"/>
            <w:bookmarkEnd w:id="368"/>
          </w:p>
        </w:tc>
        <w:tc>
          <w:tcPr>
            <w:tcW w:w="8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69" w:name="xdx_980_eus-gaap--ShareBasedCompensation"/>
            <w:bookmarkEnd w:id="369"/>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2,963,215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370" w:name="xdx_98F_ecustom--ShareBasedCompensationA"/>
            <w:bookmarkEnd w:id="370"/>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pPr>
            <w:r>
              <w:rPr/>
              <w:t>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371" w:name="xdx_90B_ecustom--ShareBasedCompensationA"/>
            <w:bookmarkEnd w:id="371"/>
            <w:r>
              <w:rPr/>
              <w:t>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372" w:name="xdx_986_ecustom--ShareBasedCompensationA"/>
            <w:bookmarkEnd w:id="372"/>
          </w:p>
        </w:tc>
        <w:tc>
          <w:tcPr>
            <w:tcW w:w="4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Exercisable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73" w:name="xdx_98B_ecustom--ShareBasedCompensationA"/>
            <w:bookmarkEnd w:id="373"/>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2,963,215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374" w:name="xdx_984_ecustom--ShareBasedCompensationA"/>
            <w:bookmarkEnd w:id="374"/>
          </w:p>
        </w:tc>
        <w:tc>
          <w:tcPr>
            <w:tcW w:w="812" w:type="dxa"/>
            <w:tcBorders>
              <w:bottom w:val="single" w:sz="8" w:space="0" w:color="000000"/>
            </w:tcBorders>
            <w:shd w:fill="FFFFFF" w:val="clear"/>
            <w:tcMar>
              <w:bottom w:w="28" w:type="dxa"/>
            </w:tcMar>
            <w:vAlign w:val="center"/>
          </w:tcPr>
          <w:p>
            <w:pPr>
              <w:pStyle w:val="TableContents"/>
              <w:bidi w:val="0"/>
              <w:spacing w:before="0" w:after="283"/>
              <w:jc w:val="right"/>
              <w:rPr/>
            </w:pPr>
            <w:r>
              <w:rPr/>
              <w:t>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375" w:name="xdx_904_ecustom--ShareBasedCompensationA"/>
            <w:bookmarkEnd w:id="375"/>
            <w:r>
              <w:rPr/>
              <w:t>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376" w:name="xdx_983_ecustom--ShareBasedCompensationA"/>
            <w:bookmarkEnd w:id="376"/>
          </w:p>
        </w:tc>
        <w:tc>
          <w:tcPr>
            <w:tcW w:w="43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7" w:name="xdx_8A1_zuyWZLhB8WOj"/>
      <w:bookmarkEnd w:id="3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outstanding and exercisable warrants have no aggregate intrinsic value. The aggregate intrinsic value was calculated as the difference between the closing market price as of March 31, 2026, which was $</w:t>
      </w:r>
      <w:bookmarkStart w:id="378" w:name="xdx_903_eus-gaap--ClassOfWarrantOrRightE"/>
      <w:bookmarkEnd w:id="378"/>
      <w:r>
        <w:rPr>
          <w:rFonts w:ascii="Times New Roman;Times;Serif" w:hAnsi="Times New Roman;Times;Serif"/>
          <w:b w:val="false"/>
          <w:i w:val="false"/>
          <w:caps w:val="false"/>
          <w:smallCaps w:val="false"/>
          <w:sz w:val="20"/>
        </w:rPr>
        <w:t>3.63, and the exercise price of the Company’s warrants to purchase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9" w:name="xdx_80E_eus-gaap--RelatedPartyTransactio"/>
      <w:bookmarkEnd w:id="379"/>
      <w:r>
        <w:rPr>
          <w:rFonts w:ascii="Times New Roman;Times;Serif" w:hAnsi="Times New Roman;Times;Serif"/>
          <w:b/>
          <w:i w:val="false"/>
          <w:caps w:val="false"/>
          <w:smallCaps w:val="false"/>
          <w:sz w:val="20"/>
        </w:rPr>
        <w:t xml:space="preserve">10. </w:t>
      </w:r>
      <w:bookmarkStart w:id="380" w:name="xdx_827_zcGgdJ0qGvX9"/>
      <w:bookmarkEnd w:id="380"/>
      <w:r>
        <w:rPr>
          <w:rFonts w:ascii="Times New Roman;Times;Serif" w:hAnsi="Times New Roman;Times;Serif"/>
          <w:b/>
          <w:i w:val="false"/>
          <w:caps w:val="false"/>
          <w:smallCaps w:val="false"/>
          <w:sz w:val="20"/>
        </w:rPr>
        <w:t>Transactions with California Custom Beverage, LLC, former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2018, the Company signed a co-packing agreement with California Custom Beverage, LLC’s (“CCB”), an entity owned by a former related party, pursuant to which CCB agreed to produce certain products for the Company for agreed fees. The co-packing agreement, as amended, includes certain provisions for product inputs, shrinkage, and quality assurance. Also beginning in 2019, CCB agreed to pay the Company a </w:t>
      </w:r>
      <w:bookmarkStart w:id="381" w:name="xdx_909_ecustom--RoyaltyPercentage_iI_dp"/>
      <w:bookmarkEnd w:id="381"/>
      <w:r>
        <w:rPr>
          <w:rFonts w:ascii="Times New Roman;Times;Serif" w:hAnsi="Times New Roman;Times;Serif"/>
          <w:b w:val="false"/>
          <w:i w:val="false"/>
          <w:caps w:val="false"/>
          <w:smallCaps w:val="false"/>
          <w:sz w:val="20"/>
        </w:rPr>
        <w:t>5% royalty through 2021 on certain private label sales made by CCB.</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CCB filed an arbitration demand alleging claims against the Company for various disputed amounts outstanding. Also in January 2024, the Company filed an arbitration demand alleging claims against CCB for various disputed amounts outstanding. The two cases were consolidated.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arbitrator issued an interim award in favor of the Company. The interim award is expected to become a final award after a final determination of the costs and prejudgment interest is made by the arbitrator.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2" w:name="xdx_801_eus-gaap--CommitmentsAndContinge"/>
      <w:bookmarkEnd w:id="382"/>
      <w:r>
        <w:rPr>
          <w:rFonts w:ascii="Times New Roman;Times;Serif" w:hAnsi="Times New Roman;Times;Serif"/>
          <w:b/>
          <w:i w:val="false"/>
          <w:caps w:val="false"/>
          <w:smallCaps w:val="false"/>
          <w:sz w:val="20"/>
        </w:rPr>
        <w:t xml:space="preserve">11. </w:t>
      </w:r>
      <w:bookmarkStart w:id="383" w:name="xdx_828_zMrVN0rbmThe"/>
      <w:bookmarkEnd w:id="383"/>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claims and legal proceedings arising in the ordinary course of business. The Company’s management evaluates its exposure to these claims and proceedings individually and in the aggregate and provides for potential losses on such litigation if the amount of the loss is estimable and the loss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there are no material litigation matters at the current time. Although the results of such litigation matters and claims cannot be predicted with certainty, the Company believes that the final outcome of such claims and proceedings will not have a material adverse impact on the Company’s financial position, liquidity,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4" w:name="xdx_80B_eus-gaap--SegmentReportingDisclo"/>
      <w:bookmarkEnd w:id="384"/>
      <w:r>
        <w:rPr>
          <w:rFonts w:ascii="Times New Roman;Times;Serif" w:hAnsi="Times New Roman;Times;Serif"/>
          <w:b/>
          <w:i w:val="false"/>
          <w:caps w:val="false"/>
          <w:smallCaps w:val="false"/>
          <w:sz w:val="20"/>
        </w:rPr>
        <w:t xml:space="preserve">12. </w:t>
      </w:r>
      <w:bookmarkStart w:id="385" w:name="xdx_82E_zvsXQ7BD7GRd"/>
      <w:bookmarkEnd w:id="385"/>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as one reportable and operating segment as a manufacturer of carbonated beverages under Reed’s and Virgil’s brand names. The measure of segment assets is reported on the balance sheet as total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 maker (“CODM”), the Company’s Chief Executive Officer, reviews financial information presented and decides how to allocate resources based on net income (loss). Net income (loss) is used for evaluating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segment expenses include research and development, salaries, insurance, and stock-based compensation. Operating expenses include all the remaining costs necessary to operate the Company’s business, which primarily include external professional services and other administrative expenses. The following table presents the significant segment expenses and other segment items regularly reviewed by the Company’s CODM.</w:t>
      </w:r>
    </w:p>
    <w:p>
      <w:pPr>
        <w:pStyle w:val="TextBody"/>
        <w:bidi w:val="0"/>
        <w:spacing w:before="0" w:after="0"/>
        <w:ind w:left="0" w:right="0" w:hanging="0"/>
        <w:jc w:val="both"/>
        <w:rPr>
          <w:caps w:val="false"/>
          <w:smallCaps w:val="false"/>
        </w:rPr>
      </w:pPr>
      <w:bookmarkStart w:id="386" w:name="xdx_898_eus-gaap--ScheduleOfSegmentRepor"/>
      <w:bookmarkEnd w:id="386"/>
      <w:r>
        <w:rPr>
          <w:caps w:val="false"/>
          <w:smallCaps w:val="false"/>
        </w:rPr>
        <w:t> </w:t>
      </w:r>
      <w:bookmarkStart w:id="387" w:name="xdx_8B9_zhkWWPCQASA2"/>
      <w:bookmarkEnd w:id="387"/>
      <w:r>
        <w:rPr>
          <w:rFonts w:ascii="Times New Roman;Times;Serif" w:hAnsi="Times New Roman;Times;Serif"/>
          <w:b w:val="false"/>
          <w:i w:val="false"/>
          <w:caps w:val="false"/>
          <w:smallCaps w:val="false"/>
          <w:sz w:val="20"/>
        </w:rPr>
        <w:t>Schedule of Segment Information</w:t>
      </w:r>
    </w:p>
    <w:tbl>
      <w:tblPr>
        <w:tblW w:w="6041" w:type="dxa"/>
        <w:jc w:val="left"/>
        <w:tblInd w:w="0" w:type="dxa"/>
        <w:tblLayout w:type="fixed"/>
        <w:tblCellMar>
          <w:top w:w="0" w:type="dxa"/>
          <w:left w:w="0" w:type="dxa"/>
          <w:bottom w:w="0" w:type="dxa"/>
          <w:right w:w="0" w:type="dxa"/>
        </w:tblCellMar>
      </w:tblPr>
      <w:tblGrid>
        <w:gridCol w:w="2555"/>
        <w:gridCol w:w="60"/>
        <w:gridCol w:w="272"/>
        <w:gridCol w:w="1236"/>
        <w:gridCol w:w="184"/>
        <w:gridCol w:w="116"/>
        <w:gridCol w:w="272"/>
        <w:gridCol w:w="1236"/>
        <w:gridCol w:w="11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8" w:name="xdx_497_20260101__20260331_zepVId9cNCF2"/>
            <w:bookmarkEnd w:id="388"/>
          </w:p>
        </w:tc>
        <w:tc>
          <w:tcPr>
            <w:tcW w:w="15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84"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bookmarkStart w:id="389" w:name="xdx_497_20250101__20250331_z0u5VotI3uAe"/>
            <w:bookmarkEnd w:id="389"/>
          </w:p>
        </w:tc>
        <w:tc>
          <w:tcPr>
            <w:tcW w:w="15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84"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8" w:type="dxa"/>
            <w:gridSpan w:val="2"/>
            <w:tcBorders/>
            <w:vAlign w:val="center"/>
          </w:tcPr>
          <w:p>
            <w:pPr>
              <w:pStyle w:val="TableContents"/>
              <w:bidi w:val="0"/>
              <w:spacing w:before="0" w:after="283"/>
              <w:jc w:val="right"/>
              <w:rPr/>
            </w:pPr>
            <w:r>
              <w:rPr/>
              <w:t> </w:t>
            </w:r>
          </w:p>
        </w:tc>
        <w:tc>
          <w:tcPr>
            <w:tcW w:w="184"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08"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390" w:name="xdx_402_eus-gaap--OperatingExpensesAbstr"/>
            <w:bookmarkEnd w:id="390"/>
          </w:p>
        </w:tc>
      </w:tr>
      <w:tr>
        <w:trPr/>
        <w:tc>
          <w:tcPr>
            <w:tcW w:w="255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1" w:name="xdx_40C_eus-gaap--SalariesAndWages_i01_p"/>
            <w:bookmarkEnd w:id="391"/>
          </w:p>
        </w:tc>
      </w:tr>
      <w:tr>
        <w:trPr/>
        <w:tc>
          <w:tcPr>
            <w:tcW w:w="2555" w:type="dxa"/>
            <w:tcBorders/>
            <w:shd w:fill="FFFFFF" w:val="clear"/>
            <w:vAlign w:val="center"/>
          </w:tcPr>
          <w:p>
            <w:pPr>
              <w:pStyle w:val="TableContents"/>
              <w:bidi w:val="0"/>
              <w:spacing w:before="0" w:after="283"/>
              <w:jc w:val="left"/>
              <w:rPr/>
            </w:pPr>
            <w:r>
              <w:rPr/>
              <w:t>Salaries</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1,757</w:t>
            </w:r>
          </w:p>
        </w:tc>
        <w:tc>
          <w:tcPr>
            <w:tcW w:w="18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1,056</w:t>
            </w:r>
          </w:p>
        </w:tc>
        <w:tc>
          <w:tcPr>
            <w:tcW w:w="110" w:type="dxa"/>
            <w:tcBorders/>
            <w:shd w:fill="FFFFFF" w:val="clear"/>
            <w:vAlign w:val="center"/>
          </w:tcPr>
          <w:p>
            <w:pPr>
              <w:pStyle w:val="TableContents"/>
              <w:bidi w:val="0"/>
              <w:spacing w:before="0" w:after="283"/>
              <w:jc w:val="left"/>
              <w:rPr/>
            </w:pPr>
            <w:r>
              <w:rPr/>
              <w:t> </w:t>
            </w:r>
            <w:bookmarkStart w:id="392" w:name="xdx_403_eus-gaap--InsuranceTax_i01_pn3n3"/>
            <w:bookmarkEnd w:id="392"/>
          </w:p>
        </w:tc>
      </w:tr>
      <w:tr>
        <w:trPr/>
        <w:tc>
          <w:tcPr>
            <w:tcW w:w="2555"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121</w:t>
            </w:r>
          </w:p>
        </w:tc>
        <w:tc>
          <w:tcPr>
            <w:tcW w:w="18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128</w:t>
            </w:r>
          </w:p>
        </w:tc>
        <w:tc>
          <w:tcPr>
            <w:tcW w:w="110" w:type="dxa"/>
            <w:tcBorders/>
            <w:shd w:fill="CCEEFF" w:val="clear"/>
            <w:vAlign w:val="center"/>
          </w:tcPr>
          <w:p>
            <w:pPr>
              <w:pStyle w:val="TableContents"/>
              <w:bidi w:val="0"/>
              <w:spacing w:before="0" w:after="283"/>
              <w:jc w:val="left"/>
              <w:rPr/>
            </w:pPr>
            <w:r>
              <w:rPr/>
              <w:t> </w:t>
            </w:r>
            <w:bookmarkStart w:id="393" w:name="xdx_402_eus-gaap--ShareBasedCompensation"/>
            <w:bookmarkEnd w:id="393"/>
          </w:p>
        </w:tc>
      </w:tr>
      <w:tr>
        <w:trPr/>
        <w:tc>
          <w:tcPr>
            <w:tcW w:w="255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5</w:t>
            </w:r>
          </w:p>
        </w:tc>
        <w:tc>
          <w:tcPr>
            <w:tcW w:w="18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47</w:t>
            </w:r>
          </w:p>
        </w:tc>
        <w:tc>
          <w:tcPr>
            <w:tcW w:w="110" w:type="dxa"/>
            <w:tcBorders/>
            <w:shd w:fill="FFFFFF" w:val="clear"/>
            <w:vAlign w:val="center"/>
          </w:tcPr>
          <w:p>
            <w:pPr>
              <w:pStyle w:val="TableContents"/>
              <w:bidi w:val="0"/>
              <w:spacing w:before="0" w:after="283"/>
              <w:jc w:val="left"/>
              <w:rPr/>
            </w:pPr>
            <w:r>
              <w:rPr/>
              <w:t> </w:t>
            </w:r>
            <w:bookmarkStart w:id="394" w:name="xdx_40D_ecustom--SellingAndMarketing_i01"/>
            <w:bookmarkEnd w:id="394"/>
          </w:p>
        </w:tc>
      </w:tr>
      <w:tr>
        <w:trPr/>
        <w:tc>
          <w:tcPr>
            <w:tcW w:w="255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1,194</w:t>
            </w:r>
          </w:p>
        </w:tc>
        <w:tc>
          <w:tcPr>
            <w:tcW w:w="18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1,001</w:t>
            </w:r>
          </w:p>
        </w:tc>
        <w:tc>
          <w:tcPr>
            <w:tcW w:w="110" w:type="dxa"/>
            <w:tcBorders/>
            <w:shd w:fill="CCEEFF" w:val="clear"/>
            <w:vAlign w:val="center"/>
          </w:tcPr>
          <w:p>
            <w:pPr>
              <w:pStyle w:val="TableContents"/>
              <w:bidi w:val="0"/>
              <w:spacing w:before="0" w:after="283"/>
              <w:jc w:val="left"/>
              <w:rPr/>
            </w:pPr>
            <w:r>
              <w:rPr/>
              <w:t> </w:t>
            </w:r>
            <w:bookmarkStart w:id="395" w:name="xdx_404_ecustom--FreightAndDelivery_i01_"/>
            <w:bookmarkEnd w:id="395"/>
          </w:p>
        </w:tc>
      </w:tr>
      <w:tr>
        <w:trPr/>
        <w:tc>
          <w:tcPr>
            <w:tcW w:w="2555" w:type="dxa"/>
            <w:tcBorders/>
            <w:shd w:fill="FFFFFF" w:val="clear"/>
            <w:vAlign w:val="center"/>
          </w:tcPr>
          <w:p>
            <w:pPr>
              <w:pStyle w:val="TableContents"/>
              <w:bidi w:val="0"/>
              <w:spacing w:before="0" w:after="283"/>
              <w:jc w:val="left"/>
              <w:rPr/>
            </w:pPr>
            <w:r>
              <w:rPr/>
              <w:t>Freight and delivery</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869</w:t>
            </w:r>
          </w:p>
        </w:tc>
        <w:tc>
          <w:tcPr>
            <w:tcW w:w="18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1,351</w:t>
            </w:r>
          </w:p>
        </w:tc>
        <w:tc>
          <w:tcPr>
            <w:tcW w:w="110" w:type="dxa"/>
            <w:tcBorders/>
            <w:shd w:fill="FFFFFF" w:val="clear"/>
            <w:vAlign w:val="center"/>
          </w:tcPr>
          <w:p>
            <w:pPr>
              <w:pStyle w:val="TableContents"/>
              <w:bidi w:val="0"/>
              <w:spacing w:before="0" w:after="283"/>
              <w:jc w:val="left"/>
              <w:rPr/>
            </w:pPr>
            <w:r>
              <w:rPr/>
              <w:t> </w:t>
            </w:r>
            <w:bookmarkStart w:id="396" w:name="xdx_40E_ecustom--Warehousing_i01_pn3n3_m"/>
            <w:bookmarkEnd w:id="396"/>
          </w:p>
        </w:tc>
      </w:tr>
      <w:tr>
        <w:trPr/>
        <w:tc>
          <w:tcPr>
            <w:tcW w:w="2555" w:type="dxa"/>
            <w:tcBorders/>
            <w:shd w:fill="CCEEFF" w:val="clear"/>
            <w:vAlign w:val="center"/>
          </w:tcPr>
          <w:p>
            <w:pPr>
              <w:pStyle w:val="TableContents"/>
              <w:bidi w:val="0"/>
              <w:spacing w:before="0" w:after="283"/>
              <w:jc w:val="left"/>
              <w:rPr/>
            </w:pPr>
            <w:r>
              <w:rPr/>
              <w:t>Warehousing</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251</w:t>
            </w:r>
          </w:p>
        </w:tc>
        <w:tc>
          <w:tcPr>
            <w:tcW w:w="18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277</w:t>
            </w:r>
          </w:p>
        </w:tc>
        <w:tc>
          <w:tcPr>
            <w:tcW w:w="110" w:type="dxa"/>
            <w:tcBorders/>
            <w:shd w:fill="CCEEFF" w:val="clear"/>
            <w:vAlign w:val="center"/>
          </w:tcPr>
          <w:p>
            <w:pPr>
              <w:pStyle w:val="TableContents"/>
              <w:bidi w:val="0"/>
              <w:spacing w:before="0" w:after="283"/>
              <w:jc w:val="left"/>
              <w:rPr/>
            </w:pPr>
            <w:r>
              <w:rPr/>
              <w:t> </w:t>
            </w:r>
            <w:bookmarkStart w:id="397" w:name="xdx_40A_eus-gaap--OtherExpenses_i01_pn3n"/>
            <w:bookmarkEnd w:id="397"/>
          </w:p>
        </w:tc>
      </w:tr>
      <w:tr>
        <w:trPr/>
        <w:tc>
          <w:tcPr>
            <w:tcW w:w="2555" w:type="dxa"/>
            <w:tcBorders/>
            <w:shd w:fill="FFFFFF" w:val="clear"/>
            <w:vAlign w:val="center"/>
          </w:tcPr>
          <w:p>
            <w:pPr>
              <w:pStyle w:val="TableContents"/>
              <w:bidi w:val="0"/>
              <w:spacing w:before="0" w:after="283"/>
              <w:jc w:val="left"/>
              <w:rPr/>
            </w:pPr>
            <w:r>
              <w:rPr/>
              <w:t>Other operating expenses</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2,715</w:t>
            </w:r>
          </w:p>
        </w:tc>
        <w:tc>
          <w:tcPr>
            <w:tcW w:w="18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1,284</w:t>
            </w:r>
          </w:p>
        </w:tc>
        <w:tc>
          <w:tcPr>
            <w:tcW w:w="110" w:type="dxa"/>
            <w:tcBorders/>
            <w:shd w:fill="FFFFFF" w:val="clear"/>
            <w:vAlign w:val="center"/>
          </w:tcPr>
          <w:p>
            <w:pPr>
              <w:pStyle w:val="TableContents"/>
              <w:bidi w:val="0"/>
              <w:spacing w:before="0" w:after="283"/>
              <w:jc w:val="left"/>
              <w:rPr/>
            </w:pPr>
            <w:r>
              <w:rPr/>
              <w:t> </w:t>
            </w:r>
            <w:bookmarkStart w:id="398" w:name="xdx_404_eus-gaap--OperatingExpenses_i01N"/>
            <w:bookmarkEnd w:id="398"/>
          </w:p>
        </w:tc>
      </w:tr>
      <w:tr>
        <w:trPr/>
        <w:tc>
          <w:tcPr>
            <w:tcW w:w="2555"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6" w:type="dxa"/>
            <w:tcBorders>
              <w:bottom w:val="double" w:sz="6" w:space="0" w:color="000000"/>
            </w:tcBorders>
            <w:shd w:fill="CCEEFF" w:val="clear"/>
            <w:tcMar>
              <w:bottom w:w="28" w:type="dxa"/>
            </w:tcMar>
            <w:vAlign w:val="center"/>
          </w:tcPr>
          <w:p>
            <w:pPr>
              <w:pStyle w:val="TableContents"/>
              <w:bidi w:val="0"/>
              <w:spacing w:before="0" w:after="283"/>
              <w:jc w:val="right"/>
              <w:rPr/>
            </w:pPr>
            <w:r>
              <w:rPr/>
              <w:t>(6,912</w:t>
            </w:r>
          </w:p>
        </w:tc>
        <w:tc>
          <w:tcPr>
            <w:tcW w:w="184"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6" w:type="dxa"/>
            <w:tcBorders>
              <w:bottom w:val="double" w:sz="6" w:space="0" w:color="000000"/>
            </w:tcBorders>
            <w:shd w:fill="CCEEFF" w:val="clear"/>
            <w:tcMar>
              <w:bottom w:w="28" w:type="dxa"/>
            </w:tcMar>
            <w:vAlign w:val="center"/>
          </w:tcPr>
          <w:p>
            <w:pPr>
              <w:pStyle w:val="TableContents"/>
              <w:bidi w:val="0"/>
              <w:spacing w:before="0" w:after="283"/>
              <w:jc w:val="right"/>
              <w:rPr/>
            </w:pPr>
            <w:r>
              <w:rPr/>
              <w:t>(5,144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99" w:name="xdx_8AF_z7U0VdiloMZh"/>
      <w:bookmarkEnd w:id="399"/>
      <w:r>
        <w:rPr>
          <w:caps w:val="false"/>
          <w:smallCaps w:val="false"/>
        </w:rPr>
        <w:t> </w:t>
      </w:r>
    </w:p>
    <w:p>
      <w:pPr>
        <w:pStyle w:val="TextBody"/>
        <w:bidi w:val="0"/>
        <w:spacing w:before="0" w:after="0"/>
        <w:ind w:left="0" w:right="0" w:hanging="0"/>
        <w:jc w:val="both"/>
        <w:rPr>
          <w:caps w:val="false"/>
          <w:smallCaps w:val="false"/>
        </w:rPr>
      </w:pPr>
      <w:bookmarkStart w:id="400" w:name="xdx_810_zsRuKbne5Gu4"/>
      <w:bookmarkEnd w:id="40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1" w:name="su_001"/>
      <w:bookmarkEnd w:id="401"/>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financial statements and the related notes appearing elsewhere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our United States generally accepted accounting principles (“U.S. GAAP”) results, the following discussion includes EBITDA as a supplemental measure of our performance. We present EBITDA because we believe it assists investors and analysts in comparing our performance across reporting periods on a consistent basis by excluding items that we do not believe are indicative of our core operating performance. In addition, we use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EBITDA is not a recognized measurement under U.S. GAAP and should not be considered as an alternative to net income, income from operations or any other performance measure derived in accordance with U.S. GAAP, or as an alternative to cash flow from operating activities as a measure of liquidity. We define EBITDA as net income (loss), plus interest expense, tax expense, and depreciation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presented in the discussion below are 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continued its focus on profitable sales growth, improving gross margin, reducing freight costs, and optimizing selling, general and administrative expenses. The sales growth initiatives include channel expansion, in-store product placements, new product innovation, and improved sales execution. The gross margin enhancement initiatives include product portfolio optimization, equitable supplier negotiations, streamlining co-packer processes, and efficient inventory management. Underpinning these initiatives is a focus on optimizing delivery and handling and 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began an expansion into new geographic markets in the Asia Pacific region. The Company formed a wholly owned subsidiary Reed’s (Asia) Limited (BVI). Reed’s (Asia) Limited subsequently formed five additional wholly owned subsidiaries, Reed’s (Hong Kong) Limited, Reed’s (Japan) Limited, Jiangzhi Beverage (Hainan) Co. Limited, Reed’s Beverages (Singapore) PTE Limited, and Shenshen Jiangzi Beverage Co. Limited. These subsidiaries are an early part of the Company’s strategic expansion in the Asia Pacific region. The Company expects continued investment in its Asia Pacific growth initiative. Reed’s (Asia) Limited did not generate material sales in the period ended March 31, 2026 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Trends –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U.S. economy continued to grow in 2025, inflation, actions by the Federal Reserve to address inflation, fluctuations in energy prices, and the potential impacts of tariffs, trade tensions and geopolitical events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vendors in our supply chain, and use alternative suppliers when necessary and available, supply chain constraints could cause a disruption in our ability to obtain raw materials required to manufacture our products and adversely affect our operations.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average cost of shipping and handling was $2.57 per case, as compared to $3.17 per case for the three months ended March 31, 2025. The Company has experienced increases in freight costs and there remains a volatile pricing environment, including due to the armed conflict in Iran. The Company will continue to monitor pricing and availability in transportation and has implemented plans designed to manage this risk. In the past, the Company has been negatively impacted by supply chain challenges affecting our ability to benefit from strong demand for, and increased sales of our product. Any disruption caused by labor shortages, significant raw material cost inflation, logistics issues, increased freight costs, or port congestion, may adversely impact margins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March 31, 2026, we continued to finance our operations through existing cash balances, cash generated from operations, public and private issuance of common stock, and credit lines from financial institutions. As we seek additional financing, there can be no assurance that such financing will be available to us on favorable terms or at all. Our ability to obtain additional financing in the debt and equity capital markets is subject to several factors, including market and economic conditions, our operating performance and investor sentiment with respect to us and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Three Months Ended March 31, 2026, as compared to March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key statistics for the three months ended March 31, 2026 and 2025, respectively, in thousands.</w:t>
      </w:r>
    </w:p>
    <w:p>
      <w:pPr>
        <w:pStyle w:val="TextBody"/>
        <w:bidi w:val="0"/>
        <w:spacing w:before="0" w:after="0"/>
        <w:ind w:left="0" w:right="0" w:hanging="0"/>
        <w:jc w:val="both"/>
        <w:rPr>
          <w:caps w:val="false"/>
          <w:smallCaps w:val="false"/>
        </w:rPr>
      </w:pPr>
      <w:r>
        <w:rPr>
          <w:caps w:val="false"/>
          <w:smallCaps w:val="false"/>
        </w:rPr>
        <w:t> </w:t>
      </w:r>
    </w:p>
    <w:tbl>
      <w:tblPr>
        <w:tblW w:w="9180" w:type="dxa"/>
        <w:jc w:val="left"/>
        <w:tblInd w:w="0" w:type="dxa"/>
        <w:tblLayout w:type="fixed"/>
        <w:tblCellMar>
          <w:top w:w="0" w:type="dxa"/>
          <w:left w:w="0" w:type="dxa"/>
          <w:bottom w:w="0" w:type="dxa"/>
          <w:right w:w="0" w:type="dxa"/>
        </w:tblCellMar>
      </w:tblPr>
      <w:tblGrid>
        <w:gridCol w:w="5165"/>
        <w:gridCol w:w="60"/>
        <w:gridCol w:w="140"/>
        <w:gridCol w:w="1100"/>
        <w:gridCol w:w="215"/>
        <w:gridCol w:w="60"/>
        <w:gridCol w:w="140"/>
        <w:gridCol w:w="980"/>
        <w:gridCol w:w="215"/>
        <w:gridCol w:w="60"/>
        <w:gridCol w:w="111"/>
        <w:gridCol w:w="704"/>
        <w:gridCol w:w="230"/>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Pct.</w:t>
            </w:r>
          </w:p>
        </w:tc>
        <w:tc>
          <w:tcPr>
            <w:tcW w:w="23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Gross billing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8,514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11,013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-23</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Less: Promotional and other allowances (B)</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1,372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984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39</w:t>
            </w:r>
          </w:p>
        </w:tc>
        <w:tc>
          <w:tcPr>
            <w:tcW w:w="23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7,142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10,029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-29</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6,445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-3</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i/>
              </w:rPr>
            </w:pPr>
            <w:r>
              <w:rPr>
                <w:i/>
              </w:rPr>
              <w:t>% of Gross billing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i/>
              </w:rPr>
            </w:pPr>
            <w:r>
              <w:rPr>
                <w:i/>
              </w:rPr>
              <w:t>76</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i/>
              </w:rPr>
            </w:pPr>
            <w:r>
              <w:rPr>
                <w:i/>
              </w:rPr>
              <w:t>60</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i/>
              </w:rPr>
            </w:pPr>
            <w:r>
              <w:rPr>
                <w:i/>
              </w:rPr>
              <w:t>%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i/>
              </w:rPr>
            </w:pPr>
            <w:r>
              <w:rPr>
                <w:i/>
              </w:rPr>
              <w:t>90</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i/>
              </w:rPr>
            </w:pPr>
            <w:r>
              <w:rPr>
                <w:i/>
              </w:rPr>
              <w:t>66</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697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3,402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-80</w:t>
            </w:r>
          </w:p>
        </w:tc>
        <w:tc>
          <w:tcPr>
            <w:tcW w:w="23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i/>
              </w:rPr>
            </w:pPr>
            <w:r>
              <w:rPr>
                <w:i/>
              </w:rPr>
              <w:t>%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i/>
              </w:rPr>
            </w:pPr>
            <w:r>
              <w:rPr>
                <w:i/>
              </w:rPr>
              <w:t>10</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i/>
              </w:rPr>
            </w:pPr>
            <w:r>
              <w:rPr>
                <w:i/>
              </w:rPr>
              <w:t>34</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Delivery and handling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1,120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1,627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-31</w:t>
            </w:r>
          </w:p>
        </w:tc>
        <w:tc>
          <w:tcPr>
            <w:tcW w:w="23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i/>
              </w:rPr>
            </w:pPr>
            <w:r>
              <w:rPr>
                <w:i/>
              </w:rPr>
              <w:t>%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i/>
              </w:rPr>
            </w:pPr>
            <w:r>
              <w:rPr>
                <w:i/>
              </w:rPr>
              <w:t>16</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i/>
              </w:rPr>
            </w:pPr>
            <w:r>
              <w:rPr>
                <w:i/>
              </w:rPr>
              <w:t>16</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i/>
              </w:rPr>
            </w:pPr>
            <w:r>
              <w:rPr>
                <w:i/>
              </w:rPr>
              <w:t>Dollar per case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i/>
              </w:rPr>
            </w:pPr>
            <w:r>
              <w:rPr>
                <w:i/>
              </w:rPr>
              <w:t>$</w:t>
            </w:r>
          </w:p>
        </w:tc>
        <w:tc>
          <w:tcPr>
            <w:tcW w:w="1100" w:type="dxa"/>
            <w:tcBorders/>
            <w:shd w:fill="FFFFFF" w:val="clear"/>
            <w:vAlign w:val="center"/>
          </w:tcPr>
          <w:p>
            <w:pPr>
              <w:pStyle w:val="TableContents"/>
              <w:bidi w:val="0"/>
              <w:spacing w:before="0" w:after="283"/>
              <w:jc w:val="right"/>
              <w:rPr>
                <w:i/>
              </w:rPr>
            </w:pPr>
            <w:r>
              <w:rPr>
                <w:i/>
              </w:rPr>
              <w:t>2.57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i/>
              </w:rPr>
            </w:pPr>
            <w:r>
              <w:rPr>
                <w:i/>
              </w:rPr>
              <w:t>$</w:t>
            </w:r>
          </w:p>
        </w:tc>
        <w:tc>
          <w:tcPr>
            <w:tcW w:w="980" w:type="dxa"/>
            <w:tcBorders/>
            <w:shd w:fill="FFFFFF" w:val="clear"/>
            <w:vAlign w:val="center"/>
          </w:tcPr>
          <w:p>
            <w:pPr>
              <w:pStyle w:val="TableContents"/>
              <w:bidi w:val="0"/>
              <w:spacing w:before="0" w:after="283"/>
              <w:jc w:val="right"/>
              <w:rPr>
                <w:i/>
              </w:rPr>
            </w:pPr>
            <w:r>
              <w:rPr>
                <w:i/>
              </w:rPr>
              <w:t>3.17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16</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i/>
              </w:rPr>
            </w:pPr>
            <w:r>
              <w:rPr>
                <w:i/>
              </w:rPr>
              <w:t>% of Net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i/>
              </w:rPr>
            </w:pPr>
            <w:r>
              <w:rPr>
                <w:i/>
              </w:rPr>
              <w:t>24</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i/>
              </w:rPr>
            </w:pPr>
            <w:r>
              <w:rPr>
                <w:i/>
              </w:rPr>
              <w:t>15</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4,045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101</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i/>
              </w:rPr>
            </w:pPr>
            <w:r>
              <w:rPr>
                <w:i/>
              </w:rPr>
              <w:t>% of Net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i/>
              </w:rPr>
            </w:pPr>
            <w:r>
              <w:rPr>
                <w:i/>
              </w:rPr>
              <w:t>57</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i/>
              </w:rPr>
            </w:pPr>
            <w:r>
              <w:rPr>
                <w:i/>
              </w:rPr>
              <w:t>20</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6,912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5,144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34</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(6,215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(1,742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257</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Interest expense and 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(249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(289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-14</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(6,464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(2,031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218</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b/>
              </w:rPr>
            </w:pPr>
            <w:r>
              <w:rPr>
                <w:b/>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(0.55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(0.27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190</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Weighted average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11,820,429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7,561,875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U.S.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We define promotional and other allowances as costs deducted from gross billing that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U.S. GAAP and meet U.S. GAAP requirements, however the disclosure thereof does not conform to U.S.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key statistics for the transition of the Company’s top line activity from the first quarter of 2025 through the first quarter of 2026.</w:t>
      </w:r>
    </w:p>
    <w:p>
      <w:pPr>
        <w:pStyle w:val="TextBody"/>
        <w:bidi w:val="0"/>
        <w:spacing w:before="0" w:after="0"/>
        <w:ind w:left="0" w:right="0" w:hanging="0"/>
        <w:jc w:val="both"/>
        <w:rPr>
          <w:caps w:val="false"/>
          <w:smallCaps w:val="false"/>
        </w:rPr>
      </w:pPr>
      <w:r>
        <w:rPr>
          <w:caps w:val="false"/>
          <w:smallCaps w:val="false"/>
        </w:rPr>
        <w:t> </w:t>
      </w:r>
    </w:p>
    <w:tbl>
      <w:tblPr>
        <w:tblW w:w="8353" w:type="dxa"/>
        <w:jc w:val="left"/>
        <w:tblInd w:w="0" w:type="dxa"/>
        <w:tblLayout w:type="fixed"/>
        <w:tblCellMar>
          <w:top w:w="0" w:type="dxa"/>
          <w:left w:w="0" w:type="dxa"/>
          <w:bottom w:w="0" w:type="dxa"/>
          <w:right w:w="0" w:type="dxa"/>
        </w:tblCellMar>
      </w:tblPr>
      <w:tblGrid>
        <w:gridCol w:w="1445"/>
        <w:gridCol w:w="60"/>
        <w:gridCol w:w="1040"/>
        <w:gridCol w:w="60"/>
        <w:gridCol w:w="140"/>
        <w:gridCol w:w="635"/>
        <w:gridCol w:w="215"/>
        <w:gridCol w:w="60"/>
        <w:gridCol w:w="140"/>
        <w:gridCol w:w="680"/>
        <w:gridCol w:w="215"/>
        <w:gridCol w:w="60"/>
        <w:gridCol w:w="94"/>
        <w:gridCol w:w="525"/>
        <w:gridCol w:w="215"/>
        <w:gridCol w:w="60"/>
        <w:gridCol w:w="140"/>
        <w:gridCol w:w="635"/>
        <w:gridCol w:w="95"/>
        <w:gridCol w:w="60"/>
        <w:gridCol w:w="140"/>
        <w:gridCol w:w="635"/>
        <w:gridCol w:w="95"/>
        <w:gridCol w:w="60"/>
        <w:gridCol w:w="94"/>
        <w:gridCol w:w="525"/>
        <w:gridCol w:w="230"/>
      </w:tblGrid>
      <w:tr>
        <w:trPr/>
        <w:tc>
          <w:tcPr>
            <w:tcW w:w="14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vs PY</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Q1 Per Case</w:t>
            </w:r>
          </w:p>
        </w:tc>
        <w:tc>
          <w:tcPr>
            <w:tcW w:w="23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vs PY</w:t>
            </w:r>
          </w:p>
        </w:tc>
        <w:tc>
          <w:tcPr>
            <w:tcW w:w="23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Cases:</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Reed’s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334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Virgil’s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179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5" w:type="dxa"/>
            <w:tcBorders>
              <w:bottom w:val="single" w:sz="8" w:space="0" w:color="000000"/>
            </w:tcBorders>
            <w:shd w:fill="CCEEFF" w:val="clear"/>
            <w:tcMar>
              <w:bottom w:w="28" w:type="dxa"/>
            </w:tcMar>
            <w:vAlign w:val="center"/>
          </w:tcPr>
          <w:p>
            <w:pPr>
              <w:pStyle w:val="TableContents"/>
              <w:bidi w:val="0"/>
              <w:spacing w:before="0" w:after="283"/>
              <w:jc w:val="right"/>
              <w:rPr/>
            </w:pPr>
            <w:r>
              <w:rPr/>
              <w:t>-37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Total Core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435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513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-15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Gross Billing:</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8,514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11,013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-23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-9</w:t>
            </w:r>
          </w:p>
        </w:tc>
        <w:tc>
          <w:tcPr>
            <w:tcW w:w="230" w:type="dxa"/>
            <w:tcBorders/>
            <w:shd w:fill="FFFFFF" w:val="clear"/>
            <w:vAlign w:val="center"/>
          </w:tcPr>
          <w:p>
            <w:pPr>
              <w:pStyle w:val="TableContents"/>
              <w:bidi w:val="0"/>
              <w:spacing w:before="0" w:after="283"/>
              <w:jc w:val="left"/>
              <w:rPr/>
            </w:pPr>
            <w:r>
              <w:rPr/>
              <w:t>%</w:t>
            </w:r>
          </w:p>
        </w:tc>
      </w:tr>
      <w:tr>
        <w:trPr/>
        <w:tc>
          <w:tcPr>
            <w:tcW w:w="1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Discounts:</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(1,372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(984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39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(3.15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(1.92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64</w:t>
            </w:r>
          </w:p>
        </w:tc>
        <w:tc>
          <w:tcPr>
            <w:tcW w:w="230" w:type="dxa"/>
            <w:tcBorders/>
            <w:shd w:fill="FFFFFF" w:val="clear"/>
            <w:vAlign w:val="center"/>
          </w:tcPr>
          <w:p>
            <w:pPr>
              <w:pStyle w:val="TableContents"/>
              <w:bidi w:val="0"/>
              <w:spacing w:before="0" w:after="283"/>
              <w:jc w:val="left"/>
              <w:rPr/>
            </w:pPr>
            <w:r>
              <w:rPr/>
              <w:t>%</w:t>
            </w:r>
          </w:p>
        </w:tc>
      </w:tr>
      <w:tr>
        <w:trPr/>
        <w:tc>
          <w:tcPr>
            <w:tcW w:w="1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COGS:</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(6,445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(6,627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(14.82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(12.92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15</w:t>
            </w:r>
          </w:p>
        </w:tc>
        <w:tc>
          <w:tcPr>
            <w:tcW w:w="230" w:type="dxa"/>
            <w:tcBorders/>
            <w:shd w:fill="FFFFFF" w:val="clear"/>
            <w:vAlign w:val="center"/>
          </w:tcPr>
          <w:p>
            <w:pPr>
              <w:pStyle w:val="TableContents"/>
              <w:bidi w:val="0"/>
              <w:spacing w:before="0" w:after="283"/>
              <w:jc w:val="left"/>
              <w:rPr/>
            </w:pPr>
            <w:r>
              <w:rPr/>
              <w:t>%</w:t>
            </w:r>
          </w:p>
        </w:tc>
      </w:tr>
      <w:tr>
        <w:trPr/>
        <w:tc>
          <w:tcPr>
            <w:tcW w:w="1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Gross Margin:</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697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3,402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6.63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-76</w:t>
            </w:r>
          </w:p>
        </w:tc>
        <w:tc>
          <w:tcPr>
            <w:tcW w:w="230" w:type="dxa"/>
            <w:tcBorders/>
            <w:shd w:fill="FFFFFF" w:val="clear"/>
            <w:vAlign w:val="center"/>
          </w:tcPr>
          <w:p>
            <w:pPr>
              <w:pStyle w:val="TableContents"/>
              <w:bidi w:val="0"/>
              <w:spacing w:before="0" w:after="283"/>
              <w:jc w:val="left"/>
              <w:rPr/>
            </w:pPr>
            <w:r>
              <w:rPr/>
              <w:t>%</w:t>
            </w:r>
          </w:p>
        </w:tc>
      </w:tr>
      <w:tr>
        <w:trPr/>
        <w:tc>
          <w:tcPr>
            <w:tcW w:w="1445" w:type="dxa"/>
            <w:tcBorders/>
            <w:shd w:fill="CCEEFF" w:val="clear"/>
            <w:vAlign w:val="center"/>
          </w:tcPr>
          <w:p>
            <w:pPr>
              <w:pStyle w:val="TableContents"/>
              <w:bidi w:val="0"/>
              <w:spacing w:before="0" w:after="283"/>
              <w:jc w:val="left"/>
              <w:rPr/>
            </w:pPr>
            <w:r>
              <w:rPr/>
              <w:t>as % Net Sales</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billing decreased by 23% to $8,514 during the three months ended March 31, 2026, compared to $11,013 during the prior year, primarily driven by Reed’s volume decline of 4%, and Virgil’s volume decline of 37%. Price on our brands decreased 9% to $19.57 per case, primarily driven by liquidation of select slow-moving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as a percentage of gross sales were 16% during the three months ended March 31, 2026, compared to 9% in the prior year. Net sales decreased 29% during the three months ended March 31, 2026, to $7,142, compared to $10,029 in the prior year, primarily driven by lower volumes with recurring national customers and higher promotional and other allowances.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decreased $182 during the three months ended March 31, 2026, as compared to the prior year. As a percentage of net sales, cost of goods sold for the three months ended March 31, 2026, was 90% as compared to 66% for the prior year. The decrease in cost of goods sold was primarily driven by inventory write-offs related to changes in product portfolio optimization made by new management, in an amount of $738.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cost of goods per case increased to $14.82 per case in the three months ended March 31, 2026, from $12.92 per case for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10% for the three months ended March 31, 2026, compared to 34% for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 and Handling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expenses consist of delivery costs to customers and warehousing costs incurred for handling our finished goods after production. Delivery and handling expenses decreased by $507 in the three months ended March 31, 2026, to $1,120 from $1,627 in the prior year, primarily driven by continued improvements in logistics efficiency and freight optimization. Delivery costs in the three months ended March 31, 2026, were 16% of net sales and $2.57 per case, compared to 16% of net sales and $3.17 per case during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expenses consist of direct marketing, marketing labor, and marketing support costs. Selling expenses consist of all other selling-related expenses including personnel and contractor support. Total selling and marketing expenses were $1,747 during the three months ended March 31, 2026, compared to $1,502 during the prior year. The increase was primarily driven by higher employee related costs and marketing expenditures. As a percentage of net sales, selling and marketing expenses were 24% of net sales during the three months ended March 31, 2026, as compared to 15% of net sales during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 of executive, administrative, and finance personnel, as well as professional fees. General and administrative expenses were $4,045 during the three months ended March 31, 2026, an increase of $2,030 over the prior year. As a percentage of net sales, general and administrative expenses were 57% during the three months ended March 31, 2026, as compared to 20% during the prior year. The increase was primarily driven by investments in personnel and related services to support our Asia growth initiative, in an amount of $1,441.</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from operations was $6,215 for the three months ended March 31, 2026, as compared to a loss of $1,742 in the prior year, primarily driven by lower gross profit and higher operating expenses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Interest and Other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expense for the three months ended March 31, 2026, consisted of $204 of interest expense and $45 of other expense. During the prior year, interest and other expense consisted of $289 of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U.S. GAAP results, we present EBITDA as a supplemental measure of our performance. However, EBITDA is not a recognized measurement under U.S. GAAP and should not be considered as an alternative to net income, income from operations or any other performance measure derived in accordance with U.S. GAAP, or as an alternative to cash flow from operating activities as a measure of liquidity. We define EBITDA as net income (loss), plus interest expense, tax expense, and depreciation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U.S. GAAP are itemized below. You are encouraged to evaluate these adjustments and the reasons we consider them appropriate for supplemental analysis. In evaluating EBITDA, you should be aware that in the future we may incur expenses that are the same as or similar to some of the adjustments in this presentation. Our presentation of EBITDA should not be construed as an inference that our future results will be unaffected by unusual or non-recurring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reconciliation of net loss to EBITDA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4887" w:type="dxa"/>
        <w:jc w:val="left"/>
        <w:tblInd w:w="0" w:type="dxa"/>
        <w:tblLayout w:type="fixed"/>
        <w:tblCellMar>
          <w:top w:w="0" w:type="dxa"/>
          <w:left w:w="0" w:type="dxa"/>
          <w:bottom w:w="0" w:type="dxa"/>
          <w:right w:w="0" w:type="dxa"/>
        </w:tblCellMar>
      </w:tblPr>
      <w:tblGrid>
        <w:gridCol w:w="2885"/>
        <w:gridCol w:w="60"/>
        <w:gridCol w:w="150"/>
        <w:gridCol w:w="683"/>
        <w:gridCol w:w="102"/>
        <w:gridCol w:w="64"/>
        <w:gridCol w:w="150"/>
        <w:gridCol w:w="683"/>
        <w:gridCol w:w="11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2"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(6,464</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(2,031</w:t>
            </w:r>
          </w:p>
        </w:tc>
        <w:tc>
          <w:tcPr>
            <w:tcW w:w="11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EBITDA adjustments: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204</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289</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3" w:type="dxa"/>
            <w:tcBorders>
              <w:bottom w:val="single" w:sz="8" w:space="0" w:color="000000"/>
            </w:tcBorders>
            <w:shd w:fill="CCEEFF" w:val="clear"/>
            <w:tcMar>
              <w:bottom w:w="28" w:type="dxa"/>
            </w:tcMar>
            <w:vAlign w:val="center"/>
          </w:tcPr>
          <w:p>
            <w:pPr>
              <w:pStyle w:val="TableContents"/>
              <w:bidi w:val="0"/>
              <w:spacing w:before="0" w:after="283"/>
              <w:jc w:val="right"/>
              <w:rPr/>
            </w:pPr>
            <w:r>
              <w:rPr/>
              <w:t>42</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3" w:type="dxa"/>
            <w:tcBorders>
              <w:bottom w:val="single" w:sz="8" w:space="0" w:color="000000"/>
            </w:tcBorders>
            <w:shd w:fill="CCEEFF" w:val="clear"/>
            <w:tcMar>
              <w:bottom w:w="28" w:type="dxa"/>
            </w:tcMar>
            <w:vAlign w:val="center"/>
          </w:tcPr>
          <w:p>
            <w:pPr>
              <w:pStyle w:val="TableContents"/>
              <w:bidi w:val="0"/>
              <w:spacing w:before="0" w:after="283"/>
              <w:jc w:val="right"/>
              <w:rPr/>
            </w:pPr>
            <w:r>
              <w:rPr/>
              <w:t>53</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Total EBITDA adjustments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3" w:type="dxa"/>
            <w:tcBorders>
              <w:bottom w:val="single" w:sz="8" w:space="0" w:color="000000"/>
            </w:tcBorders>
            <w:shd w:fill="FFFFFF" w:val="clear"/>
            <w:tcMar>
              <w:bottom w:w="28" w:type="dxa"/>
            </w:tcMar>
            <w:vAlign w:val="center"/>
          </w:tcPr>
          <w:p>
            <w:pPr>
              <w:pStyle w:val="TableContents"/>
              <w:bidi w:val="0"/>
              <w:spacing w:before="0" w:after="283"/>
              <w:jc w:val="right"/>
              <w:rPr/>
            </w:pPr>
            <w:r>
              <w:rPr/>
              <w:t>246</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3" w:type="dxa"/>
            <w:tcBorders>
              <w:bottom w:val="single" w:sz="8" w:space="0" w:color="000000"/>
            </w:tcBorders>
            <w:shd w:fill="FFFFFF" w:val="clear"/>
            <w:tcMar>
              <w:bottom w:w="28" w:type="dxa"/>
            </w:tcMar>
            <w:vAlign w:val="center"/>
          </w:tcPr>
          <w:p>
            <w:pPr>
              <w:pStyle w:val="TableContents"/>
              <w:bidi w:val="0"/>
              <w:spacing w:before="0" w:after="283"/>
              <w:jc w:val="right"/>
              <w:rPr/>
            </w:pPr>
            <w:r>
              <w:rPr/>
              <w:t>342</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EBITDA</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3" w:type="dxa"/>
            <w:tcBorders>
              <w:bottom w:val="double" w:sz="6" w:space="0" w:color="000000"/>
            </w:tcBorders>
            <w:shd w:fill="FFFFFF" w:val="clear"/>
            <w:tcMar>
              <w:bottom w:w="28" w:type="dxa"/>
            </w:tcMar>
            <w:vAlign w:val="center"/>
          </w:tcPr>
          <w:p>
            <w:pPr>
              <w:pStyle w:val="TableContents"/>
              <w:bidi w:val="0"/>
              <w:spacing w:before="0" w:after="283"/>
              <w:jc w:val="right"/>
              <w:rPr/>
            </w:pPr>
            <w:r>
              <w:rPr/>
              <w:t>(6,218</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3" w:type="dxa"/>
            <w:tcBorders>
              <w:bottom w:val="double" w:sz="6" w:space="0" w:color="000000"/>
            </w:tcBorders>
            <w:shd w:fill="FFFFFF" w:val="clear"/>
            <w:tcMar>
              <w:bottom w:w="28" w:type="dxa"/>
            </w:tcMar>
            <w:vAlign w:val="center"/>
          </w:tcPr>
          <w:p>
            <w:pPr>
              <w:pStyle w:val="TableContents"/>
              <w:bidi w:val="0"/>
              <w:spacing w:before="0" w:after="283"/>
              <w:jc w:val="right"/>
              <w:rPr/>
            </w:pPr>
            <w:r>
              <w:rPr/>
              <w:t>(1,689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EBITDA because we believe it assists investors and analysts in comparing our performance across reporting periods on a consistent basis by excluding items that we do not believe are indicative of our core operating performance. In addition, we use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EBITDA has limitations as an analytical tool, which includes, among others,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reflect our cash expenditures, or future requirements, for capital expenditures or contractual commitments;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reflect changes in, or cash requirements for, our working capital needs;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reflect future interest expense, or the cash requirements necessary to service interest or principal payments, on our debts;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EBITDA does not reflect any cash requirements for such replacements.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reflected in the financial statements included elsewhere in this Quarterly Report on Form 10-Q, for the three months ended March 31, 2026, the Company recorded a net loss of $6,464 and used cash in operations of $5,844. Cash used in operations was primarily from our operating losses, working capital, and investment in strategic growth initiatives. As of March 31, 2026, we had a cash balance of $4,580 and no remaining availability under our Senior Secured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financed our operations through existing cash balances, cash generated from operations, public and private issuance of common stock, preferred stock, convertible debt instruments, term loans and credit lines from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entered into a loan agreement with certain funds affiliated with Whitebox Advisors LLC, as lenders, and Cantor Fitzgerald Securities, as administrative agent and collateral agent. The loan agreement provides for a senior secured loan and is further discussed in Note 6 to the Condensed Consolidated Financial Statements included elsewhere in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expects that the Company’s existing cash of $4,580, cash generated from operations, and access to committed financing will be sufficient to fund the Company’s operating plan, which was approved by the board of directors in February 2026, for at least twelve months from the date of issuance of the financial statements included elsewhere in this Quarterly Report on Form 10-Q; however, if the Company’s management and board of directors approve additional growth initiatives and related investment in human resources, working capital, new geographic markets, information technology, and other uses of cash, the Company may require additional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alleviate any funding considerations, management periodically evaluates various funding alternatives and may seek to raise additional funds through the issuance of equity, mezzanine or debt securities, through arrangements with strategic partners, strategic transactions, or through obtaining credit from financial institutions. As we seek additional sources of financing, there can be no assurance that such financing will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continuing to take actions to improve the Company’s operating performance and cash generated from operations, including product portfolio optimization, implementing strategies to increase sales, streamlining operations, improving supply chains, negotiating equitable vendor contracts, and managing product price architecture. However, we may be unsuccessful in executing these actions in a timely manner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raise additional capital whenever necessary or otherwise improve its operating performance or generation of cash from operations, it may be forced to decelerate or curtail certain of its operations until such time as additional capital becomes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totaled $5,844 for the three months ended March 31, 2026, compared to $5,362 for the three months ended March 31, 2025. The increase in net cash used in operating activities was primarily driven by operating losses, working capital, and investment in strategic growth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totaled $0 for the three months ended March 31, 2026, compared to $74 for the three months ended March 31, 2025. The decrease in net cash used in investing activities was primarily driven by no purchases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totaled $0 for the three months ended March 31, 2026, compared to $93 for the three months ended March 31, 2025. The decrease in net cash used in financing activities was primarily driven by no repayment of advances from a former related party and no payment of cash recorded as a debt discount.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financial statements in conformity with U.S. GAAP requires management to make estimates and assumptions that affect the reported amounts of assets and liabilities at the date of the financial statements and the reported amounts of expenses during the reporting period. Some of those judgments can be subjective and complex, and therefore, actual results could differ materially from those estimates under different assumptions or conditions. Management bases its estimates on historical experience and on various assumptions that are believed to be reasonable in relation to the financial statements taken as a whole under the circumstances,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 There were no changes to our critical accounting policies described in the condensed financial statements included in our 2025 Form 10-K that impacted our condensed financial statements and related notes included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2 of the Notes to Condensed Consolidated Financial Statements included elsewhere in this Quarterly Report on Form 10-Q for a discussion of recent accounting pronouncements.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2" w:name="su_002"/>
      <w:bookmarkEnd w:id="402"/>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smaller reporting company is not required to provide the information required by this Item.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3" w:name="su_003"/>
      <w:bookmarkEnd w:id="403"/>
      <w:r>
        <w:rPr>
          <w:rFonts w:ascii="Times New Roman;Times;Serif" w:hAnsi="Times New Roman;Times;Serif"/>
          <w:b/>
          <w:i w:val="false"/>
          <w:caps w:val="false"/>
          <w:smallCaps w:val="false"/>
          <w:sz w:val="20"/>
        </w:rPr>
        <w:t>Item 4.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March 31, 2026,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the Company’s internal control over financial reporting during the three months ended March 31, 2026 that have materially affected, or are reasonably likely to materially affect,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4" w:name="su_004"/>
      <w:bookmarkEnd w:id="404"/>
      <w:r>
        <w:rPr>
          <w:rFonts w:ascii="Times New Roman;Times;Serif" w:hAnsi="Times New Roman;Times;Serif"/>
          <w:b/>
          <w:i w:val="false"/>
          <w:caps w:val="false"/>
          <w:smallCaps w:val="false"/>
          <w:sz w:val="20"/>
        </w:rPr>
        <w:t>PART II – OTHER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5" w:name="su_005"/>
      <w:bookmarkEnd w:id="405"/>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ordinary, routine litigation incidental to our business, including routine litigation matters tendered to our insurance carriers. Our management evaluates our exposure to these claims and proceedings individually and in the aggregate and provides for potential losses on such litigation if the amount of the loss is estimable and the loss is probable. Although the results of such routine litigation matters and claims cannot be predicted with certainty, we believe that the final outcome of such routine litigation and claims will not have a material adverse impact on our financial position, liquidity, or results of operations.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6" w:name="su_006"/>
      <w:bookmarkEnd w:id="406"/>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have been no material changes with respect to the risk factors disclosed in our 2025 Form 10-K.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7" w:name="su_007"/>
      <w:bookmarkEnd w:id="407"/>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8" w:name="su_008"/>
      <w:bookmarkEnd w:id="408"/>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9" w:name="su_009"/>
      <w:bookmarkEnd w:id="409"/>
      <w:r>
        <w:rPr>
          <w:rFonts w:ascii="Times New Roman;Times;Serif" w:hAnsi="Times New Roman;Times;Serif"/>
          <w:b/>
          <w:i w:val="false"/>
          <w:caps w:val="false"/>
          <w:smallCaps w:val="false"/>
          <w:sz w:val="20"/>
        </w:rPr>
        <w:t>Item 4. Mine Safety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0" w:name="su_010"/>
      <w:bookmarkEnd w:id="410"/>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none of our directors or executive officers </w:t>
      </w:r>
      <w:bookmarkStart w:id="411" w:name="xdx_903_eecd--NonRule10b51ArrAdoptedFlag"/>
      <w:bookmarkStart w:id="412" w:name="xdx_908_eecd--Rule10b51ArrAdoptedFlag_db"/>
      <w:bookmarkEnd w:id="411"/>
      <w:bookmarkEnd w:id="412"/>
      <w:r>
        <w:rPr>
          <w:rFonts w:ascii="Times New Roman;Times;Serif" w:hAnsi="Times New Roman;Times;Serif"/>
          <w:b w:val="false"/>
          <w:i w:val="false"/>
          <w:caps w:val="false"/>
          <w:smallCaps w:val="false"/>
          <w:sz w:val="20"/>
        </w:rPr>
        <w:t xml:space="preserve">adopted, </w:t>
      </w:r>
      <w:bookmarkStart w:id="413" w:name="xdx_900_ecustom--NonRule10b51ArrModified"/>
      <w:bookmarkStart w:id="414" w:name="xdx_903_ecustom--Rule10b51ArrModifiedFla"/>
      <w:bookmarkEnd w:id="413"/>
      <w:bookmarkEnd w:id="414"/>
      <w:r>
        <w:rPr>
          <w:rFonts w:ascii="Times New Roman;Times;Serif" w:hAnsi="Times New Roman;Times;Serif"/>
          <w:b w:val="false"/>
          <w:i w:val="false"/>
          <w:caps w:val="false"/>
          <w:smallCaps w:val="false"/>
          <w:sz w:val="20"/>
        </w:rPr>
        <w:t xml:space="preserve">modified or </w:t>
      </w:r>
      <w:bookmarkStart w:id="415" w:name="xdx_90C_eecd--NonRule10b51ArrTrmntdFlag_"/>
      <w:bookmarkStart w:id="416" w:name="xdx_906_eecd--Rule10b51ArrTrmntdFlag_dbF"/>
      <w:bookmarkEnd w:id="415"/>
      <w:bookmarkEnd w:id="416"/>
      <w:r>
        <w:rPr>
          <w:rFonts w:ascii="Times New Roman;Times;Serif" w:hAnsi="Times New Roman;Times;Serif"/>
          <w:b w:val="false"/>
          <w:i w:val="false"/>
          <w:caps w:val="false"/>
          <w:smallCaps w:val="false"/>
          <w:sz w:val="20"/>
        </w:rPr>
        <w:t>terminated a “Rule 10b5-1 trading arrangement” or a “non-Rule 10b5-1 trading arrangement” as such terms are defined under Item 408 of Regulation S-K.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7" w:name="su_011"/>
      <w:bookmarkEnd w:id="417"/>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Index to Exhibits.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15(a)(3)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filed as part of this Quarterly Report on Form 10-Q, or are incorporated herein by reference, in each case as indicated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9"/>
        <w:gridCol w:w="60"/>
        <w:gridCol w:w="5573"/>
        <w:gridCol w:w="60"/>
        <w:gridCol w:w="500"/>
        <w:gridCol w:w="60"/>
        <w:gridCol w:w="674"/>
        <w:gridCol w:w="60"/>
        <w:gridCol w:w="650"/>
        <w:gridCol w:w="60"/>
        <w:gridCol w:w="685"/>
        <w:gridCol w:w="60"/>
        <w:gridCol w:w="984"/>
      </w:tblGrid>
      <w:tr>
        <w:trPr/>
        <w:tc>
          <w:tcPr>
            <w:tcW w:w="779"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3"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Herewith</w:t>
            </w:r>
          </w:p>
        </w:tc>
      </w:tr>
      <w:tr>
        <w:trPr/>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3"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Certificate of Incorporation of Reed’s, Inc., as amended through February 5,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3"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Amendment of the Certificate of Incorporation of Reed’s, Inc., effective October 31,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3"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Second Amended and Restated Bylaws of Reed’s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3"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Separation Agreement and Release, dated April 16, 2026, by and between the Registrant and Cyril A. Wallace, Jr.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3"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Offer of Employment, dated April 10, 2026, between the Company and Damian Warshall.</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3"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3"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3"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3"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as its XBRL tags are embedded within the Inline XBRL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with Embedded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formatted as inline XBRL and contained in Exhibit 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management contract or compensatory plan.</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655"/>
        <w:gridCol w:w="258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br/>
              <w:t>(Registrant)</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tc>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Neal M. Cohane</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M. Cohane</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tc>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418" w:name="ex31-1.htm"/>
      <w:bookmarkStart w:id="419" w:name="ksex311"/>
      <w:bookmarkEnd w:id="418"/>
      <w:bookmarkEnd w:id="41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Neal M. Cohane,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Reed’s,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p>
      <w:pPr>
        <w:pStyle w:val="TextBody"/>
        <w:bidi w:val="0"/>
        <w:spacing w:before="0" w:after="0"/>
        <w:ind w:left="0" w:right="0" w:hanging="0"/>
        <w:jc w:val="both"/>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75"/>
        <w:gridCol w:w="590"/>
        <w:gridCol w:w="25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Neal M. Cohane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M. Cohane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5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420" w:name="ex31-2.htm"/>
      <w:bookmarkStart w:id="421" w:name="ksex312"/>
      <w:bookmarkEnd w:id="420"/>
      <w:bookmarkEnd w:id="421"/>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Douglas W. McCurdy,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Reed’s,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p>
      <w:pPr>
        <w:pStyle w:val="TextBody"/>
        <w:bidi w:val="0"/>
        <w:spacing w:before="0" w:after="0"/>
        <w:ind w:left="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
        <w:gridCol w:w="590"/>
        <w:gridCol w:w="2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3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caps w:val="false"/>
          <w:smallCaps w:val="false"/>
        </w:rPr>
      </w:pPr>
      <w:bookmarkStart w:id="422" w:name="ex32-1.htm"/>
      <w:bookmarkStart w:id="423" w:name="ksex321"/>
      <w:bookmarkEnd w:id="422"/>
      <w:bookmarkEnd w:id="4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 18 U.S.C. Section 1350 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 set forth in Rule 13a-14(b) of the Securities Exchange Act of 1934, as amended, and 18 U.S.C. Section 1350, as adopted pursuant to Section 906 of the Sarbanes-Oxley Act of 2002, I, Neal M. Cohane, the Interim Chief Executive Officer of Reed’s,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certify,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Quarterly Report on Form 10-Q for the quarterly period ended March 31, 2026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of the Company fully complies with the requirements of Section 13(a) or 15(d) of the Securities Exchange Act of 1934;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75"/>
        <w:gridCol w:w="590"/>
        <w:gridCol w:w="25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Neal M. Cohane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M. Cohane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424" w:name="ex32-2.htm"/>
      <w:bookmarkStart w:id="425" w:name="ksex322"/>
      <w:bookmarkEnd w:id="424"/>
      <w:bookmarkEnd w:id="4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 18 U.S.C. Section 1350 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 set forth in Rule 13a-14(b) of the Securities Exchange Act of 1934, as amended, and 18 U.S.C. Section 1350, as adopted pursuant to Section 906 of the Sarbanes-Oxley Act of 2002, I, Douglas W. McCurdy, the Chief Financial Officer of Reed’s,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certify,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Quarterly Report on Form 10-Q for the quarterly period ended March 31, 2026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of the Company fully complies with the requirements of Section 13(a) or Section 15(d) of the Securities Exchange Act of 1934;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545"/>
        <w:gridCol w:w="23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40215/000164117225001344/ex3-i.htm" TargetMode="External"/><Relationship Id="rId3" Type="http://schemas.openxmlformats.org/officeDocument/2006/relationships/hyperlink" Target="https://www.sec.gov/Archives/edgar/data/1140215/000149315225020441/ex3-1.htm" TargetMode="External"/><Relationship Id="rId4" Type="http://schemas.openxmlformats.org/officeDocument/2006/relationships/hyperlink" Target="https://www.sec.gov/Archives/edgar/data/1140215/000149315225026641/ex3-1.htm" TargetMode="External"/><Relationship Id="rId5" Type="http://schemas.openxmlformats.org/officeDocument/2006/relationships/hyperlink" Target="https://www.sec.gov/Archives/edgar/data/1140215/000149315226017828/ex10-1.htm" TargetMode="External"/><Relationship Id="rId6" Type="http://schemas.openxmlformats.org/officeDocument/2006/relationships/hyperlink" Target="https://www.sec.gov/Archives/edgar/data/1140215/000149315226018928/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11703</Words>
  <Characters>64665</Characters>
  <CharactersWithSpaces>77526</CharactersWithSpaces>
  <Paragraphs>3799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