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A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9_edei--DocumentPeriodEndDate_c202"/>
      <w:bookmarkEnd w:id="4"/>
      <w:r>
        <w:rPr>
          <w:rFonts w:ascii="Times New Roman;Times;Serif" w:hAnsi="Times New Roman;Times;Serif"/>
          <w:b w:val="false"/>
          <w:i w:val="false"/>
          <w:caps w:val="false"/>
          <w:smallCaps w:val="false"/>
          <w:sz w:val="20"/>
        </w:rPr>
        <w:t xml:space="preserve">September 30, </w:t>
      </w:r>
      <w:bookmarkStart w:id="5" w:name="xdx_905_edei--DocumentFiscalYearFocus_c2"/>
      <w:bookmarkEnd w:id="5"/>
      <w:r>
        <w:rPr>
          <w:rFonts w:ascii="Times New Roman;Times;Serif" w:hAnsi="Times New Roman;Times;Serif"/>
          <w:b w:val="false"/>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F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7_edei--EntityFileNumber_c20250101"/>
      <w:bookmarkEnd w:id="7"/>
      <w:r>
        <w:rPr>
          <w:rFonts w:ascii="Times New Roman;Times;Serif" w:hAnsi="Times New Roman;Times;Serif"/>
          <w:b w:val="false"/>
          <w:i w:val="false"/>
          <w:caps w:val="false"/>
          <w:smallCaps w:val="false"/>
          <w:sz w:val="20"/>
        </w:rPr>
        <w:t>001-32501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D_edei--EntityRegistrantName_c2025"/>
      <w:bookmarkEnd w:id="8"/>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28" w:type="dxa"/>
          <w:right w:w="0" w:type="dxa"/>
        </w:tblCellMar>
      </w:tblPr>
      <w:tblGrid>
        <w:gridCol w:w="1205"/>
        <w:gridCol w:w="60"/>
        <w:gridCol w:w="1535"/>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8_edei--EntityIncorporationStateCo"/>
            <w:bookmarkEnd w:id="9"/>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5_edei--EntityTaxIdentificationNum"/>
            <w:bookmarkEnd w:id="10"/>
            <w:r>
              <w:rPr>
                <w:rFonts w:ascii="Times New Roman;Times;Serif" w:hAnsi="Times New Roman;Times;Serif"/>
                <w:b w:val="false"/>
                <w:i w:val="false"/>
                <w:caps w:val="false"/>
                <w:smallCaps w:val="false"/>
                <w:sz w:val="20"/>
              </w:rPr>
              <w:t>35-2177773</w:t>
            </w:r>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xdx_90D_edei--EntityAddressAddressLine1_"/>
      <w:bookmarkEnd w:id="11"/>
      <w:r>
        <w:rPr>
          <w:rFonts w:ascii="Times New Roman;Times;Serif" w:hAnsi="Times New Roman;Times;Serif"/>
          <w:b w:val="false"/>
          <w:i w:val="false"/>
          <w:caps w:val="false"/>
          <w:smallCaps w:val="false"/>
          <w:sz w:val="20"/>
        </w:rPr>
        <w:t xml:space="preserve">501 Merritt 7 PH, </w:t>
      </w:r>
      <w:bookmarkStart w:id="12" w:name="xdx_909_edei--EntityAddressCityOrTown_c2"/>
      <w:bookmarkEnd w:id="12"/>
      <w:r>
        <w:rPr>
          <w:rFonts w:ascii="Times New Roman;Times;Serif" w:hAnsi="Times New Roman;Times;Serif"/>
          <w:b w:val="false"/>
          <w:i w:val="false"/>
          <w:caps w:val="false"/>
          <w:smallCaps w:val="false"/>
          <w:sz w:val="20"/>
        </w:rPr>
        <w:t xml:space="preserve">Norwalk, </w:t>
      </w:r>
      <w:bookmarkStart w:id="13" w:name="xdx_90A_edei--EntityAddressStateOrProvin"/>
      <w:bookmarkEnd w:id="13"/>
      <w:r>
        <w:rPr>
          <w:rFonts w:ascii="Times New Roman;Times;Serif" w:hAnsi="Times New Roman;Times;Serif"/>
          <w:b w:val="false"/>
          <w:i w:val="false"/>
          <w:caps w:val="false"/>
          <w:smallCaps w:val="false"/>
          <w:sz w:val="20"/>
        </w:rPr>
        <w:t xml:space="preserve">CT. </w:t>
      </w:r>
      <w:bookmarkStart w:id="14" w:name="xdx_906_edei--EntityAddressPostalZipCode"/>
      <w:bookmarkEnd w:id="14"/>
      <w:r>
        <w:rPr>
          <w:rFonts w:ascii="Times New Roman;Times;Serif" w:hAnsi="Times New Roman;Times;Serif"/>
          <w:b w:val="false"/>
          <w:i w:val="false"/>
          <w:caps w:val="false"/>
          <w:smallCaps w:val="false"/>
          <w:sz w:val="20"/>
        </w:rPr>
        <w:t>06851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7_edei--CityAreaCode_c20250101__20"/>
      <w:bookmarkEnd w:id="15"/>
      <w:r>
        <w:rPr>
          <w:rFonts w:ascii="Times New Roman;Times;Serif" w:hAnsi="Times New Roman;Times;Serif"/>
          <w:b w:val="false"/>
          <w:i w:val="false"/>
          <w:caps w:val="false"/>
          <w:smallCaps w:val="false"/>
          <w:sz w:val="20"/>
        </w:rPr>
        <w:t xml:space="preserve">(800) </w:t>
      </w:r>
      <w:bookmarkStart w:id="16" w:name="xdx_907_edei--LocalPhoneNumber_c20250101"/>
      <w:bookmarkEnd w:id="16"/>
      <w:r>
        <w:rPr>
          <w:rFonts w:ascii="Times New Roman;Times;Serif" w:hAnsi="Times New Roman;Times;Serif"/>
          <w:b w:val="false"/>
          <w:i w:val="false"/>
          <w:caps w:val="false"/>
          <w:smallCaps w:val="false"/>
          <w:sz w:val="20"/>
        </w:rPr>
        <w:t>997-3337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center"/>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625"/>
        <w:gridCol w:w="60"/>
        <w:gridCol w:w="1415"/>
        <w:gridCol w:w="60"/>
        <w:gridCol w:w="3785"/>
      </w:tblGrid>
      <w:tr>
        <w:trPr/>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each exchange on which registered</w:t>
            </w:r>
          </w:p>
        </w:tc>
      </w:tr>
      <w:tr>
        <w:trPr/>
        <w:tc>
          <w:tcPr>
            <w:tcW w:w="16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 w:name="xdx_90D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18" w:name="xdx_906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585"/>
        <w:gridCol w:w="2525"/>
        <w:gridCol w:w="2045"/>
      </w:tblGrid>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4_edei--EntityFilerCategory_c20250"/>
            <w:bookmarkEnd w:id="19"/>
            <w:r>
              <w:rPr>
                <w:rFonts w:ascii="Times New Roman;Times;Serif" w:hAnsi="Times New Roman;Times;Serif"/>
                <w:b w:val="false"/>
                <w:i w:val="false"/>
                <w:caps w:val="false"/>
                <w:smallCaps w:val="false"/>
                <w:sz w:val="20"/>
              </w:rPr>
              <w:t>Non-Accelerated Filer ☒</w:t>
            </w:r>
          </w:p>
        </w:tc>
      </w:tr>
      <w:tr>
        <w:trPr/>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5_edei--EntitySmallBusiness_c20250"/>
            <w:bookmarkEnd w:id="20"/>
            <w:r>
              <w:rPr>
                <w:rFonts w:ascii="Times New Roman;Times;Serif" w:hAnsi="Times New Roman;Times;Serif"/>
                <w:b w:val="false"/>
                <w:i w:val="false"/>
                <w:caps w:val="false"/>
                <w:smallCaps w:val="false"/>
                <w:sz w:val="20"/>
              </w:rPr>
              <w:t>☒</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is a shell company (as defined in Rule 12b-2 of the Exchange Act). Yes ☐ No </w:t>
      </w:r>
      <w:bookmarkStart w:id="22" w:name="xdx_900_edei--EntityShellCompany_dbF_c20"/>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23" w:name="xdx_90C_edei--EntityCommonStockSharesOut"/>
      <w:bookmarkEnd w:id="23"/>
      <w:r>
        <w:rPr>
          <w:rFonts w:ascii="Times New Roman;Times;Serif" w:hAnsi="Times New Roman;Times;Serif"/>
          <w:b w:val="false"/>
          <w:i w:val="false"/>
          <w:caps w:val="false"/>
          <w:smallCaps w:val="false"/>
          <w:sz w:val="20"/>
        </w:rPr>
        <w:t>8,945,454 shares of the Company’s common stock, par value $</w:t>
      </w:r>
      <w:bookmarkStart w:id="24" w:name="xdx_90C_edei--EntityListingParValuePerSh"/>
      <w:bookmarkEnd w:id="24"/>
      <w:r>
        <w:rPr>
          <w:rFonts w:ascii="Times New Roman;Times;Serif" w:hAnsi="Times New Roman;Times;Serif"/>
          <w:b w:val="false"/>
          <w:i w:val="false"/>
          <w:caps w:val="false"/>
          <w:smallCaps w:val="false"/>
          <w:sz w:val="20"/>
        </w:rPr>
        <w:t>.0001 per share, outstanding as of October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52"/>
        <w:gridCol w:w="60"/>
        <w:gridCol w:w="293"/>
      </w:tblGrid>
      <w:tr>
        <w:trPr/>
        <w:tc>
          <w:tcPr>
            <w:tcW w:w="9852"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Item 1. Condensed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Balance Sheets – September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Statements of Operations for the three and nine months ended September 30, 2025 and 2024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Statements of Changes in Stockholders’ Equity (Deficit) for the three and nine months ended September 30, 2025 and 2024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Statements of Cash Flows for the nine months ended September 30, 2025 and 2024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Financial Statements for the three and nine months ended September 30, 2025 and 2024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85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52"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Item 6. 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 AND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w:t>
      </w:r>
      <w:r>
        <w:rPr>
          <w:rFonts w:ascii="Times New Roman;Times;Serif" w:hAnsi="Times New Roman;Times;Serif"/>
          <w:b w:val="false"/>
          <w:i/>
          <w:caps w:val="false"/>
          <w:smallCaps w:val="false"/>
          <w:sz w:val="20"/>
          <w:shd w:fill="FFFFFF" w:val="clear"/>
        </w:rPr>
        <w:t xml:space="preserve">“Part I, Item 1A. Risk Factors” of our Annual Report on Form 10-K for the fiscal year ended December 31, 2024 (“2024 Form 10-K”) as updated by “Part II, Item 1A” of this report, which should be considered when evaluating our trends and future results. </w:t>
      </w:r>
      <w:r>
        <w:rPr>
          <w:rFonts w:ascii="Times New Roman;Times;Serif" w:hAnsi="Times New Roman;Times;Serif"/>
          <w:b w:val="false"/>
          <w:i/>
          <w:caps w:val="false"/>
          <w:smallCaps w:val="false"/>
          <w:sz w:val="20"/>
        </w:rPr>
        <w:t>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01"/>
      <w:bookmarkEnd w:id="25"/>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02"/>
      <w:bookmarkEnd w:id="26"/>
      <w:r>
        <w:rPr>
          <w:rFonts w:ascii="Times New Roman;Times;Serif" w:hAnsi="Times New Roman;Times;Serif"/>
          <w:b/>
          <w:i w:val="false"/>
          <w:caps w:val="false"/>
          <w:smallCaps w:val="false"/>
          <w:sz w:val="20"/>
        </w:rPr>
        <w:t>Item 1.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03"/>
      <w:bookmarkEnd w:id="27"/>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xdx_303_111_pn3n3_zQwG1e70CCJ6"/>
      <w:bookmarkStart w:id="29" w:name="xdx_303_111_pn3n3_zQwG1e70CCJ6"/>
      <w:bookmarkEnd w:id="29"/>
    </w:p>
    <w:tbl>
      <w:tblPr>
        <w:tblW w:w="10205" w:type="dxa"/>
        <w:jc w:val="left"/>
        <w:tblInd w:w="0" w:type="dxa"/>
        <w:tblLayout w:type="fixed"/>
        <w:tblCellMar>
          <w:top w:w="0" w:type="dxa"/>
          <w:left w:w="0" w:type="dxa"/>
          <w:bottom w:w="0" w:type="dxa"/>
          <w:right w:w="0" w:type="dxa"/>
        </w:tblCellMar>
      </w:tblPr>
      <w:tblGrid>
        <w:gridCol w:w="7570"/>
        <w:gridCol w:w="60"/>
        <w:gridCol w:w="170"/>
        <w:gridCol w:w="1042"/>
        <w:gridCol w:w="95"/>
        <w:gridCol w:w="60"/>
        <w:gridCol w:w="151"/>
        <w:gridCol w:w="945"/>
        <w:gridCol w:w="112"/>
      </w:tblGrid>
      <w:tr>
        <w:trPr/>
        <w:tc>
          <w:tcPr>
            <w:tcW w:w="7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 w:name="xdx_492_20250930_ze0CPFA4wegd"/>
            <w:bookmarkEnd w:id="30"/>
          </w:p>
        </w:tc>
        <w:tc>
          <w:tcPr>
            <w:tcW w:w="121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3_20241231_zGS5YV3AtuP2"/>
            <w:bookmarkEnd w:id="31"/>
          </w:p>
        </w:tc>
        <w:tc>
          <w:tcPr>
            <w:tcW w:w="109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2" w:type="dxa"/>
            <w:tcBorders/>
            <w:vAlign w:val="center"/>
          </w:tcPr>
          <w:p>
            <w:pPr>
              <w:pStyle w:val="TableContents"/>
              <w:bidi w:val="0"/>
              <w:spacing w:before="0" w:after="283"/>
              <w:jc w:val="left"/>
              <w:rPr/>
            </w:pPr>
            <w:r>
              <w:rPr/>
              <w:t> </w:t>
            </w:r>
          </w:p>
        </w:tc>
      </w:tr>
      <w:tr>
        <w:trPr/>
        <w:tc>
          <w:tcPr>
            <w:tcW w:w="7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32" w:name="xdx_400_eus-gaap--AssetsAbstract_iB_zxOQ"/>
            <w:bookmarkEnd w:id="32"/>
          </w:p>
        </w:tc>
      </w:tr>
      <w:tr>
        <w:trPr/>
        <w:tc>
          <w:tcPr>
            <w:tcW w:w="757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3" w:name="xdx_406_eus-gaap--AssetsCurrentAbstract_"/>
            <w:bookmarkEnd w:id="33"/>
          </w:p>
        </w:tc>
      </w:tr>
      <w:tr>
        <w:trPr/>
        <w:tc>
          <w:tcPr>
            <w:tcW w:w="757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4" w:name="xdx_405_eus-gaap--Cash_i02I_maCzy7i_z8Hf"/>
            <w:bookmarkEnd w:id="34"/>
          </w:p>
        </w:tc>
      </w:tr>
      <w:tr>
        <w:trPr/>
        <w:tc>
          <w:tcPr>
            <w:tcW w:w="757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4,136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10,391</w:t>
            </w:r>
          </w:p>
        </w:tc>
        <w:tc>
          <w:tcPr>
            <w:tcW w:w="112" w:type="dxa"/>
            <w:tcBorders/>
            <w:shd w:fill="CCEEFF" w:val="clear"/>
            <w:vAlign w:val="center"/>
          </w:tcPr>
          <w:p>
            <w:pPr>
              <w:pStyle w:val="TableContents"/>
              <w:bidi w:val="0"/>
              <w:spacing w:before="0" w:after="283"/>
              <w:jc w:val="left"/>
              <w:rPr/>
            </w:pPr>
            <w:r>
              <w:rPr/>
              <w:t> </w:t>
            </w:r>
            <w:bookmarkStart w:id="35" w:name="xdx_40B_eus-gaap--AccountsReceivableNetC"/>
            <w:bookmarkEnd w:id="35"/>
          </w:p>
        </w:tc>
      </w:tr>
      <w:tr>
        <w:trPr/>
        <w:tc>
          <w:tcPr>
            <w:tcW w:w="7570" w:type="dxa"/>
            <w:tcBorders/>
            <w:shd w:fill="FFFFFF" w:val="clear"/>
            <w:vAlign w:val="center"/>
          </w:tcPr>
          <w:p>
            <w:pPr>
              <w:pStyle w:val="TableContents"/>
              <w:bidi w:val="0"/>
              <w:spacing w:before="0" w:after="283"/>
              <w:jc w:val="left"/>
              <w:rPr/>
            </w:pPr>
            <w:r>
              <w:rPr/>
              <w:t>Accounts receivable, net of allowance of $</w:t>
            </w:r>
            <w:bookmarkStart w:id="36" w:name="xdx_90D_eus-gaap--AllowanceForDoubtfulAc"/>
            <w:bookmarkEnd w:id="36"/>
            <w:r>
              <w:rPr/>
              <w:t>714 and $</w:t>
            </w:r>
            <w:bookmarkStart w:id="37" w:name="xdx_90E_eus-gaap--AllowanceForDoubtfulAc"/>
            <w:bookmarkEnd w:id="37"/>
            <w:r>
              <w:rPr/>
              <w:t>859, respectively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3,979</w:t>
            </w:r>
          </w:p>
        </w:tc>
        <w:tc>
          <w:tcPr>
            <w:tcW w:w="112" w:type="dxa"/>
            <w:tcBorders/>
            <w:shd w:fill="FFFFFF" w:val="clear"/>
            <w:vAlign w:val="center"/>
          </w:tcPr>
          <w:p>
            <w:pPr>
              <w:pStyle w:val="TableContents"/>
              <w:bidi w:val="0"/>
              <w:spacing w:before="0" w:after="283"/>
              <w:jc w:val="left"/>
              <w:rPr/>
            </w:pPr>
            <w:r>
              <w:rPr/>
              <w:t> </w:t>
            </w:r>
            <w:bookmarkStart w:id="38" w:name="xdx_405_eus-gaap--InventoryNet_i02I_maCz"/>
            <w:bookmarkEnd w:id="38"/>
          </w:p>
        </w:tc>
      </w:tr>
      <w:tr>
        <w:trPr/>
        <w:tc>
          <w:tcPr>
            <w:tcW w:w="7570"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10,566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8,114</w:t>
            </w:r>
          </w:p>
        </w:tc>
        <w:tc>
          <w:tcPr>
            <w:tcW w:w="112" w:type="dxa"/>
            <w:tcBorders/>
            <w:shd w:fill="CCEEFF" w:val="clear"/>
            <w:vAlign w:val="center"/>
          </w:tcPr>
          <w:p>
            <w:pPr>
              <w:pStyle w:val="TableContents"/>
              <w:bidi w:val="0"/>
              <w:spacing w:before="0" w:after="283"/>
              <w:jc w:val="left"/>
              <w:rPr/>
            </w:pPr>
            <w:r>
              <w:rPr/>
              <w:t> </w:t>
            </w:r>
            <w:bookmarkStart w:id="39" w:name="xdx_406_eus-gaap--OtherReceivablesNetCur"/>
            <w:bookmarkEnd w:id="39"/>
          </w:p>
        </w:tc>
      </w:tr>
      <w:tr>
        <w:trPr/>
        <w:tc>
          <w:tcPr>
            <w:tcW w:w="7570" w:type="dxa"/>
            <w:tcBorders/>
            <w:shd w:fill="FFFFFF" w:val="clear"/>
            <w:vAlign w:val="center"/>
          </w:tcPr>
          <w:p>
            <w:pPr>
              <w:pStyle w:val="TableContents"/>
              <w:bidi w:val="0"/>
              <w:spacing w:before="0" w:after="283"/>
              <w:jc w:val="left"/>
              <w:rPr/>
            </w:pPr>
            <w:r>
              <w:rPr/>
              <w:t>Receivable from former related party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144</w:t>
            </w:r>
          </w:p>
        </w:tc>
        <w:tc>
          <w:tcPr>
            <w:tcW w:w="112" w:type="dxa"/>
            <w:tcBorders/>
            <w:shd w:fill="FFFFFF" w:val="clear"/>
            <w:vAlign w:val="center"/>
          </w:tcPr>
          <w:p>
            <w:pPr>
              <w:pStyle w:val="TableContents"/>
              <w:bidi w:val="0"/>
              <w:spacing w:before="0" w:after="283"/>
              <w:jc w:val="left"/>
              <w:rPr/>
            </w:pPr>
            <w:r>
              <w:rPr/>
              <w:t> </w:t>
            </w:r>
            <w:bookmarkStart w:id="40" w:name="xdx_40A_eus-gaap--PrepaidExpenseAndOther"/>
            <w:bookmarkEnd w:id="40"/>
          </w:p>
        </w:tc>
      </w:tr>
      <w:tr>
        <w:trPr/>
        <w:tc>
          <w:tcPr>
            <w:tcW w:w="757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683</w:t>
            </w:r>
          </w:p>
        </w:tc>
        <w:tc>
          <w:tcPr>
            <w:tcW w:w="112" w:type="dxa"/>
            <w:tcBorders/>
            <w:shd w:fill="CCEEFF" w:val="clear"/>
            <w:vAlign w:val="center"/>
          </w:tcPr>
          <w:p>
            <w:pPr>
              <w:pStyle w:val="TableContents"/>
              <w:bidi w:val="0"/>
              <w:spacing w:before="0" w:after="283"/>
              <w:jc w:val="left"/>
              <w:rPr/>
            </w:pPr>
            <w:r>
              <w:rPr/>
              <w:t> </w:t>
            </w:r>
            <w:bookmarkStart w:id="41" w:name="xdx_403_eus-gaap--AssetsCurrent_i02TI_mt"/>
            <w:bookmarkEnd w:id="41"/>
          </w:p>
        </w:tc>
      </w:tr>
      <w:tr>
        <w:trPr/>
        <w:tc>
          <w:tcPr>
            <w:tcW w:w="7570" w:type="dxa"/>
            <w:tcBorders/>
            <w:shd w:fill="FFFFFF" w:val="clear"/>
            <w:vAlign w:val="center"/>
          </w:tcPr>
          <w:p>
            <w:pPr>
              <w:pStyle w:val="TableContents"/>
              <w:bidi w:val="0"/>
              <w:spacing w:before="0" w:after="283"/>
              <w:jc w:val="left"/>
              <w:rPr>
                <w:i/>
              </w:rPr>
            </w:pPr>
            <w:r>
              <w:rPr>
                <w:i/>
              </w:rPr>
              <w:t>Total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18,075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23,311</w:t>
            </w:r>
          </w:p>
        </w:tc>
        <w:tc>
          <w:tcPr>
            <w:tcW w:w="112"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2" w:name="xdx_407_eus-gaap--PropertyPlantAndEquipm"/>
            <w:bookmarkEnd w:id="42"/>
          </w:p>
        </w:tc>
      </w:tr>
      <w:tr>
        <w:trPr/>
        <w:tc>
          <w:tcPr>
            <w:tcW w:w="7570" w:type="dxa"/>
            <w:tcBorders/>
            <w:shd w:fill="FFFFFF" w:val="clear"/>
            <w:vAlign w:val="center"/>
          </w:tcPr>
          <w:p>
            <w:pPr>
              <w:pStyle w:val="TableContents"/>
              <w:bidi w:val="0"/>
              <w:spacing w:before="0" w:after="283"/>
              <w:jc w:val="left"/>
              <w:rPr/>
            </w:pPr>
            <w:r>
              <w:rPr/>
              <w:t>Property and equipment, net of accumulated depreciation of $</w:t>
            </w:r>
            <w:bookmarkStart w:id="43" w:name="xdx_909_eus-gaap--AccumulatedDepreciatio"/>
            <w:bookmarkEnd w:id="43"/>
            <w:r>
              <w:rPr/>
              <w:t>735 and $</w:t>
            </w:r>
            <w:bookmarkStart w:id="44" w:name="xdx_90E_eus-gaap--AccumulatedDepreciatio"/>
            <w:bookmarkEnd w:id="44"/>
            <w:r>
              <w:rPr/>
              <w:t>636, respectively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1,185</w:t>
            </w:r>
          </w:p>
        </w:tc>
        <w:tc>
          <w:tcPr>
            <w:tcW w:w="112" w:type="dxa"/>
            <w:tcBorders/>
            <w:shd w:fill="FFFFFF" w:val="clear"/>
            <w:vAlign w:val="center"/>
          </w:tcPr>
          <w:p>
            <w:pPr>
              <w:pStyle w:val="TableContents"/>
              <w:bidi w:val="0"/>
              <w:spacing w:before="0" w:after="283"/>
              <w:jc w:val="left"/>
              <w:rPr/>
            </w:pPr>
            <w:r>
              <w:rPr/>
              <w:t> </w:t>
            </w:r>
            <w:bookmarkStart w:id="45" w:name="xdx_40D_eus-gaap--IntangibleAssetsNetExc"/>
            <w:bookmarkEnd w:id="45"/>
          </w:p>
        </w:tc>
      </w:tr>
      <w:tr>
        <w:trPr/>
        <w:tc>
          <w:tcPr>
            <w:tcW w:w="757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644</w:t>
            </w:r>
          </w:p>
        </w:tc>
        <w:tc>
          <w:tcPr>
            <w:tcW w:w="112" w:type="dxa"/>
            <w:tcBorders/>
            <w:shd w:fill="CCEEFF" w:val="clear"/>
            <w:vAlign w:val="center"/>
          </w:tcPr>
          <w:p>
            <w:pPr>
              <w:pStyle w:val="TableContents"/>
              <w:bidi w:val="0"/>
              <w:spacing w:before="0" w:after="283"/>
              <w:jc w:val="left"/>
              <w:rPr/>
            </w:pPr>
            <w:r>
              <w:rPr/>
              <w:t> </w:t>
            </w:r>
            <w:bookmarkStart w:id="46" w:name="xdx_408_eus-gaap--Assets_i01TI_mtCzxyX_z"/>
            <w:bookmarkEnd w:id="46"/>
          </w:p>
        </w:tc>
      </w:tr>
      <w:tr>
        <w:trPr/>
        <w:tc>
          <w:tcPr>
            <w:tcW w:w="757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19,925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pPr>
            <w:r>
              <w:rPr/>
              <w:t>25,140</w:t>
            </w:r>
          </w:p>
        </w:tc>
        <w:tc>
          <w:tcPr>
            <w:tcW w:w="112"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7" w:name="xdx_401_eus-gaap--LiabilitiesAndStockhol"/>
            <w:bookmarkEnd w:id="47"/>
          </w:p>
        </w:tc>
      </w:tr>
      <w:tr>
        <w:trPr/>
        <w:tc>
          <w:tcPr>
            <w:tcW w:w="757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8" w:name="xdx_406_eus-gaap--LiabilitiesCurrentAbst"/>
            <w:bookmarkEnd w:id="48"/>
          </w:p>
        </w:tc>
      </w:tr>
      <w:tr>
        <w:trPr/>
        <w:tc>
          <w:tcPr>
            <w:tcW w:w="757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9" w:name="xdx_40E_eus-gaap--AccountsPayableCurrent"/>
            <w:bookmarkEnd w:id="49"/>
          </w:p>
        </w:tc>
      </w:tr>
      <w:tr>
        <w:trPr/>
        <w:tc>
          <w:tcPr>
            <w:tcW w:w="757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42" w:type="dxa"/>
            <w:tcBorders/>
            <w:shd w:fill="FFFFFF" w:val="clear"/>
            <w:vAlign w:val="center"/>
          </w:tcPr>
          <w:p>
            <w:pPr>
              <w:pStyle w:val="TableContents"/>
              <w:bidi w:val="0"/>
              <w:spacing w:before="0" w:after="283"/>
              <w:jc w:val="right"/>
              <w:rPr/>
            </w:pPr>
            <w:r>
              <w:rPr/>
              <w:t>5,827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6,956</w:t>
            </w:r>
          </w:p>
        </w:tc>
        <w:tc>
          <w:tcPr>
            <w:tcW w:w="112" w:type="dxa"/>
            <w:tcBorders/>
            <w:shd w:fill="FFFFFF" w:val="clear"/>
            <w:vAlign w:val="center"/>
          </w:tcPr>
          <w:p>
            <w:pPr>
              <w:pStyle w:val="TableContents"/>
              <w:bidi w:val="0"/>
              <w:spacing w:before="0" w:after="283"/>
              <w:jc w:val="left"/>
              <w:rPr/>
            </w:pPr>
            <w:r>
              <w:rPr/>
              <w:t> </w:t>
            </w:r>
            <w:bookmarkStart w:id="50" w:name="xdx_40F_eus-gaap--AccruedLiabilitiesCurr"/>
            <w:bookmarkEnd w:id="50"/>
          </w:p>
        </w:tc>
      </w:tr>
      <w:tr>
        <w:trPr/>
        <w:tc>
          <w:tcPr>
            <w:tcW w:w="757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984</w:t>
            </w:r>
          </w:p>
        </w:tc>
        <w:tc>
          <w:tcPr>
            <w:tcW w:w="112" w:type="dxa"/>
            <w:tcBorders/>
            <w:shd w:fill="CCEEFF" w:val="clear"/>
            <w:vAlign w:val="center"/>
          </w:tcPr>
          <w:p>
            <w:pPr>
              <w:pStyle w:val="TableContents"/>
              <w:bidi w:val="0"/>
              <w:spacing w:before="0" w:after="283"/>
              <w:jc w:val="left"/>
              <w:rPr/>
            </w:pPr>
            <w:r>
              <w:rPr/>
              <w:t> </w:t>
            </w:r>
            <w:bookmarkStart w:id="51" w:name="xdx_402_eus-gaap--SecuredDebtCurrent_i02"/>
            <w:bookmarkEnd w:id="51"/>
          </w:p>
        </w:tc>
      </w:tr>
      <w:tr>
        <w:trPr/>
        <w:tc>
          <w:tcPr>
            <w:tcW w:w="7570" w:type="dxa"/>
            <w:tcBorders/>
            <w:shd w:fill="FFFFFF" w:val="clear"/>
            <w:vAlign w:val="center"/>
          </w:tcPr>
          <w:p>
            <w:pPr>
              <w:pStyle w:val="TableContents"/>
              <w:bidi w:val="0"/>
              <w:spacing w:before="0" w:after="283"/>
              <w:jc w:val="left"/>
              <w:rPr/>
            </w:pPr>
            <w:r>
              <w:rPr/>
              <w:t>Senior secured loan, net of deferred financing costs of $</w:t>
            </w:r>
            <w:bookmarkStart w:id="52" w:name="xdx_90F_eus-gaap--DeferredFinanceCostsNe"/>
            <w:bookmarkEnd w:id="52"/>
            <w:r>
              <w:rPr/>
              <w:t>90 and $</w:t>
            </w:r>
            <w:bookmarkStart w:id="53" w:name="xdx_900_eus-gaap--DeferredFinanceCostsNe"/>
            <w:bookmarkEnd w:id="53"/>
            <w:r>
              <w:rPr/>
              <w:t>329, respectively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9,160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9,571</w:t>
            </w:r>
          </w:p>
        </w:tc>
        <w:tc>
          <w:tcPr>
            <w:tcW w:w="112" w:type="dxa"/>
            <w:tcBorders/>
            <w:shd w:fill="FFFFFF" w:val="clear"/>
            <w:vAlign w:val="center"/>
          </w:tcPr>
          <w:p>
            <w:pPr>
              <w:pStyle w:val="TableContents"/>
              <w:bidi w:val="0"/>
              <w:spacing w:before="0" w:after="283"/>
              <w:jc w:val="left"/>
              <w:rPr/>
            </w:pPr>
            <w:r>
              <w:rPr/>
              <w:t> </w:t>
            </w:r>
            <w:bookmarkStart w:id="54" w:name="xdx_406_eus-gaap--OtherLiabilitiesCurren"/>
            <w:bookmarkEnd w:id="54"/>
          </w:p>
        </w:tc>
      </w:tr>
      <w:tr>
        <w:trPr/>
        <w:tc>
          <w:tcPr>
            <w:tcW w:w="7570" w:type="dxa"/>
            <w:tcBorders/>
            <w:shd w:fill="CCEEFF" w:val="clear"/>
            <w:vAlign w:val="center"/>
          </w:tcPr>
          <w:p>
            <w:pPr>
              <w:pStyle w:val="TableContents"/>
              <w:bidi w:val="0"/>
              <w:spacing w:before="0" w:after="283"/>
              <w:jc w:val="left"/>
              <w:rPr/>
            </w:pPr>
            <w:r>
              <w:rPr/>
              <w:t>Payable to former related party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144</w:t>
            </w:r>
          </w:p>
        </w:tc>
        <w:tc>
          <w:tcPr>
            <w:tcW w:w="112" w:type="dxa"/>
            <w:tcBorders/>
            <w:shd w:fill="CCEEFF" w:val="clear"/>
            <w:vAlign w:val="center"/>
          </w:tcPr>
          <w:p>
            <w:pPr>
              <w:pStyle w:val="TableContents"/>
              <w:bidi w:val="0"/>
              <w:spacing w:before="0" w:after="283"/>
              <w:jc w:val="left"/>
              <w:rPr/>
            </w:pPr>
            <w:r>
              <w:rPr/>
              <w:t> </w:t>
            </w:r>
            <w:bookmarkStart w:id="55" w:name="xdx_40B_eus-gaap--OperatingLeaseLiabilit"/>
            <w:bookmarkEnd w:id="55"/>
          </w:p>
        </w:tc>
      </w:tr>
      <w:tr>
        <w:trPr/>
        <w:tc>
          <w:tcPr>
            <w:tcW w:w="7570" w:type="dxa"/>
            <w:tcBorders/>
            <w:shd w:fill="FFFFFF" w:val="clear"/>
            <w:vAlign w:val="center"/>
          </w:tcPr>
          <w:p>
            <w:pPr>
              <w:pStyle w:val="TableContents"/>
              <w:bidi w:val="0"/>
              <w:spacing w:before="0" w:after="283"/>
              <w:jc w:val="left"/>
              <w:rPr/>
            </w:pPr>
            <w:r>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56" w:name="xdx_40E_eus-gaap--LiabilitiesCurrent_i02"/>
            <w:bookmarkEnd w:id="56"/>
          </w:p>
        </w:tc>
      </w:tr>
      <w:tr>
        <w:trPr/>
        <w:tc>
          <w:tcPr>
            <w:tcW w:w="7570" w:type="dxa"/>
            <w:tcBorders/>
            <w:shd w:fill="CCEEFF" w:val="clear"/>
            <w:vAlign w:val="center"/>
          </w:tcPr>
          <w:p>
            <w:pPr>
              <w:pStyle w:val="TableContents"/>
              <w:bidi w:val="0"/>
              <w:spacing w:before="0" w:after="283"/>
              <w:jc w:val="left"/>
              <w:rPr>
                <w:i/>
              </w:rPr>
            </w:pPr>
            <w:r>
              <w:rPr>
                <w:i/>
              </w:rPr>
              <w:t>Total 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16,363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17,655</w:t>
            </w:r>
          </w:p>
        </w:tc>
        <w:tc>
          <w:tcPr>
            <w:tcW w:w="112"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7" w:name="xdx_400_eus-gaap--OperatingLeaseLiabilit"/>
            <w:bookmarkEnd w:id="57"/>
          </w:p>
        </w:tc>
      </w:tr>
      <w:tr>
        <w:trPr/>
        <w:tc>
          <w:tcPr>
            <w:tcW w:w="7570" w:type="dxa"/>
            <w:tcBorders/>
            <w:shd w:fill="CCEEFF" w:val="clear"/>
            <w:vAlign w:val="center"/>
          </w:tcPr>
          <w:p>
            <w:pPr>
              <w:pStyle w:val="TableContents"/>
              <w:bidi w:val="0"/>
              <w:spacing w:before="0" w:after="283"/>
              <w:jc w:val="left"/>
              <w:rPr/>
            </w:pPr>
            <w:r>
              <w:rPr/>
              <w:t>Lease liabilities, less current portion</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837</w:t>
            </w:r>
          </w:p>
        </w:tc>
        <w:tc>
          <w:tcPr>
            <w:tcW w:w="112" w:type="dxa"/>
            <w:tcBorders/>
            <w:shd w:fill="CCEEFF" w:val="clear"/>
            <w:vAlign w:val="center"/>
          </w:tcPr>
          <w:p>
            <w:pPr>
              <w:pStyle w:val="TableContents"/>
              <w:bidi w:val="0"/>
              <w:spacing w:before="0" w:after="283"/>
              <w:jc w:val="left"/>
              <w:rPr/>
            </w:pPr>
            <w:r>
              <w:rPr/>
              <w:t> </w:t>
            </w:r>
            <w:bookmarkStart w:id="58" w:name="xdx_40D_eus-gaap--Liabilities_i01TI_mtCz"/>
            <w:bookmarkEnd w:id="58"/>
          </w:p>
        </w:tc>
      </w:tr>
      <w:tr>
        <w:trPr/>
        <w:tc>
          <w:tcPr>
            <w:tcW w:w="757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pPr>
            <w:r>
              <w:rPr/>
              <w:t>17,168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pPr>
            <w:r>
              <w:rPr/>
              <w:t>18,492</w:t>
            </w:r>
          </w:p>
        </w:tc>
        <w:tc>
          <w:tcPr>
            <w:tcW w:w="112"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9" w:name="xdx_40F_eus-gaap--StockholdersEquityAbst"/>
            <w:bookmarkEnd w:id="59"/>
          </w:p>
        </w:tc>
      </w:tr>
      <w:tr>
        <w:trPr/>
        <w:tc>
          <w:tcPr>
            <w:tcW w:w="7570"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0" w:name="xdx_406_eus-gaap--PreferredStockValue_i0"/>
            <w:bookmarkEnd w:id="60"/>
          </w:p>
        </w:tc>
      </w:tr>
      <w:tr>
        <w:trPr/>
        <w:tc>
          <w:tcPr>
            <w:tcW w:w="7570" w:type="dxa"/>
            <w:tcBorders/>
            <w:shd w:fill="CCEEFF" w:val="clear"/>
            <w:vAlign w:val="center"/>
          </w:tcPr>
          <w:p>
            <w:pPr>
              <w:pStyle w:val="TableContents"/>
              <w:bidi w:val="0"/>
              <w:spacing w:before="0" w:after="283"/>
              <w:jc w:val="left"/>
              <w:rPr/>
            </w:pPr>
            <w:r>
              <w:rPr/>
              <w:t>Series A Convertible Preferred stock, $</w:t>
            </w:r>
            <w:bookmarkStart w:id="61" w:name="xdx_906_eus-gaap--PreferredStockParOrSta"/>
            <w:bookmarkStart w:id="62" w:name="xdx_902_eus-gaap--PreferredStockParOrSta"/>
            <w:bookmarkEnd w:id="61"/>
            <w:bookmarkEnd w:id="62"/>
            <w:r>
              <w:rPr/>
              <w:t xml:space="preserve">10 par value, </w:t>
            </w:r>
            <w:bookmarkStart w:id="63" w:name="xdx_90E_eus-gaap--PreferredStockSharesAu"/>
            <w:bookmarkStart w:id="64" w:name="xdx_905_eus-gaap--PreferredStockSharesAu"/>
            <w:bookmarkEnd w:id="63"/>
            <w:bookmarkEnd w:id="64"/>
            <w:r>
              <w:rPr/>
              <w:t xml:space="preserve">500,000 shares authorized, </w:t>
            </w:r>
            <w:bookmarkStart w:id="65" w:name="xdx_902_eus-gaap--PreferredStockSharesOu"/>
            <w:bookmarkStart w:id="66" w:name="xdx_90B_eus-gaap--PreferredStockSharesIs"/>
            <w:bookmarkStart w:id="67" w:name="xdx_904_eus-gaap--PreferredStockSharesOu"/>
            <w:bookmarkStart w:id="68" w:name="xdx_90F_eus-gaap--PreferredStockSharesIs"/>
            <w:bookmarkEnd w:id="65"/>
            <w:bookmarkEnd w:id="66"/>
            <w:bookmarkEnd w:id="67"/>
            <w:bookmarkEnd w:id="68"/>
            <w:r>
              <w:rPr/>
              <w:t>9,411 shares issued and outstanding</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94</w:t>
            </w:r>
          </w:p>
        </w:tc>
        <w:tc>
          <w:tcPr>
            <w:tcW w:w="112" w:type="dxa"/>
            <w:tcBorders/>
            <w:shd w:fill="CCEEFF" w:val="clear"/>
            <w:vAlign w:val="center"/>
          </w:tcPr>
          <w:p>
            <w:pPr>
              <w:pStyle w:val="TableContents"/>
              <w:bidi w:val="0"/>
              <w:spacing w:before="0" w:after="283"/>
              <w:jc w:val="left"/>
              <w:rPr/>
            </w:pPr>
            <w:r>
              <w:rPr/>
              <w:t> </w:t>
            </w:r>
            <w:bookmarkStart w:id="69" w:name="xdx_407_eus-gaap--CommonStockValue_i02I_"/>
            <w:bookmarkEnd w:id="69"/>
          </w:p>
        </w:tc>
      </w:tr>
      <w:tr>
        <w:trPr/>
        <w:tc>
          <w:tcPr>
            <w:tcW w:w="7570" w:type="dxa"/>
            <w:tcBorders/>
            <w:shd w:fill="FFFFFF" w:val="clear"/>
            <w:vAlign w:val="center"/>
          </w:tcPr>
          <w:p>
            <w:pPr>
              <w:pStyle w:val="TableContents"/>
              <w:bidi w:val="0"/>
              <w:spacing w:before="0" w:after="283"/>
              <w:jc w:val="left"/>
              <w:rPr/>
            </w:pPr>
            <w:r>
              <w:rPr/>
              <w:t>Common stock, $</w:t>
            </w:r>
            <w:bookmarkStart w:id="70" w:name="xdx_901_eus-gaap--CommonStockParOrStated"/>
            <w:bookmarkStart w:id="71" w:name="xdx_909_eus-gaap--CommonStockParOrStated"/>
            <w:bookmarkEnd w:id="70"/>
            <w:bookmarkEnd w:id="71"/>
            <w:r>
              <w:rPr/>
              <w:t xml:space="preserve">.0001 par value, </w:t>
            </w:r>
            <w:bookmarkStart w:id="72" w:name="xdx_900_eus-gaap--CommonStockSharesAutho"/>
            <w:bookmarkStart w:id="73" w:name="xdx_90A_eus-gaap--CommonStockSharesAutho"/>
            <w:bookmarkEnd w:id="72"/>
            <w:bookmarkEnd w:id="73"/>
            <w:r>
              <w:rPr/>
              <w:t xml:space="preserve">60,000,000 shares authorized; </w:t>
            </w:r>
            <w:bookmarkStart w:id="74" w:name="xdx_908_eus-gaap--CommonStockSharesOutst"/>
            <w:bookmarkStart w:id="75" w:name="xdx_908_eus-gaap--CommonStockSharesIssue"/>
            <w:bookmarkEnd w:id="74"/>
            <w:bookmarkEnd w:id="75"/>
            <w:r>
              <w:rPr/>
              <w:t xml:space="preserve">8,945,454 and </w:t>
            </w:r>
            <w:bookmarkStart w:id="76" w:name="xdx_900_eus-gaap--CommonStockSharesOutst"/>
            <w:bookmarkStart w:id="77" w:name="xdx_903_eus-gaap--CommonStockSharesIssue"/>
            <w:bookmarkEnd w:id="76"/>
            <w:bookmarkEnd w:id="77"/>
            <w:r>
              <w:rPr/>
              <w:t>7,561,875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 </w:t>
            </w:r>
            <w:bookmarkStart w:id="78" w:name="xdx_404_eus-gaap--AdditionalPaidInCapita"/>
            <w:bookmarkEnd w:id="78"/>
          </w:p>
        </w:tc>
      </w:tr>
      <w:tr>
        <w:trPr/>
        <w:tc>
          <w:tcPr>
            <w:tcW w:w="7570"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166,612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158,437</w:t>
            </w:r>
          </w:p>
        </w:tc>
        <w:tc>
          <w:tcPr>
            <w:tcW w:w="112" w:type="dxa"/>
            <w:tcBorders/>
            <w:shd w:fill="CCEEFF" w:val="clear"/>
            <w:vAlign w:val="center"/>
          </w:tcPr>
          <w:p>
            <w:pPr>
              <w:pStyle w:val="TableContents"/>
              <w:bidi w:val="0"/>
              <w:spacing w:before="0" w:after="283"/>
              <w:jc w:val="left"/>
              <w:rPr/>
            </w:pPr>
            <w:r>
              <w:rPr/>
              <w:t> </w:t>
            </w:r>
            <w:bookmarkStart w:id="79" w:name="xdx_409_eus-gaap--RetainedEarningsAccumu"/>
            <w:bookmarkEnd w:id="79"/>
          </w:p>
        </w:tc>
      </w:tr>
      <w:tr>
        <w:trPr/>
        <w:tc>
          <w:tcPr>
            <w:tcW w:w="757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pPr>
            <w:r>
              <w:rPr/>
              <w:t>(163,950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pPr>
            <w:r>
              <w:rPr/>
              <w:t>(151,884</w:t>
            </w:r>
          </w:p>
        </w:tc>
        <w:tc>
          <w:tcPr>
            <w:tcW w:w="112" w:type="dxa"/>
            <w:tcBorders/>
            <w:shd w:fill="FFFFFF" w:val="clear"/>
            <w:vAlign w:val="center"/>
          </w:tcPr>
          <w:p>
            <w:pPr>
              <w:pStyle w:val="TableContents"/>
              <w:bidi w:val="0"/>
              <w:spacing w:before="0" w:after="283"/>
              <w:jc w:val="left"/>
              <w:rPr/>
            </w:pPr>
            <w:r>
              <w:rPr/>
              <w:t>)</w:t>
            </w:r>
            <w:bookmarkStart w:id="80" w:name="xdx_40C_eus-gaap--StockholdersEquity_i02"/>
            <w:bookmarkEnd w:id="80"/>
          </w:p>
        </w:tc>
      </w:tr>
      <w:tr>
        <w:trPr/>
        <w:tc>
          <w:tcPr>
            <w:tcW w:w="757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2,757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6,648</w:t>
            </w:r>
          </w:p>
        </w:tc>
        <w:tc>
          <w:tcPr>
            <w:tcW w:w="112" w:type="dxa"/>
            <w:tcBorders/>
            <w:shd w:fill="CCEEFF" w:val="clear"/>
            <w:vAlign w:val="center"/>
          </w:tcPr>
          <w:p>
            <w:pPr>
              <w:pStyle w:val="TableContents"/>
              <w:bidi w:val="0"/>
              <w:spacing w:before="0" w:after="283"/>
              <w:jc w:val="left"/>
              <w:rPr/>
            </w:pPr>
            <w:r>
              <w:rPr/>
              <w:t> </w:t>
            </w:r>
            <w:bookmarkStart w:id="81" w:name="xdx_400_eus-gaap--LiabilitiesAndStockhol"/>
            <w:bookmarkEnd w:id="81"/>
          </w:p>
        </w:tc>
      </w:tr>
      <w:tr>
        <w:trPr/>
        <w:tc>
          <w:tcPr>
            <w:tcW w:w="7570"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19,925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pPr>
            <w:r>
              <w:rPr/>
              <w:t>25,140</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 w:name="a_004"/>
      <w:bookmarkEnd w:id="82"/>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3" w:name="xdx_309_113_pn3n3_zaS9R9Bjd6lg"/>
      <w:bookmarkStart w:id="84" w:name="xdx_309_113_pn3n3_zaS9R9Bjd6lg"/>
      <w:bookmarkEnd w:id="84"/>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5" w:name="xdx_49E_20250701__20250930_z5RtBkTesLkj"/>
            <w:bookmarkEnd w:id="85"/>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 w:name="xdx_499_20240701__20240930_z0T0IBap4Tke"/>
            <w:bookmarkEnd w:id="86"/>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7" w:name="xdx_499_20250101__20250930_zUXDXLOpgAtf"/>
            <w:bookmarkEnd w:id="8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 w:name="xdx_49B_20240101__20240930_zpo0h6fB3GK2"/>
            <w:bookmarkEnd w:id="88"/>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9" w:name="xdx_408_eus-gaap--RevenueFromContractWit"/>
            <w:bookmarkEnd w:id="89"/>
          </w:p>
        </w:tc>
      </w:tr>
      <w:tr>
        <w:trPr/>
        <w:tc>
          <w:tcPr>
            <w:tcW w:w="545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28,221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 w:name="xdx_40A_eus-gaap--CostOfGoodsAndServices"/>
            <w:bookmarkEnd w:id="90"/>
          </w:p>
        </w:tc>
      </w:tr>
      <w:tr>
        <w:trPr/>
        <w:tc>
          <w:tcPr>
            <w:tcW w:w="545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19,762</w:t>
            </w:r>
          </w:p>
        </w:tc>
        <w:tc>
          <w:tcPr>
            <w:tcW w:w="110" w:type="dxa"/>
            <w:tcBorders/>
            <w:shd w:fill="CCEEFF" w:val="clear"/>
            <w:vAlign w:val="center"/>
          </w:tcPr>
          <w:p>
            <w:pPr>
              <w:pStyle w:val="TableContents"/>
              <w:bidi w:val="0"/>
              <w:spacing w:before="0" w:after="283"/>
              <w:jc w:val="left"/>
              <w:rPr/>
            </w:pPr>
            <w:r>
              <w:rPr/>
              <w:t> </w:t>
            </w:r>
            <w:bookmarkStart w:id="91" w:name="xdx_40C_eus-gaap--OtherCostOfOperatingRe"/>
            <w:bookmarkEnd w:id="91"/>
          </w:p>
        </w:tc>
      </w:tr>
      <w:tr>
        <w:trPr/>
        <w:tc>
          <w:tcPr>
            <w:tcW w:w="5450" w:type="dxa"/>
            <w:tcBorders/>
            <w:shd w:fill="FFFFFF" w:val="clear"/>
            <w:vAlign w:val="center"/>
          </w:tcPr>
          <w:p>
            <w:pPr>
              <w:pStyle w:val="TableContents"/>
              <w:bidi w:val="0"/>
              <w:spacing w:before="0" w:after="283"/>
              <w:jc w:val="left"/>
              <w:rPr/>
            </w:pPr>
            <w:r>
              <w:rPr/>
              <w:t>Inventory write-offs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2" w:name="xdx_403_eus-gaap--CostOfRevenue_mtCORzQk"/>
            <w:bookmarkEnd w:id="92"/>
          </w:p>
        </w:tc>
      </w:tr>
      <w:tr>
        <w:trPr/>
        <w:tc>
          <w:tcPr>
            <w:tcW w:w="5450" w:type="dxa"/>
            <w:tcBorders/>
            <w:shd w:fill="CCEEFF" w:val="clear"/>
            <w:vAlign w:val="center"/>
          </w:tcPr>
          <w:p>
            <w:pPr>
              <w:pStyle w:val="TableContents"/>
              <w:bidi w:val="0"/>
              <w:spacing w:before="0" w:after="283"/>
              <w:jc w:val="left"/>
              <w:rPr/>
            </w:pPr>
            <w:r>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21,152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19,762</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 w:name="xdx_401_eus-gaap--GrossProfit_iT_maCzgBe"/>
            <w:bookmarkEnd w:id="93"/>
          </w:p>
        </w:tc>
      </w:tr>
      <w:tr>
        <w:trPr/>
        <w:tc>
          <w:tcPr>
            <w:tcW w:w="545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8,459</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 w:name="xdx_408_eus-gaap--OperatingExpensesAbstr"/>
            <w:bookmarkEnd w:id="94"/>
          </w:p>
        </w:tc>
      </w:tr>
      <w:tr>
        <w:trPr/>
        <w:tc>
          <w:tcPr>
            <w:tcW w:w="545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5" w:name="xdx_40B_ecustom--DeliveryAndHandlingExpe"/>
            <w:bookmarkEnd w:id="95"/>
          </w:p>
        </w:tc>
      </w:tr>
      <w:tr>
        <w:trPr/>
        <w:tc>
          <w:tcPr>
            <w:tcW w:w="5450" w:type="dxa"/>
            <w:tcBorders/>
            <w:shd w:fill="FFFFFF" w:val="clear"/>
            <w:vAlign w:val="center"/>
          </w:tcPr>
          <w:p>
            <w:pPr>
              <w:pStyle w:val="TableContents"/>
              <w:bidi w:val="0"/>
              <w:spacing w:before="0" w:after="283"/>
              <w:jc w:val="left"/>
              <w:rPr/>
            </w:pPr>
            <w:r>
              <w:rPr/>
              <w:t>Delivery and handling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4,204</w:t>
            </w:r>
          </w:p>
        </w:tc>
        <w:tc>
          <w:tcPr>
            <w:tcW w:w="110" w:type="dxa"/>
            <w:tcBorders/>
            <w:shd w:fill="FFFFFF" w:val="clear"/>
            <w:vAlign w:val="center"/>
          </w:tcPr>
          <w:p>
            <w:pPr>
              <w:pStyle w:val="TableContents"/>
              <w:bidi w:val="0"/>
              <w:spacing w:before="0" w:after="283"/>
              <w:jc w:val="left"/>
              <w:rPr/>
            </w:pPr>
            <w:r>
              <w:rPr/>
              <w:t> </w:t>
            </w:r>
            <w:bookmarkStart w:id="96" w:name="xdx_406_eus-gaap--SellingAndMarketingExp"/>
            <w:bookmarkEnd w:id="96"/>
          </w:p>
        </w:tc>
      </w:tr>
      <w:tr>
        <w:trPr/>
        <w:tc>
          <w:tcPr>
            <w:tcW w:w="5450" w:type="dxa"/>
            <w:tcBorders/>
            <w:shd w:fill="CCEEFF" w:val="clear"/>
            <w:vAlign w:val="center"/>
          </w:tcPr>
          <w:p>
            <w:pPr>
              <w:pStyle w:val="TableContents"/>
              <w:bidi w:val="0"/>
              <w:spacing w:before="0" w:after="283"/>
              <w:jc w:val="left"/>
              <w:rPr/>
            </w:pPr>
            <w:r>
              <w:rPr/>
              <w:t>Selling and marketing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3,473</w:t>
            </w:r>
          </w:p>
        </w:tc>
        <w:tc>
          <w:tcPr>
            <w:tcW w:w="110" w:type="dxa"/>
            <w:tcBorders/>
            <w:shd w:fill="CCEEFF" w:val="clear"/>
            <w:vAlign w:val="center"/>
          </w:tcPr>
          <w:p>
            <w:pPr>
              <w:pStyle w:val="TableContents"/>
              <w:bidi w:val="0"/>
              <w:spacing w:before="0" w:after="283"/>
              <w:jc w:val="left"/>
              <w:rPr/>
            </w:pPr>
            <w:r>
              <w:rPr/>
              <w:t> </w:t>
            </w:r>
            <w:bookmarkStart w:id="97" w:name="xdx_408_eus-gaap--GeneralAndAdministrati"/>
            <w:bookmarkEnd w:id="97"/>
          </w:p>
        </w:tc>
      </w:tr>
      <w:tr>
        <w:trPr/>
        <w:tc>
          <w:tcPr>
            <w:tcW w:w="5450"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5,239</w:t>
            </w:r>
          </w:p>
        </w:tc>
        <w:tc>
          <w:tcPr>
            <w:tcW w:w="110" w:type="dxa"/>
            <w:tcBorders/>
            <w:shd w:fill="FFFFFF" w:val="clear"/>
            <w:vAlign w:val="center"/>
          </w:tcPr>
          <w:p>
            <w:pPr>
              <w:pStyle w:val="TableContents"/>
              <w:bidi w:val="0"/>
              <w:spacing w:before="0" w:after="283"/>
              <w:jc w:val="left"/>
              <w:rPr/>
            </w:pPr>
            <w:r>
              <w:rPr/>
              <w:t> </w:t>
            </w:r>
            <w:bookmarkStart w:id="98" w:name="xdx_408_eus-gaap--OperatingExpenses_i01T"/>
            <w:bookmarkEnd w:id="98"/>
          </w:p>
        </w:tc>
      </w:tr>
      <w:tr>
        <w:trPr/>
        <w:tc>
          <w:tcPr>
            <w:tcW w:w="545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17,071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12,916</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9" w:name="xdx_40F_eus-gaap--OperatingIncomeLoss_iT"/>
            <w:bookmarkEnd w:id="99"/>
          </w:p>
        </w:tc>
      </w:tr>
      <w:tr>
        <w:trPr/>
        <w:tc>
          <w:tcPr>
            <w:tcW w:w="545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(4,457</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 w:name="xdx_401_eus-gaap--InterestExpense_iN_di_"/>
            <w:bookmarkEnd w:id="100"/>
          </w:p>
        </w:tc>
      </w:tr>
      <w:tr>
        <w:trPr/>
        <w:tc>
          <w:tcPr>
            <w:tcW w:w="545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(4,578</w:t>
            </w:r>
          </w:p>
        </w:tc>
        <w:tc>
          <w:tcPr>
            <w:tcW w:w="110" w:type="dxa"/>
            <w:tcBorders/>
            <w:shd w:fill="CCEEFF" w:val="clear"/>
            <w:vAlign w:val="center"/>
          </w:tcPr>
          <w:p>
            <w:pPr>
              <w:pStyle w:val="TableContents"/>
              <w:bidi w:val="0"/>
              <w:spacing w:before="0" w:after="283"/>
              <w:jc w:val="left"/>
              <w:rPr/>
            </w:pPr>
            <w:r>
              <w:rPr/>
              <w:t>)</w:t>
            </w:r>
            <w:bookmarkStart w:id="101" w:name="xdx_407_eus-gaap--OtherIncome_maCzgEI_zn"/>
            <w:bookmarkEnd w:id="101"/>
          </w:p>
        </w:tc>
      </w:tr>
      <w:tr>
        <w:trPr/>
        <w:tc>
          <w:tcPr>
            <w:tcW w:w="545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2" w:name="xdx_40D_eus-gaap--UnrealizedGainLossOnIn"/>
            <w:bookmarkEnd w:id="102"/>
          </w:p>
        </w:tc>
      </w:tr>
      <w:tr>
        <w:trPr/>
        <w:tc>
          <w:tcPr>
            <w:tcW w:w="5450" w:type="dxa"/>
            <w:tcBorders/>
            <w:shd w:fill="CCEEFF" w:val="clear"/>
            <w:vAlign w:val="center"/>
          </w:tcPr>
          <w:p>
            <w:pPr>
              <w:pStyle w:val="TableContents"/>
              <w:bidi w:val="0"/>
              <w:spacing w:before="0" w:after="283"/>
              <w:jc w:val="left"/>
              <w:rPr/>
            </w:pPr>
            <w:r>
              <w:rPr/>
              <w:t>Change in fair value of SAFE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6_eus-gaap--NetIncomeLoss_iT_mtCzg"/>
            <w:bookmarkEnd w:id="103"/>
          </w:p>
        </w:tc>
      </w:tr>
      <w:tr>
        <w:trPr/>
        <w:tc>
          <w:tcPr>
            <w:tcW w:w="545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(9,035</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6_eus-gaap--PreferredStockDividend"/>
            <w:bookmarkEnd w:id="104"/>
          </w:p>
        </w:tc>
      </w:tr>
      <w:tr>
        <w:trPr/>
        <w:tc>
          <w:tcPr>
            <w:tcW w:w="5450" w:type="dxa"/>
            <w:tcBorders/>
            <w:shd w:fill="CCEEFF" w:val="clear"/>
            <w:vAlign w:val="center"/>
          </w:tcPr>
          <w:p>
            <w:pPr>
              <w:pStyle w:val="TableContents"/>
              <w:bidi w:val="0"/>
              <w:spacing w:before="0" w:after="283"/>
              <w:jc w:val="left"/>
              <w:rPr>
                <w:b/>
              </w:rPr>
            </w:pPr>
            <w:r>
              <w:rPr>
                <w:b/>
              </w:rPr>
              <w:t>Dividends on Series A Convertible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 w:name="xdx_407_eus-gaap--NetIncomeLossAvailable"/>
            <w:bookmarkEnd w:id="105"/>
          </w:p>
        </w:tc>
      </w:tr>
      <w:tr>
        <w:trPr/>
        <w:tc>
          <w:tcPr>
            <w:tcW w:w="5450" w:type="dxa"/>
            <w:tcBorders/>
            <w:shd w:fill="CCEEFF" w:val="clear"/>
            <w:vAlign w:val="center"/>
          </w:tcPr>
          <w:p>
            <w:pPr>
              <w:pStyle w:val="TableContents"/>
              <w:bidi w:val="0"/>
              <w:spacing w:before="0" w:after="283"/>
              <w:jc w:val="left"/>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(12,066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(9,040</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6" w:name="xdx_90E_eus-gaap--EarningsPerShareDilute"/>
            <w:bookmarkStart w:id="107" w:name="xdx_90D_eus-gaap--EarningsPerShareBasic_"/>
            <w:bookmarkEnd w:id="106"/>
            <w:bookmarkEnd w:id="107"/>
            <w:r>
              <w:rPr/>
              <w:t>(0.48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8" w:name="xdx_900_eus-gaap--EarningsPerShareDilute"/>
            <w:bookmarkStart w:id="109" w:name="xdx_909_eus-gaap--EarningsPerShareBasic_"/>
            <w:bookmarkEnd w:id="108"/>
            <w:bookmarkEnd w:id="109"/>
            <w:r>
              <w:rPr/>
              <w:t>(4.91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0" w:name="xdx_909_eus-gaap--EarningsPerShareDilute"/>
            <w:bookmarkStart w:id="111" w:name="xdx_903_eus-gaap--EarningsPerShareBasic_"/>
            <w:bookmarkEnd w:id="110"/>
            <w:bookmarkEnd w:id="111"/>
            <w:r>
              <w:rPr/>
              <w:t>(1.54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2" w:name="xdx_90A_eus-gaap--EarningsPerShareDilute"/>
            <w:bookmarkStart w:id="113" w:name="xdx_903_eus-gaap--EarningsPerShareBasic_"/>
            <w:bookmarkEnd w:id="112"/>
            <w:bookmarkEnd w:id="113"/>
            <w:r>
              <w:rPr/>
              <w:t>(12.10</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Weighted average number of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114" w:name="xdx_90D_eus-gaap--WeightedAverageNumberO"/>
            <w:bookmarkStart w:id="115" w:name="xdx_906_eus-gaap--WeightedAverageNumberO"/>
            <w:bookmarkEnd w:id="114"/>
            <w:bookmarkEnd w:id="115"/>
            <w:r>
              <w:rPr/>
              <w:t>8,248,157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116" w:name="xdx_90D_eus-gaap--WeightedAverageNumberO"/>
            <w:bookmarkStart w:id="117" w:name="xdx_906_eus-gaap--WeightedAverageNumberO"/>
            <w:bookmarkEnd w:id="116"/>
            <w:bookmarkEnd w:id="117"/>
            <w:r>
              <w:rPr/>
              <w:t>844,402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bookmarkStart w:id="118" w:name="xdx_903_eus-gaap--WeightedAverageNumberO"/>
            <w:bookmarkStart w:id="119" w:name="xdx_907_eus-gaap--WeightedAverageNumberO"/>
            <w:bookmarkEnd w:id="118"/>
            <w:bookmarkEnd w:id="119"/>
            <w:r>
              <w:rPr/>
              <w:t>7,848,471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120" w:name="xdx_902_eus-gaap--WeightedAverageNumberO"/>
            <w:bookmarkStart w:id="121" w:name="xdx_90A_eus-gaap--WeightedAverageNumberO"/>
            <w:bookmarkEnd w:id="120"/>
            <w:bookmarkEnd w:id="121"/>
            <w:r>
              <w:rPr/>
              <w:t>747,265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2" w:name="a_005"/>
      <w:bookmarkEnd w:id="122"/>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CHANGES IN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3" w:name="xdx_300_114_pn3n3_zKKuBKGkhCfk"/>
      <w:bookmarkStart w:id="124" w:name="xdx_300_114_pn3n3_zKKuBKGkhCfk"/>
      <w:bookmarkEnd w:id="124"/>
    </w:p>
    <w:tbl>
      <w:tblPr>
        <w:tblW w:w="10205" w:type="dxa"/>
        <w:jc w:val="left"/>
        <w:tblInd w:w="0" w:type="dxa"/>
        <w:tblLayout w:type="fixed"/>
        <w:tblCellMar>
          <w:top w:w="0" w:type="dxa"/>
          <w:left w:w="0" w:type="dxa"/>
          <w:bottom w:w="0" w:type="dxa"/>
          <w:right w:w="0" w:type="dxa"/>
        </w:tblCellMar>
      </w:tblPr>
      <w:tblGrid>
        <w:gridCol w:w="1545"/>
        <w:gridCol w:w="60"/>
        <w:gridCol w:w="60"/>
        <w:gridCol w:w="980"/>
        <w:gridCol w:w="60"/>
        <w:gridCol w:w="60"/>
        <w:gridCol w:w="172"/>
        <w:gridCol w:w="688"/>
        <w:gridCol w:w="60"/>
        <w:gridCol w:w="60"/>
        <w:gridCol w:w="68"/>
        <w:gridCol w:w="642"/>
        <w:gridCol w:w="60"/>
        <w:gridCol w:w="60"/>
        <w:gridCol w:w="301"/>
        <w:gridCol w:w="559"/>
        <w:gridCol w:w="60"/>
        <w:gridCol w:w="60"/>
        <w:gridCol w:w="199"/>
        <w:gridCol w:w="1148"/>
        <w:gridCol w:w="60"/>
        <w:gridCol w:w="60"/>
        <w:gridCol w:w="188"/>
        <w:gridCol w:w="1182"/>
        <w:gridCol w:w="95"/>
        <w:gridCol w:w="60"/>
        <w:gridCol w:w="279"/>
        <w:gridCol w:w="1267"/>
        <w:gridCol w:w="112"/>
      </w:tblGrid>
      <w:tr>
        <w:trPr/>
        <w:tc>
          <w:tcPr>
            <w:tcW w:w="1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 w:name="xdx_4B3_us-gaap--StatementEquityComponen"/>
            <w:bookmarkEnd w:id="12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B_us-gaap--StatementEquityComponen"/>
            <w:bookmarkEnd w:id="12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0_us-gaap--StatementEquityComponen"/>
            <w:bookmarkEnd w:id="127"/>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8_us-gaap--StatementEquityComponen"/>
            <w:bookmarkEnd w:id="128"/>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A_zoEg1uma7GK5"/>
            <w:bookmarkEnd w:id="129"/>
          </w:p>
        </w:tc>
        <w:tc>
          <w:tcPr>
            <w:tcW w:w="1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center"/>
              <w:rPr>
                <w:b/>
              </w:rPr>
            </w:pPr>
            <w:r>
              <w:rPr>
                <w:b/>
              </w:rPr>
              <w:t>Total Stockholders’</w:t>
            </w:r>
          </w:p>
        </w:tc>
        <w:tc>
          <w:tcPr>
            <w:tcW w:w="112" w:type="dxa"/>
            <w:tcBorders/>
            <w:vAlign w:val="center"/>
          </w:tcPr>
          <w:p>
            <w:pPr>
              <w:pStyle w:val="TableContents"/>
              <w:bidi w:val="0"/>
              <w:spacing w:before="0" w:after="283"/>
              <w:jc w:val="left"/>
              <w:rPr/>
            </w:pPr>
            <w:r>
              <w:rPr/>
              <w:t> </w:t>
            </w:r>
          </w:p>
        </w:tc>
      </w:tr>
      <w:tr>
        <w:trPr/>
        <w:tc>
          <w:tcPr>
            <w:tcW w:w="1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bookmarkStart w:id="130" w:name="xdx_437_c20250701__20250930_eus-gaap--St"/>
            <w:bookmarkEnd w:id="130"/>
          </w:p>
        </w:tc>
      </w:tr>
      <w:tr>
        <w:trPr/>
        <w:tc>
          <w:tcPr>
            <w:tcW w:w="1545" w:type="dxa"/>
            <w:tcBorders/>
            <w:shd w:fill="CCEEFF" w:val="clear"/>
            <w:vAlign w:val="center"/>
          </w:tcPr>
          <w:p>
            <w:pPr>
              <w:pStyle w:val="TableContents"/>
              <w:bidi w:val="0"/>
              <w:spacing w:before="0" w:after="283"/>
              <w:jc w:val="left"/>
              <w:rPr>
                <w:b/>
              </w:rPr>
            </w:pPr>
            <w:r>
              <w:rPr>
                <w:b/>
              </w:rPr>
              <w:t>Balance,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9_eus-gaap--SharesOutstanding_iS_p"/>
            <w:bookmarkEnd w:id="131"/>
          </w:p>
        </w:tc>
        <w:tc>
          <w:tcPr>
            <w:tcW w:w="980" w:type="dxa"/>
            <w:tcBorders/>
            <w:shd w:fill="CCEEFF" w:val="clear"/>
            <w:vAlign w:val="center"/>
          </w:tcPr>
          <w:p>
            <w:pPr>
              <w:pStyle w:val="TableContents"/>
              <w:bidi w:val="0"/>
              <w:spacing w:before="0" w:after="283"/>
              <w:jc w:val="right"/>
              <w:rPr/>
            </w:pPr>
            <w:r>
              <w:rPr/>
              <w:t>8,112,124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       </w:t>
            </w: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2" w:name="xdx_983_eus-gaap--SharesOutstanding_iS_p"/>
            <w:bookmarkEnd w:id="132"/>
          </w:p>
        </w:tc>
        <w:tc>
          <w:tcPr>
            <w:tcW w:w="642" w:type="dxa"/>
            <w:tcBorders/>
            <w:shd w:fill="CCEEFF" w:val="cle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161,608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(159,968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r>
              <w:rPr/>
              <w:t>1,735</w:t>
            </w:r>
          </w:p>
        </w:tc>
        <w:tc>
          <w:tcPr>
            <w:tcW w:w="112" w:type="dxa"/>
            <w:tcBorders/>
            <w:shd w:fill="CCEEFF" w:val="clear"/>
            <w:vAlign w:val="center"/>
          </w:tcPr>
          <w:p>
            <w:pPr>
              <w:pStyle w:val="TableContents"/>
              <w:bidi w:val="0"/>
              <w:spacing w:before="0" w:after="283"/>
              <w:jc w:val="left"/>
              <w:rPr/>
            </w:pPr>
            <w:r>
              <w:rPr/>
              <w:t> </w:t>
            </w:r>
            <w:bookmarkStart w:id="133" w:name="xdx_40D_ecustom--AdjustmentsToAdditional"/>
            <w:bookmarkEnd w:id="133"/>
          </w:p>
        </w:tc>
      </w:tr>
      <w:tr>
        <w:trPr/>
        <w:tc>
          <w:tcPr>
            <w:tcW w:w="1545"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bookmarkStart w:id="134" w:name="xdx_40B_eus-gaap--StockIssuedDuringPerio"/>
            <w:bookmarkEnd w:id="134"/>
          </w:p>
        </w:tc>
      </w:tr>
      <w:tr>
        <w:trPr/>
        <w:tc>
          <w:tcPr>
            <w:tcW w:w="1545" w:type="dxa"/>
            <w:tcBorders/>
            <w:shd w:fill="CCEEFF" w:val="clear"/>
            <w:vAlign w:val="center"/>
          </w:tcPr>
          <w:p>
            <w:pPr>
              <w:pStyle w:val="TableContents"/>
              <w:bidi w:val="0"/>
              <w:spacing w:before="0" w:after="283"/>
              <w:jc w:val="left"/>
              <w:rPr/>
            </w:pPr>
            <w:r>
              <w:rPr/>
              <w:t>Common stock issued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B_eus-gaap--StockIssuedDuringPerio"/>
            <w:bookmarkEnd w:id="135"/>
          </w:p>
        </w:tc>
        <w:tc>
          <w:tcPr>
            <w:tcW w:w="980" w:type="dxa"/>
            <w:tcBorders/>
            <w:shd w:fill="CCEEFF" w:val="clear"/>
            <w:vAlign w:val="center"/>
          </w:tcPr>
          <w:p>
            <w:pPr>
              <w:pStyle w:val="TableContents"/>
              <w:bidi w:val="0"/>
              <w:spacing w:before="0" w:after="283"/>
              <w:jc w:val="right"/>
              <w:rPr/>
            </w:pPr>
            <w:r>
              <w:rPr/>
              <w:t>833,330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5,000</w:t>
            </w:r>
          </w:p>
        </w:tc>
        <w:tc>
          <w:tcPr>
            <w:tcW w:w="112" w:type="dxa"/>
            <w:tcBorders/>
            <w:shd w:fill="CCEEFF" w:val="clear"/>
            <w:vAlign w:val="center"/>
          </w:tcPr>
          <w:p>
            <w:pPr>
              <w:pStyle w:val="TableContents"/>
              <w:bidi w:val="0"/>
              <w:spacing w:before="0" w:after="283"/>
              <w:jc w:val="left"/>
              <w:rPr/>
            </w:pPr>
            <w:r>
              <w:rPr/>
              <w:t> </w:t>
            </w:r>
            <w:bookmarkStart w:id="136" w:name="xdx_405_eus-gaap--NetIncomeLoss_zfjKMTnU"/>
            <w:bookmarkEnd w:id="136"/>
          </w:p>
        </w:tc>
      </w:tr>
      <w:tr>
        <w:trPr/>
        <w:tc>
          <w:tcPr>
            <w:tcW w:w="15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(3,982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pPr>
            <w:r>
              <w:rPr/>
              <w:t>(3,982</w:t>
            </w:r>
          </w:p>
        </w:tc>
        <w:tc>
          <w:tcPr>
            <w:tcW w:w="112" w:type="dxa"/>
            <w:tcBorders/>
            <w:shd w:fill="FFFFFF" w:val="clear"/>
            <w:vAlign w:val="center"/>
          </w:tcPr>
          <w:p>
            <w:pPr>
              <w:pStyle w:val="TableContents"/>
              <w:bidi w:val="0"/>
              <w:spacing w:before="0" w:after="283"/>
              <w:jc w:val="left"/>
              <w:rPr/>
            </w:pPr>
            <w:r>
              <w:rPr/>
              <w:t>)</w:t>
            </w:r>
            <w:bookmarkStart w:id="137" w:name="xdx_434_c20250701__20250930_eus-gaap--St"/>
            <w:bookmarkEnd w:id="137"/>
          </w:p>
        </w:tc>
      </w:tr>
      <w:tr>
        <w:trPr/>
        <w:tc>
          <w:tcPr>
            <w:tcW w:w="1545" w:type="dxa"/>
            <w:tcBorders/>
            <w:shd w:fill="CCEEFF" w:val="clear"/>
            <w:vAlign w:val="center"/>
          </w:tcPr>
          <w:p>
            <w:pPr>
              <w:pStyle w:val="TableContents"/>
              <w:bidi w:val="0"/>
              <w:spacing w:before="0" w:after="283"/>
              <w:jc w:val="left"/>
              <w:rPr>
                <w:b/>
              </w:rPr>
            </w:pPr>
            <w:r>
              <w:rPr>
                <w:b/>
              </w:rPr>
              <w:t>Balance,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8" w:name="xdx_98F_eus-gaap--SharesOutstanding_iE_p"/>
            <w:bookmarkEnd w:id="13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8,945,454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9" w:name="xdx_98D_eus-gaap--SharesOutstanding_iE_p"/>
            <w:bookmarkEnd w:id="139"/>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pPr>
            <w:r>
              <w:rPr/>
              <w:t>166,612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(163,950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7" w:type="dxa"/>
            <w:tcBorders>
              <w:bottom w:val="double" w:sz="6" w:space="0" w:color="000000"/>
            </w:tcBorders>
            <w:shd w:fill="CCEEFF" w:val="clear"/>
            <w:tcMar>
              <w:bottom w:w="28" w:type="dxa"/>
            </w:tcMar>
            <w:vAlign w:val="center"/>
          </w:tcPr>
          <w:p>
            <w:pPr>
              <w:pStyle w:val="TableContents"/>
              <w:bidi w:val="0"/>
              <w:spacing w:before="0" w:after="283"/>
              <w:jc w:val="right"/>
              <w:rPr/>
            </w:pPr>
            <w:r>
              <w:rPr/>
              <w:t>2,757</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8"/>
        <w:gridCol w:w="60"/>
        <w:gridCol w:w="60"/>
        <w:gridCol w:w="980"/>
        <w:gridCol w:w="60"/>
        <w:gridCol w:w="60"/>
        <w:gridCol w:w="158"/>
        <w:gridCol w:w="702"/>
        <w:gridCol w:w="60"/>
        <w:gridCol w:w="60"/>
        <w:gridCol w:w="86"/>
        <w:gridCol w:w="650"/>
        <w:gridCol w:w="63"/>
        <w:gridCol w:w="63"/>
        <w:gridCol w:w="301"/>
        <w:gridCol w:w="559"/>
        <w:gridCol w:w="60"/>
        <w:gridCol w:w="60"/>
        <w:gridCol w:w="180"/>
        <w:gridCol w:w="1037"/>
        <w:gridCol w:w="60"/>
        <w:gridCol w:w="60"/>
        <w:gridCol w:w="188"/>
        <w:gridCol w:w="1182"/>
        <w:gridCol w:w="95"/>
        <w:gridCol w:w="60"/>
        <w:gridCol w:w="224"/>
        <w:gridCol w:w="1214"/>
        <w:gridCol w:w="115"/>
      </w:tblGrid>
      <w:tr>
        <w:trPr/>
        <w:tc>
          <w:tcPr>
            <w:tcW w:w="17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vAlign w:val="center"/>
          </w:tcPr>
          <w:p>
            <w:pPr>
              <w:pStyle w:val="TableContents"/>
              <w:bidi w:val="0"/>
              <w:spacing w:before="0" w:after="283"/>
              <w:jc w:val="center"/>
              <w:rPr>
                <w:b/>
              </w:rPr>
            </w:pPr>
            <w:r>
              <w:rPr>
                <w:b/>
              </w:rPr>
              <w:t>Total Stockholders’</w:t>
            </w:r>
          </w:p>
        </w:tc>
        <w:tc>
          <w:tcPr>
            <w:tcW w:w="115" w:type="dxa"/>
            <w:tcBorders/>
            <w:vAlign w:val="center"/>
          </w:tcPr>
          <w:p>
            <w:pPr>
              <w:pStyle w:val="TableContents"/>
              <w:bidi w:val="0"/>
              <w:spacing w:before="0" w:after="283"/>
              <w:jc w:val="left"/>
              <w:rPr/>
            </w:pPr>
            <w:r>
              <w:rPr/>
              <w:t> </w:t>
            </w:r>
          </w:p>
        </w:tc>
      </w:tr>
      <w:tr>
        <w:trPr/>
        <w:tc>
          <w:tcPr>
            <w:tcW w:w="17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5" w:type="dxa"/>
            <w:tcBorders/>
            <w:vAlign w:val="center"/>
          </w:tcPr>
          <w:p>
            <w:pPr>
              <w:pStyle w:val="TableContents"/>
              <w:bidi w:val="0"/>
              <w:spacing w:before="0" w:after="283"/>
              <w:jc w:val="left"/>
              <w:rPr/>
            </w:pPr>
            <w:r>
              <w:rPr/>
              <w:t> </w:t>
            </w:r>
            <w:bookmarkStart w:id="140" w:name="xdx_436_c20250101__20250930_eus-gaap--St"/>
            <w:bookmarkEnd w:id="140"/>
          </w:p>
        </w:tc>
      </w:tr>
      <w:tr>
        <w:trPr/>
        <w:tc>
          <w:tcPr>
            <w:tcW w:w="1748"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1" w:name="xdx_98D_eus-gaap--SharesOutstanding_iS_p"/>
            <w:bookmarkEnd w:id="141"/>
          </w:p>
        </w:tc>
        <w:tc>
          <w:tcPr>
            <w:tcW w:w="980" w:type="dxa"/>
            <w:tcBorders/>
            <w:shd w:fill="CCEEFF" w:val="clear"/>
            <w:vAlign w:val="center"/>
          </w:tcPr>
          <w:p>
            <w:pPr>
              <w:pStyle w:val="TableContents"/>
              <w:bidi w:val="0"/>
              <w:spacing w:before="0" w:after="283"/>
              <w:jc w:val="right"/>
              <w:rPr/>
            </w:pPr>
            <w:r>
              <w:rPr/>
              <w:t>7,561,714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        </w:t>
            </w: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42" w:name="xdx_982_eus-gaap--SharesOutstanding_iS_p"/>
            <w:bookmarkEnd w:id="142"/>
          </w:p>
        </w:tc>
        <w:tc>
          <w:tcPr>
            <w:tcW w:w="650" w:type="dxa"/>
            <w:tcBorders/>
            <w:shd w:fill="CCEEFF" w:val="clear"/>
            <w:vAlign w:val="center"/>
          </w:tcPr>
          <w:p>
            <w:pPr>
              <w:pStyle w:val="TableContents"/>
              <w:bidi w:val="0"/>
              <w:spacing w:before="0" w:after="283"/>
              <w:jc w:val="right"/>
              <w:rPr/>
            </w:pPr>
            <w:r>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158,437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(151,884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6,648</w:t>
            </w:r>
          </w:p>
        </w:tc>
        <w:tc>
          <w:tcPr>
            <w:tcW w:w="115" w:type="dxa"/>
            <w:tcBorders/>
            <w:shd w:fill="CCEEFF" w:val="clear"/>
            <w:vAlign w:val="center"/>
          </w:tcPr>
          <w:p>
            <w:pPr>
              <w:pStyle w:val="TableContents"/>
              <w:bidi w:val="0"/>
              <w:spacing w:before="0" w:after="283"/>
              <w:jc w:val="left"/>
              <w:rPr/>
            </w:pPr>
            <w:r>
              <w:rPr/>
              <w:t> </w:t>
            </w:r>
          </w:p>
        </w:tc>
      </w:tr>
      <w:tr>
        <w:trPr/>
        <w:tc>
          <w:tcPr>
            <w:tcW w:w="1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43" w:name="xdx_40D_ecustom--AdjustmentsToAdditional"/>
            <w:bookmarkEnd w:id="143"/>
          </w:p>
        </w:tc>
      </w:tr>
      <w:tr>
        <w:trPr/>
        <w:tc>
          <w:tcPr>
            <w:tcW w:w="1748" w:type="dxa"/>
            <w:tcBorders/>
            <w:shd w:fill="CCEEFF" w:val="clear"/>
            <w:vAlign w:val="center"/>
          </w:tcPr>
          <w:p>
            <w:pPr>
              <w:pStyle w:val="TableContents"/>
              <w:bidi w:val="0"/>
              <w:spacing w:before="0" w:after="283"/>
              <w:jc w:val="left"/>
              <w:rPr/>
            </w:pPr>
            <w:r>
              <w:rPr/>
              <w:t>Fair value of vested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60</w:t>
            </w:r>
          </w:p>
        </w:tc>
        <w:tc>
          <w:tcPr>
            <w:tcW w:w="115" w:type="dxa"/>
            <w:tcBorders/>
            <w:shd w:fill="CCEEFF" w:val="clear"/>
            <w:vAlign w:val="center"/>
          </w:tcPr>
          <w:p>
            <w:pPr>
              <w:pStyle w:val="TableContents"/>
              <w:bidi w:val="0"/>
              <w:spacing w:before="0" w:after="283"/>
              <w:jc w:val="left"/>
              <w:rPr/>
            </w:pPr>
            <w:r>
              <w:rPr/>
              <w:t> </w:t>
            </w:r>
            <w:bookmarkStart w:id="144" w:name="xdx_407_eus-gaap--Dividends_iN_di_zljNpU"/>
            <w:bookmarkEnd w:id="144"/>
          </w:p>
        </w:tc>
      </w:tr>
      <w:tr>
        <w:trPr/>
        <w:tc>
          <w:tcPr>
            <w:tcW w:w="1748" w:type="dxa"/>
            <w:tcBorders/>
            <w:shd w:fill="FFFFFF" w:val="clear"/>
            <w:vAlign w:val="center"/>
          </w:tcPr>
          <w:p>
            <w:pPr>
              <w:pStyle w:val="TableContents"/>
              <w:bidi w:val="0"/>
              <w:spacing w:before="0" w:after="283"/>
              <w:jc w:val="left"/>
              <w:rPr/>
            </w:pPr>
            <w:r>
              <w:rPr/>
              <w:t>Dividends on Series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(5</w:t>
            </w:r>
          </w:p>
        </w:tc>
        <w:tc>
          <w:tcPr>
            <w:tcW w:w="115" w:type="dxa"/>
            <w:tcBorders/>
            <w:shd w:fill="FFFFFF" w:val="clear"/>
            <w:vAlign w:val="center"/>
          </w:tcPr>
          <w:p>
            <w:pPr>
              <w:pStyle w:val="TableContents"/>
              <w:bidi w:val="0"/>
              <w:spacing w:before="0" w:after="283"/>
              <w:jc w:val="left"/>
              <w:rPr/>
            </w:pPr>
            <w:r>
              <w:rPr/>
              <w:t>)</w:t>
            </w:r>
            <w:bookmarkStart w:id="145" w:name="xdx_40D_eus-gaap--StockIssuedDuringPerio"/>
            <w:bookmarkEnd w:id="145"/>
          </w:p>
        </w:tc>
      </w:tr>
      <w:tr>
        <w:trPr/>
        <w:tc>
          <w:tcPr>
            <w:tcW w:w="1748" w:type="dxa"/>
            <w:tcBorders/>
            <w:shd w:fill="CCEEFF" w:val="clear"/>
            <w:vAlign w:val="center"/>
          </w:tcPr>
          <w:p>
            <w:pPr>
              <w:pStyle w:val="TableContents"/>
              <w:bidi w:val="0"/>
              <w:spacing w:before="0" w:after="283"/>
              <w:jc w:val="left"/>
              <w:rPr/>
            </w:pPr>
            <w:r>
              <w:rPr/>
              <w:t>Common stock issued upon conversion of SAFE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9_eus-gaap--StockIssuedDuringPerio"/>
            <w:bookmarkEnd w:id="146"/>
          </w:p>
        </w:tc>
        <w:tc>
          <w:tcPr>
            <w:tcW w:w="980" w:type="dxa"/>
            <w:tcBorders/>
            <w:shd w:fill="CCEEFF" w:val="clear"/>
            <w:vAlign w:val="center"/>
          </w:tcPr>
          <w:p>
            <w:pPr>
              <w:pStyle w:val="TableContents"/>
              <w:bidi w:val="0"/>
              <w:spacing w:before="0" w:after="283"/>
              <w:jc w:val="right"/>
              <w:rPr/>
            </w:pPr>
            <w:r>
              <w:rPr/>
              <w:t>12,778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115</w:t>
            </w:r>
          </w:p>
        </w:tc>
        <w:tc>
          <w:tcPr>
            <w:tcW w:w="115" w:type="dxa"/>
            <w:tcBorders/>
            <w:shd w:fill="CCEEFF" w:val="clear"/>
            <w:vAlign w:val="center"/>
          </w:tcPr>
          <w:p>
            <w:pPr>
              <w:pStyle w:val="TableContents"/>
              <w:bidi w:val="0"/>
              <w:spacing w:before="0" w:after="283"/>
              <w:jc w:val="left"/>
              <w:rPr/>
            </w:pPr>
            <w:r>
              <w:rPr/>
              <w:t> </w:t>
            </w:r>
            <w:bookmarkStart w:id="147" w:name="xdx_408_eus-gaap--StockIssuedDuringPerio"/>
            <w:bookmarkEnd w:id="147"/>
          </w:p>
        </w:tc>
      </w:tr>
      <w:tr>
        <w:trPr/>
        <w:tc>
          <w:tcPr>
            <w:tcW w:w="1748" w:type="dxa"/>
            <w:tcBorders/>
            <w:shd w:fill="FFFFFF" w:val="clear"/>
            <w:vAlign w:val="center"/>
          </w:tcPr>
          <w:p>
            <w:pPr>
              <w:pStyle w:val="TableContents"/>
              <w:bidi w:val="0"/>
              <w:spacing w:before="0" w:after="283"/>
              <w:jc w:val="left"/>
              <w:rPr/>
            </w:pPr>
            <w:r>
              <w:rPr/>
              <w:t>Common stock issued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8" w:name="xdx_987_eus-gaap--StockIssuedDuringPerio"/>
            <w:bookmarkEnd w:id="148"/>
          </w:p>
        </w:tc>
        <w:tc>
          <w:tcPr>
            <w:tcW w:w="980" w:type="dxa"/>
            <w:tcBorders/>
            <w:shd w:fill="FFFFFF" w:val="clear"/>
            <w:vAlign w:val="center"/>
          </w:tcPr>
          <w:p>
            <w:pPr>
              <w:pStyle w:val="TableContents"/>
              <w:bidi w:val="0"/>
              <w:spacing w:before="0" w:after="283"/>
              <w:jc w:val="right"/>
              <w:rPr/>
            </w:pPr>
            <w:r>
              <w:rPr/>
              <w:t>1,370,962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8,000</w:t>
            </w:r>
          </w:p>
        </w:tc>
        <w:tc>
          <w:tcPr>
            <w:tcW w:w="115" w:type="dxa"/>
            <w:tcBorders/>
            <w:shd w:fill="FFFFFF" w:val="clear"/>
            <w:vAlign w:val="center"/>
          </w:tcPr>
          <w:p>
            <w:pPr>
              <w:pStyle w:val="TableContents"/>
              <w:bidi w:val="0"/>
              <w:spacing w:before="0" w:after="283"/>
              <w:jc w:val="left"/>
              <w:rPr/>
            </w:pPr>
            <w:r>
              <w:rPr/>
              <w:t> </w:t>
            </w:r>
            <w:bookmarkStart w:id="149" w:name="xdx_405_eus-gaap--NetIncomeLoss_zM58tr09"/>
            <w:bookmarkEnd w:id="149"/>
          </w:p>
        </w:tc>
      </w:tr>
      <w:tr>
        <w:trPr/>
        <w:tc>
          <w:tcPr>
            <w:tcW w:w="174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(12,061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(12,061</w:t>
            </w:r>
          </w:p>
        </w:tc>
        <w:tc>
          <w:tcPr>
            <w:tcW w:w="115" w:type="dxa"/>
            <w:tcBorders/>
            <w:shd w:fill="CCEEFF" w:val="clear"/>
            <w:vAlign w:val="center"/>
          </w:tcPr>
          <w:p>
            <w:pPr>
              <w:pStyle w:val="TableContents"/>
              <w:bidi w:val="0"/>
              <w:spacing w:before="0" w:after="283"/>
              <w:jc w:val="left"/>
              <w:rPr/>
            </w:pPr>
            <w:r>
              <w:rPr/>
              <w:t>)</w:t>
            </w:r>
            <w:bookmarkStart w:id="150" w:name="xdx_43E_c20250101__20250930_eus-gaap--St"/>
            <w:bookmarkEnd w:id="150"/>
          </w:p>
        </w:tc>
      </w:tr>
      <w:tr>
        <w:trPr/>
        <w:tc>
          <w:tcPr>
            <w:tcW w:w="1748" w:type="dxa"/>
            <w:tcBorders/>
            <w:shd w:fill="FFFFFF" w:val="clear"/>
            <w:vAlign w:val="center"/>
          </w:tcPr>
          <w:p>
            <w:pPr>
              <w:pStyle w:val="TableContents"/>
              <w:bidi w:val="0"/>
              <w:spacing w:before="0" w:after="283"/>
              <w:jc w:val="left"/>
              <w:rPr>
                <w:b/>
              </w:rPr>
            </w:pPr>
            <w:r>
              <w:rPr>
                <w:b/>
              </w:rPr>
              <w:t>Balance,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1" w:name="xdx_987_eus-gaap--SharesOutstanding_iE_p"/>
            <w:bookmarkEnd w:id="15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8,945,454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2"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 w:name="xdx_984_eus-gaap--SharesOutstanding_iE_p"/>
            <w:bookmarkEnd w:id="152"/>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166,612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(163,950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2,757</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2"/>
        <w:gridCol w:w="60"/>
        <w:gridCol w:w="60"/>
        <w:gridCol w:w="980"/>
        <w:gridCol w:w="60"/>
        <w:gridCol w:w="60"/>
        <w:gridCol w:w="168"/>
        <w:gridCol w:w="692"/>
        <w:gridCol w:w="60"/>
        <w:gridCol w:w="60"/>
        <w:gridCol w:w="86"/>
        <w:gridCol w:w="650"/>
        <w:gridCol w:w="63"/>
        <w:gridCol w:w="63"/>
        <w:gridCol w:w="301"/>
        <w:gridCol w:w="559"/>
        <w:gridCol w:w="60"/>
        <w:gridCol w:w="60"/>
        <w:gridCol w:w="180"/>
        <w:gridCol w:w="1036"/>
        <w:gridCol w:w="60"/>
        <w:gridCol w:w="60"/>
        <w:gridCol w:w="188"/>
        <w:gridCol w:w="1182"/>
        <w:gridCol w:w="95"/>
        <w:gridCol w:w="60"/>
        <w:gridCol w:w="224"/>
        <w:gridCol w:w="1213"/>
        <w:gridCol w:w="113"/>
      </w:tblGrid>
      <w:tr>
        <w:trPr/>
        <w:tc>
          <w:tcPr>
            <w:tcW w:w="17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center"/>
              <w:rPr>
                <w:b/>
              </w:rPr>
            </w:pPr>
            <w:r>
              <w:rPr>
                <w:b/>
              </w:rPr>
              <w:t>Total Stockholders’</w:t>
            </w:r>
          </w:p>
        </w:tc>
        <w:tc>
          <w:tcPr>
            <w:tcW w:w="113" w:type="dxa"/>
            <w:tcBorders/>
            <w:vAlign w:val="center"/>
          </w:tcPr>
          <w:p>
            <w:pPr>
              <w:pStyle w:val="TableContents"/>
              <w:bidi w:val="0"/>
              <w:spacing w:before="0" w:after="283"/>
              <w:jc w:val="left"/>
              <w:rPr/>
            </w:pPr>
            <w:r>
              <w:rPr/>
              <w:t> </w:t>
            </w:r>
          </w:p>
        </w:tc>
      </w:tr>
      <w:tr>
        <w:trPr/>
        <w:tc>
          <w:tcPr>
            <w:tcW w:w="17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bookmarkStart w:id="153" w:name="xdx_433_c20240701__20240930_eus-gaap--St"/>
            <w:bookmarkEnd w:id="153"/>
          </w:p>
        </w:tc>
      </w:tr>
      <w:tr>
        <w:trPr/>
        <w:tc>
          <w:tcPr>
            <w:tcW w:w="1752" w:type="dxa"/>
            <w:tcBorders/>
            <w:shd w:fill="CCEEFF" w:val="clear"/>
            <w:vAlign w:val="center"/>
          </w:tcPr>
          <w:p>
            <w:pPr>
              <w:pStyle w:val="TableContents"/>
              <w:bidi w:val="0"/>
              <w:spacing w:before="0" w:after="283"/>
              <w:jc w:val="left"/>
              <w:rPr>
                <w:b/>
              </w:rPr>
            </w:pPr>
            <w:r>
              <w:rPr>
                <w:b/>
              </w:rPr>
              <w:t>Balance,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6_eus-gaap--SharesOutstanding_iS_p"/>
            <w:bookmarkEnd w:id="154"/>
          </w:p>
        </w:tc>
        <w:tc>
          <w:tcPr>
            <w:tcW w:w="980" w:type="dxa"/>
            <w:tcBorders/>
            <w:shd w:fill="CCEEFF" w:val="clear"/>
            <w:vAlign w:val="center"/>
          </w:tcPr>
          <w:p>
            <w:pPr>
              <w:pStyle w:val="TableContents"/>
              <w:bidi w:val="0"/>
              <w:spacing w:before="0" w:after="283"/>
              <w:jc w:val="right"/>
              <w:rPr/>
            </w:pPr>
            <w:r>
              <w:rPr/>
              <w:t>697,882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55" w:name="xdx_98B_eus-gaap--SharesOutstanding_iS_p"/>
            <w:bookmarkEnd w:id="155"/>
          </w:p>
        </w:tc>
        <w:tc>
          <w:tcPr>
            <w:tcW w:w="650" w:type="dxa"/>
            <w:tcBorders/>
            <w:shd w:fill="CCEEFF" w:val="clear"/>
            <w:vAlign w:val="center"/>
          </w:tcPr>
          <w:p>
            <w:pPr>
              <w:pStyle w:val="TableContents"/>
              <w:bidi w:val="0"/>
              <w:spacing w:before="0" w:after="283"/>
              <w:jc w:val="right"/>
              <w:rPr/>
            </w:pPr>
            <w:r>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119,674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(143,617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(23,849</w:t>
            </w:r>
          </w:p>
        </w:tc>
        <w:tc>
          <w:tcPr>
            <w:tcW w:w="113" w:type="dxa"/>
            <w:tcBorders/>
            <w:shd w:fill="CCEEFF" w:val="clear"/>
            <w:vAlign w:val="center"/>
          </w:tcPr>
          <w:p>
            <w:pPr>
              <w:pStyle w:val="TableContents"/>
              <w:bidi w:val="0"/>
              <w:spacing w:before="0" w:after="283"/>
              <w:jc w:val="left"/>
              <w:rPr/>
            </w:pPr>
            <w:r>
              <w:rPr/>
              <w:t>)</w:t>
            </w:r>
            <w:bookmarkStart w:id="156" w:name="xdx_40D_ecustom--AdjustmentsToAdditional"/>
            <w:bookmarkEnd w:id="156"/>
          </w:p>
        </w:tc>
      </w:tr>
      <w:tr>
        <w:trPr/>
        <w:tc>
          <w:tcPr>
            <w:tcW w:w="1752" w:type="dxa"/>
            <w:tcBorders/>
            <w:shd w:fill="FFFFFF" w:val="clear"/>
            <w:vAlign w:val="center"/>
          </w:tcPr>
          <w:p>
            <w:pPr>
              <w:pStyle w:val="TableContents"/>
              <w:bidi w:val="0"/>
              <w:spacing w:before="0" w:after="283"/>
              <w:jc w:val="left"/>
              <w:rPr/>
            </w:pPr>
            <w:r>
              <w:rPr/>
              <w:t>Fair value of vested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46</w:t>
            </w:r>
          </w:p>
        </w:tc>
        <w:tc>
          <w:tcPr>
            <w:tcW w:w="113" w:type="dxa"/>
            <w:tcBorders/>
            <w:shd w:fill="FFFFFF" w:val="clear"/>
            <w:vAlign w:val="center"/>
          </w:tcPr>
          <w:p>
            <w:pPr>
              <w:pStyle w:val="TableContents"/>
              <w:bidi w:val="0"/>
              <w:spacing w:before="0" w:after="283"/>
              <w:jc w:val="left"/>
              <w:rPr/>
            </w:pPr>
            <w:r>
              <w:rPr/>
              <w:t> </w:t>
            </w:r>
            <w:bookmarkStart w:id="157" w:name="xdx_408_eus-gaap--StockIssuedDuringPerio"/>
            <w:bookmarkEnd w:id="157"/>
          </w:p>
        </w:tc>
      </w:tr>
      <w:tr>
        <w:trPr/>
        <w:tc>
          <w:tcPr>
            <w:tcW w:w="1752" w:type="dxa"/>
            <w:tcBorders/>
            <w:shd w:fill="CCEEFF" w:val="clear"/>
            <w:vAlign w:val="center"/>
          </w:tcPr>
          <w:p>
            <w:pPr>
              <w:pStyle w:val="TableContents"/>
              <w:bidi w:val="0"/>
              <w:spacing w:before="0" w:after="283"/>
              <w:jc w:val="left"/>
              <w:rPr/>
            </w:pPr>
            <w:r>
              <w:rPr/>
              <w:t>Common shares issued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C_eus-gaap--StockIssuedDuringPerio"/>
            <w:bookmarkEnd w:id="158"/>
          </w:p>
        </w:tc>
        <w:tc>
          <w:tcPr>
            <w:tcW w:w="980" w:type="dxa"/>
            <w:tcBorders/>
            <w:shd w:fill="CCEEFF" w:val="clear"/>
            <w:vAlign w:val="center"/>
          </w:tcPr>
          <w:p>
            <w:pPr>
              <w:pStyle w:val="TableContents"/>
              <w:bidi w:val="0"/>
              <w:spacing w:before="0" w:after="283"/>
              <w:jc w:val="right"/>
              <w:rPr/>
            </w:pPr>
            <w:r>
              <w:rPr/>
              <w:t>211,466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1,903</w:t>
            </w:r>
          </w:p>
        </w:tc>
        <w:tc>
          <w:tcPr>
            <w:tcW w:w="113" w:type="dxa"/>
            <w:tcBorders/>
            <w:shd w:fill="CCEEFF" w:val="clear"/>
            <w:vAlign w:val="center"/>
          </w:tcPr>
          <w:p>
            <w:pPr>
              <w:pStyle w:val="TableContents"/>
              <w:bidi w:val="0"/>
              <w:spacing w:before="0" w:after="283"/>
              <w:jc w:val="left"/>
              <w:rPr/>
            </w:pPr>
            <w:r>
              <w:rPr/>
              <w:t> </w:t>
            </w:r>
            <w:bookmarkStart w:id="159" w:name="xdx_40D_eus-gaap--StockIssuedDuringPerio"/>
            <w:bookmarkEnd w:id="159"/>
          </w:p>
        </w:tc>
      </w:tr>
      <w:tr>
        <w:trPr/>
        <w:tc>
          <w:tcPr>
            <w:tcW w:w="1752" w:type="dxa"/>
            <w:tcBorders/>
            <w:shd w:fill="FFFFFF" w:val="clear"/>
            <w:vAlign w:val="center"/>
          </w:tcPr>
          <w:p>
            <w:pPr>
              <w:pStyle w:val="TableContents"/>
              <w:bidi w:val="0"/>
              <w:spacing w:before="0" w:after="283"/>
              <w:jc w:val="left"/>
              <w:rPr/>
            </w:pPr>
            <w:r>
              <w:rPr/>
              <w:t>Common shares issued upon conversion of SAFE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0" w:name="xdx_981_eus-gaap--StockIssuedDuringPerio"/>
            <w:bookmarkEnd w:id="160"/>
          </w:p>
        </w:tc>
        <w:tc>
          <w:tcPr>
            <w:tcW w:w="980" w:type="dxa"/>
            <w:tcBorders/>
            <w:shd w:fill="FFFFFF" w:val="clear"/>
            <w:vAlign w:val="center"/>
          </w:tcPr>
          <w:p>
            <w:pPr>
              <w:pStyle w:val="TableContents"/>
              <w:bidi w:val="0"/>
              <w:spacing w:before="0" w:after="283"/>
              <w:jc w:val="right"/>
              <w:rPr/>
            </w:pPr>
            <w:r>
              <w:rPr/>
              <w:t>455,201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4,097</w:t>
            </w:r>
          </w:p>
        </w:tc>
        <w:tc>
          <w:tcPr>
            <w:tcW w:w="113" w:type="dxa"/>
            <w:tcBorders/>
            <w:shd w:fill="FFFFFF" w:val="clear"/>
            <w:vAlign w:val="center"/>
          </w:tcPr>
          <w:p>
            <w:pPr>
              <w:pStyle w:val="TableContents"/>
              <w:bidi w:val="0"/>
              <w:spacing w:before="0" w:after="283"/>
              <w:jc w:val="left"/>
              <w:rPr/>
            </w:pPr>
            <w:r>
              <w:rPr/>
              <w:t> </w:t>
            </w:r>
            <w:bookmarkStart w:id="161" w:name="xdx_405_eus-gaap--NetIncomeLoss_zmPsTBVs"/>
            <w:bookmarkEnd w:id="161"/>
          </w:p>
        </w:tc>
      </w:tr>
      <w:tr>
        <w:trPr/>
        <w:tc>
          <w:tcPr>
            <w:tcW w:w="175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(4,150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pPr>
            <w:r>
              <w:rPr/>
              <w:t>(4,150</w:t>
            </w:r>
          </w:p>
        </w:tc>
        <w:tc>
          <w:tcPr>
            <w:tcW w:w="113" w:type="dxa"/>
            <w:tcBorders/>
            <w:shd w:fill="CCEEFF" w:val="clear"/>
            <w:vAlign w:val="center"/>
          </w:tcPr>
          <w:p>
            <w:pPr>
              <w:pStyle w:val="TableContents"/>
              <w:bidi w:val="0"/>
              <w:spacing w:before="0" w:after="283"/>
              <w:jc w:val="left"/>
              <w:rPr/>
            </w:pPr>
            <w:r>
              <w:rPr/>
              <w:t>)</w:t>
            </w:r>
            <w:bookmarkStart w:id="162" w:name="xdx_43D_c20240701__20240930_eus-gaap--St"/>
            <w:bookmarkEnd w:id="162"/>
          </w:p>
        </w:tc>
      </w:tr>
      <w:tr>
        <w:trPr/>
        <w:tc>
          <w:tcPr>
            <w:tcW w:w="1752" w:type="dxa"/>
            <w:tcBorders/>
            <w:shd w:fill="FFFFFF" w:val="clear"/>
            <w:vAlign w:val="center"/>
          </w:tcPr>
          <w:p>
            <w:pPr>
              <w:pStyle w:val="TableContents"/>
              <w:bidi w:val="0"/>
              <w:spacing w:before="0" w:after="283"/>
              <w:jc w:val="left"/>
              <w:rPr>
                <w:b/>
              </w:rPr>
            </w:pPr>
            <w:r>
              <w:rPr>
                <w:b/>
              </w:rPr>
              <w:t>Balance,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3" w:name="xdx_98D_eus-gaap--SharesOutstanding_iE_p"/>
            <w:bookmarkEnd w:id="16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1,364,549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4" w:name="xdx_980_eus-gaap--SharesOutstanding_iE_p"/>
            <w:bookmarkEnd w:id="164"/>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125,719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(147,767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pPr>
            <w:r>
              <w:rPr/>
              <w:t>(21,953</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9"/>
        <w:gridCol w:w="60"/>
        <w:gridCol w:w="60"/>
        <w:gridCol w:w="980"/>
        <w:gridCol w:w="60"/>
        <w:gridCol w:w="60"/>
        <w:gridCol w:w="183"/>
        <w:gridCol w:w="677"/>
        <w:gridCol w:w="60"/>
        <w:gridCol w:w="60"/>
        <w:gridCol w:w="86"/>
        <w:gridCol w:w="648"/>
        <w:gridCol w:w="63"/>
        <w:gridCol w:w="63"/>
        <w:gridCol w:w="301"/>
        <w:gridCol w:w="559"/>
        <w:gridCol w:w="60"/>
        <w:gridCol w:w="60"/>
        <w:gridCol w:w="179"/>
        <w:gridCol w:w="1029"/>
        <w:gridCol w:w="60"/>
        <w:gridCol w:w="60"/>
        <w:gridCol w:w="188"/>
        <w:gridCol w:w="1182"/>
        <w:gridCol w:w="95"/>
        <w:gridCol w:w="60"/>
        <w:gridCol w:w="223"/>
        <w:gridCol w:w="1207"/>
        <w:gridCol w:w="113"/>
      </w:tblGrid>
      <w:tr>
        <w:trPr/>
        <w:tc>
          <w:tcPr>
            <w:tcW w:w="17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vAlign w:val="center"/>
          </w:tcPr>
          <w:p>
            <w:pPr>
              <w:pStyle w:val="TableContents"/>
              <w:bidi w:val="0"/>
              <w:spacing w:before="0" w:after="283"/>
              <w:jc w:val="center"/>
              <w:rPr>
                <w:b/>
              </w:rPr>
            </w:pPr>
            <w:r>
              <w:rPr>
                <w:b/>
              </w:rPr>
              <w:t>Additional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Total Stockholders’</w:t>
            </w:r>
          </w:p>
        </w:tc>
        <w:tc>
          <w:tcPr>
            <w:tcW w:w="113" w:type="dxa"/>
            <w:tcBorders/>
            <w:vAlign w:val="center"/>
          </w:tcPr>
          <w:p>
            <w:pPr>
              <w:pStyle w:val="TableContents"/>
              <w:bidi w:val="0"/>
              <w:spacing w:before="0" w:after="283"/>
              <w:jc w:val="left"/>
              <w:rPr/>
            </w:pPr>
            <w:r>
              <w:rPr/>
              <w:t> </w:t>
            </w:r>
          </w:p>
        </w:tc>
      </w:tr>
      <w:tr>
        <w:trPr/>
        <w:tc>
          <w:tcPr>
            <w:tcW w:w="17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bookmarkStart w:id="165" w:name="xdx_439_c20240101__20240930_eus-gaap--St"/>
            <w:bookmarkEnd w:id="165"/>
          </w:p>
        </w:tc>
      </w:tr>
      <w:tr>
        <w:trPr/>
        <w:tc>
          <w:tcPr>
            <w:tcW w:w="1769"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4_eus-gaap--SharesOutstanding_iS_p"/>
            <w:bookmarkEnd w:id="166"/>
          </w:p>
        </w:tc>
        <w:tc>
          <w:tcPr>
            <w:tcW w:w="980" w:type="dxa"/>
            <w:tcBorders/>
            <w:shd w:fill="CCEEFF" w:val="clear"/>
            <w:vAlign w:val="center"/>
          </w:tcPr>
          <w:p>
            <w:pPr>
              <w:pStyle w:val="TableContents"/>
              <w:bidi w:val="0"/>
              <w:spacing w:before="0" w:after="283"/>
              <w:jc w:val="right"/>
              <w:rPr/>
            </w:pPr>
            <w:r>
              <w:rPr/>
              <w:t>697,882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67" w:name="xdx_983_eus-gaap--SharesOutstanding_iS_p"/>
            <w:bookmarkEnd w:id="167"/>
          </w:p>
        </w:tc>
        <w:tc>
          <w:tcPr>
            <w:tcW w:w="648" w:type="dxa"/>
            <w:tcBorders/>
            <w:shd w:fill="CCEEFF" w:val="clear"/>
            <w:vAlign w:val="center"/>
          </w:tcPr>
          <w:p>
            <w:pPr>
              <w:pStyle w:val="TableContents"/>
              <w:bidi w:val="0"/>
              <w:spacing w:before="0" w:after="283"/>
              <w:jc w:val="right"/>
              <w:rPr/>
            </w:pPr>
            <w:r>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119,452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(138,727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(19,181</w:t>
            </w:r>
          </w:p>
        </w:tc>
        <w:tc>
          <w:tcPr>
            <w:tcW w:w="113" w:type="dxa"/>
            <w:tcBorders/>
            <w:shd w:fill="CCEEFF" w:val="clear"/>
            <w:vAlign w:val="center"/>
          </w:tcPr>
          <w:p>
            <w:pPr>
              <w:pStyle w:val="TableContents"/>
              <w:bidi w:val="0"/>
              <w:spacing w:before="0" w:after="283"/>
              <w:jc w:val="left"/>
              <w:rPr/>
            </w:pPr>
            <w:r>
              <w:rPr/>
              <w:t>)</w:t>
            </w:r>
            <w:bookmarkStart w:id="168" w:name="xdx_43E_c20240101__20240930_eus-gaap--St"/>
            <w:bookmarkEnd w:id="168"/>
          </w:p>
        </w:tc>
      </w:tr>
      <w:tr>
        <w:trPr/>
        <w:tc>
          <w:tcPr>
            <w:tcW w:w="1769"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D_eus-gaap--SharesOutstanding_iS_p"/>
            <w:bookmarkEnd w:id="169"/>
          </w:p>
        </w:tc>
        <w:tc>
          <w:tcPr>
            <w:tcW w:w="980" w:type="dxa"/>
            <w:tcBorders/>
            <w:shd w:fill="CCEEFF" w:val="clear"/>
            <w:vAlign w:val="center"/>
          </w:tcPr>
          <w:p>
            <w:pPr>
              <w:pStyle w:val="TableContents"/>
              <w:bidi w:val="0"/>
              <w:spacing w:before="0" w:after="283"/>
              <w:jc w:val="right"/>
              <w:rPr/>
            </w:pPr>
            <w:r>
              <w:rPr/>
              <w:t>697,882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bookmarkStart w:id="170" w:name="xdx_98F_eus-gaap--SharesOutstanding_iS_p"/>
            <w:bookmarkEnd w:id="170"/>
          </w:p>
        </w:tc>
        <w:tc>
          <w:tcPr>
            <w:tcW w:w="648" w:type="dxa"/>
            <w:tcBorders/>
            <w:shd w:fill="CCEEFF" w:val="clear"/>
            <w:vAlign w:val="center"/>
          </w:tcPr>
          <w:p>
            <w:pPr>
              <w:pStyle w:val="TableContents"/>
              <w:bidi w:val="0"/>
              <w:spacing w:before="0" w:after="283"/>
              <w:jc w:val="right"/>
              <w:rPr/>
            </w:pPr>
            <w:r>
              <w:rPr/>
              <w:t>9,411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29" w:type="dxa"/>
            <w:tcBorders/>
            <w:shd w:fill="CCEEFF" w:val="clear"/>
            <w:vAlign w:val="center"/>
          </w:tcPr>
          <w:p>
            <w:pPr>
              <w:pStyle w:val="TableContents"/>
              <w:bidi w:val="0"/>
              <w:spacing w:before="0" w:after="283"/>
              <w:jc w:val="right"/>
              <w:rPr/>
            </w:pPr>
            <w:r>
              <w:rPr/>
              <w:t>119,452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(138,727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(19,181</w:t>
            </w:r>
          </w:p>
        </w:tc>
        <w:tc>
          <w:tcPr>
            <w:tcW w:w="113" w:type="dxa"/>
            <w:tcBorders/>
            <w:shd w:fill="CCEEFF" w:val="clear"/>
            <w:vAlign w:val="center"/>
          </w:tcPr>
          <w:p>
            <w:pPr>
              <w:pStyle w:val="TableContents"/>
              <w:bidi w:val="0"/>
              <w:spacing w:before="0" w:after="283"/>
              <w:jc w:val="left"/>
              <w:rPr/>
            </w:pPr>
            <w:r>
              <w:rPr/>
              <w:t>)</w:t>
            </w:r>
          </w:p>
        </w:tc>
      </w:tr>
      <w:tr>
        <w:trPr/>
        <w:tc>
          <w:tcPr>
            <w:tcW w:w="1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1" w:name="xdx_40D_ecustom--AdjustmentsToAdditional"/>
            <w:bookmarkEnd w:id="171"/>
          </w:p>
        </w:tc>
      </w:tr>
      <w:tr>
        <w:trPr/>
        <w:tc>
          <w:tcPr>
            <w:tcW w:w="1769" w:type="dxa"/>
            <w:tcBorders/>
            <w:shd w:fill="CCEEFF" w:val="clear"/>
            <w:vAlign w:val="center"/>
          </w:tcPr>
          <w:p>
            <w:pPr>
              <w:pStyle w:val="TableContents"/>
              <w:bidi w:val="0"/>
              <w:spacing w:before="0" w:after="283"/>
              <w:jc w:val="left"/>
              <w:rPr/>
            </w:pPr>
            <w:r>
              <w:rPr/>
              <w:t>Fair value of vested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268</w:t>
            </w:r>
          </w:p>
        </w:tc>
        <w:tc>
          <w:tcPr>
            <w:tcW w:w="113" w:type="dxa"/>
            <w:tcBorders/>
            <w:shd w:fill="CCEEFF" w:val="clear"/>
            <w:vAlign w:val="center"/>
          </w:tcPr>
          <w:p>
            <w:pPr>
              <w:pStyle w:val="TableContents"/>
              <w:bidi w:val="0"/>
              <w:spacing w:before="0" w:after="283"/>
              <w:jc w:val="left"/>
              <w:rPr/>
            </w:pPr>
            <w:r>
              <w:rPr/>
              <w:t> </w:t>
            </w:r>
            <w:bookmarkStart w:id="172" w:name="xdx_404_eus-gaap--DividendsPreferredStoc"/>
            <w:bookmarkEnd w:id="172"/>
          </w:p>
        </w:tc>
      </w:tr>
      <w:tr>
        <w:trPr/>
        <w:tc>
          <w:tcPr>
            <w:tcW w:w="1769" w:type="dxa"/>
            <w:tcBorders/>
            <w:shd w:fill="FFFFFF" w:val="clear"/>
            <w:vAlign w:val="center"/>
          </w:tcPr>
          <w:p>
            <w:pPr>
              <w:pStyle w:val="TableContents"/>
              <w:bidi w:val="0"/>
              <w:spacing w:before="0" w:after="283"/>
              <w:jc w:val="left"/>
              <w:rPr/>
            </w:pPr>
            <w:r>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w:t>
            </w:r>
            <w:bookmarkStart w:id="173" w:name="xdx_408_eus-gaap--StockIssuedDuringPerio"/>
            <w:bookmarkEnd w:id="173"/>
          </w:p>
        </w:tc>
      </w:tr>
      <w:tr>
        <w:trPr/>
        <w:tc>
          <w:tcPr>
            <w:tcW w:w="1769" w:type="dxa"/>
            <w:tcBorders/>
            <w:shd w:fill="CCEEFF" w:val="clear"/>
            <w:vAlign w:val="center"/>
          </w:tcPr>
          <w:p>
            <w:pPr>
              <w:pStyle w:val="TableContents"/>
              <w:bidi w:val="0"/>
              <w:spacing w:before="0" w:after="283"/>
              <w:jc w:val="left"/>
              <w:rPr/>
            </w:pPr>
            <w:r>
              <w:rPr/>
              <w:t>Common shares issued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7_eus-gaap--StockIssuedDuringPerio"/>
            <w:bookmarkEnd w:id="174"/>
          </w:p>
        </w:tc>
        <w:tc>
          <w:tcPr>
            <w:tcW w:w="980" w:type="dxa"/>
            <w:tcBorders/>
            <w:shd w:fill="CCEEFF" w:val="clear"/>
            <w:vAlign w:val="center"/>
          </w:tcPr>
          <w:p>
            <w:pPr>
              <w:pStyle w:val="TableContents"/>
              <w:bidi w:val="0"/>
              <w:spacing w:before="0" w:after="283"/>
              <w:jc w:val="right"/>
              <w:rPr/>
            </w:pPr>
            <w:r>
              <w:rPr/>
              <w:t>211,466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1,903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1,903</w:t>
            </w:r>
          </w:p>
        </w:tc>
        <w:tc>
          <w:tcPr>
            <w:tcW w:w="113" w:type="dxa"/>
            <w:tcBorders/>
            <w:shd w:fill="CCEEFF" w:val="clear"/>
            <w:vAlign w:val="center"/>
          </w:tcPr>
          <w:p>
            <w:pPr>
              <w:pStyle w:val="TableContents"/>
              <w:bidi w:val="0"/>
              <w:spacing w:before="0" w:after="283"/>
              <w:jc w:val="left"/>
              <w:rPr/>
            </w:pPr>
            <w:r>
              <w:rPr/>
              <w:t> </w:t>
            </w:r>
            <w:bookmarkStart w:id="175" w:name="xdx_40D_eus-gaap--StockIssuedDuringPerio"/>
            <w:bookmarkEnd w:id="175"/>
          </w:p>
        </w:tc>
      </w:tr>
      <w:tr>
        <w:trPr/>
        <w:tc>
          <w:tcPr>
            <w:tcW w:w="1769" w:type="dxa"/>
            <w:tcBorders/>
            <w:shd w:fill="FFFFFF" w:val="clear"/>
            <w:vAlign w:val="center"/>
          </w:tcPr>
          <w:p>
            <w:pPr>
              <w:pStyle w:val="TableContents"/>
              <w:bidi w:val="0"/>
              <w:spacing w:before="0" w:after="283"/>
              <w:jc w:val="left"/>
              <w:rPr/>
            </w:pPr>
            <w:r>
              <w:rPr/>
              <w:t>Common shares issued upon conversion of SAFE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 w:name="xdx_986_eus-gaap--StockIssuedDuringPerio"/>
            <w:bookmarkEnd w:id="176"/>
          </w:p>
        </w:tc>
        <w:tc>
          <w:tcPr>
            <w:tcW w:w="980" w:type="dxa"/>
            <w:tcBorders/>
            <w:shd w:fill="FFFFFF" w:val="clear"/>
            <w:vAlign w:val="center"/>
          </w:tcPr>
          <w:p>
            <w:pPr>
              <w:pStyle w:val="TableContents"/>
              <w:bidi w:val="0"/>
              <w:spacing w:before="0" w:after="283"/>
              <w:jc w:val="right"/>
              <w:rPr/>
            </w:pPr>
            <w:r>
              <w:rPr/>
              <w:t>455,201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4,096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4,097</w:t>
            </w:r>
          </w:p>
        </w:tc>
        <w:tc>
          <w:tcPr>
            <w:tcW w:w="113" w:type="dxa"/>
            <w:tcBorders/>
            <w:shd w:fill="FFFFFF" w:val="clear"/>
            <w:vAlign w:val="center"/>
          </w:tcPr>
          <w:p>
            <w:pPr>
              <w:pStyle w:val="TableContents"/>
              <w:bidi w:val="0"/>
              <w:spacing w:before="0" w:after="283"/>
              <w:jc w:val="left"/>
              <w:rPr/>
            </w:pPr>
            <w:r>
              <w:rPr/>
              <w:t> </w:t>
            </w:r>
            <w:bookmarkStart w:id="177" w:name="xdx_405_eus-gaap--NetIncomeLoss_zkXgInSh"/>
            <w:bookmarkEnd w:id="177"/>
          </w:p>
        </w:tc>
      </w:tr>
      <w:tr>
        <w:trPr/>
        <w:tc>
          <w:tcPr>
            <w:tcW w:w="176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(9,035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(9,035</w:t>
            </w:r>
          </w:p>
        </w:tc>
        <w:tc>
          <w:tcPr>
            <w:tcW w:w="113" w:type="dxa"/>
            <w:tcBorders/>
            <w:shd w:fill="CCEEFF" w:val="clear"/>
            <w:vAlign w:val="center"/>
          </w:tcPr>
          <w:p>
            <w:pPr>
              <w:pStyle w:val="TableContents"/>
              <w:bidi w:val="0"/>
              <w:spacing w:before="0" w:after="283"/>
              <w:jc w:val="left"/>
              <w:rPr/>
            </w:pPr>
            <w:r>
              <w:rPr/>
              <w:t>)</w:t>
            </w:r>
            <w:bookmarkStart w:id="178" w:name="xdx_43A_c20240101__20240930_eus-gaap--St"/>
            <w:bookmarkEnd w:id="178"/>
          </w:p>
        </w:tc>
      </w:tr>
      <w:tr>
        <w:trPr/>
        <w:tc>
          <w:tcPr>
            <w:tcW w:w="1769" w:type="dxa"/>
            <w:tcBorders/>
            <w:shd w:fill="FFFFFF" w:val="clear"/>
            <w:vAlign w:val="center"/>
          </w:tcPr>
          <w:p>
            <w:pPr>
              <w:pStyle w:val="TableContents"/>
              <w:bidi w:val="0"/>
              <w:spacing w:before="0" w:after="283"/>
              <w:jc w:val="left"/>
              <w:rPr>
                <w:b/>
              </w:rPr>
            </w:pPr>
            <w:r>
              <w:rPr>
                <w:b/>
              </w:rPr>
              <w:t>Balance,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9" w:name="xdx_98D_eus-gaap--SharesOutstanding_iE_p"/>
            <w:bookmarkEnd w:id="17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1,364,549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77"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 w:name="xdx_983_eus-gaap--SharesOutstanding_iE_p"/>
            <w:bookmarkEnd w:id="180"/>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pPr>
            <w:r>
              <w:rPr/>
              <w:t>125,719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(147,767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pPr>
            <w:r>
              <w:rPr/>
              <w:t>(21,953</w:t>
            </w:r>
          </w:p>
        </w:tc>
        <w:tc>
          <w:tcPr>
            <w:tcW w:w="113" w:type="dxa"/>
            <w:tcBorders/>
            <w:shd w:fill="FFFFFF" w:val="clear"/>
            <w:vAlign w:val="center"/>
          </w:tcPr>
          <w:p>
            <w:pPr>
              <w:pStyle w:val="TableContents"/>
              <w:bidi w:val="0"/>
              <w:spacing w:before="0" w:after="283"/>
              <w:jc w:val="left"/>
              <w:rPr/>
            </w:pPr>
            <w:r>
              <w:rPr/>
              <w:t>)</w:t>
            </w:r>
            <w:bookmarkStart w:id="181" w:name="xdx_433_c20240101__20240930_eus-gaap--St"/>
            <w:bookmarkEnd w:id="181"/>
          </w:p>
        </w:tc>
      </w:tr>
      <w:tr>
        <w:trPr/>
        <w:tc>
          <w:tcPr>
            <w:tcW w:w="1769"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2" w:name="xdx_98E_eus-gaap--SharesOutstanding_iE_p"/>
            <w:bookmarkEnd w:id="18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1,364,549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77"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 w:name="xdx_989_eus-gaap--SharesOutstanding_iE_p"/>
            <w:bookmarkEnd w:id="183"/>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pPr>
            <w:r>
              <w:rPr/>
              <w:t>9,411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pPr>
            <w:r>
              <w:rPr/>
              <w:t>125,719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(147,767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pPr>
            <w:r>
              <w:rPr/>
              <w:t>(21,953</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4" w:name="a_006"/>
      <w:bookmarkEnd w:id="184"/>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 September 30,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5" w:name="xdx_308_112_pn3n3_zsR2mAyIQSia"/>
      <w:bookmarkStart w:id="186" w:name="xdx_308_112_pn3n3_zsR2mAyIQSia"/>
      <w:bookmarkEnd w:id="186"/>
    </w:p>
    <w:tbl>
      <w:tblPr>
        <w:tblW w:w="10148" w:type="dxa"/>
        <w:jc w:val="left"/>
        <w:tblInd w:w="0" w:type="dxa"/>
        <w:tblLayout w:type="fixed"/>
        <w:tblCellMar>
          <w:top w:w="0" w:type="dxa"/>
          <w:left w:w="0" w:type="dxa"/>
          <w:bottom w:w="0" w:type="dxa"/>
          <w:right w:w="0" w:type="dxa"/>
        </w:tblCellMar>
      </w:tblPr>
      <w:tblGrid>
        <w:gridCol w:w="6875"/>
        <w:gridCol w:w="60"/>
        <w:gridCol w:w="230"/>
        <w:gridCol w:w="1244"/>
        <w:gridCol w:w="95"/>
        <w:gridCol w:w="60"/>
        <w:gridCol w:w="230"/>
        <w:gridCol w:w="1244"/>
        <w:gridCol w:w="11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 w:name="xdx_493_20250101__20250930_zDeifitTTK0e"/>
            <w:bookmarkEnd w:id="187"/>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98_20240101__20240930_zM7TpzTLoUXj"/>
            <w:bookmarkEnd w:id="188"/>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2024</w:t>
            </w:r>
          </w:p>
        </w:tc>
        <w:tc>
          <w:tcPr>
            <w:tcW w:w="110" w:type="dxa"/>
            <w:tcBorders/>
            <w:vAlign w:val="center"/>
          </w:tcPr>
          <w:p>
            <w:pPr>
              <w:pStyle w:val="TableContents"/>
              <w:bidi w:val="0"/>
              <w:spacing w:before="0" w:after="283"/>
              <w:jc w:val="left"/>
              <w:rPr/>
            </w:pPr>
            <w:r>
              <w:rPr/>
              <w:t> </w:t>
            </w:r>
            <w:bookmarkStart w:id="189" w:name="xdx_40C_eus-gaap--NetCashProvidedByUsedI"/>
            <w:bookmarkEnd w:id="189"/>
          </w:p>
        </w:tc>
      </w:tr>
      <w:tr>
        <w:trPr/>
        <w:tc>
          <w:tcPr>
            <w:tcW w:w="6875" w:type="dxa"/>
            <w:tcBorders/>
            <w:shd w:fill="CCEEFF" w:val="clear"/>
            <w:vAlign w:val="center"/>
          </w:tcPr>
          <w:p>
            <w:pPr>
              <w:pStyle w:val="TableContents"/>
              <w:bidi w:val="0"/>
              <w:spacing w:before="0" w:after="283"/>
              <w:jc w:val="left"/>
              <w:rPr>
                <w:i/>
              </w:rPr>
            </w:pPr>
            <w:r>
              <w:rPr>
                <w:i/>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0" w:name="xdx_409_eus-gaap--NetIncomeLoss_i01_maNC"/>
            <w:bookmarkEnd w:id="190"/>
          </w:p>
        </w:tc>
      </w:tr>
      <w:tr>
        <w:trPr/>
        <w:tc>
          <w:tcPr>
            <w:tcW w:w="687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(12,061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(9,035</w:t>
            </w:r>
          </w:p>
        </w:tc>
        <w:tc>
          <w:tcPr>
            <w:tcW w:w="110" w:type="dxa"/>
            <w:tcBorders/>
            <w:shd w:fill="FFFFFF" w:val="clear"/>
            <w:vAlign w:val="center"/>
          </w:tcPr>
          <w:p>
            <w:pPr>
              <w:pStyle w:val="TableContents"/>
              <w:bidi w:val="0"/>
              <w:spacing w:before="0" w:after="283"/>
              <w:jc w:val="left"/>
              <w:rPr/>
            </w:pPr>
            <w:r>
              <w:rPr/>
              <w:t>)</w:t>
            </w:r>
            <w:bookmarkStart w:id="191" w:name="xdx_40C_eus-gaap--AdjustmentsToReconcile"/>
            <w:bookmarkEnd w:id="191"/>
          </w:p>
        </w:tc>
      </w:tr>
      <w:tr>
        <w:trPr/>
        <w:tc>
          <w:tcPr>
            <w:tcW w:w="6875" w:type="dxa"/>
            <w:tcBorders/>
            <w:shd w:fill="CCEE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2" w:name="xdx_408_eus-gaap--Depreciation_i02_maNCP"/>
            <w:bookmarkEnd w:id="192"/>
          </w:p>
        </w:tc>
      </w:tr>
      <w:tr>
        <w:trPr/>
        <w:tc>
          <w:tcPr>
            <w:tcW w:w="687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88</w:t>
            </w:r>
          </w:p>
        </w:tc>
        <w:tc>
          <w:tcPr>
            <w:tcW w:w="110" w:type="dxa"/>
            <w:tcBorders/>
            <w:shd w:fill="FFFFFF" w:val="clear"/>
            <w:vAlign w:val="center"/>
          </w:tcPr>
          <w:p>
            <w:pPr>
              <w:pStyle w:val="TableContents"/>
              <w:bidi w:val="0"/>
              <w:spacing w:before="0" w:after="283"/>
              <w:jc w:val="left"/>
              <w:rPr/>
            </w:pPr>
            <w:r>
              <w:rPr/>
              <w:t> </w:t>
            </w:r>
            <w:bookmarkStart w:id="193" w:name="xdx_401_eus-gaap--GainLossOnSaleOfProper"/>
            <w:bookmarkEnd w:id="193"/>
          </w:p>
        </w:tc>
      </w:tr>
      <w:tr>
        <w:trPr/>
        <w:tc>
          <w:tcPr>
            <w:tcW w:w="6875" w:type="dxa"/>
            <w:tcBorders/>
            <w:shd w:fill="CCEEFF" w:val="clear"/>
            <w:vAlign w:val="center"/>
          </w:tcPr>
          <w:p>
            <w:pPr>
              <w:pStyle w:val="TableContents"/>
              <w:bidi w:val="0"/>
              <w:spacing w:before="0" w:after="283"/>
              <w:jc w:val="left"/>
              <w:rPr/>
            </w:pPr>
            <w:r>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4" w:name="xdx_408_eus-gaap--AmortizationOfDebtDisc"/>
            <w:bookmarkEnd w:id="194"/>
          </w:p>
        </w:tc>
      </w:tr>
      <w:tr>
        <w:trPr/>
        <w:tc>
          <w:tcPr>
            <w:tcW w:w="687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568</w:t>
            </w:r>
          </w:p>
        </w:tc>
        <w:tc>
          <w:tcPr>
            <w:tcW w:w="110" w:type="dxa"/>
            <w:tcBorders/>
            <w:shd w:fill="FFFFFF" w:val="clear"/>
            <w:vAlign w:val="center"/>
          </w:tcPr>
          <w:p>
            <w:pPr>
              <w:pStyle w:val="TableContents"/>
              <w:bidi w:val="0"/>
              <w:spacing w:before="0" w:after="283"/>
              <w:jc w:val="left"/>
              <w:rPr/>
            </w:pPr>
            <w:r>
              <w:rPr/>
              <w:t> </w:t>
            </w:r>
            <w:bookmarkStart w:id="195" w:name="xdx_402_ecustom--FairValueOfVestedOption"/>
            <w:bookmarkEnd w:id="195"/>
          </w:p>
        </w:tc>
      </w:tr>
      <w:tr>
        <w:trPr/>
        <w:tc>
          <w:tcPr>
            <w:tcW w:w="6875" w:type="dxa"/>
            <w:tcBorders/>
            <w:shd w:fill="CCEEFF" w:val="clear"/>
            <w:vAlign w:val="center"/>
          </w:tcPr>
          <w:p>
            <w:pPr>
              <w:pStyle w:val="TableContents"/>
              <w:bidi w:val="0"/>
              <w:spacing w:before="0" w:after="283"/>
              <w:jc w:val="left"/>
              <w:rPr/>
            </w:pPr>
            <w:r>
              <w:rPr/>
              <w:t>Fair value of vested options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268</w:t>
            </w:r>
          </w:p>
        </w:tc>
        <w:tc>
          <w:tcPr>
            <w:tcW w:w="110" w:type="dxa"/>
            <w:tcBorders/>
            <w:shd w:fill="CCEEFF" w:val="clear"/>
            <w:vAlign w:val="center"/>
          </w:tcPr>
          <w:p>
            <w:pPr>
              <w:pStyle w:val="TableContents"/>
              <w:bidi w:val="0"/>
              <w:spacing w:before="0" w:after="283"/>
              <w:jc w:val="left"/>
              <w:rPr/>
            </w:pPr>
            <w:r>
              <w:rPr/>
              <w:t> </w:t>
            </w:r>
            <w:bookmarkStart w:id="196" w:name="xdx_402_ecustom--ProductQualityHoldWrite"/>
            <w:bookmarkEnd w:id="196"/>
          </w:p>
        </w:tc>
      </w:tr>
      <w:tr>
        <w:trPr/>
        <w:tc>
          <w:tcPr>
            <w:tcW w:w="6875" w:type="dxa"/>
            <w:tcBorders/>
            <w:shd w:fill="FFFFFF" w:val="clear"/>
            <w:vAlign w:val="center"/>
          </w:tcPr>
          <w:p>
            <w:pPr>
              <w:pStyle w:val="TableContents"/>
              <w:bidi w:val="0"/>
              <w:spacing w:before="0" w:after="283"/>
              <w:jc w:val="left"/>
              <w:rPr/>
            </w:pPr>
            <w:r>
              <w:rPr/>
              <w:t>Product quality hold write-down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w:t>
            </w:r>
            <w:bookmarkStart w:id="197" w:name="xdx_400_eus-gaap--ProvisionForDoubtfulAc"/>
            <w:bookmarkEnd w:id="197"/>
          </w:p>
        </w:tc>
      </w:tr>
      <w:tr>
        <w:trPr/>
        <w:tc>
          <w:tcPr>
            <w:tcW w:w="6875" w:type="dxa"/>
            <w:tcBorders/>
            <w:shd w:fill="CCEEFF" w:val="clear"/>
            <w:vAlign w:val="center"/>
          </w:tcPr>
          <w:p>
            <w:pPr>
              <w:pStyle w:val="TableContents"/>
              <w:bidi w:val="0"/>
              <w:spacing w:before="0" w:after="283"/>
              <w:jc w:val="left"/>
              <w:rPr/>
            </w:pPr>
            <w:r>
              <w:rPr/>
              <w:t>Change in allowance for doubtful accounts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(282</w:t>
            </w:r>
          </w:p>
        </w:tc>
        <w:tc>
          <w:tcPr>
            <w:tcW w:w="110" w:type="dxa"/>
            <w:tcBorders/>
            <w:shd w:fill="CCEEFF" w:val="clear"/>
            <w:vAlign w:val="center"/>
          </w:tcPr>
          <w:p>
            <w:pPr>
              <w:pStyle w:val="TableContents"/>
              <w:bidi w:val="0"/>
              <w:spacing w:before="0" w:after="283"/>
              <w:jc w:val="left"/>
              <w:rPr/>
            </w:pPr>
            <w:r>
              <w:rPr/>
              <w:t>)</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8" w:name="xdx_40A_ecustom--InventoryWriteoffsAndCh"/>
            <w:bookmarkEnd w:id="198"/>
          </w:p>
        </w:tc>
      </w:tr>
      <w:tr>
        <w:trPr/>
        <w:tc>
          <w:tcPr>
            <w:tcW w:w="6875" w:type="dxa"/>
            <w:tcBorders/>
            <w:shd w:fill="CCEEFF" w:val="clear"/>
            <w:vAlign w:val="center"/>
          </w:tcPr>
          <w:p>
            <w:pPr>
              <w:pStyle w:val="TableContents"/>
              <w:bidi w:val="0"/>
              <w:spacing w:before="0" w:after="283"/>
              <w:jc w:val="left"/>
              <w:rPr/>
            </w:pPr>
            <w:r>
              <w:rPr/>
              <w:t>Inventory write-offs and change in reserve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(825</w:t>
            </w:r>
          </w:p>
        </w:tc>
        <w:tc>
          <w:tcPr>
            <w:tcW w:w="110" w:type="dxa"/>
            <w:tcBorders/>
            <w:shd w:fill="CCEEFF" w:val="clear"/>
            <w:vAlign w:val="center"/>
          </w:tcPr>
          <w:p>
            <w:pPr>
              <w:pStyle w:val="TableContents"/>
              <w:bidi w:val="0"/>
              <w:spacing w:before="0" w:after="283"/>
              <w:jc w:val="left"/>
              <w:rPr/>
            </w:pPr>
            <w:r>
              <w:rPr/>
              <w:t>)</w:t>
            </w:r>
            <w:bookmarkStart w:id="199" w:name="xdx_409_ecustom--AccrualOfInterestOnConv"/>
            <w:bookmarkEnd w:id="199"/>
          </w:p>
        </w:tc>
      </w:tr>
      <w:tr>
        <w:trPr/>
        <w:tc>
          <w:tcPr>
            <w:tcW w:w="6875"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3,141</w:t>
            </w:r>
          </w:p>
        </w:tc>
        <w:tc>
          <w:tcPr>
            <w:tcW w:w="110" w:type="dxa"/>
            <w:tcBorders/>
            <w:shd w:fill="FFFFFF" w:val="clear"/>
            <w:vAlign w:val="center"/>
          </w:tcPr>
          <w:p>
            <w:pPr>
              <w:pStyle w:val="TableContents"/>
              <w:bidi w:val="0"/>
              <w:spacing w:before="0" w:after="283"/>
              <w:jc w:val="left"/>
              <w:rPr/>
            </w:pPr>
            <w:r>
              <w:rPr/>
              <w:t> </w:t>
            </w:r>
            <w:bookmarkStart w:id="200" w:name="xdx_400_eus-gaap--IncreaseDecreaseInOper"/>
            <w:bookmarkEnd w:id="200"/>
          </w:p>
        </w:tc>
      </w:tr>
      <w:tr>
        <w:trPr/>
        <w:tc>
          <w:tcPr>
            <w:tcW w:w="687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 w:name="xdx_405_eus-gaap--IncreaseDecreaseInAcco"/>
            <w:bookmarkEnd w:id="201"/>
          </w:p>
        </w:tc>
      </w:tr>
      <w:tr>
        <w:trPr/>
        <w:tc>
          <w:tcPr>
            <w:tcW w:w="687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1,084</w:t>
            </w:r>
          </w:p>
        </w:tc>
        <w:tc>
          <w:tcPr>
            <w:tcW w:w="110" w:type="dxa"/>
            <w:tcBorders/>
            <w:shd w:fill="FFFFFF" w:val="clear"/>
            <w:vAlign w:val="center"/>
          </w:tcPr>
          <w:p>
            <w:pPr>
              <w:pStyle w:val="TableContents"/>
              <w:bidi w:val="0"/>
              <w:spacing w:before="0" w:after="283"/>
              <w:jc w:val="left"/>
              <w:rPr/>
            </w:pPr>
            <w:r>
              <w:rPr/>
              <w:t> </w:t>
            </w:r>
            <w:bookmarkStart w:id="202" w:name="xdx_40E_eus-gaap--IncreaseDecreaseInInve"/>
            <w:bookmarkEnd w:id="202"/>
          </w:p>
        </w:tc>
      </w:tr>
      <w:tr>
        <w:trPr/>
        <w:tc>
          <w:tcPr>
            <w:tcW w:w="687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(3,443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2,903</w:t>
            </w:r>
          </w:p>
        </w:tc>
        <w:tc>
          <w:tcPr>
            <w:tcW w:w="110" w:type="dxa"/>
            <w:tcBorders/>
            <w:shd w:fill="CCEEFF" w:val="clear"/>
            <w:vAlign w:val="center"/>
          </w:tcPr>
          <w:p>
            <w:pPr>
              <w:pStyle w:val="TableContents"/>
              <w:bidi w:val="0"/>
              <w:spacing w:before="0" w:after="283"/>
              <w:jc w:val="left"/>
              <w:rPr/>
            </w:pPr>
            <w:r>
              <w:rPr/>
              <w:t> </w:t>
            </w:r>
            <w:bookmarkStart w:id="203" w:name="xdx_408_eus-gaap--IncreaseDecreaseInPrep"/>
            <w:bookmarkEnd w:id="203"/>
          </w:p>
        </w:tc>
      </w:tr>
      <w:tr>
        <w:trPr/>
        <w:tc>
          <w:tcPr>
            <w:tcW w:w="687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(449</w:t>
            </w:r>
          </w:p>
        </w:tc>
        <w:tc>
          <w:tcPr>
            <w:tcW w:w="110" w:type="dxa"/>
            <w:tcBorders/>
            <w:shd w:fill="FFFFFF" w:val="clear"/>
            <w:vAlign w:val="center"/>
          </w:tcPr>
          <w:p>
            <w:pPr>
              <w:pStyle w:val="TableContents"/>
              <w:bidi w:val="0"/>
              <w:spacing w:before="0" w:after="283"/>
              <w:jc w:val="left"/>
              <w:rPr/>
            </w:pPr>
            <w:r>
              <w:rPr/>
              <w:t>)</w:t>
            </w:r>
            <w:bookmarkStart w:id="204" w:name="xdx_40F_ecustom--IncreaseDecreaseInAmort"/>
            <w:bookmarkEnd w:id="204"/>
          </w:p>
        </w:tc>
      </w:tr>
      <w:tr>
        <w:trPr/>
        <w:tc>
          <w:tcPr>
            <w:tcW w:w="6875" w:type="dxa"/>
            <w:tcBorders/>
            <w:shd w:fill="CCEEFF" w:val="clear"/>
            <w:vAlign w:val="center"/>
          </w:tcPr>
          <w:p>
            <w:pPr>
              <w:pStyle w:val="TableContents"/>
              <w:bidi w:val="0"/>
              <w:spacing w:before="0" w:after="283"/>
              <w:jc w:val="left"/>
              <w:rPr/>
            </w:pPr>
            <w:r>
              <w:rPr/>
              <w:t>Decrease in right of use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121</w:t>
            </w:r>
          </w:p>
        </w:tc>
        <w:tc>
          <w:tcPr>
            <w:tcW w:w="110" w:type="dxa"/>
            <w:tcBorders/>
            <w:shd w:fill="CCEEFF" w:val="clear"/>
            <w:vAlign w:val="center"/>
          </w:tcPr>
          <w:p>
            <w:pPr>
              <w:pStyle w:val="TableContents"/>
              <w:bidi w:val="0"/>
              <w:spacing w:before="0" w:after="283"/>
              <w:jc w:val="left"/>
              <w:rPr/>
            </w:pPr>
            <w:r>
              <w:rPr/>
              <w:t> </w:t>
            </w:r>
            <w:bookmarkStart w:id="205" w:name="xdx_40B_eus-gaap--IncreaseDecreaseInAcco"/>
            <w:bookmarkEnd w:id="205"/>
          </w:p>
        </w:tc>
      </w:tr>
      <w:tr>
        <w:trPr/>
        <w:tc>
          <w:tcPr>
            <w:tcW w:w="687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180</w:t>
            </w:r>
          </w:p>
        </w:tc>
        <w:tc>
          <w:tcPr>
            <w:tcW w:w="110" w:type="dxa"/>
            <w:tcBorders/>
            <w:shd w:fill="FFFFFF" w:val="clear"/>
            <w:vAlign w:val="center"/>
          </w:tcPr>
          <w:p>
            <w:pPr>
              <w:pStyle w:val="TableContents"/>
              <w:bidi w:val="0"/>
              <w:spacing w:before="0" w:after="283"/>
              <w:jc w:val="left"/>
              <w:rPr/>
            </w:pPr>
            <w:r>
              <w:rPr/>
              <w:t> </w:t>
            </w:r>
            <w:bookmarkStart w:id="206" w:name="xdx_40C_eus-gaap--IncreaseDecreaseInAccr"/>
            <w:bookmarkEnd w:id="206"/>
          </w:p>
        </w:tc>
      </w:tr>
      <w:tr>
        <w:trPr/>
        <w:tc>
          <w:tcPr>
            <w:tcW w:w="687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173</w:t>
            </w:r>
          </w:p>
        </w:tc>
        <w:tc>
          <w:tcPr>
            <w:tcW w:w="11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7" w:name="xdx_40B_eus-gaap--IncreaseDecreaseInOper"/>
            <w:bookmarkEnd w:id="207"/>
          </w:p>
        </w:tc>
      </w:tr>
      <w:tr>
        <w:trPr/>
        <w:tc>
          <w:tcPr>
            <w:tcW w:w="687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w:t>
            </w:r>
            <w:bookmarkStart w:id="208" w:name="xdx_405_eus-gaap--NetCashProvidedByUsedI"/>
            <w:bookmarkEnd w:id="208"/>
          </w:p>
        </w:tc>
      </w:tr>
      <w:tr>
        <w:trPr/>
        <w:tc>
          <w:tcPr>
            <w:tcW w:w="6875"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(13,230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(2,254</w:t>
            </w:r>
          </w:p>
        </w:tc>
        <w:tc>
          <w:tcPr>
            <w:tcW w:w="110" w:type="dxa"/>
            <w:tcBorders/>
            <w:shd w:fill="FFFFFF" w:val="clear"/>
            <w:vAlign w:val="center"/>
          </w:tcPr>
          <w:p>
            <w:pPr>
              <w:pStyle w:val="TableContents"/>
              <w:bidi w:val="0"/>
              <w:spacing w:before="0" w:after="283"/>
              <w:jc w:val="left"/>
              <w:rPr/>
            </w:pPr>
            <w:r>
              <w:rPr/>
              <w:t>)</w:t>
            </w:r>
            <w:bookmarkStart w:id="209" w:name="xdx_404_eus-gaap--NetCashProvidedByUsedI"/>
            <w:bookmarkEnd w:id="209"/>
          </w:p>
        </w:tc>
      </w:tr>
      <w:tr>
        <w:trPr/>
        <w:tc>
          <w:tcPr>
            <w:tcW w:w="6875" w:type="dxa"/>
            <w:tcBorders/>
            <w:shd w:fill="CCEEFF" w:val="clear"/>
            <w:vAlign w:val="center"/>
          </w:tcPr>
          <w:p>
            <w:pPr>
              <w:pStyle w:val="TableContents"/>
              <w:bidi w:val="0"/>
              <w:spacing w:before="0" w:after="283"/>
              <w:jc w:val="left"/>
              <w:rPr>
                <w:i/>
              </w:rPr>
            </w:pPr>
            <w:r>
              <w:rPr>
                <w:i/>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0" w:name="xdx_405_eus-gaap--PaymentsToAcquireIntan"/>
            <w:bookmarkEnd w:id="210"/>
          </w:p>
        </w:tc>
      </w:tr>
      <w:tr>
        <w:trPr/>
        <w:tc>
          <w:tcPr>
            <w:tcW w:w="6875" w:type="dxa"/>
            <w:tcBorders/>
            <w:shd w:fill="FFFFFF" w:val="clear"/>
            <w:vAlign w:val="center"/>
          </w:tcPr>
          <w:p>
            <w:pPr>
              <w:pStyle w:val="TableContents"/>
              <w:bidi w:val="0"/>
              <w:spacing w:before="0" w:after="283"/>
              <w:jc w:val="left"/>
              <w:rPr/>
            </w:pPr>
            <w:r>
              <w:rPr/>
              <w:t>Trademark costs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w:t>
            </w:r>
            <w:bookmarkStart w:id="211" w:name="xdx_409_eus-gaap--PaymentsToAcquirePrope"/>
            <w:bookmarkEnd w:id="211"/>
          </w:p>
        </w:tc>
      </w:tr>
      <w:tr>
        <w:trPr/>
        <w:tc>
          <w:tcPr>
            <w:tcW w:w="687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(51</w:t>
            </w:r>
          </w:p>
        </w:tc>
        <w:tc>
          <w:tcPr>
            <w:tcW w:w="110" w:type="dxa"/>
            <w:tcBorders/>
            <w:shd w:fill="CCEEFF" w:val="clear"/>
            <w:vAlign w:val="center"/>
          </w:tcPr>
          <w:p>
            <w:pPr>
              <w:pStyle w:val="TableContents"/>
              <w:bidi w:val="0"/>
              <w:spacing w:before="0" w:after="283"/>
              <w:jc w:val="left"/>
              <w:rPr/>
            </w:pPr>
            <w:r>
              <w:rPr/>
              <w:t>)</w:t>
            </w:r>
            <w:bookmarkStart w:id="212" w:name="xdx_405_eus-gaap--ProceedsFromSaleOfProp"/>
            <w:bookmarkEnd w:id="212"/>
          </w:p>
        </w:tc>
      </w:tr>
      <w:tr>
        <w:trPr/>
        <w:tc>
          <w:tcPr>
            <w:tcW w:w="6875" w:type="dxa"/>
            <w:tcBorders/>
            <w:shd w:fill="FFFFFF" w:val="clear"/>
            <w:vAlign w:val="center"/>
          </w:tcPr>
          <w:p>
            <w:pPr>
              <w:pStyle w:val="TableContents"/>
              <w:bidi w:val="0"/>
              <w:spacing w:before="0" w:after="283"/>
              <w:jc w:val="left"/>
              <w:rPr/>
            </w:pPr>
            <w:r>
              <w:rPr/>
              <w:t>Proceeds on sale of property and equipment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3" w:name="xdx_40E_eus-gaap--NetCashProvidedByUsedI"/>
            <w:bookmarkEnd w:id="213"/>
          </w:p>
        </w:tc>
      </w:tr>
      <w:tr>
        <w:trPr/>
        <w:tc>
          <w:tcPr>
            <w:tcW w:w="6875"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w:t>
            </w:r>
            <w:bookmarkStart w:id="214" w:name="xdx_402_eus-gaap--NetCashProvidedByUsedI"/>
            <w:bookmarkEnd w:id="214"/>
          </w:p>
        </w:tc>
      </w:tr>
      <w:tr>
        <w:trPr/>
        <w:tc>
          <w:tcPr>
            <w:tcW w:w="6875" w:type="dxa"/>
            <w:tcBorders/>
            <w:shd w:fill="FFFFFF" w:val="clear"/>
            <w:vAlign w:val="center"/>
          </w:tcPr>
          <w:p>
            <w:pPr>
              <w:pStyle w:val="TableContents"/>
              <w:bidi w:val="0"/>
              <w:spacing w:before="0" w:after="283"/>
              <w:jc w:val="left"/>
              <w:rPr>
                <w:i/>
              </w:rPr>
            </w:pPr>
            <w:r>
              <w:rPr>
                <w:i/>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5" w:name="xdx_40F_eus-gaap--ProceedsFromLinesOfCre"/>
            <w:bookmarkEnd w:id="215"/>
          </w:p>
        </w:tc>
      </w:tr>
      <w:tr>
        <w:trPr/>
        <w:tc>
          <w:tcPr>
            <w:tcW w:w="6875" w:type="dxa"/>
            <w:tcBorders/>
            <w:shd w:fill="CCEEFF" w:val="clear"/>
            <w:vAlign w:val="center"/>
          </w:tcPr>
          <w:p>
            <w:pPr>
              <w:pStyle w:val="TableContents"/>
              <w:bidi w:val="0"/>
              <w:spacing w:before="0" w:after="283"/>
              <w:jc w:val="left"/>
              <w:rPr/>
            </w:pPr>
            <w:r>
              <w:rPr/>
              <w:t>Proceeds from line of credit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24,878</w:t>
            </w:r>
          </w:p>
        </w:tc>
        <w:tc>
          <w:tcPr>
            <w:tcW w:w="110" w:type="dxa"/>
            <w:tcBorders/>
            <w:shd w:fill="CCEEFF" w:val="clear"/>
            <w:vAlign w:val="center"/>
          </w:tcPr>
          <w:p>
            <w:pPr>
              <w:pStyle w:val="TableContents"/>
              <w:bidi w:val="0"/>
              <w:spacing w:before="0" w:after="283"/>
              <w:jc w:val="left"/>
              <w:rPr/>
            </w:pPr>
            <w:r>
              <w:rPr/>
              <w:t> </w:t>
            </w:r>
            <w:bookmarkStart w:id="216" w:name="xdx_409_eus-gaap--RepaymentsOfLinesOfCre"/>
            <w:bookmarkEnd w:id="216"/>
          </w:p>
        </w:tc>
      </w:tr>
      <w:tr>
        <w:trPr/>
        <w:tc>
          <w:tcPr>
            <w:tcW w:w="6875" w:type="dxa"/>
            <w:tcBorders/>
            <w:shd w:fill="FFFFFF" w:val="clear"/>
            <w:vAlign w:val="center"/>
          </w:tcPr>
          <w:p>
            <w:pPr>
              <w:pStyle w:val="TableContents"/>
              <w:bidi w:val="0"/>
              <w:spacing w:before="0" w:after="283"/>
              <w:jc w:val="left"/>
              <w:rPr/>
            </w:pPr>
            <w:r>
              <w:rPr/>
              <w:t>Payments on line of credit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(29,367</w:t>
            </w:r>
          </w:p>
        </w:tc>
        <w:tc>
          <w:tcPr>
            <w:tcW w:w="110" w:type="dxa"/>
            <w:tcBorders/>
            <w:shd w:fill="FFFFFF" w:val="clear"/>
            <w:vAlign w:val="center"/>
          </w:tcPr>
          <w:p>
            <w:pPr>
              <w:pStyle w:val="TableContents"/>
              <w:bidi w:val="0"/>
              <w:spacing w:before="0" w:after="283"/>
              <w:jc w:val="left"/>
              <w:rPr/>
            </w:pPr>
            <w:r>
              <w:rPr/>
              <w:t>)</w:t>
            </w:r>
            <w:bookmarkStart w:id="217" w:name="xdx_405_eus-gaap--RepaymentsOfConvertibl"/>
            <w:bookmarkEnd w:id="217"/>
          </w:p>
        </w:tc>
      </w:tr>
      <w:tr>
        <w:trPr/>
        <w:tc>
          <w:tcPr>
            <w:tcW w:w="6875" w:type="dxa"/>
            <w:tcBorders/>
            <w:shd w:fill="CCEEFF" w:val="clear"/>
            <w:vAlign w:val="center"/>
          </w:tcPr>
          <w:p>
            <w:pPr>
              <w:pStyle w:val="TableContents"/>
              <w:bidi w:val="0"/>
              <w:spacing w:before="0" w:after="283"/>
              <w:jc w:val="left"/>
              <w:rPr/>
            </w:pPr>
            <w:r>
              <w:rPr/>
              <w:t>Payment of accrued interest on convertible note payable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(513</w:t>
            </w:r>
          </w:p>
        </w:tc>
        <w:tc>
          <w:tcPr>
            <w:tcW w:w="110" w:type="dxa"/>
            <w:tcBorders/>
            <w:shd w:fill="CCEEFF" w:val="clear"/>
            <w:vAlign w:val="center"/>
          </w:tcPr>
          <w:p>
            <w:pPr>
              <w:pStyle w:val="TableContents"/>
              <w:bidi w:val="0"/>
              <w:spacing w:before="0" w:after="283"/>
              <w:jc w:val="left"/>
              <w:rPr/>
            </w:pPr>
            <w:r>
              <w:rPr/>
              <w:t>)</w:t>
            </w:r>
            <w:bookmarkStart w:id="218" w:name="xdx_402_eus-gaap--ProceedsFromIssuanceOf"/>
            <w:bookmarkEnd w:id="218"/>
          </w:p>
        </w:tc>
      </w:tr>
      <w:tr>
        <w:trPr/>
        <w:tc>
          <w:tcPr>
            <w:tcW w:w="6875" w:type="dxa"/>
            <w:tcBorders/>
            <w:shd w:fill="FFFFFF" w:val="clear"/>
            <w:vAlign w:val="center"/>
          </w:tcPr>
          <w:p>
            <w:pPr>
              <w:pStyle w:val="TableContents"/>
              <w:bidi w:val="0"/>
              <w:spacing w:before="0" w:after="283"/>
              <w:jc w:val="left"/>
              <w:rPr/>
            </w:pPr>
            <w:r>
              <w:rPr/>
              <w:t>Proceeds from sale of common stock</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1,903</w:t>
            </w:r>
          </w:p>
        </w:tc>
        <w:tc>
          <w:tcPr>
            <w:tcW w:w="110" w:type="dxa"/>
            <w:tcBorders/>
            <w:shd w:fill="FFFFFF" w:val="clear"/>
            <w:vAlign w:val="center"/>
          </w:tcPr>
          <w:p>
            <w:pPr>
              <w:pStyle w:val="TableContents"/>
              <w:bidi w:val="0"/>
              <w:spacing w:before="0" w:after="283"/>
              <w:jc w:val="left"/>
              <w:rPr/>
            </w:pPr>
            <w:r>
              <w:rPr/>
              <w:t> </w:t>
            </w:r>
            <w:bookmarkStart w:id="219" w:name="xdx_405_eus-gaap--ProceedsFromConvertibl"/>
            <w:bookmarkEnd w:id="219"/>
          </w:p>
        </w:tc>
      </w:tr>
      <w:tr>
        <w:trPr/>
        <w:tc>
          <w:tcPr>
            <w:tcW w:w="6875" w:type="dxa"/>
            <w:tcBorders/>
            <w:shd w:fill="CCEEFF" w:val="clear"/>
            <w:vAlign w:val="center"/>
          </w:tcPr>
          <w:p>
            <w:pPr>
              <w:pStyle w:val="TableContents"/>
              <w:bidi w:val="0"/>
              <w:spacing w:before="0" w:after="283"/>
              <w:jc w:val="left"/>
              <w:rPr/>
            </w:pPr>
            <w:r>
              <w:rPr/>
              <w:t>Proceeds from convertible notes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1,400</w:t>
            </w:r>
          </w:p>
        </w:tc>
        <w:tc>
          <w:tcPr>
            <w:tcW w:w="110" w:type="dxa"/>
            <w:tcBorders/>
            <w:shd w:fill="CCEEFF" w:val="clear"/>
            <w:vAlign w:val="center"/>
          </w:tcPr>
          <w:p>
            <w:pPr>
              <w:pStyle w:val="TableContents"/>
              <w:bidi w:val="0"/>
              <w:spacing w:before="0" w:after="283"/>
              <w:jc w:val="left"/>
              <w:rPr/>
            </w:pPr>
            <w:r>
              <w:rPr/>
              <w:t> </w:t>
            </w:r>
            <w:bookmarkStart w:id="220" w:name="xdx_40C_ecustom--ProceedsFromIssuanceOrS"/>
            <w:bookmarkEnd w:id="220"/>
          </w:p>
        </w:tc>
      </w:tr>
      <w:tr>
        <w:trPr/>
        <w:tc>
          <w:tcPr>
            <w:tcW w:w="6875" w:type="dxa"/>
            <w:tcBorders/>
            <w:shd w:fill="FFFFFF" w:val="clear"/>
            <w:vAlign w:val="center"/>
          </w:tcPr>
          <w:p>
            <w:pPr>
              <w:pStyle w:val="TableContents"/>
              <w:bidi w:val="0"/>
              <w:spacing w:before="0" w:after="283"/>
              <w:jc w:val="left"/>
              <w:rPr/>
            </w:pPr>
            <w:r>
              <w:rPr/>
              <w:t>Proceeds from SAFE agreement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4,097</w:t>
            </w:r>
          </w:p>
        </w:tc>
        <w:tc>
          <w:tcPr>
            <w:tcW w:w="110" w:type="dxa"/>
            <w:tcBorders/>
            <w:shd w:fill="FFFFFF" w:val="clear"/>
            <w:vAlign w:val="center"/>
          </w:tcPr>
          <w:p>
            <w:pPr>
              <w:pStyle w:val="TableContents"/>
              <w:bidi w:val="0"/>
              <w:spacing w:before="0" w:after="283"/>
              <w:jc w:val="left"/>
              <w:rPr/>
            </w:pPr>
            <w:r>
              <w:rPr/>
              <w:t> </w:t>
            </w:r>
            <w:bookmarkStart w:id="221" w:name="xdx_404_eus-gaap--RepaymentsOfLongTermDe"/>
            <w:bookmarkEnd w:id="221"/>
          </w:p>
        </w:tc>
      </w:tr>
      <w:tr>
        <w:trPr/>
        <w:tc>
          <w:tcPr>
            <w:tcW w:w="6875" w:type="dxa"/>
            <w:tcBorders/>
            <w:shd w:fill="CCEEFF" w:val="clear"/>
            <w:vAlign w:val="center"/>
          </w:tcPr>
          <w:p>
            <w:pPr>
              <w:pStyle w:val="TableContents"/>
              <w:bidi w:val="0"/>
              <w:spacing w:before="0" w:after="283"/>
              <w:jc w:val="left"/>
              <w:rPr/>
            </w:pPr>
            <w:r>
              <w:rPr/>
              <w:t>Payment of note payable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2" w:name="xdx_40C_ecustom--PaymentOfCashRecordedAs"/>
            <w:bookmarkEnd w:id="222"/>
          </w:p>
        </w:tc>
      </w:tr>
      <w:tr>
        <w:trPr/>
        <w:tc>
          <w:tcPr>
            <w:tcW w:w="6875" w:type="dxa"/>
            <w:tcBorders/>
            <w:shd w:fill="FFFFFF" w:val="clear"/>
            <w:vAlign w:val="center"/>
          </w:tcPr>
          <w:p>
            <w:pPr>
              <w:pStyle w:val="TableContents"/>
              <w:bidi w:val="0"/>
              <w:spacing w:before="0" w:after="283"/>
              <w:jc w:val="left"/>
              <w:rPr/>
            </w:pPr>
            <w:r>
              <w:rPr/>
              <w:t>Payment of cash recorded as debt discount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(335</w:t>
            </w:r>
          </w:p>
        </w:tc>
        <w:tc>
          <w:tcPr>
            <w:tcW w:w="110" w:type="dxa"/>
            <w:tcBorders/>
            <w:shd w:fill="FFFFFF" w:val="clear"/>
            <w:vAlign w:val="center"/>
          </w:tcPr>
          <w:p>
            <w:pPr>
              <w:pStyle w:val="TableContents"/>
              <w:bidi w:val="0"/>
              <w:spacing w:before="0" w:after="283"/>
              <w:jc w:val="left"/>
              <w:rPr/>
            </w:pPr>
            <w:r>
              <w:rPr/>
              <w:t>)</w:t>
            </w:r>
            <w:bookmarkStart w:id="223" w:name="xdx_40C_eus-gaap--ProceedsFromRepayments"/>
            <w:bookmarkEnd w:id="223"/>
          </w:p>
        </w:tc>
      </w:tr>
      <w:tr>
        <w:trPr/>
        <w:tc>
          <w:tcPr>
            <w:tcW w:w="6875" w:type="dxa"/>
            <w:tcBorders/>
            <w:shd w:fill="CCEEFF" w:val="clear"/>
            <w:vAlign w:val="center"/>
          </w:tcPr>
          <w:p>
            <w:pPr>
              <w:pStyle w:val="TableContents"/>
              <w:bidi w:val="0"/>
              <w:spacing w:before="0" w:after="283"/>
              <w:jc w:val="left"/>
              <w:rPr/>
            </w:pPr>
            <w:r>
              <w:rPr/>
              <w:t>Amounts from former related party, net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w:t>
            </w:r>
            <w:bookmarkStart w:id="224" w:name="xdx_403_eus-gaap--NetCashProvidedByUsedI"/>
            <w:bookmarkEnd w:id="224"/>
          </w:p>
        </w:tc>
      </w:tr>
      <w:tr>
        <w:trPr/>
        <w:tc>
          <w:tcPr>
            <w:tcW w:w="6875"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7,147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2,015</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5" w:name="xdx_408_eus-gaap--CashCashEquivalentsRes"/>
            <w:bookmarkEnd w:id="225"/>
          </w:p>
        </w:tc>
      </w:tr>
      <w:tr>
        <w:trPr/>
        <w:tc>
          <w:tcPr>
            <w:tcW w:w="6875" w:type="dxa"/>
            <w:tcBorders/>
            <w:shd w:fill="FFFFFF" w:val="clear"/>
            <w:vAlign w:val="center"/>
          </w:tcPr>
          <w:p>
            <w:pPr>
              <w:pStyle w:val="TableContents"/>
              <w:bidi w:val="0"/>
              <w:spacing w:before="0" w:after="283"/>
              <w:jc w:val="left"/>
              <w:rPr/>
            </w:pPr>
            <w:r>
              <w:rPr/>
              <w:t>Net decrease in cash</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(6,255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(297</w:t>
            </w:r>
          </w:p>
        </w:tc>
        <w:tc>
          <w:tcPr>
            <w:tcW w:w="110" w:type="dxa"/>
            <w:tcBorders/>
            <w:shd w:fill="FFFFFF" w:val="clear"/>
            <w:vAlign w:val="center"/>
          </w:tcPr>
          <w:p>
            <w:pPr>
              <w:pStyle w:val="TableContents"/>
              <w:bidi w:val="0"/>
              <w:spacing w:before="0" w:after="283"/>
              <w:jc w:val="left"/>
              <w:rPr/>
            </w:pPr>
            <w:r>
              <w:rPr/>
              <w:t>)</w:t>
            </w:r>
            <w:bookmarkStart w:id="226" w:name="xdx_40A_eus-gaap--CashCashEquivalentsRes"/>
            <w:bookmarkEnd w:id="226"/>
          </w:p>
        </w:tc>
      </w:tr>
      <w:tr>
        <w:trPr/>
        <w:tc>
          <w:tcPr>
            <w:tcW w:w="6875" w:type="dxa"/>
            <w:tcBorders/>
            <w:shd w:fill="CCEEFF" w:val="clear"/>
            <w:vAlign w:val="center"/>
          </w:tcPr>
          <w:p>
            <w:pPr>
              <w:pStyle w:val="TableContents"/>
              <w:bidi w:val="0"/>
              <w:spacing w:before="0" w:after="283"/>
              <w:jc w:val="left"/>
              <w:rPr/>
            </w:pPr>
            <w:r>
              <w:rPr/>
              <w:t>Cash at beginning of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10,391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603</w:t>
            </w:r>
          </w:p>
        </w:tc>
        <w:tc>
          <w:tcPr>
            <w:tcW w:w="110" w:type="dxa"/>
            <w:tcBorders/>
            <w:shd w:fill="CCEEFF" w:val="clear"/>
            <w:vAlign w:val="center"/>
          </w:tcPr>
          <w:p>
            <w:pPr>
              <w:pStyle w:val="TableContents"/>
              <w:bidi w:val="0"/>
              <w:spacing w:before="0" w:after="283"/>
              <w:jc w:val="left"/>
              <w:rPr/>
            </w:pPr>
            <w:r>
              <w:rPr/>
              <w:t> </w:t>
            </w:r>
            <w:bookmarkStart w:id="227" w:name="xdx_40A_eus-gaap--CashCashEquivalentsRes"/>
            <w:bookmarkEnd w:id="227"/>
          </w:p>
        </w:tc>
      </w:tr>
      <w:tr>
        <w:trPr/>
        <w:tc>
          <w:tcPr>
            <w:tcW w:w="6875" w:type="dxa"/>
            <w:tcBorders/>
            <w:shd w:fill="FFFFFF" w:val="clear"/>
            <w:vAlign w:val="center"/>
          </w:tcPr>
          <w:p>
            <w:pPr>
              <w:pStyle w:val="TableContents"/>
              <w:bidi w:val="0"/>
              <w:spacing w:before="0" w:after="283"/>
              <w:jc w:val="left"/>
              <w:rPr/>
            </w:pPr>
            <w:r>
              <w:rPr/>
              <w:t>Cash at end of period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FFFFFF" w:val="clear"/>
            <w:tcMar>
              <w:bottom w:w="28" w:type="dxa"/>
            </w:tcMar>
            <w:vAlign w:val="center"/>
          </w:tcPr>
          <w:p>
            <w:pPr>
              <w:pStyle w:val="TableContents"/>
              <w:bidi w:val="0"/>
              <w:spacing w:before="0" w:after="283"/>
              <w:jc w:val="right"/>
              <w:rPr/>
            </w:pPr>
            <w:r>
              <w:rPr/>
              <w:t>4,136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FFFFFF" w:val="clear"/>
            <w:tcMar>
              <w:bottom w:w="28" w:type="dxa"/>
            </w:tcMar>
            <w:vAlign w:val="center"/>
          </w:tcPr>
          <w:p>
            <w:pPr>
              <w:pStyle w:val="TableContents"/>
              <w:bidi w:val="0"/>
              <w:spacing w:before="0" w:after="283"/>
              <w:jc w:val="right"/>
              <w:rPr/>
            </w:pPr>
            <w:r>
              <w:rPr/>
              <w:t>306</w:t>
            </w:r>
          </w:p>
        </w:tc>
        <w:tc>
          <w:tcPr>
            <w:tcW w:w="11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8" w:name="xdx_404_eus-gaap--SupplementalCashFlowIn"/>
            <w:bookmarkEnd w:id="228"/>
          </w:p>
        </w:tc>
      </w:tr>
      <w:tr>
        <w:trPr/>
        <w:tc>
          <w:tcPr>
            <w:tcW w:w="6875"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9" w:name="xdx_403_eus-gaap--InterestPaidNet_i01_zm"/>
            <w:bookmarkEnd w:id="229"/>
          </w:p>
        </w:tc>
      </w:tr>
      <w:tr>
        <w:trPr/>
        <w:tc>
          <w:tcPr>
            <w:tcW w:w="687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238</w:t>
            </w:r>
          </w:p>
        </w:tc>
        <w:tc>
          <w:tcPr>
            <w:tcW w:w="110" w:type="dxa"/>
            <w:tcBorders/>
            <w:shd w:fill="CCEEFF" w:val="clear"/>
            <w:vAlign w:val="center"/>
          </w:tcPr>
          <w:p>
            <w:pPr>
              <w:pStyle w:val="TableContents"/>
              <w:bidi w:val="0"/>
              <w:spacing w:before="0" w:after="283"/>
              <w:jc w:val="left"/>
              <w:rPr/>
            </w:pPr>
            <w:r>
              <w:rPr/>
              <w:t> </w:t>
            </w:r>
            <w:bookmarkStart w:id="230" w:name="xdx_402_eus-gaap--NoncashInvestingAndFin"/>
            <w:bookmarkEnd w:id="230"/>
          </w:p>
        </w:tc>
      </w:tr>
      <w:tr>
        <w:trPr/>
        <w:tc>
          <w:tcPr>
            <w:tcW w:w="6875"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1_ecustom--ReclassSafeAgreementFro"/>
            <w:bookmarkEnd w:id="231"/>
          </w:p>
        </w:tc>
      </w:tr>
      <w:tr>
        <w:trPr/>
        <w:tc>
          <w:tcPr>
            <w:tcW w:w="6875" w:type="dxa"/>
            <w:tcBorders/>
            <w:shd w:fill="CCEEFF" w:val="clear"/>
            <w:vAlign w:val="center"/>
          </w:tcPr>
          <w:p>
            <w:pPr>
              <w:pStyle w:val="TableContents"/>
              <w:bidi w:val="0"/>
              <w:spacing w:before="0" w:after="283"/>
              <w:jc w:val="left"/>
              <w:rPr/>
            </w:pPr>
            <w:r>
              <w:rPr/>
              <w:t>Reclass SAFE agreement from accounts payable to equity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2" w:name="xdx_40B_ecustom--DividendsOnSeriesConver"/>
            <w:bookmarkEnd w:id="232"/>
          </w:p>
        </w:tc>
      </w:tr>
      <w:tr>
        <w:trPr/>
        <w:tc>
          <w:tcPr>
            <w:tcW w:w="6875" w:type="dxa"/>
            <w:tcBorders/>
            <w:shd w:fill="FFFFFF" w:val="clear"/>
            <w:vAlign w:val="center"/>
          </w:tcPr>
          <w:p>
            <w:pPr>
              <w:pStyle w:val="TableContents"/>
              <w:bidi w:val="0"/>
              <w:spacing w:before="0" w:after="283"/>
              <w:jc w:val="left"/>
              <w:rPr/>
            </w:pPr>
            <w:r>
              <w:rPr/>
              <w:t>Dividends on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bookmarkStart w:id="233" w:name="xdx_40C_ecustom--ReclassOfPrepaidExpense"/>
            <w:bookmarkEnd w:id="233"/>
          </w:p>
        </w:tc>
      </w:tr>
      <w:tr>
        <w:trPr/>
        <w:tc>
          <w:tcPr>
            <w:tcW w:w="6875" w:type="dxa"/>
            <w:tcBorders/>
            <w:shd w:fill="CCEEFF" w:val="clear"/>
            <w:vAlign w:val="center"/>
          </w:tcPr>
          <w:p>
            <w:pPr>
              <w:pStyle w:val="TableContents"/>
              <w:bidi w:val="0"/>
              <w:spacing w:before="0" w:after="283"/>
              <w:jc w:val="left"/>
              <w:rPr/>
            </w:pPr>
            <w:r>
              <w:rPr/>
              <w:t>Reclass of prepaid expenses and accounts payable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4" w:name="a_007"/>
      <w:bookmarkEnd w:id="234"/>
      <w:r>
        <w:rPr>
          <w:rFonts w:ascii="Times New Roman;Times;Serif" w:hAnsi="Times New Roman;Times;Serif"/>
          <w:b/>
          <w:i w:val="false"/>
          <w:caps w:val="false"/>
          <w:smallCaps w:val="false"/>
          <w:sz w:val="20"/>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Nine Months Ended September 30, 2025 and 2024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5" w:name="xdx_808_eus-gaap--SignificantAccountingP"/>
      <w:bookmarkEnd w:id="235"/>
      <w:r>
        <w:rPr>
          <w:rFonts w:ascii="Times New Roman;Times;Serif" w:hAnsi="Times New Roman;Times;Serif"/>
          <w:b/>
          <w:i w:val="false"/>
          <w:caps w:val="false"/>
          <w:smallCaps w:val="false"/>
          <w:sz w:val="20"/>
        </w:rPr>
        <w:t xml:space="preserve">1. </w:t>
      </w:r>
      <w:bookmarkStart w:id="236" w:name="xdx_825_zz12aWOtI0lb"/>
      <w:bookmarkEnd w:id="236"/>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7" w:name="xdx_86F_zLGBqPipTRmc"/>
      <w:bookmarkStart w:id="238" w:name="xdx_84E_eus-gaap--BasisOfAccountingPolic"/>
      <w:bookmarkEnd w:id="237"/>
      <w:bookmarkEnd w:id="238"/>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2024, filed with the SEC on March 28, 2025. The accompanying condensed financial statements are unaudited, but in the opinion of management, contain all adjustments, including normal recurring adjustments, necessary to present fairly the Company’s financial position as of September 30, 2025, and the results of its operations and its cash flows for the nine months ended September 30, 2025 and 2024. The balance sheet as of December 31, 2024 is derived from the Company’s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nine months ended September 30, 2025, are not necessarily indicative of the results of operations to be expected for the full fiscal year ending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39" w:name="xdx_847_ecustom--ReverseStockSplitPolicy"/>
      <w:bookmarkEnd w:id="239"/>
      <w:r>
        <w:rPr>
          <w:rFonts w:ascii="Times New Roman;Times;Serif" w:hAnsi="Times New Roman;Times;Serif"/>
          <w:b/>
          <w:i w:val="false"/>
          <w:caps w:val="false"/>
          <w:smallCaps w:val="false"/>
          <w:sz w:val="20"/>
        </w:rPr>
        <w:t>Reverse Stock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the Company effected a </w:t>
      </w:r>
      <w:bookmarkStart w:id="240" w:name="xdx_90A_eus-gaap--StockholdersEquityReve"/>
      <w:bookmarkEnd w:id="240"/>
      <w:r>
        <w:rPr>
          <w:rFonts w:ascii="Times New Roman;Times;Serif" w:hAnsi="Times New Roman;Times;Serif"/>
          <w:b w:val="false"/>
          <w:i w:val="false"/>
          <w:caps w:val="false"/>
          <w:smallCaps w:val="false"/>
          <w:sz w:val="20"/>
        </w:rPr>
        <w:t>1-for-6 reverse stock split of its common stock (the “Reverse Stock Split). The par value and the authorized shares of the common stock were not adjusted as a result of the Reverse Stock Split. All shares and per share amounts and information presented herein have been retroactively adjusted to reflect the Reverse Stock Split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1" w:name="xdx_861_zlh8Ub9CoDrf"/>
      <w:bookmarkStart w:id="242" w:name="xdx_84E_ecustom--LiquidityPolicyTextBloc"/>
      <w:bookmarkEnd w:id="241"/>
      <w:bookmarkEnd w:id="242"/>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accompanying financial statements, for the nine months ended September 30, 2025, the Company recorded a net loss of $</w:t>
      </w:r>
      <w:bookmarkStart w:id="243" w:name="xdx_90E_eus-gaap--NetIncomeLoss_iN_pn3n3"/>
      <w:bookmarkEnd w:id="243"/>
      <w:r>
        <w:rPr>
          <w:rFonts w:ascii="Times New Roman;Times;Serif" w:hAnsi="Times New Roman;Times;Serif"/>
          <w:b w:val="false"/>
          <w:i w:val="false"/>
          <w:caps w:val="false"/>
          <w:smallCaps w:val="false"/>
          <w:sz w:val="20"/>
        </w:rPr>
        <w:t>12,061 and used cash in operations of $</w:t>
      </w:r>
      <w:bookmarkStart w:id="244" w:name="xdx_905_eus-gaap--NetCashProvidedByUsedI"/>
      <w:bookmarkEnd w:id="244"/>
      <w:r>
        <w:rPr>
          <w:rFonts w:ascii="Times New Roman;Times;Serif" w:hAnsi="Times New Roman;Times;Serif"/>
          <w:b w:val="false"/>
          <w:i w:val="false"/>
          <w:caps w:val="false"/>
          <w:smallCaps w:val="false"/>
          <w:sz w:val="20"/>
        </w:rPr>
        <w:t>13,230. Cash used in operations was primarily from our operating losses as well as for working capital, as the Company invested $</w:t>
      </w:r>
      <w:bookmarkStart w:id="245" w:name="xdx_90A_ecustom--WorkingCapital_iNI_pn3n"/>
      <w:bookmarkEnd w:id="245"/>
      <w:r>
        <w:rPr>
          <w:rFonts w:ascii="Times New Roman;Times;Serif" w:hAnsi="Times New Roman;Times;Serif"/>
          <w:b w:val="false"/>
          <w:i w:val="false"/>
          <w:caps w:val="false"/>
          <w:smallCaps w:val="false"/>
          <w:sz w:val="20"/>
        </w:rPr>
        <w:t>3,443 in inventory to more effectively fulfill customer demand, and investment in strategic growth initiatives. As of September 30, 2025, we had a cash balance of $</w:t>
      </w:r>
      <w:bookmarkStart w:id="246" w:name="xdx_902_eus-gaap--Cash_iI_pn3n3_c2025093"/>
      <w:bookmarkEnd w:id="246"/>
      <w:r>
        <w:rPr>
          <w:rFonts w:ascii="Times New Roman;Times;Serif" w:hAnsi="Times New Roman;Times;Serif"/>
          <w:b w:val="false"/>
          <w:i w:val="false"/>
          <w:caps w:val="false"/>
          <w:smallCaps w:val="false"/>
          <w:sz w:val="20"/>
        </w:rPr>
        <w:t xml:space="preserve">4,136 and </w:t>
      </w:r>
      <w:bookmarkStart w:id="247" w:name="xdx_903_eus-gaap--Cash_iI_pn3n3_do_c2025"/>
      <w:bookmarkEnd w:id="247"/>
      <w:r>
        <w:rPr>
          <w:rFonts w:ascii="Times New Roman;Times;Serif" w:hAnsi="Times New Roman;Times;Serif"/>
          <w:b w:val="false"/>
          <w:i w:val="false"/>
          <w:caps w:val="false"/>
          <w:smallCaps w:val="false"/>
          <w:sz w:val="20"/>
        </w:rPr>
        <w:t>no remaining availability under our Senior Secured Loan, as discussed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existing cash balances, cash generated from operations, public and private issuance of common stock, preferred stock, convertible debt instruments, term loans and credit lines from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15, 2025, the Company completed a private placement with certain accredited investors, pursuant to which the Company issued and sold to the investors an aggregate of </w:t>
      </w:r>
      <w:bookmarkStart w:id="248" w:name="xdx_90E_eus-gaap--StockIssuedDuringPerio"/>
      <w:bookmarkEnd w:id="248"/>
      <w:r>
        <w:rPr>
          <w:rFonts w:ascii="Times New Roman;Times;Serif" w:hAnsi="Times New Roman;Times;Serif"/>
          <w:b w:val="false"/>
          <w:i w:val="false"/>
          <w:caps w:val="false"/>
          <w:smallCaps w:val="false"/>
          <w:sz w:val="20"/>
        </w:rPr>
        <w:t>833,330 shares of common stock for total consideration of $</w:t>
      </w:r>
      <w:bookmarkStart w:id="249" w:name="xdx_902_eus-gaap--StockIssuedDuringPerio"/>
      <w:bookmarkEnd w:id="249"/>
      <w:r>
        <w:rPr>
          <w:rFonts w:ascii="Times New Roman;Times;Serif" w:hAnsi="Times New Roman;Times;Serif"/>
          <w:b w:val="false"/>
          <w:i w:val="false"/>
          <w:caps w:val="false"/>
          <w:smallCaps w:val="false"/>
          <w:sz w:val="20"/>
        </w:rPr>
        <w:t>5,000 (see Note 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we entered into the first amendment to the loan agreement (as amended, the “Amended Loan Agreement”) governing our Senior Secured Loan (see Note 5). Pursuant to the Amended Loan Agreement, (i) the aggregate principal amount of the revolving credit commitment under the Senior Secured Loan was reduced to $</w:t>
      </w:r>
      <w:bookmarkStart w:id="250" w:name="xdx_901_eus-gaap--LineOfCreditFacilityMa"/>
      <w:bookmarkEnd w:id="250"/>
      <w:r>
        <w:rPr>
          <w:rFonts w:ascii="Times New Roman;Times;Serif" w:hAnsi="Times New Roman;Times;Serif"/>
          <w:b w:val="false"/>
          <w:i w:val="false"/>
          <w:caps w:val="false"/>
          <w:smallCaps w:val="false"/>
          <w:sz w:val="20"/>
        </w:rPr>
        <w:t>9,250 from $</w:t>
      </w:r>
      <w:bookmarkStart w:id="251" w:name="xdx_908_eus-gaap--LineOfCreditFacilityMa"/>
      <w:bookmarkEnd w:id="251"/>
      <w:r>
        <w:rPr>
          <w:rFonts w:ascii="Times New Roman;Times;Serif" w:hAnsi="Times New Roman;Times;Serif"/>
          <w:b w:val="false"/>
          <w:i w:val="false"/>
          <w:caps w:val="false"/>
          <w:smallCaps w:val="false"/>
          <w:sz w:val="20"/>
        </w:rPr>
        <w:t xml:space="preserve">10,000, (ii) interest payments became due on a monthly basis as of the last business day of each month, and (iii) the maturity date was extended to </w:t>
      </w:r>
      <w:bookmarkStart w:id="252" w:name="xdx_905_eus-gaap--DebtInstrumentMaturity"/>
      <w:bookmarkEnd w:id="252"/>
      <w:r>
        <w:rPr>
          <w:rFonts w:ascii="Times New Roman;Times;Serif" w:hAnsi="Times New Roman;Times;Serif"/>
          <w:b w:val="false"/>
          <w:i w:val="false"/>
          <w:caps w:val="false"/>
          <w:smallCaps w:val="false"/>
          <w:sz w:val="20"/>
        </w:rPr>
        <w:t>September 30, 2026. In connection with the Amended Loan Agreement, we repaid $</w:t>
      </w:r>
      <w:bookmarkStart w:id="253" w:name="xdx_90E_eus-gaap--DebtInstrumentIncrease"/>
      <w:bookmarkEnd w:id="253"/>
      <w:r>
        <w:rPr>
          <w:rFonts w:ascii="Times New Roman;Times;Serif" w:hAnsi="Times New Roman;Times;Serif"/>
          <w:b w:val="false"/>
          <w:i w:val="false"/>
          <w:caps w:val="false"/>
          <w:smallCaps w:val="false"/>
          <w:sz w:val="20"/>
        </w:rPr>
        <w:t>650 of the aggregate outstanding principal balance, plus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that the Company’s existing cash of $</w:t>
      </w:r>
      <w:bookmarkStart w:id="254" w:name="xdx_904_eus-gaap--Cash_iI_pn3n3_c2025093"/>
      <w:bookmarkEnd w:id="254"/>
      <w:r>
        <w:rPr>
          <w:rFonts w:ascii="Times New Roman;Times;Serif" w:hAnsi="Times New Roman;Times;Serif"/>
          <w:b w:val="false"/>
          <w:i w:val="false"/>
          <w:caps w:val="false"/>
          <w:smallCaps w:val="false"/>
          <w:sz w:val="20"/>
        </w:rPr>
        <w:t>4,136, cash generated from operations, and access to committed financing will be sufficient to fund the Company’s operating plan, which was approved by the Board of Directors in January 2025, for at least twelve months from the date of issuance of these financial statements; however, if the Company’s management and Board of Directors approve additional growth initiatives and related investment in human resources, working capital, new geographic markets, information technology, or other uses of cash, the Company may require additional funding.</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we may be unsuccessful in executing these actions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5" w:name="xdx_860_zNTkrIXF3GA1"/>
      <w:bookmarkStart w:id="256" w:name="xdx_84C_ecustom--RecentTrendsMarketCondi"/>
      <w:bookmarkEnd w:id="255"/>
      <w:bookmarkEnd w:id="256"/>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actions by the Federal Reserve to address inflation, fluctuations in energy prices, and the potential impacts of tariffs, trade tensions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7" w:name="xdx_86D_zH4mUcruNhg1"/>
      <w:bookmarkStart w:id="258" w:name="xdx_842_eus-gaap--UseOfEstimates_z3qt63C"/>
      <w:bookmarkEnd w:id="257"/>
      <w:bookmarkEnd w:id="258"/>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realizability of deferred tax assets and the related valuation allowance, accruals for potential liabilities, assumptions made in valuing stock instruments issued for services, and assumptions used in the determination of the Company’s liquidity.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9" w:name="xdx_86C_zPAyL26FY3yc"/>
      <w:bookmarkStart w:id="260" w:name="xdx_84A_eus-gaap--RevenueFromContractWit"/>
      <w:bookmarkEnd w:id="259"/>
      <w:bookmarkEnd w:id="260"/>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1" w:name="xdx_861_zWVmsKSKqoL9"/>
      <w:bookmarkStart w:id="262" w:name="xdx_845_eus-gaap--EarningsPerSharePolicy"/>
      <w:bookmarkEnd w:id="261"/>
      <w:bookmarkEnd w:id="262"/>
      <w:r>
        <w:rPr>
          <w:rFonts w:ascii="Times New Roman;Times;Serif" w:hAnsi="Times New Roman;Times;Serif"/>
          <w:b/>
          <w:i w:val="false"/>
          <w:caps w:val="false"/>
          <w:smallCaps w:val="false"/>
          <w:sz w:val="20"/>
        </w:rPr>
        <w:t>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period.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3" w:name="xdx_893_eus-gaap--ScheduleOfAntidilutive"/>
      <w:bookmarkEnd w:id="263"/>
      <w:r>
        <w:rPr>
          <w:rFonts w:ascii="Times New Roman;Times;Serif" w:hAnsi="Times New Roman;Times;Serif"/>
          <w:b w:val="false"/>
          <w:i w:val="false"/>
          <w:caps w:val="false"/>
          <w:smallCaps w:val="false"/>
          <w:sz w:val="20"/>
        </w:rPr>
        <w:t>For the nine months ended September 30, 2025 and 2024, the calculations of basic and diluted loss per share are the same because potential dilutive securities would have had an anti-dilutive effect. The potentially dilutive securities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4" w:name="xdx_8B5_z50tTMDYbSPb"/>
      <w:bookmarkEnd w:id="264"/>
      <w:r>
        <w:rPr>
          <w:rFonts w:ascii="Times New Roman;Times;Serif" w:hAnsi="Times New Roman;Times;Serif"/>
          <w:b w:val="false"/>
          <w:i w:val="false"/>
          <w:caps w:val="false"/>
          <w:smallCaps w:val="false"/>
          <w:sz w:val="20"/>
        </w:rPr>
        <w:t>Schedule of Potentially Dilutive Securities</w:t>
      </w:r>
    </w:p>
    <w:tbl>
      <w:tblPr>
        <w:tblW w:w="9493" w:type="dxa"/>
        <w:jc w:val="left"/>
        <w:tblInd w:w="0" w:type="dxa"/>
        <w:tblLayout w:type="fixed"/>
        <w:tblCellMar>
          <w:top w:w="0" w:type="dxa"/>
          <w:left w:w="0" w:type="dxa"/>
          <w:bottom w:w="0" w:type="dxa"/>
          <w:right w:w="0" w:type="dxa"/>
        </w:tblCellMar>
      </w:tblPr>
      <w:tblGrid>
        <w:gridCol w:w="6290"/>
        <w:gridCol w:w="60"/>
        <w:gridCol w:w="101"/>
        <w:gridCol w:w="1373"/>
        <w:gridCol w:w="60"/>
        <w:gridCol w:w="60"/>
        <w:gridCol w:w="101"/>
        <w:gridCol w:w="1373"/>
        <w:gridCol w:w="75"/>
      </w:tblGrid>
      <w:tr>
        <w:trPr/>
        <w:tc>
          <w:tcPr>
            <w:tcW w:w="6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65" w:name="xdx_49E_20250101__20250930_zT8oWB2mvP0d"/>
            <w:bookmarkEnd w:id="265"/>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6" w:name="xdx_493_20240101__20240930_zzY8CPBE21v7"/>
            <w:bookmarkEnd w:id="266"/>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2024</w:t>
            </w:r>
          </w:p>
        </w:tc>
        <w:tc>
          <w:tcPr>
            <w:tcW w:w="75" w:type="dxa"/>
            <w:tcBorders/>
            <w:vAlign w:val="center"/>
          </w:tcPr>
          <w:p>
            <w:pPr>
              <w:pStyle w:val="TableContents"/>
              <w:bidi w:val="0"/>
              <w:spacing w:before="0" w:after="283"/>
              <w:jc w:val="left"/>
              <w:rPr/>
            </w:pPr>
            <w:r>
              <w:rPr/>
              <w:t> </w:t>
            </w:r>
            <w:bookmarkStart w:id="267" w:name="xdx_402_eus-gaap--AntidilutiveSecurities"/>
            <w:bookmarkEnd w:id="267"/>
          </w:p>
        </w:tc>
      </w:tr>
      <w:tr>
        <w:trPr/>
        <w:tc>
          <w:tcPr>
            <w:tcW w:w="629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91,549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91,549</w:t>
            </w:r>
          </w:p>
        </w:tc>
        <w:tc>
          <w:tcPr>
            <w:tcW w:w="75" w:type="dxa"/>
            <w:tcBorders/>
            <w:shd w:fill="CCEEFF" w:val="clear"/>
            <w:vAlign w:val="center"/>
          </w:tcPr>
          <w:p>
            <w:pPr>
              <w:pStyle w:val="TableContents"/>
              <w:bidi w:val="0"/>
              <w:spacing w:before="0" w:after="283"/>
              <w:jc w:val="left"/>
              <w:rPr/>
            </w:pPr>
            <w:r>
              <w:rPr/>
              <w:t> </w:t>
            </w:r>
            <w:bookmarkStart w:id="268" w:name="xdx_40C_eus-gaap--AntidilutiveSecurities"/>
            <w:bookmarkEnd w:id="268"/>
          </w:p>
        </w:tc>
      </w:tr>
      <w:tr>
        <w:trPr/>
        <w:tc>
          <w:tcPr>
            <w:tcW w:w="6290" w:type="dxa"/>
            <w:tcBorders/>
            <w:shd w:fill="FFFFFF" w:val="clear"/>
            <w:vAlign w:val="center"/>
          </w:tcPr>
          <w:p>
            <w:pPr>
              <w:pStyle w:val="TableContents"/>
              <w:bidi w:val="0"/>
              <w:spacing w:before="0" w:after="283"/>
              <w:jc w:val="left"/>
              <w:rPr/>
            </w:pPr>
            <w:r>
              <w:rPr/>
              <w:t>Options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47,072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21,385</w:t>
            </w:r>
          </w:p>
        </w:tc>
        <w:tc>
          <w:tcPr>
            <w:tcW w:w="75" w:type="dxa"/>
            <w:tcBorders/>
            <w:shd w:fill="FFFFFF" w:val="clear"/>
            <w:vAlign w:val="center"/>
          </w:tcPr>
          <w:p>
            <w:pPr>
              <w:pStyle w:val="TableContents"/>
              <w:bidi w:val="0"/>
              <w:spacing w:before="0" w:after="283"/>
              <w:jc w:val="left"/>
              <w:rPr/>
            </w:pPr>
            <w:r>
              <w:rPr/>
              <w:t> </w:t>
            </w:r>
            <w:bookmarkStart w:id="269" w:name="xdx_40B_eus-gaap--AntidilutiveSecurities"/>
            <w:bookmarkEnd w:id="269"/>
          </w:p>
        </w:tc>
      </w:tr>
      <w:tr>
        <w:trPr/>
        <w:tc>
          <w:tcPr>
            <w:tcW w:w="6290" w:type="dxa"/>
            <w:tcBorders/>
            <w:shd w:fill="CCEEFF" w:val="clear"/>
            <w:vAlign w:val="center"/>
          </w:tcPr>
          <w:p>
            <w:pPr>
              <w:pStyle w:val="TableContents"/>
              <w:bidi w:val="0"/>
              <w:spacing w:before="0" w:after="283"/>
              <w:jc w:val="left"/>
              <w:rPr/>
            </w:pPr>
            <w:r>
              <w:rPr/>
              <w:t>Convertible note payable</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307,472</w:t>
            </w:r>
          </w:p>
        </w:tc>
        <w:tc>
          <w:tcPr>
            <w:tcW w:w="75" w:type="dxa"/>
            <w:tcBorders/>
            <w:shd w:fill="CCEEFF" w:val="clear"/>
            <w:vAlign w:val="center"/>
          </w:tcPr>
          <w:p>
            <w:pPr>
              <w:pStyle w:val="TableContents"/>
              <w:bidi w:val="0"/>
              <w:spacing w:before="0" w:after="283"/>
              <w:jc w:val="left"/>
              <w:rPr/>
            </w:pPr>
            <w:r>
              <w:rPr/>
              <w:t> </w:t>
            </w:r>
            <w:bookmarkStart w:id="270" w:name="xdx_40A_eus-gaap--AntidilutiveSecurities"/>
            <w:bookmarkEnd w:id="270"/>
          </w:p>
        </w:tc>
      </w:tr>
      <w:tr>
        <w:trPr/>
        <w:tc>
          <w:tcPr>
            <w:tcW w:w="6290" w:type="dxa"/>
            <w:tcBorders/>
            <w:shd w:fill="FFFFFF" w:val="clear"/>
            <w:vAlign w:val="center"/>
          </w:tcPr>
          <w:p>
            <w:pPr>
              <w:pStyle w:val="TableContents"/>
              <w:bidi w:val="0"/>
              <w:spacing w:before="0" w:after="283"/>
              <w:jc w:val="left"/>
              <w:rPr/>
            </w:pPr>
            <w:r>
              <w:rPr/>
              <w:t>Common stock equivalent of Series A Convertible Preferred stock</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75" w:type="dxa"/>
            <w:tcBorders/>
            <w:shd w:fill="FFFFFF" w:val="clear"/>
            <w:vAlign w:val="center"/>
          </w:tcPr>
          <w:p>
            <w:pPr>
              <w:pStyle w:val="TableContents"/>
              <w:bidi w:val="0"/>
              <w:spacing w:before="0" w:after="283"/>
              <w:jc w:val="left"/>
              <w:rPr/>
            </w:pPr>
            <w:r>
              <w:rPr/>
              <w:t> </w:t>
            </w:r>
            <w:bookmarkStart w:id="271" w:name="xdx_403_eus-gaap--AntidilutiveSecurities"/>
            <w:bookmarkEnd w:id="271"/>
          </w:p>
        </w:tc>
      </w:tr>
      <w:tr>
        <w:trPr/>
        <w:tc>
          <w:tcPr>
            <w:tcW w:w="62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pPr>
            <w:r>
              <w:rPr/>
              <w:t>138,746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pPr>
            <w:r>
              <w:rPr/>
              <w:t>420,531</w:t>
            </w:r>
          </w:p>
        </w:tc>
        <w:tc>
          <w:tcPr>
            <w:tcW w:w="75" w:type="dxa"/>
            <w:tcBorders/>
            <w:shd w:fill="CCEEFF" w:val="clear"/>
            <w:vAlign w:val="center"/>
          </w:tcPr>
          <w:p>
            <w:pPr>
              <w:pStyle w:val="TableContents"/>
              <w:bidi w:val="0"/>
              <w:spacing w:before="0" w:after="283"/>
              <w:jc w:val="left"/>
              <w:rPr/>
            </w:pPr>
            <w:r>
              <w:rPr/>
              <w:t> </w:t>
            </w:r>
            <w:bookmarkStart w:id="272" w:name="xdx_40B_eus-gaap--AntidilutiveSecurities"/>
            <w:bookmarkEnd w:id="272"/>
          </w:p>
        </w:tc>
      </w:tr>
      <w:tr>
        <w:trPr/>
        <w:tc>
          <w:tcPr>
            <w:tcW w:w="6290" w:type="dxa"/>
            <w:tcBorders/>
            <w:shd w:fill="FFFFFF" w:val="clear"/>
            <w:vAlign w:val="center"/>
          </w:tcPr>
          <w:p>
            <w:pPr>
              <w:pStyle w:val="TableContents"/>
              <w:bidi w:val="0"/>
              <w:spacing w:before="0" w:after="283"/>
              <w:jc w:val="left"/>
              <w:rPr/>
            </w:pPr>
            <w:r>
              <w:rPr/>
              <w:t>Anti-dilutive Securities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pPr>
            <w:r>
              <w:rPr/>
              <w:t>138,746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pPr>
            <w:r>
              <w:rPr/>
              <w:t>420,531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3" w:name="xdx_8A0_zobpMXcjxEtd"/>
      <w:bookmarkEnd w:id="27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4" w:name="xdx_86B_zZjqMO9Q1Vb6"/>
      <w:bookmarkStart w:id="275" w:name="xdx_844_eus-gaap--ShareBasedCompensation"/>
      <w:bookmarkEnd w:id="274"/>
      <w:bookmarkEnd w:id="275"/>
      <w:r>
        <w:rPr>
          <w:rFonts w:ascii="Times New Roman;Times;Serif" w:hAnsi="Times New Roman;Times;Serif"/>
          <w:b/>
          <w:i w:val="false"/>
          <w:caps w:val="false"/>
          <w:smallCaps w:val="false"/>
          <w:sz w:val="20"/>
        </w:rPr>
        <w:t>Stock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6" w:name="xdx_868_zX9Xyq03Y9x9"/>
      <w:bookmarkStart w:id="277" w:name="xdx_84B_eus-gaap--AdvertisingCostsPolicy"/>
      <w:bookmarkEnd w:id="276"/>
      <w:bookmarkEnd w:id="277"/>
      <w:r>
        <w:rPr>
          <w:rFonts w:ascii="Times New Roman;Times;Serif" w:hAnsi="Times New Roman;Times;Serif"/>
          <w:b/>
          <w:i w:val="false"/>
          <w:caps w:val="false"/>
          <w:smallCaps w:val="false"/>
          <w:sz w:val="20"/>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for the three months ended September 30, 2025, and 2024, aggregated $</w:t>
      </w:r>
      <w:bookmarkStart w:id="278" w:name="xdx_90C_eus-gaap--AdvertisingExpense_pn3"/>
      <w:bookmarkEnd w:id="278"/>
      <w:r>
        <w:rPr>
          <w:rFonts w:ascii="Times New Roman;Times;Serif" w:hAnsi="Times New Roman;Times;Serif"/>
          <w:b w:val="false"/>
          <w:i w:val="false"/>
          <w:caps w:val="false"/>
          <w:smallCaps w:val="false"/>
          <w:sz w:val="20"/>
        </w:rPr>
        <w:t>50 and $</w:t>
      </w:r>
      <w:bookmarkStart w:id="279" w:name="xdx_90C_eus-gaap--AdvertisingExpense_pn3"/>
      <w:bookmarkEnd w:id="279"/>
      <w:r>
        <w:rPr>
          <w:rFonts w:ascii="Times New Roman;Times;Serif" w:hAnsi="Times New Roman;Times;Serif"/>
          <w:b w:val="false"/>
          <w:i w:val="false"/>
          <w:caps w:val="false"/>
          <w:smallCaps w:val="false"/>
          <w:sz w:val="20"/>
        </w:rPr>
        <w:t>8, respectively. Advertising costs for the nine months ended September 30, 2025, and 2024, aggregated $</w:t>
      </w:r>
      <w:bookmarkStart w:id="280" w:name="xdx_904_eus-gaap--AdvertisingExpense_pn3"/>
      <w:bookmarkEnd w:id="280"/>
      <w:r>
        <w:rPr>
          <w:rFonts w:ascii="Times New Roman;Times;Serif" w:hAnsi="Times New Roman;Times;Serif"/>
          <w:b w:val="false"/>
          <w:i w:val="false"/>
          <w:caps w:val="false"/>
          <w:smallCaps w:val="false"/>
          <w:sz w:val="20"/>
        </w:rPr>
        <w:t>98 and $</w:t>
      </w:r>
      <w:bookmarkStart w:id="281" w:name="xdx_90C_eus-gaap--AdvertisingExpense_pn3"/>
      <w:bookmarkEnd w:id="281"/>
      <w:r>
        <w:rPr>
          <w:rFonts w:ascii="Times New Roman;Times;Serif" w:hAnsi="Times New Roman;Times;Serif"/>
          <w:b w:val="false"/>
          <w:i w:val="false"/>
          <w:caps w:val="false"/>
          <w:smallCaps w:val="false"/>
          <w:sz w:val="20"/>
        </w:rPr>
        <w:t>38,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2" w:name="xdx_86F_zpnMYR6t6urk"/>
      <w:bookmarkStart w:id="283" w:name="xdx_849_eus-gaap--ConcentrationRiskCredi"/>
      <w:bookmarkEnd w:id="282"/>
      <w:bookmarkEnd w:id="283"/>
      <w:r>
        <w:rPr>
          <w:rFonts w:ascii="Times New Roman;Times;Serif" w:hAnsi="Times New Roman;Times;Serif"/>
          <w:b/>
          <w:i w:val="false"/>
          <w:caps w:val="false"/>
          <w:smallCaps w:val="false"/>
          <w:sz w:val="20"/>
        </w:rPr>
        <w:t>Concentrations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sales.</w:t>
      </w:r>
      <w:r>
        <w:rPr>
          <w:rFonts w:ascii="Times New Roman;Times;Serif" w:hAnsi="Times New Roman;Times;Serif"/>
          <w:b w:val="false"/>
          <w:i w:val="false"/>
          <w:caps w:val="false"/>
          <w:smallCaps w:val="false"/>
          <w:sz w:val="20"/>
        </w:rPr>
        <w:t xml:space="preserve"> During the three months ended September 30, 2025, two customers accounted for </w:t>
      </w:r>
      <w:bookmarkStart w:id="284" w:name="xdx_90E_eus-gaap--ConcentrationRiskPerce"/>
      <w:bookmarkEnd w:id="284"/>
      <w:r>
        <w:rPr>
          <w:rFonts w:ascii="Times New Roman;Times;Serif" w:hAnsi="Times New Roman;Times;Serif"/>
          <w:b w:val="false"/>
          <w:i w:val="false"/>
          <w:caps w:val="false"/>
          <w:smallCaps w:val="false"/>
          <w:sz w:val="20"/>
        </w:rPr>
        <w:t xml:space="preserve">24% and </w:t>
      </w:r>
      <w:bookmarkStart w:id="285" w:name="xdx_90A_eus-gaap--ConcentrationRiskPerce"/>
      <w:bookmarkEnd w:id="285"/>
      <w:r>
        <w:rPr>
          <w:rFonts w:ascii="Times New Roman;Times;Serif" w:hAnsi="Times New Roman;Times;Serif"/>
          <w:b w:val="false"/>
          <w:i w:val="false"/>
          <w:caps w:val="false"/>
          <w:smallCaps w:val="false"/>
          <w:sz w:val="20"/>
        </w:rPr>
        <w:t xml:space="preserve">16% of net sales, respectively, and during the nine months ended September 30, 2025, three customers accounted for </w:t>
      </w:r>
      <w:bookmarkStart w:id="286" w:name="xdx_90F_eus-gaap--ConcentrationRiskPerce"/>
      <w:bookmarkEnd w:id="286"/>
      <w:r>
        <w:rPr>
          <w:rFonts w:ascii="Times New Roman;Times;Serif" w:hAnsi="Times New Roman;Times;Serif"/>
          <w:b w:val="false"/>
          <w:i w:val="false"/>
          <w:caps w:val="false"/>
          <w:smallCaps w:val="false"/>
          <w:sz w:val="20"/>
        </w:rPr>
        <w:t xml:space="preserve">20%, </w:t>
      </w:r>
      <w:bookmarkStart w:id="287" w:name="xdx_90E_eus-gaap--ConcentrationRiskPerce"/>
      <w:bookmarkEnd w:id="287"/>
      <w:r>
        <w:rPr>
          <w:rFonts w:ascii="Times New Roman;Times;Serif" w:hAnsi="Times New Roman;Times;Serif"/>
          <w:b w:val="false"/>
          <w:i w:val="false"/>
          <w:caps w:val="false"/>
          <w:smallCaps w:val="false"/>
          <w:sz w:val="20"/>
        </w:rPr>
        <w:t xml:space="preserve">15%, and </w:t>
      </w:r>
      <w:bookmarkStart w:id="288" w:name="xdx_907_eus-gaap--ConcentrationRiskPerce"/>
      <w:bookmarkEnd w:id="288"/>
      <w:r>
        <w:rPr>
          <w:rFonts w:ascii="Times New Roman;Times;Serif" w:hAnsi="Times New Roman;Times;Serif"/>
          <w:b w:val="false"/>
          <w:i w:val="false"/>
          <w:caps w:val="false"/>
          <w:smallCaps w:val="false"/>
          <w:sz w:val="20"/>
        </w:rPr>
        <w:t xml:space="preserve">14% of net sales, respectively. During the three months ended September 30, 2024, two customers accounted for </w:t>
      </w:r>
      <w:bookmarkStart w:id="289" w:name="xdx_905_eus-gaap--ConcentrationRiskPerce"/>
      <w:bookmarkEnd w:id="289"/>
      <w:r>
        <w:rPr>
          <w:rFonts w:ascii="Times New Roman;Times;Serif" w:hAnsi="Times New Roman;Times;Serif"/>
          <w:b w:val="false"/>
          <w:i w:val="false"/>
          <w:caps w:val="false"/>
          <w:smallCaps w:val="false"/>
          <w:sz w:val="20"/>
        </w:rPr>
        <w:t xml:space="preserve">18% and </w:t>
      </w:r>
      <w:bookmarkStart w:id="290" w:name="xdx_90B_eus-gaap--ConcentrationRiskPerce"/>
      <w:bookmarkEnd w:id="290"/>
      <w:r>
        <w:rPr>
          <w:rFonts w:ascii="Times New Roman;Times;Serif" w:hAnsi="Times New Roman;Times;Serif"/>
          <w:b w:val="false"/>
          <w:i w:val="false"/>
          <w:caps w:val="false"/>
          <w:smallCaps w:val="false"/>
          <w:sz w:val="20"/>
        </w:rPr>
        <w:t xml:space="preserve">15% of net sales, respectively, and during the nine months ended September 30, 2024, three customers accounted for </w:t>
      </w:r>
      <w:bookmarkStart w:id="291" w:name="xdx_900_eus-gaap--ConcentrationRiskPerce"/>
      <w:bookmarkEnd w:id="291"/>
      <w:r>
        <w:rPr>
          <w:rFonts w:ascii="Times New Roman;Times;Serif" w:hAnsi="Times New Roman;Times;Serif"/>
          <w:b w:val="false"/>
          <w:i w:val="false"/>
          <w:caps w:val="false"/>
          <w:smallCaps w:val="false"/>
          <w:sz w:val="20"/>
        </w:rPr>
        <w:t xml:space="preserve">18%, </w:t>
      </w:r>
      <w:bookmarkStart w:id="292" w:name="xdx_906_eus-gaap--ConcentrationRiskPerce"/>
      <w:bookmarkEnd w:id="292"/>
      <w:r>
        <w:rPr>
          <w:rFonts w:ascii="Times New Roman;Times;Serif" w:hAnsi="Times New Roman;Times;Serif"/>
          <w:b w:val="false"/>
          <w:i w:val="false"/>
          <w:caps w:val="false"/>
          <w:smallCaps w:val="false"/>
          <w:sz w:val="20"/>
        </w:rPr>
        <w:t xml:space="preserve">15%, and </w:t>
      </w:r>
      <w:bookmarkStart w:id="293" w:name="xdx_908_eus-gaap--ConcentrationRiskPerce"/>
      <w:bookmarkEnd w:id="293"/>
      <w:r>
        <w:rPr>
          <w:rFonts w:ascii="Times New Roman;Times;Serif" w:hAnsi="Times New Roman;Times;Serif"/>
          <w:b w:val="false"/>
          <w:i w:val="false"/>
          <w:caps w:val="false"/>
          <w:smallCaps w:val="false"/>
          <w:sz w:val="20"/>
        </w:rPr>
        <w:t>11% of net sales, respectively. No other customers exceeded 10% of sales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September 30, 2025, the Company had accounts receivable with one customer which comprised </w:t>
      </w:r>
      <w:bookmarkStart w:id="294" w:name="xdx_901_eus-gaap--ConcentrationRiskPerce"/>
      <w:bookmarkEnd w:id="294"/>
      <w:r>
        <w:rPr>
          <w:rFonts w:ascii="Times New Roman;Times;Serif" w:hAnsi="Times New Roman;Times;Serif"/>
          <w:b w:val="false"/>
          <w:i w:val="false"/>
          <w:caps w:val="false"/>
          <w:smallCaps w:val="false"/>
          <w:sz w:val="20"/>
        </w:rPr>
        <w:t xml:space="preserve">18% of its net accounts receivable. As of December 31, 2024, the Company had accounts receivable from two customers which comprised </w:t>
      </w:r>
      <w:bookmarkStart w:id="295" w:name="xdx_90D_eus-gaap--ConcentrationRiskPerce"/>
      <w:bookmarkEnd w:id="295"/>
      <w:r>
        <w:rPr>
          <w:rFonts w:ascii="Times New Roman;Times;Serif" w:hAnsi="Times New Roman;Times;Serif"/>
          <w:b w:val="false"/>
          <w:i w:val="false"/>
          <w:caps w:val="false"/>
          <w:smallCaps w:val="false"/>
          <w:sz w:val="20"/>
        </w:rPr>
        <w:t xml:space="preserve">17% and </w:t>
      </w:r>
      <w:bookmarkStart w:id="296" w:name="xdx_909_eus-gaap--ConcentrationRiskPerce"/>
      <w:bookmarkEnd w:id="296"/>
      <w:r>
        <w:rPr>
          <w:rFonts w:ascii="Times New Roman;Times;Serif" w:hAnsi="Times New Roman;Times;Serif"/>
          <w:b w:val="false"/>
          <w:i w:val="false"/>
          <w:caps w:val="false"/>
          <w:smallCaps w:val="false"/>
          <w:sz w:val="20"/>
        </w:rPr>
        <w:t>14% of its net accounts receivable, respectively. No other customers exceeded 10% of net accounts receivable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utilizes co-packers to produce 100% of its products.</w:t>
      </w:r>
      <w:r>
        <w:rPr>
          <w:rFonts w:ascii="Times New Roman;Times;Serif" w:hAnsi="Times New Roman;Times;Serif"/>
          <w:b w:val="false"/>
          <w:i w:val="false"/>
          <w:caps w:val="false"/>
          <w:smallCaps w:val="false"/>
          <w:sz w:val="20"/>
        </w:rPr>
        <w:t xml:space="preserve"> During the nine months ended September 30, 2025 and the year ended December 31, 2024, the Company utilized seven separate co-packers for most of its production and bottling of beverage products in the United States. The Company has established relationships with these co-packers, including a former related party (see Note 10). Although there are other co-packers available to the Company, a change in co-packers may cause a delay in the production process, which could adversely affect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nine months ended September 30, 2025, the Company’s largest vendor accounted for approximately </w:t>
      </w:r>
      <w:bookmarkStart w:id="297" w:name="xdx_906_eus-gaap--ConcentrationRiskPerce"/>
      <w:bookmarkEnd w:id="297"/>
      <w:r>
        <w:rPr>
          <w:rFonts w:ascii="Times New Roman;Times;Serif" w:hAnsi="Times New Roman;Times;Serif"/>
          <w:b w:val="false"/>
          <w:i w:val="false"/>
          <w:caps w:val="false"/>
          <w:smallCaps w:val="false"/>
          <w:sz w:val="20"/>
        </w:rPr>
        <w:t xml:space="preserve">15% of all purchases. During the nine months ended September 30, 2024, the Company’s two largest vendors accounted for approximately </w:t>
      </w:r>
      <w:bookmarkStart w:id="298" w:name="xdx_906_eus-gaap--ConcentrationRiskPerce"/>
      <w:bookmarkEnd w:id="298"/>
      <w:r>
        <w:rPr>
          <w:rFonts w:ascii="Times New Roman;Times;Serif" w:hAnsi="Times New Roman;Times;Serif"/>
          <w:b w:val="false"/>
          <w:i w:val="false"/>
          <w:caps w:val="false"/>
          <w:smallCaps w:val="false"/>
          <w:sz w:val="20"/>
        </w:rPr>
        <w:t xml:space="preserve">11% and </w:t>
      </w:r>
      <w:bookmarkStart w:id="299" w:name="xdx_905_eus-gaap--ConcentrationRiskPerce"/>
      <w:bookmarkEnd w:id="299"/>
      <w:r>
        <w:rPr>
          <w:rFonts w:ascii="Times New Roman;Times;Serif" w:hAnsi="Times New Roman;Times;Serif"/>
          <w:b w:val="false"/>
          <w:i w:val="false"/>
          <w:caps w:val="false"/>
          <w:smallCaps w:val="false"/>
          <w:sz w:val="20"/>
        </w:rPr>
        <w:t>10% of all purchases. No other vendors exceeded 10% of all purchases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September 30, 2025, one vendor accounted for</w:t>
      </w:r>
      <w:bookmarkStart w:id="300" w:name="xdx_902_eus-gaap--ConcentrationRiskPerce"/>
      <w:bookmarkEnd w:id="300"/>
      <w:r>
        <w:rPr>
          <w:rFonts w:ascii="Times New Roman;Times;Serif" w:hAnsi="Times New Roman;Times;Serif"/>
          <w:b w:val="false"/>
          <w:i w:val="false"/>
          <w:caps w:val="false"/>
          <w:smallCaps w:val="false"/>
          <w:sz w:val="20"/>
        </w:rPr>
        <w:t xml:space="preserve"> 10% of total accounts payable. As of December 31, 2024, no vendor accounted for more than 10% of total accounts payable. No other vendors exceeded 10% of accounts payable in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1" w:name="xdx_86A_z5ezOSq3ulii"/>
      <w:bookmarkStart w:id="302" w:name="xdx_840_eus-gaap--FairValueOfFinancialIn"/>
      <w:bookmarkEnd w:id="301"/>
      <w:bookmarkEnd w:id="302"/>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in which there is little or no market data for the asset or liability which requires the Company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carrying amounts of certain financial instruments, including cash and cash equivalents, accounts receivable, short-term bank loans, accounts payable, notes payable and other payables, approximate their fair values because of the short-term nature of such instruments. The carrying values of capital lease obligations and long-term financing obligations approximate their fair values because interest rates on these obligations are based on prevailing market interest rates.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3" w:name="xdx_86E_zLZ6VRvw0Dlb"/>
      <w:bookmarkStart w:id="304" w:name="xdx_84B_eus-gaap--ForeignCurrencyTransac"/>
      <w:bookmarkEnd w:id="303"/>
      <w:bookmarkEnd w:id="304"/>
      <w:r>
        <w:rPr>
          <w:rFonts w:ascii="Times New Roman;Times;Serif" w:hAnsi="Times New Roman;Times;Serif"/>
          <w:b/>
          <w:i w:val="false"/>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5" w:name="xdx_90E_eus-gaap--DescriptionOfDifferenc"/>
      <w:bookmarkStart w:id="306" w:name="xdx_907_eus-gaap--DescriptionOfDifferenc"/>
      <w:bookmarkEnd w:id="305"/>
      <w:bookmarkEnd w:id="306"/>
      <w:r>
        <w:rPr>
          <w:rFonts w:ascii="Times New Roman;Times;Serif" w:hAnsi="Times New Roman;Times;Serif"/>
          <w:b w:val="false"/>
          <w:i w:val="false"/>
          <w:caps w:val="false"/>
          <w:smallCaps w:val="false"/>
          <w:sz w:val="20"/>
        </w:rPr>
        <w:t xml:space="preserve">Cash denominated in Japanese Yen (JPY) with an aggregate US Dollar equivalent of $549 and $0 at September 30, 2025 and December 31, 2024, respectively, was held by the Company in accounts at a financial institution in Japan. We used the </w:t>
      </w:r>
      <w:r>
        <w:rPr>
          <w:rFonts w:ascii="Times New Roman;Times;Serif" w:hAnsi="Times New Roman;Times;Serif"/>
          <w:b w:val="false"/>
          <w:i w:val="false"/>
          <w:caps w:val="false"/>
          <w:smallCaps w:val="false"/>
          <w:sz w:val="20"/>
          <w:shd w:fill="FFFFFF" w:val="clear"/>
        </w:rPr>
        <w:t>exchange</w:t>
      </w:r>
      <w:r>
        <w:rPr>
          <w:rFonts w:ascii="Times New Roman;Times;Serif" w:hAnsi="Times New Roman;Times;Serif"/>
          <w:b w:val="false"/>
          <w:i w:val="false"/>
          <w:caps w:val="false"/>
          <w:smallCaps w:val="false"/>
          <w:sz w:val="20"/>
        </w:rPr>
        <w:t xml:space="preserve"> rate in the following table to translate amounts denominated in non-USD currencies as of the periods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7" w:name="xdx_8B8_zro4RtQMAxHk"/>
      <w:bookmarkStart w:id="308" w:name="xdx_898_eus-gaap--ScheduleOfForeignExcha"/>
      <w:bookmarkEnd w:id="307"/>
      <w:bookmarkEnd w:id="308"/>
      <w:r>
        <w:rPr>
          <w:rFonts w:ascii="Times New Roman;Times;Serif" w:hAnsi="Times New Roman;Times;Serif"/>
          <w:b w:val="false"/>
          <w:i w:val="false"/>
          <w:caps w:val="false"/>
          <w:smallCaps w:val="false"/>
          <w:sz w:val="20"/>
        </w:rPr>
        <w:t>Schedule of Foreign Currency Exchange Rate</w:t>
      </w:r>
    </w:p>
    <w:tbl>
      <w:tblPr>
        <w:tblW w:w="4258" w:type="dxa"/>
        <w:jc w:val="left"/>
        <w:tblInd w:w="0" w:type="dxa"/>
        <w:tblLayout w:type="fixed"/>
        <w:tblCellMar>
          <w:top w:w="0" w:type="dxa"/>
          <w:left w:w="0" w:type="dxa"/>
          <w:bottom w:w="0" w:type="dxa"/>
          <w:right w:w="0" w:type="dxa"/>
        </w:tblCellMar>
      </w:tblPr>
      <w:tblGrid>
        <w:gridCol w:w="995"/>
        <w:gridCol w:w="60"/>
        <w:gridCol w:w="123"/>
        <w:gridCol w:w="1411"/>
        <w:gridCol w:w="60"/>
        <w:gridCol w:w="60"/>
        <w:gridCol w:w="251"/>
        <w:gridCol w:w="1223"/>
        <w:gridCol w:w="7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 w:name="xdx_49D_20250630_z28NCr0MefU4"/>
            <w:bookmarkEnd w:id="309"/>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0" w:name="xdx_49E_20241231_zJBM5kTZnQTi"/>
            <w:bookmarkEnd w:id="310"/>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JPY:USD</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311" w:name="xdx_987_eus-gaap--ForeignCurrencyExchang"/>
            <w:bookmarkEnd w:id="311"/>
          </w:p>
        </w:tc>
        <w:tc>
          <w:tcPr>
            <w:tcW w:w="1411" w:type="dxa"/>
            <w:tcBorders/>
            <w:shd w:fill="CCEEFF" w:val="clear"/>
            <w:vAlign w:val="center"/>
          </w:tcPr>
          <w:p>
            <w:pPr>
              <w:pStyle w:val="TableContents"/>
              <w:bidi w:val="0"/>
              <w:spacing w:before="0" w:after="283"/>
              <w:jc w:val="right"/>
              <w:rPr/>
            </w:pPr>
            <w:r>
              <w:rPr/>
              <w:t>147.90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2" w:name="xdx_8A8_z8p4TEz5yM7"/>
      <w:bookmarkEnd w:id="31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3" w:name="xdx_864_zdHvTuawh9fg"/>
      <w:bookmarkStart w:id="314" w:name="xdx_84D_eus-gaap--NewAccountingPronounce"/>
      <w:bookmarkEnd w:id="313"/>
      <w:bookmarkEnd w:id="314"/>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bookmarkStart w:id="315" w:name="xdx_85C_z6SXzPVPDdt"/>
      <w:bookmarkEnd w:id="31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00_eus-gaap--InventoryDisclosureTex"/>
      <w:bookmarkEnd w:id="316"/>
      <w:r>
        <w:rPr>
          <w:rFonts w:ascii="Times New Roman;Times;Serif" w:hAnsi="Times New Roman;Times;Serif"/>
          <w:b/>
          <w:i w:val="false"/>
          <w:caps w:val="false"/>
          <w:smallCaps w:val="false"/>
          <w:sz w:val="20"/>
        </w:rPr>
        <w:t xml:space="preserve">2. </w:t>
      </w:r>
      <w:bookmarkStart w:id="317" w:name="xdx_825_ztjHxhQwotx1"/>
      <w:bookmarkEnd w:id="317"/>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8" w:name="xdx_892_eus-gaap--ScheduleOfInventoryCur"/>
      <w:bookmarkEnd w:id="318"/>
      <w:r>
        <w:rPr>
          <w:rFonts w:ascii="Times New Roman;Times;Serif" w:hAnsi="Times New Roman;Times;Serif"/>
          <w:b w:val="false"/>
          <w:i w:val="false"/>
          <w:caps w:val="false"/>
          <w:smallCaps w:val="false"/>
          <w:sz w:val="20"/>
        </w:rPr>
        <w:t>Inventory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BB_ziOcN4caXSDk"/>
      <w:bookmarkEnd w:id="319"/>
      <w:r>
        <w:rPr>
          <w:rFonts w:ascii="Times New Roman;Times;Serif" w:hAnsi="Times New Roman;Times;Serif"/>
          <w:b w:val="false"/>
          <w:i w:val="false"/>
          <w:caps w:val="false"/>
          <w:smallCaps w:val="false"/>
          <w:sz w:val="20"/>
        </w:rPr>
        <w:t>Schedule of Inventory</w:t>
      </w:r>
    </w:p>
    <w:tbl>
      <w:tblPr>
        <w:tblW w:w="5474" w:type="dxa"/>
        <w:jc w:val="left"/>
        <w:tblInd w:w="0" w:type="dxa"/>
        <w:tblLayout w:type="fixed"/>
        <w:tblCellMar>
          <w:top w:w="0" w:type="dxa"/>
          <w:left w:w="0" w:type="dxa"/>
          <w:bottom w:w="0" w:type="dxa"/>
          <w:right w:w="0" w:type="dxa"/>
        </w:tblCellMar>
      </w:tblPr>
      <w:tblGrid>
        <w:gridCol w:w="2825"/>
        <w:gridCol w:w="60"/>
        <w:gridCol w:w="208"/>
        <w:gridCol w:w="1011"/>
        <w:gridCol w:w="60"/>
        <w:gridCol w:w="60"/>
        <w:gridCol w:w="235"/>
        <w:gridCol w:w="940"/>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0" w:name="xdx_492_20250930_znq4fpUDHy5l"/>
            <w:bookmarkEnd w:id="320"/>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1" w:name="xdx_499_20241231_zi9r31yY3AP1"/>
            <w:bookmarkEnd w:id="321"/>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pPr>
            <w:r>
              <w:rPr/>
              <w:t> </w:t>
            </w:r>
            <w:bookmarkStart w:id="322" w:name="xdx_405_eus-gaap--InventoryRawMaterials_"/>
            <w:bookmarkEnd w:id="322"/>
          </w:p>
        </w:tc>
      </w:tr>
      <w:tr>
        <w:trPr/>
        <w:tc>
          <w:tcPr>
            <w:tcW w:w="2825" w:type="dxa"/>
            <w:tcBorders/>
            <w:shd w:fill="CCEEFF" w:val="clear"/>
            <w:vAlign w:val="center"/>
          </w:tcPr>
          <w:p>
            <w:pPr>
              <w:pStyle w:val="TableContents"/>
              <w:bidi w:val="0"/>
              <w:spacing w:before="0" w:after="283"/>
              <w:jc w:val="left"/>
              <w:rPr/>
            </w:pPr>
            <w:r>
              <w:rPr/>
              <w:t>Raw materials and packaging</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1" w:type="dxa"/>
            <w:tcBorders/>
            <w:shd w:fill="CCEEFF" w:val="clear"/>
            <w:vAlign w:val="center"/>
          </w:tcPr>
          <w:p>
            <w:pPr>
              <w:pStyle w:val="TableContents"/>
              <w:bidi w:val="0"/>
              <w:spacing w:before="0" w:after="283"/>
              <w:jc w:val="right"/>
              <w:rPr/>
            </w:pPr>
            <w:r>
              <w:rPr/>
              <w:t>4,658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5,144</w:t>
            </w:r>
          </w:p>
        </w:tc>
        <w:tc>
          <w:tcPr>
            <w:tcW w:w="75" w:type="dxa"/>
            <w:tcBorders/>
            <w:shd w:fill="CCEEFF" w:val="clear"/>
            <w:vAlign w:val="center"/>
          </w:tcPr>
          <w:p>
            <w:pPr>
              <w:pStyle w:val="TableContents"/>
              <w:bidi w:val="0"/>
              <w:spacing w:before="0" w:after="283"/>
              <w:jc w:val="left"/>
              <w:rPr/>
            </w:pPr>
            <w:r>
              <w:rPr/>
              <w:t> </w:t>
            </w:r>
            <w:bookmarkStart w:id="323" w:name="xdx_401_eus-gaap--InventoryFinishedGoods"/>
            <w:bookmarkEnd w:id="323"/>
          </w:p>
        </w:tc>
      </w:tr>
      <w:tr>
        <w:trPr/>
        <w:tc>
          <w:tcPr>
            <w:tcW w:w="2825" w:type="dxa"/>
            <w:tcBorders/>
            <w:shd w:fill="FFFFFF" w:val="clear"/>
            <w:vAlign w:val="center"/>
          </w:tcPr>
          <w:p>
            <w:pPr>
              <w:pStyle w:val="TableContents"/>
              <w:bidi w:val="0"/>
              <w:spacing w:before="0" w:after="283"/>
              <w:jc w:val="left"/>
              <w:rPr/>
            </w:pPr>
            <w:r>
              <w:rPr/>
              <w:t>Finished products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5,908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2,970</w:t>
            </w:r>
          </w:p>
        </w:tc>
        <w:tc>
          <w:tcPr>
            <w:tcW w:w="75" w:type="dxa"/>
            <w:tcBorders/>
            <w:shd w:fill="FFFFFF" w:val="clear"/>
            <w:vAlign w:val="center"/>
          </w:tcPr>
          <w:p>
            <w:pPr>
              <w:pStyle w:val="TableContents"/>
              <w:bidi w:val="0"/>
              <w:spacing w:before="0" w:after="283"/>
              <w:jc w:val="left"/>
              <w:rPr/>
            </w:pPr>
            <w:r>
              <w:rPr/>
              <w:t> </w:t>
            </w:r>
            <w:bookmarkStart w:id="324" w:name="xdx_403_eus-gaap--InventoryNet_iTI_pn3n3"/>
            <w:bookmarkEnd w:id="324"/>
          </w:p>
        </w:tc>
      </w:tr>
      <w:tr>
        <w:trPr/>
        <w:tc>
          <w:tcPr>
            <w:tcW w:w="28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jc w:val="right"/>
              <w:rPr/>
            </w:pPr>
            <w:r>
              <w:rPr/>
              <w:t>10,566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8,114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5" w:name="xdx_8AA_zx4dm992KBz7"/>
      <w:bookmarkEnd w:id="32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inventory was net of a reserve of $</w:t>
      </w:r>
      <w:bookmarkStart w:id="326" w:name="xdx_905_eus-gaap--InventoryFinishedGoods"/>
      <w:bookmarkEnd w:id="326"/>
      <w:r>
        <w:rPr>
          <w:rFonts w:ascii="Times New Roman;Times;Serif" w:hAnsi="Times New Roman;Times;Serif"/>
          <w:b w:val="false"/>
          <w:i w:val="false"/>
          <w:caps w:val="false"/>
          <w:smallCaps w:val="false"/>
          <w:sz w:val="20"/>
        </w:rPr>
        <w:t>1,185 and $</w:t>
      </w:r>
      <w:bookmarkStart w:id="327" w:name="xdx_902_eus-gaap--InventoryFinishedGoods"/>
      <w:bookmarkEnd w:id="327"/>
      <w:r>
        <w:rPr>
          <w:rFonts w:ascii="Times New Roman;Times;Serif" w:hAnsi="Times New Roman;Times;Serif"/>
          <w:b w:val="false"/>
          <w:i w:val="false"/>
          <w:caps w:val="false"/>
          <w:smallCaps w:val="false"/>
          <w:sz w:val="20"/>
        </w:rPr>
        <w:t>1,296, respectively. During the nine months ended September 30, 2025, the Company incurred $</w:t>
      </w:r>
      <w:bookmarkStart w:id="328" w:name="xdx_90B_ecustom--InventoryWriteDownCostO"/>
      <w:bookmarkEnd w:id="328"/>
      <w:r>
        <w:rPr>
          <w:rFonts w:ascii="Times New Roman;Times;Serif" w:hAnsi="Times New Roman;Times;Serif"/>
          <w:b w:val="false"/>
          <w:i w:val="false"/>
          <w:caps w:val="false"/>
          <w:smallCaps w:val="false"/>
          <w:sz w:val="20"/>
        </w:rPr>
        <w:t>1,775 of inventory charges related to changes in product portfolio optimization made by new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9" w:name="xdx_80E_eus-gaap--PropertyPlantAndEquipm"/>
      <w:bookmarkEnd w:id="329"/>
      <w:r>
        <w:rPr>
          <w:rFonts w:ascii="Times New Roman;Times;Serif" w:hAnsi="Times New Roman;Times;Serif"/>
          <w:b/>
          <w:i w:val="false"/>
          <w:caps w:val="false"/>
          <w:smallCaps w:val="false"/>
          <w:sz w:val="20"/>
        </w:rPr>
        <w:t xml:space="preserve">3. </w:t>
      </w:r>
      <w:bookmarkStart w:id="330" w:name="xdx_820_zdcnDQhGTeBj"/>
      <w:bookmarkEnd w:id="330"/>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1" w:name="xdx_89D_eus-gaap--PropertyPlantAndEquipm"/>
      <w:bookmarkEnd w:id="331"/>
      <w:r>
        <w:rPr>
          <w:rFonts w:ascii="Times New Roman;Times;Serif" w:hAnsi="Times New Roman;Times;Serif"/>
          <w:b w:val="false"/>
          <w:i w:val="false"/>
          <w:caps w:val="false"/>
          <w:smallCaps w:val="false"/>
          <w:sz w:val="20"/>
        </w:rPr>
        <w:t>Property and equipment are comprised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2" w:name="xdx_8B4_zCM7scrmp8dh"/>
      <w:bookmarkEnd w:id="332"/>
      <w:r>
        <w:rPr>
          <w:rFonts w:ascii="Times New Roman;Times;Serif" w:hAnsi="Times New Roman;Times;Serif"/>
          <w:b w:val="false"/>
          <w:i w:val="false"/>
          <w:caps w:val="false"/>
          <w:smallCaps w:val="false"/>
          <w:sz w:val="20"/>
        </w:rPr>
        <w:t>Schedule of Property and Equipment</w:t>
      </w:r>
    </w:p>
    <w:tbl>
      <w:tblPr>
        <w:tblW w:w="6865" w:type="dxa"/>
        <w:jc w:val="left"/>
        <w:tblInd w:w="0" w:type="dxa"/>
        <w:tblLayout w:type="fixed"/>
        <w:tblCellMar>
          <w:top w:w="0" w:type="dxa"/>
          <w:left w:w="0" w:type="dxa"/>
          <w:bottom w:w="0" w:type="dxa"/>
          <w:right w:w="0" w:type="dxa"/>
        </w:tblCellMar>
      </w:tblPr>
      <w:tblGrid>
        <w:gridCol w:w="4145"/>
        <w:gridCol w:w="60"/>
        <w:gridCol w:w="244"/>
        <w:gridCol w:w="976"/>
        <w:gridCol w:w="95"/>
        <w:gridCol w:w="60"/>
        <w:gridCol w:w="235"/>
        <w:gridCol w:w="940"/>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3" w:name="xdx_496_20250930_zj72oJgNJ7r4"/>
            <w:bookmarkEnd w:id="333"/>
          </w:p>
        </w:tc>
        <w:tc>
          <w:tcPr>
            <w:tcW w:w="12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4" w:name="xdx_499_20241231_zN8OFa6BXGU8"/>
            <w:bookmarkEnd w:id="334"/>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pPr>
            <w:r>
              <w:rPr/>
              <w:t> </w:t>
            </w:r>
            <w:bookmarkStart w:id="335" w:name="xdx_404_eus-gaap--PropertyPlantAndEquipm"/>
            <w:bookmarkEnd w:id="335"/>
          </w:p>
        </w:tc>
      </w:tr>
      <w:tr>
        <w:trPr/>
        <w:tc>
          <w:tcPr>
            <w:tcW w:w="4145" w:type="dxa"/>
            <w:tcBorders/>
            <w:shd w:fill="CCEEFF" w:val="clear"/>
            <w:vAlign w:val="center"/>
          </w:tcPr>
          <w:p>
            <w:pPr>
              <w:pStyle w:val="TableContents"/>
              <w:bidi w:val="0"/>
              <w:spacing w:before="0" w:after="283"/>
              <w:jc w:val="left"/>
              <w:rPr/>
            </w:pPr>
            <w:r>
              <w:rPr/>
              <w:t>Right-of-use assets under operating leases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832</w:t>
            </w:r>
          </w:p>
        </w:tc>
        <w:tc>
          <w:tcPr>
            <w:tcW w:w="110" w:type="dxa"/>
            <w:tcBorders/>
            <w:shd w:fill="CCEEFF" w:val="clear"/>
            <w:vAlign w:val="center"/>
          </w:tcPr>
          <w:p>
            <w:pPr>
              <w:pStyle w:val="TableContents"/>
              <w:bidi w:val="0"/>
              <w:spacing w:before="0" w:after="283"/>
              <w:jc w:val="left"/>
              <w:rPr/>
            </w:pPr>
            <w:r>
              <w:rPr/>
              <w:t> </w:t>
            </w:r>
            <w:bookmarkStart w:id="336" w:name="xdx_405_eus-gaap--PropertyPlantAndEquipm"/>
            <w:bookmarkEnd w:id="336"/>
          </w:p>
        </w:tc>
      </w:tr>
      <w:tr>
        <w:trPr/>
        <w:tc>
          <w:tcPr>
            <w:tcW w:w="414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 </w:t>
            </w:r>
            <w:bookmarkStart w:id="337" w:name="xdx_40D_eus-gaap--PropertyPlantAndEquipm"/>
            <w:bookmarkEnd w:id="337"/>
          </w:p>
        </w:tc>
      </w:tr>
      <w:tr>
        <w:trPr/>
        <w:tc>
          <w:tcPr>
            <w:tcW w:w="4145" w:type="dxa"/>
            <w:tcBorders/>
            <w:shd w:fill="CCEEFF" w:val="clear"/>
            <w:vAlign w:val="center"/>
          </w:tcPr>
          <w:p>
            <w:pPr>
              <w:pStyle w:val="TableContents"/>
              <w:bidi w:val="0"/>
              <w:spacing w:before="0" w:after="283"/>
              <w:jc w:val="left"/>
              <w:rPr/>
            </w:pPr>
            <w:r>
              <w:rPr/>
              <w:t>Computer hardware and software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553</w:t>
            </w:r>
          </w:p>
        </w:tc>
        <w:tc>
          <w:tcPr>
            <w:tcW w:w="110" w:type="dxa"/>
            <w:tcBorders/>
            <w:shd w:fill="CCEEFF" w:val="clear"/>
            <w:vAlign w:val="center"/>
          </w:tcPr>
          <w:p>
            <w:pPr>
              <w:pStyle w:val="TableContents"/>
              <w:bidi w:val="0"/>
              <w:spacing w:before="0" w:after="283"/>
              <w:jc w:val="left"/>
              <w:rPr/>
            </w:pPr>
            <w:r>
              <w:rPr/>
              <w:t> </w:t>
            </w:r>
            <w:bookmarkStart w:id="338" w:name="xdx_40A_eus-gaap--PropertyPlantAndEquipm"/>
            <w:bookmarkEnd w:id="338"/>
          </w:p>
        </w:tc>
      </w:tr>
      <w:tr>
        <w:trPr/>
        <w:tc>
          <w:tcPr>
            <w:tcW w:w="4145" w:type="dxa"/>
            <w:tcBorders/>
            <w:shd w:fill="FFFFFF" w:val="clear"/>
            <w:vAlign w:val="center"/>
          </w:tcPr>
          <w:p>
            <w:pPr>
              <w:pStyle w:val="TableContents"/>
              <w:bidi w:val="0"/>
              <w:spacing w:before="0" w:after="283"/>
              <w:jc w:val="left"/>
              <w:rPr/>
            </w:pPr>
            <w:r>
              <w:rPr/>
              <w:t>Vehicles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39" w:name="xdx_407_eus-gaap--PropertyPlantAndEquipm"/>
            <w:bookmarkEnd w:id="339"/>
          </w:p>
        </w:tc>
      </w:tr>
      <w:tr>
        <w:trPr/>
        <w:tc>
          <w:tcPr>
            <w:tcW w:w="4145"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pPr>
            <w:r>
              <w:rPr/>
              <w:t>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352</w:t>
            </w:r>
          </w:p>
        </w:tc>
        <w:tc>
          <w:tcPr>
            <w:tcW w:w="110" w:type="dxa"/>
            <w:tcBorders/>
            <w:shd w:fill="CCEEFF" w:val="clear"/>
            <w:vAlign w:val="center"/>
          </w:tcPr>
          <w:p>
            <w:pPr>
              <w:pStyle w:val="TableContents"/>
              <w:bidi w:val="0"/>
              <w:spacing w:before="0" w:after="283"/>
              <w:jc w:val="left"/>
              <w:rPr/>
            </w:pPr>
            <w:r>
              <w:rPr/>
              <w:t> </w:t>
            </w:r>
            <w:bookmarkStart w:id="340" w:name="xdx_404_eus-gaap--PropertyPlantAndEquipm"/>
            <w:bookmarkEnd w:id="340"/>
          </w:p>
        </w:tc>
      </w:tr>
      <w:tr>
        <w:trPr/>
        <w:tc>
          <w:tcPr>
            <w:tcW w:w="4145" w:type="dxa"/>
            <w:tcBorders/>
            <w:shd w:fill="FFFFFF" w:val="clear"/>
            <w:vAlign w:val="center"/>
          </w:tcPr>
          <w:p>
            <w:pPr>
              <w:pStyle w:val="TableContents"/>
              <w:bidi w:val="0"/>
              <w:spacing w:before="0" w:after="283"/>
              <w:jc w:val="left"/>
              <w:rPr/>
            </w:pPr>
            <w:r>
              <w:rPr/>
              <w:t>Total cost</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1,935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1,821</w:t>
            </w:r>
          </w:p>
        </w:tc>
        <w:tc>
          <w:tcPr>
            <w:tcW w:w="110" w:type="dxa"/>
            <w:tcBorders/>
            <w:shd w:fill="FFFFFF" w:val="clear"/>
            <w:vAlign w:val="center"/>
          </w:tcPr>
          <w:p>
            <w:pPr>
              <w:pStyle w:val="TableContents"/>
              <w:bidi w:val="0"/>
              <w:spacing w:before="0" w:after="283"/>
              <w:jc w:val="left"/>
              <w:rPr/>
            </w:pPr>
            <w:r>
              <w:rPr/>
              <w:t> </w:t>
            </w:r>
            <w:bookmarkStart w:id="341" w:name="xdx_40A_eus-gaap--AccumulatedDepreciatio"/>
            <w:bookmarkEnd w:id="341"/>
          </w:p>
        </w:tc>
      </w:tr>
      <w:tr>
        <w:trPr/>
        <w:tc>
          <w:tcPr>
            <w:tcW w:w="4145" w:type="dxa"/>
            <w:tcBorders/>
            <w:shd w:fill="CCEEFF" w:val="clear"/>
            <w:vAlign w:val="center"/>
          </w:tcPr>
          <w:p>
            <w:pPr>
              <w:pStyle w:val="TableContents"/>
              <w:bidi w:val="0"/>
              <w:spacing w:before="0" w:after="283"/>
              <w:jc w:val="left"/>
              <w:rPr/>
            </w:pPr>
            <w:r>
              <w:rPr/>
              <w:t>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pPr>
            <w:r>
              <w:rPr/>
              <w:t>(735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(636</w:t>
            </w:r>
          </w:p>
        </w:tc>
        <w:tc>
          <w:tcPr>
            <w:tcW w:w="110" w:type="dxa"/>
            <w:tcBorders/>
            <w:shd w:fill="CCEEFF" w:val="clear"/>
            <w:vAlign w:val="center"/>
          </w:tcPr>
          <w:p>
            <w:pPr>
              <w:pStyle w:val="TableContents"/>
              <w:bidi w:val="0"/>
              <w:spacing w:before="0" w:after="283"/>
              <w:jc w:val="left"/>
              <w:rPr/>
            </w:pPr>
            <w:r>
              <w:rPr/>
              <w:t>)</w:t>
            </w:r>
            <w:bookmarkStart w:id="342" w:name="xdx_408_eus-gaap--PropertyPlantAndEquipm"/>
            <w:bookmarkEnd w:id="342"/>
          </w:p>
        </w:tc>
      </w:tr>
      <w:tr>
        <w:trPr/>
        <w:tc>
          <w:tcPr>
            <w:tcW w:w="4145" w:type="dxa"/>
            <w:tcBorders/>
            <w:shd w:fill="FFFFFF" w:val="clear"/>
            <w:vAlign w:val="center"/>
          </w:tcPr>
          <w:p>
            <w:pPr>
              <w:pStyle w:val="TableContents"/>
              <w:bidi w:val="0"/>
              <w:spacing w:before="0" w:after="283"/>
              <w:jc w:val="left"/>
              <w:rPr/>
            </w:pPr>
            <w:r>
              <w:rPr/>
              <w:t>Net book value</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pPr>
            <w:r>
              <w:rPr/>
              <w:t>1,200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1,185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3" w:name="xdx_8A2_zxAH6cNfzsx"/>
      <w:bookmarkEnd w:id="3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nine months ended September 30, 2025 and 2024 was $</w:t>
      </w:r>
      <w:bookmarkStart w:id="344" w:name="xdx_902_eus-gaap--DepreciationAndAmortiz"/>
      <w:bookmarkEnd w:id="344"/>
      <w:r>
        <w:rPr>
          <w:rFonts w:ascii="Times New Roman;Times;Serif" w:hAnsi="Times New Roman;Times;Serif"/>
          <w:b w:val="false"/>
          <w:i w:val="false"/>
          <w:caps w:val="false"/>
          <w:smallCaps w:val="false"/>
          <w:sz w:val="20"/>
        </w:rPr>
        <w:t>121 and $</w:t>
      </w:r>
      <w:bookmarkStart w:id="345" w:name="xdx_905_eus-gaap--DepreciationAndAmortiz"/>
      <w:bookmarkEnd w:id="345"/>
      <w:r>
        <w:rPr>
          <w:rFonts w:ascii="Times New Roman;Times;Serif" w:hAnsi="Times New Roman;Times;Serif"/>
          <w:b w:val="false"/>
          <w:i w:val="false"/>
          <w:caps w:val="false"/>
          <w:smallCaps w:val="false"/>
          <w:sz w:val="20"/>
        </w:rPr>
        <w:t>88, respectively, and amortization of right-of-use assets for the nine months ended September 30, 2025 and 2024 was $</w:t>
      </w:r>
      <w:bookmarkStart w:id="346" w:name="xdx_904_eus-gaap--OperatingLeaseRightOfU"/>
      <w:bookmarkEnd w:id="346"/>
      <w:r>
        <w:rPr>
          <w:rFonts w:ascii="Times New Roman;Times;Serif" w:hAnsi="Times New Roman;Times;Serif"/>
          <w:b w:val="false"/>
          <w:i w:val="false"/>
          <w:caps w:val="false"/>
          <w:smallCaps w:val="false"/>
          <w:sz w:val="20"/>
        </w:rPr>
        <w:t>35 and $</w:t>
      </w:r>
      <w:bookmarkStart w:id="347" w:name="xdx_90A_eus-gaap--OperatingLeaseRightOfU"/>
      <w:bookmarkEnd w:id="347"/>
      <w:r>
        <w:rPr>
          <w:rFonts w:ascii="Times New Roman;Times;Serif" w:hAnsi="Times New Roman;Times;Serif"/>
          <w:b w:val="false"/>
          <w:i w:val="false"/>
          <w:caps w:val="false"/>
          <w:smallCaps w:val="false"/>
          <w:sz w:val="20"/>
        </w:rPr>
        <w:t>121, respectively.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8" w:name="xdx_80E_eus-gaap--IntangibleAssetsDisclo"/>
      <w:bookmarkEnd w:id="348"/>
      <w:r>
        <w:rPr>
          <w:rFonts w:ascii="Times New Roman;Times;Serif" w:hAnsi="Times New Roman;Times;Serif"/>
          <w:b/>
          <w:i w:val="false"/>
          <w:caps w:val="false"/>
          <w:smallCaps w:val="false"/>
          <w:sz w:val="20"/>
        </w:rPr>
        <w:t xml:space="preserve">4. </w:t>
      </w:r>
      <w:bookmarkStart w:id="349" w:name="xdx_82F_z00Rnl7XOLw3"/>
      <w:bookmarkEnd w:id="349"/>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96_eus-gaap--ScheduleOfIndefiniteLi"/>
      <w:bookmarkEnd w:id="350"/>
      <w:r>
        <w:rPr>
          <w:rFonts w:ascii="Times New Roman;Times;Serif" w:hAnsi="Times New Roman;Times;Serif"/>
          <w:b w:val="false"/>
          <w:i w:val="false"/>
          <w:caps w:val="false"/>
          <w:smallCaps w:val="false"/>
          <w:sz w:val="20"/>
        </w:rPr>
        <w:t>Intangible assets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1" w:name="xdx_8B4_zBC2bxCaUzDd"/>
      <w:bookmarkEnd w:id="351"/>
      <w:r>
        <w:rPr>
          <w:rFonts w:ascii="Times New Roman;Times;Serif" w:hAnsi="Times New Roman;Times;Serif"/>
          <w:b w:val="false"/>
          <w:i w:val="false"/>
          <w:caps w:val="false"/>
          <w:smallCaps w:val="false"/>
          <w:sz w:val="20"/>
        </w:rPr>
        <w:t>Schedule of Intangible Assets</w:t>
      </w:r>
    </w:p>
    <w:tbl>
      <w:tblPr>
        <w:tblW w:w="3928" w:type="dxa"/>
        <w:jc w:val="left"/>
        <w:tblInd w:w="0" w:type="dxa"/>
        <w:tblLayout w:type="fixed"/>
        <w:tblCellMar>
          <w:top w:w="0" w:type="dxa"/>
          <w:left w:w="0" w:type="dxa"/>
          <w:bottom w:w="0" w:type="dxa"/>
          <w:right w:w="0" w:type="dxa"/>
        </w:tblCellMar>
      </w:tblPr>
      <w:tblGrid>
        <w:gridCol w:w="1280"/>
        <w:gridCol w:w="60"/>
        <w:gridCol w:w="327"/>
        <w:gridCol w:w="892"/>
        <w:gridCol w:w="60"/>
        <w:gridCol w:w="60"/>
        <w:gridCol w:w="315"/>
        <w:gridCol w:w="859"/>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2" w:name="xdx_495_20250930_z2DqefK3Gnsk"/>
            <w:bookmarkEnd w:id="352"/>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3" w:name="xdx_491_20241231_zQmYAxs7fAe"/>
            <w:bookmarkEnd w:id="353"/>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pPr>
            <w:r>
              <w:rPr/>
              <w:t> </w:t>
            </w:r>
            <w:bookmarkStart w:id="354" w:name="xdx_403_eus-gaap--IndefiniteLivedTradeNa"/>
            <w:bookmarkEnd w:id="354"/>
          </w:p>
        </w:tc>
      </w:tr>
      <w:tr>
        <w:trPr/>
        <w:tc>
          <w:tcPr>
            <w:tcW w:w="1280" w:type="dxa"/>
            <w:tcBorders/>
            <w:shd w:fill="CCEEFF" w:val="clear"/>
            <w:vAlign w:val="center"/>
          </w:tcPr>
          <w:p>
            <w:pPr>
              <w:pStyle w:val="TableContents"/>
              <w:bidi w:val="0"/>
              <w:spacing w:before="0" w:after="283"/>
              <w:jc w:val="left"/>
              <w:rPr/>
            </w:pPr>
            <w:r>
              <w:rPr/>
              <w:t>Brand names</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576</w:t>
            </w:r>
          </w:p>
        </w:tc>
        <w:tc>
          <w:tcPr>
            <w:tcW w:w="75" w:type="dxa"/>
            <w:tcBorders/>
            <w:shd w:fill="CCEEFF" w:val="clear"/>
            <w:vAlign w:val="center"/>
          </w:tcPr>
          <w:p>
            <w:pPr>
              <w:pStyle w:val="TableContents"/>
              <w:bidi w:val="0"/>
              <w:spacing w:before="0" w:after="283"/>
              <w:jc w:val="left"/>
              <w:rPr/>
            </w:pPr>
            <w:r>
              <w:rPr/>
              <w:t> </w:t>
            </w:r>
            <w:bookmarkStart w:id="355" w:name="xdx_407_eus-gaap--IndefiniteLivedTradema"/>
            <w:bookmarkEnd w:id="355"/>
          </w:p>
        </w:tc>
      </w:tr>
      <w:tr>
        <w:trPr/>
        <w:tc>
          <w:tcPr>
            <w:tcW w:w="1280"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bookmarkStart w:id="356" w:name="xdx_402_eus-gaap--IndefiniteLivedIntangi"/>
            <w:bookmarkEnd w:id="356"/>
          </w:p>
        </w:tc>
      </w:tr>
      <w:tr>
        <w:trPr/>
        <w:tc>
          <w:tcPr>
            <w:tcW w:w="12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pPr>
            <w:r>
              <w:rPr/>
              <w:t>644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7" w:name="xdx_8A1_zitJJOZy3vuk"/>
      <w:bookmarkEnd w:id="35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8" w:name="xdx_806_eus-gaap--DebtDisclosureTextBloc"/>
      <w:bookmarkEnd w:id="358"/>
      <w:r>
        <w:rPr>
          <w:rFonts w:ascii="Times New Roman;Times;Serif" w:hAnsi="Times New Roman;Times;Serif"/>
          <w:b/>
          <w:i w:val="false"/>
          <w:caps w:val="false"/>
          <w:smallCaps w:val="false"/>
          <w:sz w:val="20"/>
        </w:rPr>
        <w:t xml:space="preserve">5. </w:t>
      </w:r>
      <w:bookmarkStart w:id="359" w:name="xdx_821_zHCpwbR8dlJg"/>
      <w:bookmarkEnd w:id="359"/>
      <w:r>
        <w:rPr>
          <w:rFonts w:ascii="Times New Roman;Times;Serif" w:hAnsi="Times New Roman;Times;Serif"/>
          <w:b/>
          <w:i w:val="false"/>
          <w:caps w:val="false"/>
          <w:smallCaps w:val="false"/>
          <w:sz w:val="20"/>
        </w:rPr>
        <w:t>Senior Secured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0" w:name="xdx_89A_eus-gaap--ScheduleOfDebtTableTex"/>
      <w:bookmarkEnd w:id="360"/>
      <w:r>
        <w:rPr>
          <w:rFonts w:ascii="Times New Roman;Times;Serif" w:hAnsi="Times New Roman;Times;Serif"/>
          <w:b w:val="false"/>
          <w:i w:val="false"/>
          <w:caps w:val="false"/>
          <w:smallCaps w:val="false"/>
          <w:sz w:val="20"/>
        </w:rPr>
        <w:t>The following sets forth amounts in respect of our senior secured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1" w:name="xdx_8B4_zI8fIeuIH4d5"/>
      <w:bookmarkEnd w:id="361"/>
      <w:r>
        <w:rPr>
          <w:rFonts w:ascii="Times New Roman;Times;Serif" w:hAnsi="Times New Roman;Times;Serif"/>
          <w:b w:val="false"/>
          <w:i w:val="false"/>
          <w:caps w:val="false"/>
          <w:smallCaps w:val="false"/>
          <w:sz w:val="20"/>
        </w:rPr>
        <w:t>Schedule of Secured Notes Payable</w:t>
      </w:r>
    </w:p>
    <w:tbl>
      <w:tblPr>
        <w:tblW w:w="5410" w:type="dxa"/>
        <w:jc w:val="left"/>
        <w:tblInd w:w="0" w:type="dxa"/>
        <w:tblLayout w:type="fixed"/>
        <w:tblCellMar>
          <w:top w:w="0" w:type="dxa"/>
          <w:left w:w="0" w:type="dxa"/>
          <w:bottom w:w="0" w:type="dxa"/>
          <w:right w:w="0" w:type="dxa"/>
        </w:tblCellMar>
      </w:tblPr>
      <w:tblGrid>
        <w:gridCol w:w="2690"/>
        <w:gridCol w:w="60"/>
        <w:gridCol w:w="244"/>
        <w:gridCol w:w="976"/>
        <w:gridCol w:w="95"/>
        <w:gridCol w:w="60"/>
        <w:gridCol w:w="235"/>
        <w:gridCol w:w="940"/>
        <w:gridCol w:w="11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2" w:name="xdx_49F_20250930__us-gaap--DebtInstrumen"/>
            <w:bookmarkEnd w:id="362"/>
          </w:p>
        </w:tc>
        <w:tc>
          <w:tcPr>
            <w:tcW w:w="12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3" w:name="xdx_49F_20241231__us-gaap--DebtInstrumen"/>
            <w:bookmarkEnd w:id="363"/>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pPr>
            <w:r>
              <w:rPr/>
              <w:t> </w:t>
            </w:r>
            <w:bookmarkStart w:id="364" w:name="xdx_401_ecustom--SeniorSecuredLoanPayabl"/>
            <w:bookmarkEnd w:id="364"/>
          </w:p>
        </w:tc>
      </w:tr>
      <w:tr>
        <w:trPr/>
        <w:tc>
          <w:tcPr>
            <w:tcW w:w="2690" w:type="dxa"/>
            <w:tcBorders/>
            <w:shd w:fill="CCEEFF" w:val="clear"/>
            <w:vAlign w:val="center"/>
          </w:tcPr>
          <w:p>
            <w:pPr>
              <w:pStyle w:val="TableContents"/>
              <w:bidi w:val="0"/>
              <w:spacing w:before="0" w:after="283"/>
              <w:jc w:val="left"/>
              <w:rPr/>
            </w:pPr>
            <w:r>
              <w:rPr/>
              <w:t>Senior secured loan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9,250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9,900</w:t>
            </w:r>
          </w:p>
        </w:tc>
        <w:tc>
          <w:tcPr>
            <w:tcW w:w="110" w:type="dxa"/>
            <w:tcBorders/>
            <w:shd w:fill="CCEEFF" w:val="clear"/>
            <w:vAlign w:val="center"/>
          </w:tcPr>
          <w:p>
            <w:pPr>
              <w:pStyle w:val="TableContents"/>
              <w:bidi w:val="0"/>
              <w:spacing w:before="0" w:after="283"/>
              <w:jc w:val="left"/>
              <w:rPr/>
            </w:pPr>
            <w:r>
              <w:rPr/>
              <w:t> </w:t>
            </w:r>
            <w:bookmarkStart w:id="365" w:name="xdx_405_eus-gaap--DeferredFinanceCostsNe"/>
            <w:bookmarkEnd w:id="365"/>
          </w:p>
        </w:tc>
      </w:tr>
      <w:tr>
        <w:trPr/>
        <w:tc>
          <w:tcPr>
            <w:tcW w:w="2690" w:type="dxa"/>
            <w:tcBorders/>
            <w:shd w:fill="FFFFFF" w:val="clear"/>
            <w:vAlign w:val="center"/>
          </w:tcPr>
          <w:p>
            <w:pPr>
              <w:pStyle w:val="TableContents"/>
              <w:bidi w:val="0"/>
              <w:spacing w:before="0" w:after="283"/>
              <w:jc w:val="left"/>
              <w:rPr/>
            </w:pPr>
            <w:r>
              <w:rPr/>
              <w:t>Deferred financing costs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(329</w:t>
            </w:r>
          </w:p>
        </w:tc>
        <w:tc>
          <w:tcPr>
            <w:tcW w:w="110" w:type="dxa"/>
            <w:tcBorders/>
            <w:shd w:fill="FFFFFF" w:val="clear"/>
            <w:vAlign w:val="center"/>
          </w:tcPr>
          <w:p>
            <w:pPr>
              <w:pStyle w:val="TableContents"/>
              <w:bidi w:val="0"/>
              <w:spacing w:before="0" w:after="283"/>
              <w:jc w:val="left"/>
              <w:rPr/>
            </w:pPr>
            <w:r>
              <w:rPr/>
              <w:t>)</w:t>
            </w:r>
            <w:bookmarkStart w:id="366" w:name="xdx_407_eus-gaap--SecuredDebt_iTI_pn3n3_"/>
            <w:bookmarkEnd w:id="366"/>
          </w:p>
        </w:tc>
      </w:tr>
      <w:tr>
        <w:trPr/>
        <w:tc>
          <w:tcPr>
            <w:tcW w:w="26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pPr>
            <w:r>
              <w:rPr/>
              <w:t>9,160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9,571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7" w:name="xdx_8AB_zjfHJzRVJALj"/>
      <w:bookmarkEnd w:id="36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the Company entered into a Senior Secured Loan and Security Agreement (the “Loan Agreement”) with certain funds affiliated with Whitebox Advisors LLC (“Whitebox”), as lenders, and Cantor Fitzgerald Securities, as administrative agent and collateral agent. The Loan Agreement provided a revolving credit commitment in an aggregate amount of $</w:t>
      </w:r>
      <w:bookmarkStart w:id="368" w:name="xdx_90B_eus-gaap--RepaymentsOfLinesOfCre"/>
      <w:bookmarkEnd w:id="368"/>
      <w:r>
        <w:rPr>
          <w:rFonts w:ascii="Times New Roman;Times;Serif" w:hAnsi="Times New Roman;Times;Serif"/>
          <w:b w:val="false"/>
          <w:i w:val="false"/>
          <w:caps w:val="false"/>
          <w:smallCaps w:val="false"/>
          <w:sz w:val="20"/>
        </w:rPr>
        <w:t>10,000 (the “Senior Secured Loan”). On September 26, 2025, the Company entered into an Amended Loan Agreement. The Amended Loan Agreement (i) reduced the aggregate principal amount of the revolving credit commitment to $</w:t>
      </w:r>
      <w:bookmarkStart w:id="369" w:name="xdx_901_eus-gaap--LineOfCreditFacilityMa"/>
      <w:bookmarkEnd w:id="369"/>
      <w:r>
        <w:rPr>
          <w:rFonts w:ascii="Times New Roman;Times;Serif" w:hAnsi="Times New Roman;Times;Serif"/>
          <w:b w:val="false"/>
          <w:i w:val="false"/>
          <w:caps w:val="false"/>
          <w:smallCaps w:val="false"/>
          <w:sz w:val="20"/>
        </w:rPr>
        <w:t>9,250 from $</w:t>
      </w:r>
      <w:bookmarkStart w:id="370" w:name="xdx_908_eus-gaap--LineOfCreditFacilityMa"/>
      <w:bookmarkEnd w:id="370"/>
      <w:r>
        <w:rPr>
          <w:rFonts w:ascii="Times New Roman;Times;Serif" w:hAnsi="Times New Roman;Times;Serif"/>
          <w:b w:val="false"/>
          <w:i w:val="false"/>
          <w:caps w:val="false"/>
          <w:smallCaps w:val="false"/>
          <w:sz w:val="20"/>
        </w:rPr>
        <w:t xml:space="preserve">10,000, (ii) changed interest payments on the revolving loan to be due monthly in arrears from quarterly in arrears, (iii) and extended the maturity date to </w:t>
      </w:r>
      <w:bookmarkStart w:id="371" w:name="xdx_905_eus-gaap--DebtInstrumentMaturity"/>
      <w:bookmarkEnd w:id="371"/>
      <w:r>
        <w:rPr>
          <w:rFonts w:ascii="Times New Roman;Times;Serif" w:hAnsi="Times New Roman;Times;Serif"/>
          <w:b w:val="false"/>
          <w:i w:val="false"/>
          <w:caps w:val="false"/>
          <w:smallCaps w:val="false"/>
          <w:sz w:val="20"/>
        </w:rPr>
        <w:t xml:space="preserve">September 30, 2026. The Senior Secured Loan accrues interest at a per annum rate equal to </w:t>
      </w:r>
      <w:bookmarkStart w:id="372" w:name="xdx_909_eus-gaap--DebtInstrumentInterest"/>
      <w:bookmarkEnd w:id="372"/>
      <w:r>
        <w:rPr>
          <w:rFonts w:ascii="Times New Roman;Times;Serif" w:hAnsi="Times New Roman;Times;Serif"/>
          <w:b w:val="false"/>
          <w:i w:val="false"/>
          <w:caps w:val="false"/>
          <w:smallCaps w:val="false"/>
          <w:sz w:val="20"/>
        </w:rPr>
        <w:t>8.00% on the principal amount outstanding, payable monthly in arrears. The Senior Secured Loan also accrues an unused fee at a rate per annum equal to 3.00% on the excess, if any, of the revolving credit commitment over the average principal amount outstanding from time to time during the preceding fiscal quarter, payable monthly in arrears. The Senior Secured Loan is secured by substantially all of the Company’s assets, including all intellectual property.</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Amended Loan Agreement, the Company repaid $</w:t>
      </w:r>
      <w:bookmarkStart w:id="373" w:name="xdx_907_eus-gaap--RepaymentsOfDebt_pn3n3"/>
      <w:bookmarkEnd w:id="373"/>
      <w:r>
        <w:rPr>
          <w:rFonts w:ascii="Times New Roman;Times;Serif" w:hAnsi="Times New Roman;Times;Serif"/>
          <w:b w:val="false"/>
          <w:i w:val="false"/>
          <w:caps w:val="false"/>
          <w:smallCaps w:val="false"/>
          <w:sz w:val="20"/>
        </w:rPr>
        <w:t>650 of the aggregate outstanding principal balance, plus accrued interest.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the principal amount outstanding on the Senior Secured Loan was $</w:t>
      </w:r>
      <w:bookmarkStart w:id="374" w:name="xdx_90F_eus-gaap--SecuredDebt_iI_pn3n3_c"/>
      <w:bookmarkEnd w:id="374"/>
      <w:r>
        <w:rPr>
          <w:rFonts w:ascii="Times New Roman;Times;Serif" w:hAnsi="Times New Roman;Times;Serif"/>
          <w:b w:val="false"/>
          <w:i w:val="false"/>
          <w:caps w:val="false"/>
          <w:smallCaps w:val="false"/>
          <w:sz w:val="20"/>
        </w:rPr>
        <w:t>9,250 and $</w:t>
      </w:r>
      <w:bookmarkStart w:id="375" w:name="xdx_905_eus-gaap--SecuredDebt_iI_pn3n3_c"/>
      <w:bookmarkEnd w:id="375"/>
      <w:r>
        <w:rPr>
          <w:rFonts w:ascii="Times New Roman;Times;Serif" w:hAnsi="Times New Roman;Times;Serif"/>
          <w:b w:val="false"/>
          <w:i w:val="false"/>
          <w:caps w:val="false"/>
          <w:smallCaps w:val="false"/>
          <w:sz w:val="20"/>
        </w:rPr>
        <w:t>9,900, respectively, and the remaining availability was $</w:t>
      </w:r>
      <w:bookmarkStart w:id="376" w:name="xdx_906_eus-gaap--LineOfCreditFacilityCu"/>
      <w:bookmarkEnd w:id="376"/>
      <w:r>
        <w:rPr>
          <w:rFonts w:ascii="Times New Roman;Times;Serif" w:hAnsi="Times New Roman;Times;Serif"/>
          <w:b w:val="false"/>
          <w:i w:val="false"/>
          <w:caps w:val="false"/>
          <w:smallCaps w:val="false"/>
          <w:sz w:val="20"/>
        </w:rPr>
        <w:t>0 and $</w:t>
      </w:r>
      <w:bookmarkStart w:id="377" w:name="xdx_90D_eus-gaap--LineOfCreditFacilityCu"/>
      <w:bookmarkEnd w:id="377"/>
      <w:r>
        <w:rPr>
          <w:rFonts w:ascii="Times New Roman;Times;Serif" w:hAnsi="Times New Roman;Times;Serif"/>
          <w:b w:val="false"/>
          <w:i w:val="false"/>
          <w:caps w:val="false"/>
          <w:smallCaps w:val="false"/>
          <w:sz w:val="20"/>
        </w:rPr>
        <w:t>100,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Loan Agreement includes customary restrictions that limit our ability to engage in certain types of transactions. Additionally, the agreement contains a financial covenant that requires us to meet a certain minimum cash balance and liquidity threshold as of the end of each month. We were in compliance with the Amended Loan Agreement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378" w:name="xdx_90F_eus-gaap--DirectOperatingCosts_p"/>
      <w:bookmarkEnd w:id="378"/>
      <w:r>
        <w:rPr>
          <w:rFonts w:ascii="Times New Roman;Times;Serif" w:hAnsi="Times New Roman;Times;Serif"/>
          <w:b w:val="false"/>
          <w:i w:val="false"/>
          <w:caps w:val="false"/>
          <w:smallCaps w:val="false"/>
          <w:sz w:val="20"/>
        </w:rPr>
        <w:t>410 of direct costs associated with the Senior Secured Loan transaction, consisting primarily of broker, bank and legal fees. These costs have been deferred and are being amortized over the life of the agreement. The unamortized debt discount balance was $</w:t>
      </w:r>
      <w:bookmarkStart w:id="379" w:name="xdx_90F_eus-gaap--DebtInstrumentUnamorti"/>
      <w:bookmarkEnd w:id="379"/>
      <w:r>
        <w:rPr>
          <w:rFonts w:ascii="Times New Roman;Times;Serif" w:hAnsi="Times New Roman;Times;Serif"/>
          <w:b w:val="false"/>
          <w:i w:val="false"/>
          <w:caps w:val="false"/>
          <w:smallCaps w:val="false"/>
          <w:sz w:val="20"/>
        </w:rPr>
        <w:t>329 at December 31, 2024. For the nine months ended September 30, 2025, the company incurred $</w:t>
      </w:r>
      <w:bookmarkStart w:id="380" w:name="xdx_902_eus-gaap--AdministrativeFeesExpe"/>
      <w:bookmarkEnd w:id="380"/>
      <w:r>
        <w:rPr>
          <w:rFonts w:ascii="Times New Roman;Times;Serif" w:hAnsi="Times New Roman;Times;Serif"/>
          <w:b w:val="false"/>
          <w:i w:val="false"/>
          <w:caps w:val="false"/>
          <w:smallCaps w:val="false"/>
          <w:sz w:val="20"/>
        </w:rPr>
        <w:t>34 of additional fees, and the amortization of debt discount was $</w:t>
      </w:r>
      <w:bookmarkStart w:id="381" w:name="xdx_908_eus-gaap--DebtInstrumentUnamorti"/>
      <w:bookmarkEnd w:id="381"/>
      <w:r>
        <w:rPr>
          <w:rFonts w:ascii="Times New Roman;Times;Serif" w:hAnsi="Times New Roman;Times;Serif"/>
          <w:b w:val="false"/>
          <w:i w:val="false"/>
          <w:caps w:val="false"/>
          <w:smallCaps w:val="false"/>
          <w:sz w:val="20"/>
        </w:rPr>
        <w:t>273. The unamortized debt discount balance was $</w:t>
      </w:r>
      <w:bookmarkStart w:id="382" w:name="xdx_90F_eus-gaap--DebtInstrumentUnamorti"/>
      <w:bookmarkEnd w:id="382"/>
      <w:r>
        <w:rPr>
          <w:rFonts w:ascii="Times New Roman;Times;Serif" w:hAnsi="Times New Roman;Times;Serif"/>
          <w:b w:val="false"/>
          <w:i w:val="false"/>
          <w:caps w:val="false"/>
          <w:smallCaps w:val="false"/>
          <w:sz w:val="20"/>
        </w:rPr>
        <w:t>90 at September 30, 2025. Additionally, in connection with the Amended Loan Agreement, the Company incurred $</w:t>
      </w:r>
      <w:bookmarkStart w:id="383" w:name="xdx_901_eus-gaap--DirectOperatingCosts_p"/>
      <w:bookmarkEnd w:id="383"/>
      <w:r>
        <w:rPr>
          <w:rFonts w:ascii="Times New Roman;Times;Serif" w:hAnsi="Times New Roman;Times;Serif"/>
          <w:b w:val="false"/>
          <w:i w:val="false"/>
          <w:caps w:val="false"/>
          <w:smallCaps w:val="false"/>
          <w:sz w:val="20"/>
        </w:rPr>
        <w:t>40 of direct costs, which were expensed.</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4" w:name="xdx_800_eus-gaap--LesseeOperatingLeasesT"/>
      <w:bookmarkEnd w:id="384"/>
      <w:r>
        <w:rPr>
          <w:rFonts w:ascii="Times New Roman;Times;Serif" w:hAnsi="Times New Roman;Times;Serif"/>
          <w:b/>
          <w:i w:val="false"/>
          <w:caps w:val="false"/>
          <w:smallCaps w:val="false"/>
          <w:sz w:val="20"/>
        </w:rPr>
        <w:t xml:space="preserve">6. </w:t>
      </w:r>
      <w:bookmarkStart w:id="385" w:name="xdx_821_zv92zvFOkeEd"/>
      <w:bookmarkEnd w:id="385"/>
      <w:r>
        <w:rPr>
          <w:rFonts w:ascii="Times New Roman;Times;Serif" w:hAnsi="Times New Roman;Times;Serif"/>
          <w:b/>
          <w:i w:val="false"/>
          <w:caps w:val="false"/>
          <w:smallCaps w:val="false"/>
          <w:sz w:val="20"/>
        </w:rPr>
        <w:t>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and 2024, lease costs totaled $</w:t>
      </w:r>
      <w:bookmarkStart w:id="386" w:name="xdx_906_eus-gaap--LeaseCost_pn3n3_c20250"/>
      <w:bookmarkEnd w:id="386"/>
      <w:r>
        <w:rPr>
          <w:rFonts w:ascii="Times New Roman;Times;Serif" w:hAnsi="Times New Roman;Times;Serif"/>
          <w:b w:val="false"/>
          <w:i w:val="false"/>
          <w:caps w:val="false"/>
          <w:smallCaps w:val="false"/>
          <w:sz w:val="20"/>
        </w:rPr>
        <w:t>35 and $</w:t>
      </w:r>
      <w:bookmarkStart w:id="387" w:name="xdx_909_eus-gaap--LeaseCost_pn3n3_c20240"/>
      <w:bookmarkEnd w:id="387"/>
      <w:r>
        <w:rPr>
          <w:rFonts w:ascii="Times New Roman;Times;Serif" w:hAnsi="Times New Roman;Times;Serif"/>
          <w:b w:val="false"/>
          <w:i w:val="false"/>
          <w:caps w:val="false"/>
          <w:smallCaps w:val="false"/>
          <w:sz w:val="20"/>
        </w:rPr>
        <w:t>121,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operating lease liabilities totaled $</w:t>
      </w:r>
      <w:bookmarkStart w:id="388" w:name="xdx_906_eus-gaap--OperatingLeaseLiabilit"/>
      <w:bookmarkEnd w:id="388"/>
      <w:r>
        <w:rPr>
          <w:rFonts w:ascii="Times New Roman;Times;Serif" w:hAnsi="Times New Roman;Times;Serif"/>
          <w:b w:val="false"/>
          <w:i w:val="false"/>
          <w:caps w:val="false"/>
          <w:smallCaps w:val="false"/>
          <w:sz w:val="20"/>
        </w:rPr>
        <w:t>837. During the nine months ended September 30, 2025, the Company made payments of $</w:t>
      </w:r>
      <w:bookmarkStart w:id="389" w:name="xdx_902_eus-gaap--OperatingLeasePayments"/>
      <w:bookmarkEnd w:id="389"/>
      <w:r>
        <w:rPr>
          <w:rFonts w:ascii="Times New Roman;Times;Serif" w:hAnsi="Times New Roman;Times;Serif"/>
          <w:b w:val="false"/>
          <w:i w:val="false"/>
          <w:caps w:val="false"/>
          <w:smallCaps w:val="false"/>
          <w:sz w:val="20"/>
        </w:rPr>
        <w:t>16 towards its operating lease liability. As of September 30, 2025, operating lease liabilities totaled $</w:t>
      </w:r>
      <w:bookmarkStart w:id="390" w:name="xdx_907_eus-gaap--OperatingLeaseLiabilit"/>
      <w:bookmarkEnd w:id="390"/>
      <w:r>
        <w:rPr>
          <w:rFonts w:ascii="Times New Roman;Times;Serif" w:hAnsi="Times New Roman;Times;Serif"/>
          <w:b w:val="false"/>
          <w:i w:val="false"/>
          <w:caps w:val="false"/>
          <w:smallCaps w:val="false"/>
          <w:sz w:val="20"/>
        </w:rPr>
        <w:t>853, of which $</w:t>
      </w:r>
      <w:bookmarkStart w:id="391" w:name="xdx_908_eus-gaap--OperatingLeaseLiabilit"/>
      <w:bookmarkEnd w:id="391"/>
      <w:r>
        <w:rPr>
          <w:rFonts w:ascii="Times New Roman;Times;Serif" w:hAnsi="Times New Roman;Times;Serif"/>
          <w:b w:val="false"/>
          <w:i w:val="false"/>
          <w:caps w:val="false"/>
          <w:smallCaps w:val="false"/>
          <w:sz w:val="20"/>
        </w:rPr>
        <w:t>48 was current. The Company’s right of use assets are presented as part of property and equipment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weighted average remaining lease term for the operating lease was </w:t>
      </w:r>
      <w:bookmarkStart w:id="392" w:name="xdx_902_eus-gaap--OperatingLeaseWeighted"/>
      <w:bookmarkEnd w:id="392"/>
      <w:r>
        <w:rPr>
          <w:rFonts w:ascii="Times New Roman;Times;Serif" w:hAnsi="Times New Roman;Times;Serif"/>
          <w:b w:val="false"/>
          <w:i w:val="false"/>
          <w:caps w:val="false"/>
          <w:smallCaps w:val="false"/>
          <w:sz w:val="20"/>
        </w:rPr>
        <w:t xml:space="preserve">10.17 years. As of September 30, 2025, the weighted average discount rate on the operating lease was </w:t>
      </w:r>
      <w:bookmarkStart w:id="393" w:name="xdx_906_eus-gaap--OperatingLeaseWeighted"/>
      <w:bookmarkEnd w:id="393"/>
      <w:r>
        <w:rPr>
          <w:rFonts w:ascii="Times New Roman;Times;Serif" w:hAnsi="Times New Roman;Times;Serif"/>
          <w:b w:val="false"/>
          <w:i w:val="false"/>
          <w:caps w:val="false"/>
          <w:smallCaps w:val="false"/>
          <w:sz w:val="20"/>
        </w:rPr>
        <w:t>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4" w:name="xdx_806_eus-gaap--StockholdersEquityNote"/>
      <w:bookmarkEnd w:id="394"/>
      <w:r>
        <w:rPr>
          <w:rFonts w:ascii="Times New Roman;Times;Serif" w:hAnsi="Times New Roman;Times;Serif"/>
          <w:b/>
          <w:i w:val="false"/>
          <w:caps w:val="false"/>
          <w:smallCaps w:val="false"/>
          <w:sz w:val="20"/>
        </w:rPr>
        <w:t xml:space="preserve">7. </w:t>
      </w:r>
      <w:bookmarkStart w:id="395" w:name="xdx_82F_zMkYJpSTn5oe"/>
      <w:bookmarkEnd w:id="395"/>
      <w:r>
        <w:rPr>
          <w:rFonts w:ascii="Times New Roman;Times;Serif" w:hAnsi="Times New Roman;Times;Serif"/>
          <w:b/>
          <w:i w:val="false"/>
          <w:caps w:val="false"/>
          <w:smallCaps w:val="false"/>
          <w:sz w:val="20"/>
        </w:rPr>
        <w:t>Issuance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2025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received $</w:t>
      </w:r>
      <w:bookmarkStart w:id="396" w:name="xdx_906_eus-gaap--StockIssuedDuringPerio"/>
      <w:bookmarkEnd w:id="396"/>
      <w:r>
        <w:rPr>
          <w:rFonts w:ascii="Times New Roman;Times;Serif" w:hAnsi="Times New Roman;Times;Serif"/>
          <w:b w:val="false"/>
          <w:i w:val="false"/>
          <w:caps w:val="false"/>
          <w:smallCaps w:val="false"/>
          <w:sz w:val="20"/>
        </w:rPr>
        <w:t xml:space="preserve">115 in gross proceeds from investors pursuant to Simple Agreements for Future Equity (“SAFE”) investments, which remained outstanding as of December 31, 2024. On April 3, 2025, the SAFE investments were converted to </w:t>
      </w:r>
      <w:bookmarkStart w:id="397" w:name="xdx_90A_eus-gaap--StockIssuedDuringPerio"/>
      <w:bookmarkEnd w:id="397"/>
      <w:r>
        <w:rPr>
          <w:rFonts w:ascii="Times New Roman;Times;Serif" w:hAnsi="Times New Roman;Times;Serif"/>
          <w:b w:val="false"/>
          <w:i w:val="false"/>
          <w:caps w:val="false"/>
          <w:smallCaps w:val="false"/>
          <w:sz w:val="20"/>
        </w:rPr>
        <w:t>12,778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4, 2025, the Company completed a private placement with certain accredited investors, pursuant to which the Company issued and sold to the investors an aggregate of </w:t>
      </w:r>
      <w:bookmarkStart w:id="398" w:name="xdx_908_eus-gaap--StockIssuedDuringPerio"/>
      <w:bookmarkEnd w:id="398"/>
      <w:r>
        <w:rPr>
          <w:rFonts w:ascii="Times New Roman;Times;Serif" w:hAnsi="Times New Roman;Times;Serif"/>
          <w:b w:val="false"/>
          <w:i w:val="false"/>
          <w:caps w:val="false"/>
          <w:smallCaps w:val="false"/>
          <w:sz w:val="20"/>
        </w:rPr>
        <w:t>537,632 shares of common stock for total consideration of $</w:t>
      </w:r>
      <w:bookmarkStart w:id="399" w:name="xdx_90C_eus-gaap--StockIssuedDuringPerio"/>
      <w:bookmarkEnd w:id="399"/>
      <w:r>
        <w:rPr>
          <w:rFonts w:ascii="Times New Roman;Times;Serif" w:hAnsi="Times New Roman;Times;Serif"/>
          <w:b w:val="false"/>
          <w:i w:val="false"/>
          <w:caps w:val="false"/>
          <w:smallCaps w:val="false"/>
          <w:sz w:val="20"/>
        </w:rPr>
        <w:t>3,000. D&amp;D Source of Life Holding, Ltd. (“D&amp;D”), the Company’s majority stockholder (a related party), served as lead investor, participating in this transaction in the amount of $</w:t>
      </w:r>
      <w:bookmarkStart w:id="400" w:name="xdx_902_eus-gaap--StockholdersEquityOthe"/>
      <w:bookmarkEnd w:id="400"/>
      <w:r>
        <w:rPr>
          <w:rFonts w:ascii="Times New Roman;Times;Serif" w:hAnsi="Times New Roman;Times;Serif"/>
          <w:b w:val="false"/>
          <w:i w:val="false"/>
          <w:caps w:val="false"/>
          <w:smallCaps w:val="false"/>
          <w:sz w:val="20"/>
        </w:rPr>
        <w:t>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15, 2025, the Company completed a private placement with certain accredited investors, pursuant to which the Company issued and sold to the investors an aggregate of </w:t>
      </w:r>
      <w:bookmarkStart w:id="401" w:name="xdx_900_eus-gaap--StockIssuedDuringPerio"/>
      <w:bookmarkEnd w:id="401"/>
      <w:r>
        <w:rPr>
          <w:rFonts w:ascii="Times New Roman;Times;Serif" w:hAnsi="Times New Roman;Times;Serif"/>
          <w:b w:val="false"/>
          <w:i w:val="false"/>
          <w:caps w:val="false"/>
          <w:smallCaps w:val="false"/>
          <w:sz w:val="20"/>
        </w:rPr>
        <w:t>833,330 shares of common stock for total consideration of $</w:t>
      </w:r>
      <w:bookmarkStart w:id="402" w:name="xdx_90B_eus-gaap--StockIssuedDuringPerio"/>
      <w:bookmarkEnd w:id="402"/>
      <w:r>
        <w:rPr>
          <w:rFonts w:ascii="Times New Roman;Times;Serif" w:hAnsi="Times New Roman;Times;Serif"/>
          <w:b w:val="false"/>
          <w:i w:val="false"/>
          <w:caps w:val="false"/>
          <w:smallCaps w:val="false"/>
          <w:sz w:val="20"/>
        </w:rPr>
        <w:t>5,000.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2024 Transactions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received $</w:t>
      </w:r>
      <w:bookmarkStart w:id="403" w:name="xdx_90B_eus-gaap--ProceedsFromRelatedPar"/>
      <w:bookmarkEnd w:id="403"/>
      <w:r>
        <w:rPr>
          <w:rFonts w:ascii="Times New Roman;Times;Serif" w:hAnsi="Times New Roman;Times;Serif"/>
          <w:b w:val="false"/>
          <w:i w:val="false"/>
          <w:caps w:val="false"/>
          <w:smallCaps w:val="false"/>
          <w:sz w:val="20"/>
        </w:rPr>
        <w:t>4,097 in gross proceeds from three significant stockholders of the Company, D&amp;D, Union Square Park Partners LP, and John J. Bello, the Company’s former Chairman, pursuant to Simple Agreements for Future Equity (“SAFE”) investments. The SAFE investments were to convert into the next equity financing of Reed’s at the lesser of $</w:t>
      </w:r>
      <w:bookmarkStart w:id="404" w:name="xdx_90C_eus-gaap--SharePrice_iI_pid_c202"/>
      <w:bookmarkEnd w:id="404"/>
      <w:r>
        <w:rPr>
          <w:rFonts w:ascii="Times New Roman;Times;Serif" w:hAnsi="Times New Roman;Times;Serif"/>
          <w:b w:val="false"/>
          <w:i w:val="false"/>
          <w:caps w:val="false"/>
          <w:smallCaps w:val="false"/>
          <w:sz w:val="20"/>
        </w:rPr>
        <w:t>9.00 per share or the per share price in the financing. D&amp;D was given the right to designate a second independent director nominee to the board of directors of Reed’s and the company agreed to limit the size of its board of directors to nine (9) for so long as D&amp;D owns 25% or more of the equity securities of the Company. The Company initially recorded the SAFE investments as a liability at $</w:t>
      </w:r>
      <w:bookmarkStart w:id="405" w:name="xdx_903_ecustom--EquitySecuritiesOfInves"/>
      <w:bookmarkEnd w:id="405"/>
      <w:r>
        <w:rPr>
          <w:rFonts w:ascii="Times New Roman;Times;Serif" w:hAnsi="Times New Roman;Times;Serif"/>
          <w:b w:val="false"/>
          <w:i w:val="false"/>
          <w:caps w:val="false"/>
          <w:smallCaps w:val="false"/>
          <w:sz w:val="20"/>
        </w:rPr>
        <w:t>5,490 which was reflected on its June 30, 2024 balance sheet, and reflected a loss from change in fair value of SAFE investments of $</w:t>
      </w:r>
      <w:bookmarkStart w:id="406" w:name="xdx_903_eus-gaap--UnrealizedGainLossOnIn"/>
      <w:bookmarkEnd w:id="406"/>
      <w:r>
        <w:rPr>
          <w:rFonts w:ascii="Times New Roman;Times;Serif" w:hAnsi="Times New Roman;Times;Serif"/>
          <w:b w:val="false"/>
          <w:i w:val="false"/>
          <w:caps w:val="false"/>
          <w:smallCaps w:val="false"/>
          <w:sz w:val="20"/>
        </w:rPr>
        <w:t>1,393 at that date.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Securities Purchase Agreement with various purchasers for the issuance of </w:t>
      </w:r>
      <w:bookmarkStart w:id="407" w:name="xdx_90E_eus-gaap--StockIssuedDuringPerio"/>
      <w:bookmarkEnd w:id="407"/>
      <w:r>
        <w:rPr>
          <w:rFonts w:ascii="Times New Roman;Times;Serif" w:hAnsi="Times New Roman;Times;Serif"/>
          <w:b w:val="false"/>
          <w:i w:val="false"/>
          <w:caps w:val="false"/>
          <w:smallCaps w:val="false"/>
          <w:sz w:val="20"/>
        </w:rPr>
        <w:t>666,667 common shares for total consideration of $</w:t>
      </w:r>
      <w:bookmarkStart w:id="408" w:name="xdx_906_eus-gaap--StockIssuedDuringPerio"/>
      <w:bookmarkEnd w:id="408"/>
      <w:r>
        <w:rPr>
          <w:rFonts w:ascii="Times New Roman;Times;Serif" w:hAnsi="Times New Roman;Times;Serif"/>
          <w:b w:val="false"/>
          <w:i w:val="false"/>
          <w:caps w:val="false"/>
          <w:smallCaps w:val="false"/>
          <w:sz w:val="20"/>
        </w:rPr>
        <w:t>6,000. The various purchasers also held Company SAFE investments. The total capital raise was comprised of </w:t>
      </w:r>
      <w:bookmarkStart w:id="409" w:name="xdx_907_ecustom--StockIssuedDuringPeriod"/>
      <w:bookmarkEnd w:id="409"/>
      <w:r>
        <w:rPr>
          <w:rFonts w:ascii="Times New Roman;Times;Serif" w:hAnsi="Times New Roman;Times;Serif"/>
          <w:b w:val="false"/>
          <w:i w:val="false"/>
          <w:caps w:val="false"/>
          <w:smallCaps w:val="false"/>
          <w:sz w:val="20"/>
        </w:rPr>
        <w:t>455,201 shares of common stock valued at $</w:t>
      </w:r>
      <w:bookmarkStart w:id="410" w:name="xdx_905_ecustom--StockIssuedDuringPeriod"/>
      <w:bookmarkEnd w:id="410"/>
      <w:r>
        <w:rPr>
          <w:rFonts w:ascii="Times New Roman;Times;Serif" w:hAnsi="Times New Roman;Times;Serif"/>
          <w:b w:val="false"/>
          <w:i w:val="false"/>
          <w:caps w:val="false"/>
          <w:smallCaps w:val="false"/>
          <w:sz w:val="20"/>
        </w:rPr>
        <w:t>4,097 upon conversion of the SAFE investments and  </w:t>
      </w:r>
      <w:bookmarkStart w:id="411" w:name="xdx_906_eus-gaap--StockIssuedDuringPerio"/>
      <w:bookmarkEnd w:id="411"/>
      <w:r>
        <w:rPr>
          <w:rFonts w:ascii="Times New Roman;Times;Serif" w:hAnsi="Times New Roman;Times;Serif"/>
          <w:b w:val="false"/>
          <w:i w:val="false"/>
          <w:caps w:val="false"/>
          <w:smallCaps w:val="false"/>
          <w:sz w:val="20"/>
        </w:rPr>
        <w:t>211,466 common shares issued to D&amp;D for consideration of $</w:t>
      </w:r>
      <w:bookmarkStart w:id="412" w:name="xdx_904_eus-gaap--StockIssuedDuringPerio"/>
      <w:bookmarkEnd w:id="412"/>
      <w:r>
        <w:rPr>
          <w:rFonts w:ascii="Times New Roman;Times;Serif" w:hAnsi="Times New Roman;Times;Serif"/>
          <w:b w:val="false"/>
          <w:i w:val="false"/>
          <w:caps w:val="false"/>
          <w:smallCaps w:val="false"/>
          <w:sz w:val="20"/>
        </w:rPr>
        <w:t>1,903.</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of the SAFE instruments during the three months ended September 30, 2024, the Company recorded a gain from change in fair value of SAFE investments of $</w:t>
      </w:r>
      <w:bookmarkStart w:id="413" w:name="xdx_90C_eus-gaap--UnrealizedGainLossOnIn"/>
      <w:bookmarkEnd w:id="413"/>
      <w:r>
        <w:rPr>
          <w:rFonts w:ascii="Times New Roman;Times;Serif" w:hAnsi="Times New Roman;Times;Serif"/>
          <w:b w:val="false"/>
          <w:i w:val="false"/>
          <w:caps w:val="false"/>
          <w:smallCaps w:val="false"/>
          <w:sz w:val="20"/>
        </w:rPr>
        <w:t>1,393.</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4" w:name="xdx_808_eus-gaap--DisclosureOfCompensati"/>
      <w:bookmarkEnd w:id="414"/>
      <w:r>
        <w:rPr>
          <w:rFonts w:ascii="Times New Roman;Times;Serif" w:hAnsi="Times New Roman;Times;Serif"/>
          <w:b/>
          <w:i w:val="false"/>
          <w:caps w:val="false"/>
          <w:smallCaps w:val="false"/>
          <w:sz w:val="20"/>
        </w:rPr>
        <w:t xml:space="preserve">8. </w:t>
      </w:r>
      <w:bookmarkStart w:id="415" w:name="xdx_823_zJNY67DN3BY1"/>
      <w:bookmarkEnd w:id="415"/>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Restricted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16, 2025, the Company’s board of directors appointed Cyril Wallace as Chief Executive Officer and member of the board of directors, pursuant to an executive employment agreement. Subject to the board of directors’ establishment of a new equity incentive plan and Mr. Wallace’s continued employment, Mr. Wallace will be granted a restricted stock award of </w:t>
      </w:r>
      <w:bookmarkStart w:id="416" w:name="xdx_907_eus-gaap--ShareBasedCompensation"/>
      <w:bookmarkEnd w:id="416"/>
      <w:r>
        <w:rPr>
          <w:rFonts w:ascii="Times New Roman;Times;Serif" w:hAnsi="Times New Roman;Times;Serif"/>
          <w:b w:val="false"/>
          <w:i w:val="false"/>
          <w:caps w:val="false"/>
          <w:smallCaps w:val="false"/>
          <w:sz w:val="20"/>
        </w:rPr>
        <w:t xml:space="preserve">46,667 shares of common stock, vesting over a </w:t>
      </w:r>
      <w:bookmarkStart w:id="417" w:name="xdx_909_eus-gaap--ShareBasedCompensation"/>
      <w:bookmarkEnd w:id="417"/>
      <w:r>
        <w:rPr>
          <w:rFonts w:ascii="Times New Roman;Times;Serif" w:hAnsi="Times New Roman;Times;Serif"/>
          <w:b w:val="false"/>
          <w:i w:val="false"/>
          <w:caps w:val="false"/>
          <w:smallCaps w:val="false"/>
          <w:sz w:val="20"/>
        </w:rPr>
        <w:t xml:space="preserve">1 one-year term, and performance based stock options to purchase up to </w:t>
      </w:r>
      <w:bookmarkStart w:id="418" w:name="xdx_902_eus-gaap--ShareBasedCompensation"/>
      <w:bookmarkEnd w:id="418"/>
      <w:r>
        <w:rPr>
          <w:rFonts w:ascii="Times New Roman;Times;Serif" w:hAnsi="Times New Roman;Times;Serif"/>
          <w:b w:val="false"/>
          <w:i w:val="false"/>
          <w:caps w:val="false"/>
          <w:smallCaps w:val="false"/>
          <w:sz w:val="20"/>
        </w:rPr>
        <w:t>231,361 shares of common stock. The performance-based stock options will be granted in tranches beginning in 2025 through 2027. Vesting of performance-based stock options will be subject to achievement of annual performance metrics established by the board of directors and agreed between the parties.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9" w:name="xdx_89A_eus-gaap--ScheduleOfShareBasedCo"/>
      <w:bookmarkEnd w:id="419"/>
      <w:r>
        <w:rPr>
          <w:rFonts w:ascii="Times New Roman;Times;Serif" w:hAnsi="Times New Roman;Times;Serif"/>
          <w:b w:val="false"/>
          <w:i w:val="false"/>
          <w:caps w:val="false"/>
          <w:smallCaps w:val="false"/>
          <w:sz w:val="20"/>
        </w:rPr>
        <w:t>The following table summarizes stock option activity during the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0" w:name="xdx_8B9_zJhLcmU3LGJ9"/>
      <w:bookmarkEnd w:id="420"/>
      <w:r>
        <w:rPr>
          <w:rFonts w:ascii="Times New Roman;Times;Serif" w:hAnsi="Times New Roman;Times;Serif"/>
          <w:b w:val="false"/>
          <w:i w:val="false"/>
          <w:caps w:val="false"/>
          <w:smallCaps w:val="false"/>
          <w:sz w:val="20"/>
        </w:rPr>
        <w:t>Schedule of Stock Option Activity</w:t>
      </w:r>
    </w:p>
    <w:tbl>
      <w:tblPr>
        <w:tblW w:w="8014" w:type="dxa"/>
        <w:jc w:val="left"/>
        <w:tblInd w:w="0" w:type="dxa"/>
        <w:tblLayout w:type="fixed"/>
        <w:tblCellMar>
          <w:top w:w="0" w:type="dxa"/>
          <w:left w:w="0" w:type="dxa"/>
          <w:bottom w:w="0" w:type="dxa"/>
          <w:right w:w="0" w:type="dxa"/>
        </w:tblCellMar>
      </w:tblPr>
      <w:tblGrid>
        <w:gridCol w:w="3380"/>
        <w:gridCol w:w="60"/>
        <w:gridCol w:w="60"/>
        <w:gridCol w:w="680"/>
        <w:gridCol w:w="95"/>
        <w:gridCol w:w="60"/>
        <w:gridCol w:w="212"/>
        <w:gridCol w:w="1037"/>
        <w:gridCol w:w="60"/>
        <w:gridCol w:w="60"/>
        <w:gridCol w:w="124"/>
        <w:gridCol w:w="916"/>
        <w:gridCol w:w="60"/>
        <w:gridCol w:w="60"/>
        <w:gridCol w:w="140"/>
        <w:gridCol w:w="935"/>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1" w:name="xdx_989_eus-gaap--ShareBasedCompensation"/>
            <w:bookmarkEnd w:id="421"/>
          </w:p>
        </w:tc>
        <w:tc>
          <w:tcPr>
            <w:tcW w:w="680" w:type="dxa"/>
            <w:tcBorders/>
            <w:shd w:fill="CCEEFF" w:val="clear"/>
            <w:vAlign w:val="center"/>
          </w:tcPr>
          <w:p>
            <w:pPr>
              <w:pStyle w:val="TableContents"/>
              <w:bidi w:val="0"/>
              <w:spacing w:before="0" w:after="283"/>
              <w:jc w:val="right"/>
              <w:rPr/>
            </w:pPr>
            <w:r>
              <w:rPr/>
              <w:t>54,034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bookmarkStart w:id="422" w:name="xdx_980_eus-gaap--ShareBasedCompensation"/>
            <w:bookmarkEnd w:id="422"/>
          </w:p>
        </w:tc>
        <w:tc>
          <w:tcPr>
            <w:tcW w:w="1037" w:type="dxa"/>
            <w:tcBorders/>
            <w:shd w:fill="CCEEFF" w:val="clear"/>
            <w:vAlign w:val="center"/>
          </w:tcPr>
          <w:p>
            <w:pPr>
              <w:pStyle w:val="TableContents"/>
              <w:bidi w:val="0"/>
              <w:spacing w:before="0" w:after="283"/>
              <w:jc w:val="right"/>
              <w:rPr/>
            </w:pPr>
            <w:r>
              <w:rPr/>
              <w:t>104.82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bookmarkStart w:id="423" w:name="xdx_90D_eus-gaap--SharebasedCompensation"/>
            <w:bookmarkEnd w:id="423"/>
            <w:r>
              <w:rPr/>
              <w:t>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24" w:name="xdx_989_eus-gaap--ShareBasedCompensation"/>
            <w:bookmarkEnd w:id="424"/>
          </w:p>
        </w:tc>
        <w:tc>
          <w:tcPr>
            <w:tcW w:w="935"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5" w:name="xdx_98E_eus-gaap--ShareBasedCompensation"/>
            <w:bookmarkEnd w:id="425"/>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bookmarkStart w:id="426" w:name="xdx_981_eus-gaap--ShareBasedCompensation"/>
            <w:bookmarkEnd w:id="426"/>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7" w:name="xdx_985_eus-gaap--StockIssuedDuringPerio"/>
            <w:bookmarkEnd w:id="427"/>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bookmarkStart w:id="428" w:name="xdx_989_eus-gaap--ShareBasedCompensation"/>
            <w:bookmarkEnd w:id="428"/>
          </w:p>
        </w:tc>
        <w:tc>
          <w:tcPr>
            <w:tcW w:w="10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Unvested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9" w:name="xdx_98C_eus-gaap--ShareBasedCompensation"/>
            <w:bookmarkEnd w:id="429"/>
          </w:p>
        </w:tc>
        <w:tc>
          <w:tcPr>
            <w:tcW w:w="680" w:type="dxa"/>
            <w:tcBorders/>
            <w:shd w:fill="FFFFFF" w:val="clear"/>
            <w:vAlign w:val="center"/>
          </w:tcPr>
          <w:p>
            <w:pPr>
              <w:pStyle w:val="TableContents"/>
              <w:bidi w:val="0"/>
              <w:spacing w:before="0" w:after="283"/>
              <w:jc w:val="right"/>
              <w:rPr/>
            </w:pPr>
            <w:r>
              <w:rPr/>
              <w:t>(3,629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bookmarkStart w:id="430" w:name="xdx_98F_eus-gaap--ShareBasedCompensation"/>
            <w:bookmarkEnd w:id="430"/>
          </w:p>
        </w:tc>
        <w:tc>
          <w:tcPr>
            <w:tcW w:w="1037" w:type="dxa"/>
            <w:tcBorders/>
            <w:shd w:fill="FFFFFF" w:val="clear"/>
            <w:vAlign w:val="center"/>
          </w:tcPr>
          <w:p>
            <w:pPr>
              <w:pStyle w:val="TableContents"/>
              <w:bidi w:val="0"/>
              <w:spacing w:before="0" w:after="283"/>
              <w:jc w:val="right"/>
              <w:rPr/>
            </w:pPr>
            <w:r>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1" w:name="xdx_987_ecustom--ShareBasedCompensationA"/>
            <w:bookmarkEnd w:id="431"/>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2" w:name="xdx_98D_ecustom--ShareBasedCompensationA"/>
            <w:bookmarkEnd w:id="432"/>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3" w:name="xdx_983_eus-gaap--ShareBasedCompensation"/>
            <w:bookmarkEnd w:id="433"/>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47,072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34" w:name="xdx_98A_eus-gaap--ShareBasedCompensation"/>
            <w:bookmarkEnd w:id="434"/>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119.16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35" w:name="xdx_90D_eus-gaap--SharebasedCompensation"/>
            <w:bookmarkEnd w:id="435"/>
            <w:r>
              <w:rPr/>
              <w:t>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36" w:name="xdx_98B_eus-gaap--ShareBasedCompensation"/>
            <w:bookmarkEnd w:id="436"/>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37" w:name="xdx_98E_eus-gaap--ShareBasedCompensation"/>
            <w:bookmarkEnd w:id="437"/>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42,462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38" w:name="xdx_98F_eus-gaap--ShareBasedCompensation"/>
            <w:bookmarkEnd w:id="438"/>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130.32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39" w:name="xdx_908_eus-gaap--SharebasedCompensation"/>
            <w:bookmarkEnd w:id="439"/>
            <w:r>
              <w:rPr/>
              <w:t>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0" w:name="xdx_98E_eus-gaap--SharebasedCompensation"/>
            <w:bookmarkEnd w:id="440"/>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1" w:name="xdx_8AB_zPrliz3PibP8"/>
      <w:bookmarkEnd w:id="4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and 2024, the Company recognized $</w:t>
      </w:r>
      <w:bookmarkStart w:id="442" w:name="xdx_90C_eus-gaap--SharebasedCompensation"/>
      <w:bookmarkEnd w:id="442"/>
      <w:r>
        <w:rPr>
          <w:rFonts w:ascii="Times New Roman;Times;Serif" w:hAnsi="Times New Roman;Times;Serif"/>
          <w:b w:val="false"/>
          <w:i w:val="false"/>
          <w:caps w:val="false"/>
          <w:smallCaps w:val="false"/>
          <w:sz w:val="20"/>
        </w:rPr>
        <w:t>60 and $</w:t>
      </w:r>
      <w:bookmarkStart w:id="443" w:name="xdx_903_eus-gaap--SharebasedCompensation"/>
      <w:bookmarkEnd w:id="443"/>
      <w:r>
        <w:rPr>
          <w:rFonts w:ascii="Times New Roman;Times;Serif" w:hAnsi="Times New Roman;Times;Serif"/>
          <w:b w:val="false"/>
          <w:i w:val="false"/>
          <w:caps w:val="false"/>
          <w:smallCaps w:val="false"/>
          <w:sz w:val="20"/>
        </w:rPr>
        <w:t>268 of compensation expense relating to vested stock options, respectively. As of September 30, 2025, the aggregate amount of unvested compensation related to stock options was approximately $</w:t>
      </w:r>
      <w:bookmarkStart w:id="444" w:name="xdx_90A_eus-gaap--EmployeeServiceShareBa"/>
      <w:bookmarkEnd w:id="444"/>
      <w:r>
        <w:rPr>
          <w:rFonts w:ascii="Times New Roman;Times;Serif" w:hAnsi="Times New Roman;Times;Serif"/>
          <w:b w:val="false"/>
          <w:i w:val="false"/>
          <w:caps w:val="false"/>
          <w:smallCaps w:val="false"/>
          <w:sz w:val="20"/>
        </w:rPr>
        <w:t>26, which will be recognized as an expense as the options vest in future periods through March 28,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outstanding and exercisable options have </w:t>
      </w:r>
      <w:bookmarkStart w:id="445" w:name="xdx_90D_eus-gaap--ShareBasedCompensation"/>
      <w:bookmarkEnd w:id="445"/>
      <w:r>
        <w:rPr>
          <w:rFonts w:ascii="Times New Roman;Times;Serif" w:hAnsi="Times New Roman;Times;Serif"/>
          <w:b w:val="false"/>
          <w:i w:val="false"/>
          <w:caps w:val="false"/>
          <w:smallCaps w:val="false"/>
          <w:sz w:val="20"/>
        </w:rPr>
        <w:t>no aggregate intrinsic value. The aggregate intrinsic value was calculated as the difference between the closing market price as of September 30, 2025, which was $</w:t>
      </w:r>
      <w:bookmarkStart w:id="446" w:name="xdx_90A_eus-gaap--SharePrice_iI_pid_c202"/>
      <w:bookmarkEnd w:id="446"/>
      <w:r>
        <w:rPr>
          <w:rFonts w:ascii="Times New Roman;Times;Serif" w:hAnsi="Times New Roman;Times;Serif"/>
          <w:b w:val="false"/>
          <w:i w:val="false"/>
          <w:caps w:val="false"/>
          <w:smallCaps w:val="false"/>
          <w:sz w:val="20"/>
        </w:rPr>
        <w:t>6.18, and the exercise price of the outstanding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7" w:name="xdx_805_ecustom--StockWarrantsTextBlock_"/>
      <w:bookmarkEnd w:id="447"/>
      <w:r>
        <w:rPr>
          <w:rFonts w:ascii="Times New Roman;Times;Serif" w:hAnsi="Times New Roman;Times;Serif"/>
          <w:b/>
          <w:i w:val="false"/>
          <w:caps w:val="false"/>
          <w:smallCaps w:val="false"/>
          <w:sz w:val="20"/>
        </w:rPr>
        <w:t xml:space="preserve">9. </w:t>
      </w:r>
      <w:bookmarkStart w:id="448" w:name="xdx_828_zuhkC7IYRTU"/>
      <w:bookmarkEnd w:id="448"/>
      <w:r>
        <w:rPr>
          <w:rFonts w:ascii="Times New Roman;Times;Serif" w:hAnsi="Times New Roman;Times;Serif"/>
          <w:b/>
          <w:i w:val="false"/>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9" w:name="xdx_897_ecustom--ScheduleOfNonOptionEqui"/>
      <w:bookmarkEnd w:id="449"/>
      <w:r>
        <w:rPr>
          <w:rFonts w:ascii="Times New Roman;Times;Serif" w:hAnsi="Times New Roman;Times;Serif"/>
          <w:b w:val="false"/>
          <w:i w:val="false"/>
          <w:caps w:val="false"/>
          <w:smallCaps w:val="false"/>
          <w:sz w:val="20"/>
        </w:rPr>
        <w:t>The Company’s warrant activity during the nine months ended September 30,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0" w:name="xdx_8B9_zj9mShYpFk12"/>
      <w:bookmarkEnd w:id="450"/>
      <w:r>
        <w:rPr>
          <w:rFonts w:ascii="Times New Roman;Times;Serif" w:hAnsi="Times New Roman;Times;Serif"/>
          <w:b w:val="false"/>
          <w:i w:val="false"/>
          <w:caps w:val="false"/>
          <w:smallCaps w:val="false"/>
          <w:sz w:val="20"/>
        </w:rPr>
        <w:t>Schedule of Warrant Activity</w:t>
      </w:r>
    </w:p>
    <w:tbl>
      <w:tblPr>
        <w:tblW w:w="8005" w:type="dxa"/>
        <w:jc w:val="left"/>
        <w:tblInd w:w="0" w:type="dxa"/>
        <w:tblLayout w:type="fixed"/>
        <w:tblCellMar>
          <w:top w:w="0" w:type="dxa"/>
          <w:left w:w="0" w:type="dxa"/>
          <w:bottom w:w="0" w:type="dxa"/>
          <w:right w:w="0" w:type="dxa"/>
        </w:tblCellMar>
      </w:tblPr>
      <w:tblGrid>
        <w:gridCol w:w="3380"/>
        <w:gridCol w:w="60"/>
        <w:gridCol w:w="60"/>
        <w:gridCol w:w="680"/>
        <w:gridCol w:w="60"/>
        <w:gridCol w:w="60"/>
        <w:gridCol w:w="214"/>
        <w:gridCol w:w="856"/>
        <w:gridCol w:w="60"/>
        <w:gridCol w:w="60"/>
        <w:gridCol w:w="150"/>
        <w:gridCol w:w="1100"/>
        <w:gridCol w:w="60"/>
        <w:gridCol w:w="60"/>
        <w:gridCol w:w="156"/>
        <w:gridCol w:w="914"/>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Terms</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1" w:name="xdx_98B_eus-gaap--ShareBasedCompensation"/>
            <w:bookmarkEnd w:id="451"/>
          </w:p>
        </w:tc>
        <w:tc>
          <w:tcPr>
            <w:tcW w:w="680" w:type="dxa"/>
            <w:tcBorders/>
            <w:shd w:fill="CCEEFF" w:val="clear"/>
            <w:vAlign w:val="center"/>
          </w:tcPr>
          <w:p>
            <w:pPr>
              <w:pStyle w:val="TableContents"/>
              <w:bidi w:val="0"/>
              <w:spacing w:before="0" w:after="283"/>
              <w:jc w:val="right"/>
              <w:rPr/>
            </w:pPr>
            <w:r>
              <w:rPr/>
              <w:t>91,549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452" w:name="xdx_98F_ecustom--ShareBasedCompensationA"/>
            <w:bookmarkEnd w:id="452"/>
          </w:p>
        </w:tc>
        <w:tc>
          <w:tcPr>
            <w:tcW w:w="856" w:type="dxa"/>
            <w:tcBorders/>
            <w:shd w:fill="CCEEFF" w:val="clear"/>
            <w:vAlign w:val="center"/>
          </w:tcPr>
          <w:p>
            <w:pPr>
              <w:pStyle w:val="TableContents"/>
              <w:bidi w:val="0"/>
              <w:spacing w:before="0" w:after="283"/>
              <w:jc w:val="right"/>
              <w:rPr/>
            </w:pPr>
            <w:r>
              <w:rPr/>
              <w:t>52.32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453" w:name="xdx_90B_ecustom--ShareBasedCompensationA"/>
            <w:bookmarkEnd w:id="453"/>
            <w:r>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bookmarkStart w:id="454" w:name="xdx_98B_ecustom--ShareBasedCompensationA"/>
            <w:bookmarkEnd w:id="454"/>
          </w:p>
        </w:tc>
        <w:tc>
          <w:tcPr>
            <w:tcW w:w="914"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55" w:name="xdx_983_eus-gaap--ShareBasedCompensation"/>
            <w:bookmarkEnd w:id="455"/>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456" w:name="xdx_98F_ecustom--ShareBasedCompensationA"/>
            <w:bookmarkEnd w:id="456"/>
          </w:p>
        </w:tc>
        <w:tc>
          <w:tcPr>
            <w:tcW w:w="8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7" w:name="xdx_987_eus-gaap--ShareBasedCompensation"/>
            <w:bookmarkEnd w:id="457"/>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bookmarkStart w:id="458" w:name="xdx_986_ecustom--ShareBasedCompensationA"/>
            <w:bookmarkEnd w:id="458"/>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9" w:name="xdx_988_eus-gaap--ShareBasedCompensation"/>
            <w:bookmarkEnd w:id="459"/>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0" w:name="xdx_98C_ecustom--ShareBasedCompensationA"/>
            <w:bookmarkEnd w:id="460"/>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1" w:name="xdx_984_eus-gaap--ShareBasedCompensation"/>
            <w:bookmarkEnd w:id="461"/>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91,549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62" w:name="xdx_982_ecustom--ShareBasedCompensationA"/>
            <w:bookmarkEnd w:id="462"/>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52.32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463" w:name="xdx_908_ecustom--ShareBasedCompensationA"/>
            <w:bookmarkEnd w:id="463"/>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464" w:name="xdx_98F_ecustom--ShareBasedCompensationA"/>
            <w:bookmarkEnd w:id="464"/>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Exercisable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5" w:name="xdx_980_ecustom--ShareBasedCompensationA"/>
            <w:bookmarkEnd w:id="465"/>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91,549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66" w:name="xdx_98F_ecustom--ShareBasedCompensationA"/>
            <w:bookmarkEnd w:id="466"/>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52.32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67" w:name="xdx_90B_ecustom--ShareBasedCompensationA"/>
            <w:bookmarkEnd w:id="467"/>
            <w:r>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68" w:name="xdx_984_ecustom--ShareBasedCompensationA"/>
            <w:bookmarkEnd w:id="468"/>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9" w:name="xdx_8A8_zAEuDRms1gx8"/>
      <w:bookmarkEnd w:id="4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outstanding and exercisable warrants have no aggregate intrinsic value. The aggregate intrinsic value was calculated as the difference between the closing market price as of September 30, 2025, which was $</w:t>
      </w:r>
      <w:bookmarkStart w:id="470" w:name="xdx_903_eus-gaap--ClassOfWarrantOrRightE"/>
      <w:bookmarkEnd w:id="470"/>
      <w:r>
        <w:rPr>
          <w:rFonts w:ascii="Times New Roman;Times;Serif" w:hAnsi="Times New Roman;Times;Serif"/>
          <w:b w:val="false"/>
          <w:i w:val="false"/>
          <w:caps w:val="false"/>
          <w:smallCaps w:val="false"/>
          <w:sz w:val="20"/>
        </w:rPr>
        <w:t>6.18, and the exercise price of the Company’s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1" w:name="xdx_80A_eus-gaap--RelatedPartyTransactio"/>
      <w:bookmarkEnd w:id="471"/>
      <w:r>
        <w:rPr>
          <w:rFonts w:ascii="Times New Roman;Times;Serif" w:hAnsi="Times New Roman;Times;Serif"/>
          <w:b/>
          <w:i w:val="false"/>
          <w:caps w:val="false"/>
          <w:smallCaps w:val="false"/>
          <w:sz w:val="20"/>
        </w:rPr>
        <w:t xml:space="preserve">10. </w:t>
      </w:r>
      <w:bookmarkStart w:id="472" w:name="xdx_821_zo97BQHcS1sa"/>
      <w:bookmarkEnd w:id="472"/>
      <w:r>
        <w:rPr>
          <w:rFonts w:ascii="Times New Roman;Times;Serif" w:hAnsi="Times New Roman;Times;Serif"/>
          <w:b/>
          <w:i w:val="false"/>
          <w:caps w:val="false"/>
          <w:smallCaps w:val="false"/>
          <w:sz w:val="20"/>
        </w:rPr>
        <w:t>Transactions with California Custom Beverage, LLC, former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2018, the Company signed a co-packing agreement with California Custom Beverage, LLC’s (“CCB”), an entity owned by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w:t>
      </w:r>
      <w:bookmarkStart w:id="473" w:name="xdx_90E_ecustom--RoyaltyPercentage_iI_pi"/>
      <w:bookmarkEnd w:id="473"/>
      <w:r>
        <w:rPr>
          <w:rFonts w:ascii="Times New Roman;Times;Serif" w:hAnsi="Times New Roman;Times;Serif"/>
          <w:b w:val="false"/>
          <w:i w:val="false"/>
          <w:caps w:val="false"/>
          <w:smallCaps w:val="false"/>
          <w:sz w:val="20"/>
        </w:rPr>
        <w:t>5% royalty through 2021 on certain private label sales made by CCB.</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4" w:name="xdx_89C_eus-gaap--ScheduleOfRelatedParty"/>
      <w:bookmarkEnd w:id="474"/>
      <w:r>
        <w:rPr>
          <w:rFonts w:ascii="Times New Roman;Times;Serif" w:hAnsi="Times New Roman;Times;Serif"/>
          <w:b w:val="false"/>
          <w:i w:val="false"/>
          <w:caps w:val="false"/>
          <w:smallCaps w:val="false"/>
          <w:sz w:val="20"/>
        </w:rPr>
        <w:t>At September 30, 2025 and December 31, 2024, accounts receivable due from and accounts payable due to CCB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5" w:name="xdx_8BF_zRTVkSnUXG53"/>
      <w:bookmarkEnd w:id="475"/>
      <w:r>
        <w:rPr>
          <w:rFonts w:ascii="Times New Roman;Times;Serif" w:hAnsi="Times New Roman;Times;Serif"/>
          <w:b w:val="false"/>
          <w:i w:val="false"/>
          <w:caps w:val="false"/>
          <w:smallCaps w:val="false"/>
          <w:sz w:val="20"/>
        </w:rPr>
        <w:t>Schedule of Related Parties</w:t>
      </w:r>
    </w:p>
    <w:tbl>
      <w:tblPr>
        <w:tblW w:w="10205" w:type="dxa"/>
        <w:jc w:val="left"/>
        <w:tblInd w:w="0" w:type="dxa"/>
        <w:tblLayout w:type="fixed"/>
        <w:tblCellMar>
          <w:top w:w="0" w:type="dxa"/>
          <w:left w:w="0" w:type="dxa"/>
          <w:bottom w:w="0" w:type="dxa"/>
          <w:right w:w="0" w:type="dxa"/>
        </w:tblCellMar>
      </w:tblPr>
      <w:tblGrid>
        <w:gridCol w:w="7529"/>
        <w:gridCol w:w="60"/>
        <w:gridCol w:w="296"/>
        <w:gridCol w:w="809"/>
        <w:gridCol w:w="60"/>
        <w:gridCol w:w="60"/>
        <w:gridCol w:w="300"/>
        <w:gridCol w:w="978"/>
        <w:gridCol w:w="113"/>
      </w:tblGrid>
      <w:tr>
        <w:trPr/>
        <w:tc>
          <w:tcPr>
            <w:tcW w:w="7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76" w:name="xdx_497_20250930__us-gaap--RelatedPartyT"/>
            <w:bookmarkEnd w:id="476"/>
          </w:p>
        </w:tc>
        <w:tc>
          <w:tcPr>
            <w:tcW w:w="11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7" w:name="xdx_496_20241231__us-gaap--RelatedPartyT"/>
            <w:bookmarkEnd w:id="477"/>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13" w:type="dxa"/>
            <w:tcBorders/>
            <w:vAlign w:val="center"/>
          </w:tcPr>
          <w:p>
            <w:pPr>
              <w:pStyle w:val="TableContents"/>
              <w:bidi w:val="0"/>
              <w:spacing w:before="0" w:after="283"/>
              <w:jc w:val="left"/>
              <w:rPr/>
            </w:pPr>
            <w:r>
              <w:rPr/>
              <w:t> </w:t>
            </w:r>
            <w:bookmarkStart w:id="478" w:name="xdx_400_eus-gaap--AccountsReceivableGros"/>
            <w:bookmarkEnd w:id="478"/>
          </w:p>
        </w:tc>
      </w:tr>
      <w:tr>
        <w:trPr/>
        <w:tc>
          <w:tcPr>
            <w:tcW w:w="7529" w:type="dxa"/>
            <w:tcBorders/>
            <w:shd w:fill="CCEEFF" w:val="clear"/>
            <w:vAlign w:val="center"/>
          </w:tcPr>
          <w:p>
            <w:pPr>
              <w:pStyle w:val="TableContents"/>
              <w:bidi w:val="0"/>
              <w:spacing w:before="0" w:after="283"/>
              <w:jc w:val="left"/>
              <w:rPr/>
            </w:pPr>
            <w:r>
              <w:rPr/>
              <w:t>Accounts receivable, net of provision of $</w:t>
            </w:r>
            <w:bookmarkStart w:id="479" w:name="xdx_904_eus-gaap--AllowanceForDoubtfulAc"/>
            <w:bookmarkEnd w:id="479"/>
            <w:r>
              <w:rPr/>
              <w:t>1,238 and $</w:t>
            </w:r>
            <w:bookmarkStart w:id="480" w:name="xdx_901_eus-gaap--AllowanceForDoubtfulAc"/>
            <w:bookmarkEnd w:id="480"/>
            <w:r>
              <w:rPr/>
              <w:t>1,238 at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144</w:t>
            </w:r>
          </w:p>
        </w:tc>
        <w:tc>
          <w:tcPr>
            <w:tcW w:w="113" w:type="dxa"/>
            <w:tcBorders/>
            <w:shd w:fill="CCEEFF" w:val="clear"/>
            <w:vAlign w:val="center"/>
          </w:tcPr>
          <w:p>
            <w:pPr>
              <w:pStyle w:val="TableContents"/>
              <w:bidi w:val="0"/>
              <w:spacing w:before="0" w:after="283"/>
              <w:jc w:val="left"/>
              <w:rPr/>
            </w:pPr>
            <w:r>
              <w:rPr/>
              <w:t> </w:t>
            </w:r>
            <w:bookmarkStart w:id="481" w:name="xdx_408_eus-gaap--AccountsPayableOtherCu"/>
            <w:bookmarkEnd w:id="481"/>
          </w:p>
        </w:tc>
      </w:tr>
      <w:tr>
        <w:trPr/>
        <w:tc>
          <w:tcPr>
            <w:tcW w:w="7529"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pPr>
            <w:r>
              <w:rPr/>
              <w:t>(144</w:t>
            </w:r>
          </w:p>
        </w:tc>
        <w:tc>
          <w:tcPr>
            <w:tcW w:w="113" w:type="dxa"/>
            <w:tcBorders/>
            <w:shd w:fill="FFFFFF" w:val="clear"/>
            <w:vAlign w:val="center"/>
          </w:tcPr>
          <w:p>
            <w:pPr>
              <w:pStyle w:val="TableContents"/>
              <w:bidi w:val="0"/>
              <w:spacing w:before="0" w:after="283"/>
              <w:jc w:val="left"/>
              <w:rPr/>
            </w:pPr>
            <w:r>
              <w:rPr/>
              <w:t>)</w:t>
            </w:r>
            <w:bookmarkStart w:id="482" w:name="xdx_408_eus-gaap--AccountsReceivableNet_"/>
            <w:bookmarkEnd w:id="482"/>
          </w:p>
        </w:tc>
      </w:tr>
      <w:tr>
        <w:trPr/>
        <w:tc>
          <w:tcPr>
            <w:tcW w:w="7529" w:type="dxa"/>
            <w:tcBorders/>
            <w:shd w:fill="CCEEFF" w:val="clear"/>
            <w:vAlign w:val="center"/>
          </w:tcPr>
          <w:p>
            <w:pPr>
              <w:pStyle w:val="TableContents"/>
              <w:bidi w:val="0"/>
              <w:spacing w:before="0" w:after="283"/>
              <w:jc w:val="both"/>
              <w:rPr/>
            </w:pPr>
            <w:r>
              <w:rPr/>
              <w:t>Net (payable) receivable</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3" w:name="xdx_8A1_zTx1oEZxe9Gh"/>
      <w:bookmarkEnd w:id="4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CCB filed an arbitration demand alleging claims against the Company for various disputed amounts outstanding. Also in January 2024, the Company filed an arbitration demand alleging claims against CCB for various disputed amounts outstanding. The two cases were consolidated, and the arbitration process is expected to continue pending final judgment. The Company has determined that the probability of realizing any loss on the demand from CCB is remote and therefore has not recorded any additional accruals related to the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4" w:name="xdx_80D_eus-gaap--CommitmentsAndContinge"/>
      <w:bookmarkEnd w:id="484"/>
      <w:r>
        <w:rPr>
          <w:rFonts w:ascii="Times New Roman;Times;Serif" w:hAnsi="Times New Roman;Times;Serif"/>
          <w:b/>
          <w:i w:val="false"/>
          <w:caps w:val="false"/>
          <w:smallCaps w:val="false"/>
          <w:sz w:val="20"/>
        </w:rPr>
        <w:t xml:space="preserve">11. </w:t>
      </w:r>
      <w:bookmarkStart w:id="485" w:name="xdx_824_zjXcuNjwCXzf"/>
      <w:bookmarkEnd w:id="485"/>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the Company entered into a settlement and release agreement (the “Settlement”) related to an engagement letter with an investment bank dated May 1, 2023. Pursuant to the engagement letter, the Company agreed to pay the investment bank certain fees for services rendered. Pursuant to the Settlement, the Company paid the investment bank $</w:t>
      </w:r>
      <w:bookmarkStart w:id="486" w:name="xdx_90D_ecustom--InventoryWriteDownCostO"/>
      <w:bookmarkEnd w:id="486"/>
      <w:r>
        <w:rPr>
          <w:rFonts w:ascii="Times New Roman;Times;Serif" w:hAnsi="Times New Roman;Times;Serif"/>
          <w:b w:val="false"/>
          <w:i w:val="false"/>
          <w:caps w:val="false"/>
          <w:smallCaps w:val="false"/>
          <w:sz w:val="20"/>
        </w:rPr>
        <w:t>1,600 and, effective immediately upon receipt of payment, the Company was released from any and all liability. The Company has provided for the Settlement in the accompanying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7" w:name="xdx_80A_eus-gaap--SegmentReportingDisclo"/>
      <w:bookmarkEnd w:id="487"/>
      <w:r>
        <w:rPr>
          <w:rFonts w:ascii="Times New Roman;Times;Serif" w:hAnsi="Times New Roman;Times;Serif"/>
          <w:b/>
          <w:i w:val="false"/>
          <w:caps w:val="false"/>
          <w:smallCaps w:val="false"/>
          <w:sz w:val="20"/>
        </w:rPr>
        <w:t xml:space="preserve">12. </w:t>
      </w:r>
      <w:bookmarkStart w:id="488" w:name="xdx_825_zt0bEXP5mi39"/>
      <w:bookmarkEnd w:id="488"/>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and manages its business as </w:t>
      </w:r>
      <w:bookmarkStart w:id="489" w:name="xdx_90A_eus-gaap--NumberOfReportableSegm"/>
      <w:bookmarkStart w:id="490" w:name="xdx_904_eus-gaap--NumberOfOperatingSegme"/>
      <w:bookmarkEnd w:id="489"/>
      <w:bookmarkEnd w:id="490"/>
      <w:r>
        <w:rPr>
          <w:rFonts w:ascii="Times New Roman;Times;Serif" w:hAnsi="Times New Roman;Times;Serif"/>
          <w:b w:val="false"/>
          <w:i w:val="false"/>
          <w:caps w:val="false"/>
          <w:smallCaps w:val="false"/>
          <w:sz w:val="20"/>
        </w:rPr>
        <w:t>one reportable and operating segment as a manufacturer of carbonated beverages under Reed’s and Virgil’s brand names. The measure of segment assets is reported on the balance sheet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the Company’s Chief Executive Officer, reviews financial information presented and decides how to allocate resources based on net income (loss). Net income (loss) is used for evaluating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include research and development, salaries,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1" w:name="xdx_8BD_zlUwOyqyyWmi"/>
      <w:bookmarkStart w:id="492" w:name="xdx_892_eus-gaap--ScheduleOfSegmentRepor"/>
      <w:bookmarkEnd w:id="491"/>
      <w:bookmarkEnd w:id="492"/>
      <w:r>
        <w:rPr>
          <w:rFonts w:ascii="Times New Roman;Times;Serif" w:hAnsi="Times New Roman;Times;Serif"/>
          <w:b w:val="false"/>
          <w:i w:val="false"/>
          <w:caps w:val="false"/>
          <w:smallCaps w:val="false"/>
          <w:sz w:val="20"/>
        </w:rPr>
        <w:t>Schedule of Segment Information</w:t>
      </w:r>
    </w:p>
    <w:tbl>
      <w:tblPr>
        <w:tblW w:w="4896" w:type="dxa"/>
        <w:jc w:val="left"/>
        <w:tblInd w:w="0" w:type="dxa"/>
        <w:tblLayout w:type="fixed"/>
        <w:tblCellMar>
          <w:top w:w="0" w:type="dxa"/>
          <w:left w:w="0" w:type="dxa"/>
          <w:bottom w:w="0" w:type="dxa"/>
          <w:right w:w="0" w:type="dxa"/>
        </w:tblCellMar>
      </w:tblPr>
      <w:tblGrid>
        <w:gridCol w:w="2555"/>
        <w:gridCol w:w="60"/>
        <w:gridCol w:w="175"/>
        <w:gridCol w:w="853"/>
        <w:gridCol w:w="75"/>
        <w:gridCol w:w="75"/>
        <w:gridCol w:w="175"/>
        <w:gridCol w:w="853"/>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3" w:name="xdx_497_20250101__20250930_z6AaKMaApDbl"/>
            <w:bookmarkEnd w:id="493"/>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94" w:name="xdx_49C_20240101__20240930_z3RXVDtwDvj8"/>
            <w:bookmarkEnd w:id="494"/>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w:t>
              <w:br/>
              <w:t>Ended September 30,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95" w:name="xdx_402_eus-gaap--SalariesAndWages_pn3n3"/>
            <w:bookmarkEnd w:id="495"/>
          </w:p>
        </w:tc>
      </w:tr>
      <w:tr>
        <w:trPr/>
        <w:tc>
          <w:tcPr>
            <w:tcW w:w="2555" w:type="dxa"/>
            <w:tcBorders/>
            <w:shd w:fill="FFFFFF" w:val="clear"/>
            <w:vAlign w:val="center"/>
          </w:tcPr>
          <w:p>
            <w:pPr>
              <w:pStyle w:val="TableContents"/>
              <w:bidi w:val="0"/>
              <w:spacing w:before="0" w:after="283"/>
              <w:jc w:val="left"/>
              <w:rPr/>
            </w:pPr>
            <w:r>
              <w:rPr/>
              <w:t>Salaries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3,973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2,792</w:t>
            </w:r>
          </w:p>
        </w:tc>
        <w:tc>
          <w:tcPr>
            <w:tcW w:w="75" w:type="dxa"/>
            <w:tcBorders/>
            <w:shd w:fill="FFFFFF" w:val="clear"/>
            <w:vAlign w:val="center"/>
          </w:tcPr>
          <w:p>
            <w:pPr>
              <w:pStyle w:val="TableContents"/>
              <w:bidi w:val="0"/>
              <w:spacing w:before="0" w:after="283"/>
              <w:jc w:val="left"/>
              <w:rPr/>
            </w:pPr>
            <w:r>
              <w:rPr/>
              <w:t> </w:t>
            </w:r>
            <w:bookmarkStart w:id="496" w:name="xdx_40C_eus-gaap--InsuranceTax_pn3n3_maO"/>
            <w:bookmarkEnd w:id="496"/>
          </w:p>
        </w:tc>
      </w:tr>
      <w:tr>
        <w:trPr/>
        <w:tc>
          <w:tcPr>
            <w:tcW w:w="255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372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389</w:t>
            </w:r>
          </w:p>
        </w:tc>
        <w:tc>
          <w:tcPr>
            <w:tcW w:w="75" w:type="dxa"/>
            <w:tcBorders/>
            <w:shd w:fill="CCEEFF" w:val="clear"/>
            <w:vAlign w:val="center"/>
          </w:tcPr>
          <w:p>
            <w:pPr>
              <w:pStyle w:val="TableContents"/>
              <w:bidi w:val="0"/>
              <w:spacing w:before="0" w:after="283"/>
              <w:jc w:val="left"/>
              <w:rPr/>
            </w:pPr>
            <w:r>
              <w:rPr/>
              <w:t> </w:t>
            </w:r>
            <w:bookmarkStart w:id="497" w:name="xdx_402_eus-gaap--ShareBasedCompensation"/>
            <w:bookmarkEnd w:id="497"/>
          </w:p>
        </w:tc>
      </w:tr>
      <w:tr>
        <w:trPr/>
        <w:tc>
          <w:tcPr>
            <w:tcW w:w="25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60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268</w:t>
            </w:r>
          </w:p>
        </w:tc>
        <w:tc>
          <w:tcPr>
            <w:tcW w:w="75" w:type="dxa"/>
            <w:tcBorders/>
            <w:shd w:fill="FFFFFF" w:val="clear"/>
            <w:vAlign w:val="center"/>
          </w:tcPr>
          <w:p>
            <w:pPr>
              <w:pStyle w:val="TableContents"/>
              <w:bidi w:val="0"/>
              <w:spacing w:before="0" w:after="283"/>
              <w:jc w:val="left"/>
              <w:rPr/>
            </w:pPr>
            <w:r>
              <w:rPr/>
              <w:t> </w:t>
            </w:r>
            <w:bookmarkStart w:id="498" w:name="xdx_40F_eus-gaap--OtherSellingAndMarketi"/>
            <w:bookmarkEnd w:id="498"/>
          </w:p>
        </w:tc>
      </w:tr>
      <w:tr>
        <w:trPr/>
        <w:tc>
          <w:tcPr>
            <w:tcW w:w="255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2,703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2,052</w:t>
            </w:r>
          </w:p>
        </w:tc>
        <w:tc>
          <w:tcPr>
            <w:tcW w:w="75" w:type="dxa"/>
            <w:tcBorders/>
            <w:shd w:fill="CCEEFF" w:val="clear"/>
            <w:vAlign w:val="center"/>
          </w:tcPr>
          <w:p>
            <w:pPr>
              <w:pStyle w:val="TableContents"/>
              <w:bidi w:val="0"/>
              <w:spacing w:before="0" w:after="283"/>
              <w:jc w:val="left"/>
              <w:rPr/>
            </w:pPr>
            <w:r>
              <w:rPr/>
              <w:t> </w:t>
            </w:r>
            <w:bookmarkStart w:id="499" w:name="xdx_409_ecustom--FreightAndDelivery_pn3n"/>
            <w:bookmarkEnd w:id="499"/>
          </w:p>
        </w:tc>
      </w:tr>
      <w:tr>
        <w:trPr/>
        <w:tc>
          <w:tcPr>
            <w:tcW w:w="2555" w:type="dxa"/>
            <w:tcBorders/>
            <w:shd w:fill="FFFFFF" w:val="clear"/>
            <w:vAlign w:val="center"/>
          </w:tcPr>
          <w:p>
            <w:pPr>
              <w:pStyle w:val="TableContents"/>
              <w:bidi w:val="0"/>
              <w:spacing w:before="0" w:after="283"/>
              <w:jc w:val="left"/>
              <w:rPr/>
            </w:pPr>
            <w:r>
              <w:rPr/>
              <w:t>Freight and delivery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3,367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3,206</w:t>
            </w:r>
          </w:p>
        </w:tc>
        <w:tc>
          <w:tcPr>
            <w:tcW w:w="75" w:type="dxa"/>
            <w:tcBorders/>
            <w:shd w:fill="FFFFFF" w:val="clear"/>
            <w:vAlign w:val="center"/>
          </w:tcPr>
          <w:p>
            <w:pPr>
              <w:pStyle w:val="TableContents"/>
              <w:bidi w:val="0"/>
              <w:spacing w:before="0" w:after="283"/>
              <w:jc w:val="left"/>
              <w:rPr/>
            </w:pPr>
            <w:r>
              <w:rPr/>
              <w:t> </w:t>
            </w:r>
            <w:bookmarkStart w:id="500" w:name="xdx_408_ecustom--Warehousing_pn3n3_maOEz"/>
            <w:bookmarkEnd w:id="500"/>
          </w:p>
        </w:tc>
      </w:tr>
      <w:tr>
        <w:trPr/>
        <w:tc>
          <w:tcPr>
            <w:tcW w:w="2555" w:type="dxa"/>
            <w:tcBorders/>
            <w:shd w:fill="CCEEFF" w:val="clear"/>
            <w:vAlign w:val="center"/>
          </w:tcPr>
          <w:p>
            <w:pPr>
              <w:pStyle w:val="TableContents"/>
              <w:bidi w:val="0"/>
              <w:spacing w:before="0" w:after="283"/>
              <w:jc w:val="left"/>
              <w:rPr/>
            </w:pPr>
            <w:r>
              <w:rPr/>
              <w:t>Warehousing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931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998</w:t>
            </w:r>
          </w:p>
        </w:tc>
        <w:tc>
          <w:tcPr>
            <w:tcW w:w="75" w:type="dxa"/>
            <w:tcBorders/>
            <w:shd w:fill="CCEEFF" w:val="clear"/>
            <w:vAlign w:val="center"/>
          </w:tcPr>
          <w:p>
            <w:pPr>
              <w:pStyle w:val="TableContents"/>
              <w:bidi w:val="0"/>
              <w:spacing w:before="0" w:after="283"/>
              <w:jc w:val="left"/>
              <w:rPr/>
            </w:pPr>
            <w:r>
              <w:rPr/>
              <w:t> </w:t>
            </w:r>
            <w:bookmarkStart w:id="501" w:name="xdx_403_eus-gaap--OtherExpenses_pn3n3_ma"/>
            <w:bookmarkEnd w:id="501"/>
          </w:p>
        </w:tc>
      </w:tr>
      <w:tr>
        <w:trPr/>
        <w:tc>
          <w:tcPr>
            <w:tcW w:w="2555"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5,665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3,211</w:t>
            </w:r>
          </w:p>
        </w:tc>
        <w:tc>
          <w:tcPr>
            <w:tcW w:w="75" w:type="dxa"/>
            <w:tcBorders/>
            <w:shd w:fill="FFFFFF" w:val="clear"/>
            <w:vAlign w:val="center"/>
          </w:tcPr>
          <w:p>
            <w:pPr>
              <w:pStyle w:val="TableContents"/>
              <w:bidi w:val="0"/>
              <w:spacing w:before="0" w:after="283"/>
              <w:jc w:val="left"/>
              <w:rPr/>
            </w:pPr>
            <w:r>
              <w:rPr/>
              <w:t> </w:t>
            </w:r>
            <w:bookmarkStart w:id="502" w:name="xdx_408_eus-gaap--OperatingExpenses_pn3n"/>
            <w:bookmarkEnd w:id="502"/>
          </w:p>
        </w:tc>
      </w:tr>
      <w:tr>
        <w:trPr/>
        <w:tc>
          <w:tcPr>
            <w:tcW w:w="255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jc w:val="right"/>
              <w:rPr/>
            </w:pPr>
            <w:r>
              <w:rPr/>
              <w:t>17,071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jc w:val="right"/>
              <w:rPr/>
            </w:pPr>
            <w:r>
              <w:rPr/>
              <w:t>12,916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bookmarkStart w:id="503" w:name="xdx_8A6_zvFs9OlSkkbg"/>
      <w:bookmarkEnd w:id="50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4" w:name="xdx_80E_eus-gaap--SubsequentEventsTextBl"/>
      <w:bookmarkEnd w:id="504"/>
      <w:r>
        <w:rPr>
          <w:rFonts w:ascii="Times New Roman;Times;Serif" w:hAnsi="Times New Roman;Times;Serif"/>
          <w:b/>
          <w:i w:val="false"/>
          <w:caps w:val="false"/>
          <w:smallCaps w:val="false"/>
          <w:sz w:val="20"/>
        </w:rPr>
        <w:t xml:space="preserve">13. </w:t>
      </w:r>
      <w:bookmarkStart w:id="505" w:name="xdx_828_zmI1GYZx5mcj"/>
      <w:bookmarkEnd w:id="50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2025, the Company effected a </w:t>
      </w:r>
      <w:bookmarkStart w:id="506" w:name="xdx_90A_eus-gaap--StockholdersEquityReve"/>
      <w:bookmarkEnd w:id="506"/>
      <w:r>
        <w:rPr>
          <w:rFonts w:ascii="Times New Roman;Times;Serif" w:hAnsi="Times New Roman;Times;Serif"/>
          <w:b w:val="false"/>
          <w:i w:val="false"/>
          <w:caps w:val="false"/>
          <w:smallCaps w:val="false"/>
          <w:sz w:val="20"/>
        </w:rPr>
        <w:t>1-for-6 reverse stock split (the “Reverse Stock Split”) of the Company’s issued and outstanding shares of common stock. The Reverse Stock Split reduced the number of shares of the Company’s issued and outstanding common stock, as well as the number of shares subject to then-outstanding warrants and the exercise price thereof and the number of shares available for future issuance under the Company’s equity plans, the number of shares subject to such awards and purchase rights and the exercise and purchase price of, and other terms and conditions relating to, such awards and purchase rights. The conversion terms of the Preferred Stock have also been adjusted automatically such that each share of Series A Convertible Preferred Stock will be convertible into the number of shares of common stock that would have been issuable if all of the outstanding shares of Preferred Stock were converted into common stock immediately prior to the Reverse Stock Split. No fractional shares were distributed as a result of the Reverse Stock Split, and stockholders were entitled to a cash payment in lieu of fractional shares. The Reverse Stock Split did not affect the par value or total number of authorized shares of common stock. Accordingly, all share and per share amounts for all periods presented in the condensed consolidated financial statements have been adjusted retroactively, where applicable, to reflect the Reverse Stock Split.</w:t>
      </w:r>
    </w:p>
    <w:p>
      <w:pPr>
        <w:pStyle w:val="TextBody"/>
        <w:bidi w:val="0"/>
        <w:spacing w:before="0" w:after="0"/>
        <w:ind w:left="0" w:right="0" w:hanging="0"/>
        <w:jc w:val="both"/>
        <w:rPr>
          <w:caps w:val="false"/>
          <w:smallCaps w:val="false"/>
        </w:rPr>
      </w:pPr>
      <w:bookmarkStart w:id="507" w:name="xdx_81E_zYVhySuLlxml"/>
      <w:bookmarkEnd w:id="50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8" w:name="a_008"/>
      <w:bookmarkEnd w:id="50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discussion and analysis is intended to help the reader understand our results of operations and financial condition and is provided as an addition to, and should be read in connection with, our condensed financial statements and the accompanying notes. Some of the information contained in this discussion and analysis, including information with respect to our intentions, plans, objectives and expectations for our business, includes forward-looking statements that involve risks and uncertainties. You should review the sections titled “Cautionary Statements Regarding Forward-Looking Statements and Information” and “Risk Factors” in this Quarterly Report on Form 10-Q and in our 2024 Form 10-K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(loss), income (loss)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presented in the discussion below are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continued its focus on driving sales growth, improving gross margin, and reducing freight costs. The sales growth initiatives include channel expansion, in-store product placements, new product innovation and improved sales execution. The gross margin enhancement initiatives include product portfolio optimization, equitable supplier negotiations, streamlining co-packer processes, and efficient inventory management. Underpinning these initiatives is a focus on strategically reducing operating costs, particularly 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began an expansion into new geographic markets in the Asia Pacific region. The Company formed a wholly owned subsidiary Reed’s (Asia) Limited (BVI). Reed’s (Asia) Limited subsequently formed five additional wholly owned subsidiaries, Reed’s (Hong Kong) Limited, Reed’s (Japan) Limited, Jiangzhi Beverage (Hainan) Co. Limited, Reed’s Beverages (Singapore) PTE Limited, and Shenshen Jiangzi Beverage Co. Limited. These subsidiaries are an early part of the Company’s strategic expansion in the Asia Pacific region. The Company expects continued investment in its Asia Pacific growth initiative. Reed’s (Asia) Limited did not generate sales in the nine months ended September 30, 2025.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Trends –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U.S. economy continued to grow in the first half of 2025 and throughout 2024, inflation, actions by the Federal Reserve to address inflation, fluctuations in energy prices, and the potential impacts of tariffs, trade tensions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average cost of shipping and handling was $2.84 per case, as compared to $2.66 per case for the nine months ended September 30, 2024. The Company has experienced increases in freight costs and there remains a volatile pricing environment. The Company will continue to monitor pricing and availability in transportation and has implemented plans designed to manage this risk. In the past, the Company has been negatively impacted by supply chain challenges affecting our ability to benefit from strong demand for, and increased sales of our product. Any disruption caused by labor shortages, significant raw material cost inflation, logistics issues, increased freight costs, or port congestion, may adversely impact margins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we entered into a securities purchase agreement with six accredited investors for the issuance and sale in a private placement of 833,330 shares of our common stock, at a purchase price of $6.00 per share, for aggregate gross proceeds of $5,000 (the “September 2025 Private Placement”). The September 2025 Private Placement closed on September 15, 2025 (the “September 2025 PIPE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September 2025 Private Placement, we entered into a registration rights agreement, dated as of September 12, 2025, with the investors, pursuant to which we agreed to prepare and file a registration statement with the SEC registering the resale of the shares issued in September 2025 Private Placement. The registration statement was filed with the SEC on September 19, 2025, and declared effective on September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Senior Secured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entered into the Amended Loan Agreement governing the Senior Secured Loan with certain funds affiliated with Whitebox Advisors LLC, as lenders, and Cantor Fitzgerald Securities, as administrative agent and collateral agent. The Amended Loan Agreement (i) reduced the aggregate principal amount of the revolving credit commitment to $9,250 from $10,000, (ii) changed interest payments on the revolving loan to be due monthly in arrears from quarterly in arrears, (iii) and extended the maturity date to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2025, the Company effected a 1-for-6 reverse stock split (the “Reverse Stock Split”) of the Company’s issued and outstanding shares of common stock. The Reverse Stock Split reduced the number of shares of the Company’s issued and outstanding common stock, as well as the number of shares subject to then-outstanding warrants and the exercise price thereof and the number of shares available for future issuance under the Company’s equity plans, the number of shares subject to such awards and purchase rights and the exercise and purchase price of, and other terms and conditions relating to, such awards and purchase rights. The conversion terms of the Preferred Stock have also been adjusted automatically such that each share of Series A Convertible Preferred Stock will be convertible into the number of shares of common stock that would have been issuable if all of the outstanding shares of Preferred Stock were converted into common stock immediately prior to the Reverse Stock Split. No fractional shares were distributed as a result of the Reverse Stock Split, and stockholders were entitled to a cash payment in lieu of fractional shares. The Reverse Stock Split did not affect the par value or total number of authorized shares of common stock. See Note 13,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to our unaudited condensed financial statements included elsewhere in this Quarterly Report on Form 10-Q. The share and per share amounts included in this Quarterly Report on Form 10-Q have been adjusted to account for the anticipated Reverse Stock Split.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September 30, 2025, as compared to Three Months Ended September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three months ended September 30, 2025 and 2024, respectively, in thousands.</w:t>
      </w:r>
    </w:p>
    <w:p>
      <w:pPr>
        <w:pStyle w:val="TextBody"/>
        <w:bidi w:val="0"/>
        <w:spacing w:before="0" w:after="0"/>
        <w:ind w:left="0" w:right="0" w:hanging="0"/>
        <w:jc w:val="center"/>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5165"/>
        <w:gridCol w:w="60"/>
        <w:gridCol w:w="140"/>
        <w:gridCol w:w="845"/>
        <w:gridCol w:w="215"/>
        <w:gridCol w:w="60"/>
        <w:gridCol w:w="140"/>
        <w:gridCol w:w="800"/>
        <w:gridCol w:w="215"/>
        <w:gridCol w:w="60"/>
        <w:gridCol w:w="87"/>
        <w:gridCol w:w="668"/>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pPr>
            <w:r>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pPr>
            <w:r>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Gross billing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9,279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8,901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2,246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2,149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7,033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6,752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5,809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Gross billing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i/>
              </w:rPr>
            </w:pPr>
            <w:r>
              <w:rPr>
                <w:i/>
              </w:rPr>
              <w:t>63</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i/>
              </w:rPr>
            </w:pPr>
            <w:r>
              <w:rPr>
                <w:i/>
              </w:rPr>
              <w:t>62</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i/>
              </w:rPr>
            </w:pPr>
            <w:r>
              <w:rPr>
                <w:i/>
              </w:rPr>
              <w:t>83</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i/>
              </w:rPr>
            </w:pPr>
            <w:r>
              <w:rPr>
                <w:i/>
              </w:rPr>
              <w:t>82</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1,224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i/>
              </w:rPr>
            </w:pPr>
            <w:r>
              <w:rPr>
                <w:i/>
              </w:rPr>
              <w:t>17</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i/>
              </w:rPr>
            </w:pPr>
            <w:r>
              <w:rPr>
                <w:i/>
              </w:rPr>
              <w:t>18</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Delivery and handling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1,100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1,279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-14</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i/>
              </w:rPr>
            </w:pPr>
            <w:r>
              <w:rPr>
                <w:i/>
              </w:rPr>
              <w:t>16</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i/>
              </w:rPr>
            </w:pPr>
            <w:r>
              <w:rPr>
                <w:i/>
              </w:rPr>
              <w:t>19</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i/>
              </w:rPr>
            </w:pPr>
            <w:r>
              <w:rPr>
                <w:i/>
              </w:rPr>
              <w:t>Dollar per case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i/>
              </w:rPr>
            </w:pPr>
            <w:r>
              <w:rPr>
                <w:i/>
              </w:rPr>
              <w:t>$</w:t>
            </w:r>
          </w:p>
        </w:tc>
        <w:tc>
          <w:tcPr>
            <w:tcW w:w="845" w:type="dxa"/>
            <w:tcBorders/>
            <w:shd w:fill="FFFFFF" w:val="clear"/>
            <w:vAlign w:val="center"/>
          </w:tcPr>
          <w:p>
            <w:pPr>
              <w:pStyle w:val="TableContents"/>
              <w:bidi w:val="0"/>
              <w:spacing w:before="0" w:after="283"/>
              <w:jc w:val="right"/>
              <w:rPr>
                <w:i/>
              </w:rPr>
            </w:pPr>
            <w:r>
              <w:rPr>
                <w:i/>
              </w:rPr>
              <w:t>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i/>
              </w:rPr>
            </w:pPr>
            <w:r>
              <w:rPr>
                <w:i/>
              </w:rPr>
              <w:t>$</w:t>
            </w:r>
          </w:p>
        </w:tc>
        <w:tc>
          <w:tcPr>
            <w:tcW w:w="800" w:type="dxa"/>
            <w:tcBorders/>
            <w:shd w:fill="FFFFFF" w:val="clear"/>
            <w:vAlign w:val="center"/>
          </w:tcPr>
          <w:p>
            <w:pPr>
              <w:pStyle w:val="TableContents"/>
              <w:bidi w:val="0"/>
              <w:spacing w:before="0" w:after="283"/>
              <w:jc w:val="right"/>
              <w:rPr>
                <w:i/>
              </w:rPr>
            </w:pPr>
            <w:r>
              <w:rPr>
                <w:i/>
              </w:rPr>
              <w:t>2.99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1,366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i/>
              </w:rPr>
            </w:pPr>
            <w:r>
              <w:rPr>
                <w:i/>
              </w:rPr>
              <w:t>19</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i/>
              </w:rPr>
            </w:pPr>
            <w:r>
              <w:rPr>
                <w:i/>
              </w:rPr>
              <w:t>19</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2,861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60</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41</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27</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5,327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4,353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(4,103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Interest expense and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-112</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(3,982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(4,150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(0.48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8,248,157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844,402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877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however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from the third quarter of 2024 through the third quarter of 2025.</w:t>
      </w:r>
    </w:p>
    <w:p>
      <w:pPr>
        <w:pStyle w:val="TextBody"/>
        <w:bidi w:val="0"/>
        <w:spacing w:before="0" w:after="0"/>
        <w:ind w:left="0" w:right="0" w:hanging="0"/>
        <w:jc w:val="both"/>
        <w:rPr>
          <w:caps w:val="false"/>
          <w:smallCaps w:val="false"/>
        </w:rPr>
      </w:pPr>
      <w:r>
        <w:rPr>
          <w:caps w:val="false"/>
          <w:smallCaps w:val="false"/>
        </w:rPr>
        <w:t> </w:t>
      </w:r>
    </w:p>
    <w:tbl>
      <w:tblPr>
        <w:tblW w:w="14585" w:type="dxa"/>
        <w:jc w:val="left"/>
        <w:tblInd w:w="0" w:type="dxa"/>
        <w:tblLayout w:type="fixed"/>
        <w:tblCellMar>
          <w:top w:w="0" w:type="dxa"/>
          <w:left w:w="0" w:type="dxa"/>
          <w:bottom w:w="0" w:type="dxa"/>
          <w:right w:w="0" w:type="dxa"/>
        </w:tblCellMar>
      </w:tblPr>
      <w:tblGrid>
        <w:gridCol w:w="845"/>
        <w:gridCol w:w="60"/>
        <w:gridCol w:w="635"/>
        <w:gridCol w:w="60"/>
        <w:gridCol w:w="125"/>
        <w:gridCol w:w="590"/>
        <w:gridCol w:w="185"/>
        <w:gridCol w:w="60"/>
        <w:gridCol w:w="125"/>
        <w:gridCol w:w="590"/>
        <w:gridCol w:w="185"/>
        <w:gridCol w:w="60"/>
        <w:gridCol w:w="125"/>
        <w:gridCol w:w="545"/>
        <w:gridCol w:w="185"/>
        <w:gridCol w:w="60"/>
        <w:gridCol w:w="125"/>
        <w:gridCol w:w="650"/>
        <w:gridCol w:w="185"/>
        <w:gridCol w:w="60"/>
        <w:gridCol w:w="60"/>
        <w:gridCol w:w="290"/>
        <w:gridCol w:w="215"/>
        <w:gridCol w:w="60"/>
        <w:gridCol w:w="72"/>
        <w:gridCol w:w="353"/>
        <w:gridCol w:w="215"/>
        <w:gridCol w:w="60"/>
        <w:gridCol w:w="125"/>
        <w:gridCol w:w="590"/>
        <w:gridCol w:w="185"/>
        <w:gridCol w:w="60"/>
        <w:gridCol w:w="125"/>
        <w:gridCol w:w="590"/>
        <w:gridCol w:w="185"/>
        <w:gridCol w:w="60"/>
        <w:gridCol w:w="125"/>
        <w:gridCol w:w="545"/>
        <w:gridCol w:w="185"/>
        <w:gridCol w:w="60"/>
        <w:gridCol w:w="125"/>
        <w:gridCol w:w="650"/>
        <w:gridCol w:w="185"/>
        <w:gridCol w:w="60"/>
        <w:gridCol w:w="125"/>
        <w:gridCol w:w="440"/>
        <w:gridCol w:w="80"/>
        <w:gridCol w:w="60"/>
        <w:gridCol w:w="125"/>
        <w:gridCol w:w="440"/>
        <w:gridCol w:w="80"/>
        <w:gridCol w:w="60"/>
        <w:gridCol w:w="67"/>
        <w:gridCol w:w="208"/>
        <w:gridCol w:w="215"/>
        <w:gridCol w:w="60"/>
        <w:gridCol w:w="125"/>
        <w:gridCol w:w="440"/>
        <w:gridCol w:w="80"/>
        <w:gridCol w:w="60"/>
        <w:gridCol w:w="125"/>
        <w:gridCol w:w="440"/>
        <w:gridCol w:w="80"/>
        <w:gridCol w:w="60"/>
        <w:gridCol w:w="350"/>
        <w:gridCol w:w="230"/>
      </w:tblGrid>
      <w:tr>
        <w:trPr/>
        <w:tc>
          <w:tcPr>
            <w:tcW w:w="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61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2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61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Per Case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Per Case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vs PY</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vs PY</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vs PY</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vs PY</w:t>
            </w:r>
          </w:p>
        </w:tc>
        <w:tc>
          <w:tcPr>
            <w:tcW w:w="2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Virgil’s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 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Billing: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32,862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 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(984</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(784</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(2,149</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(4,643</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 Core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(6,627</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(8,716</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(5,809</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(21,152</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(6,182</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(8,043</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(5,537</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(19,762</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8,459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three months ended September 30, 2025, represents 100% of all beverage volume.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increased by 4% to $9,279 during the three months ended September 30, 2025, compared to $8,901 during the same period last year, driven by Reed’s volume increase of 17% offset by Virgil’s volume decline of 18%. The price on our core brands increased 1% to $21.03 per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were 24% during the three months ended September 30, 2025, compared to 24% in the same period last year. Net sales increased 4% during the three months ended September 30, 2025, to $7,033, compared to $6,752 in the same period last year driven by higher volumes with recurring national customers and substantially similar promotional and other allowances.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$272 during the three months ended September 30, 2025, as compared to the same period last year. As a percentage of net sales, cost of goods sold for the three months ended September 30, 2025, was 83% as compared to 82% for the same period last year. The increase in cost of goods sold was primarily driven by inventory write-offs related to changes in product portfolio optimization made by new management, in an amount of $114.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sold per case increased to $13.20 per case in the three months ended September 30, 2025, from $12.94 per case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17% for the three months ended September 30, 2025, compared to 18%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decreased by $179 in the three months ended September 30, 2025, to $1,100 from $1,279 in the same period last year, primarily driven by lower transportation costs. Delivery costs in the three months ended September 30, 2025, were 16% of net sales and $2.50 per case, compared to 19% of net sales and $2.99 per case during the same period last year.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$1,366 during the three months ended September 30, 2025, compared to $1,283 during the same period last year. The increase was primarily driven by higher employee related costs and marketing expenditures. As a percentage of net sales, selling and marketing costs were 19% during the three months ended September 30, 2025, as compared to 19%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were $2,861 in the three months ended September 30, 2025, an increase of $1,070 over the same period last year. As a percentage of net sales, general and administrative expenses were 41% during the three months ended September 30, 2025, as compared to 27% during the same period last year. The increase was driven by the Company’s investments in personnel and related services to support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$4,103 for the three months ended September 30, 2025, as compared to a loss of $3,138 in the same period last year driven by increased operating expenses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three months ended September 30, 2025, consisted of $274 of interest expense offset by $395 of other income. During the same period last year, interest and other expense consisted of $2,405 of interest expense offset by $1,393 change in the fair value of our SAFE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(loss), income (loss)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three months ended September 30, 2025 and 2024 (unaudited; in thousands):</w:t>
      </w:r>
    </w:p>
    <w:p>
      <w:pPr>
        <w:pStyle w:val="TextBody"/>
        <w:bidi w:val="0"/>
        <w:spacing w:before="0" w:after="0"/>
        <w:ind w:left="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4385"/>
        <w:gridCol w:w="60"/>
        <w:gridCol w:w="146"/>
        <w:gridCol w:w="666"/>
        <w:gridCol w:w="99"/>
        <w:gridCol w:w="62"/>
        <w:gridCol w:w="146"/>
        <w:gridCol w:w="666"/>
        <w:gridCol w:w="110"/>
      </w:tblGrid>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(3,982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(4,150</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Modified EBITDA adjustments: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64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71</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274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2,405</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Change in fair value of SAFE investments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(1,393</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Product quality hold write-down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Stock option and other noncash compensation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4</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Gain on sale of property and equipment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(5</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Employee retention credit refund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(324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Severance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144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Insurance payment on product quality claim</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EBITDA adjustments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57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Modified EBITDA</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pPr>
            <w:r>
              <w:rPr/>
              <w:t>(3,925</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Nine Months Ended September 30, 2025, as compared to Nine Months Ended September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nine months ended September 30, 2025 and 2024, respectively, in thousands.</w:t>
      </w:r>
    </w:p>
    <w:p>
      <w:pPr>
        <w:pStyle w:val="TextBody"/>
        <w:bidi w:val="0"/>
        <w:spacing w:before="0" w:after="0"/>
        <w:ind w:left="0" w:right="0" w:hanging="0"/>
        <w:jc w:val="both"/>
        <w:rPr>
          <w:caps w:val="false"/>
          <w:smallCaps w:val="false"/>
        </w:rPr>
      </w:pPr>
      <w:r>
        <w:rPr>
          <w:caps w:val="false"/>
          <w:smallCaps w:val="false"/>
        </w:rPr>
        <w:t> </w:t>
      </w:r>
    </w:p>
    <w:tbl>
      <w:tblPr>
        <w:tblW w:w="10132" w:type="dxa"/>
        <w:jc w:val="left"/>
        <w:tblInd w:w="0" w:type="dxa"/>
        <w:tblLayout w:type="fixed"/>
        <w:tblCellMar>
          <w:top w:w="0" w:type="dxa"/>
          <w:left w:w="0" w:type="dxa"/>
          <w:bottom w:w="0" w:type="dxa"/>
          <w:right w:w="0" w:type="dxa"/>
        </w:tblCellMar>
      </w:tblPr>
      <w:tblGrid>
        <w:gridCol w:w="5165"/>
        <w:gridCol w:w="60"/>
        <w:gridCol w:w="215"/>
        <w:gridCol w:w="1506"/>
        <w:gridCol w:w="330"/>
        <w:gridCol w:w="92"/>
        <w:gridCol w:w="215"/>
        <w:gridCol w:w="1229"/>
        <w:gridCol w:w="215"/>
        <w:gridCol w:w="60"/>
        <w:gridCol w:w="111"/>
        <w:gridCol w:w="704"/>
        <w:gridCol w:w="230"/>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Pct.</w:t>
            </w:r>
          </w:p>
        </w:tc>
        <w:tc>
          <w:tcPr>
            <w:tcW w:w="23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3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Gross billing (A)</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31,861</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32,864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Less: Promotional and other allowances (B)</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8" w:space="0" w:color="000000"/>
            </w:tcBorders>
            <w:shd w:fill="FFFFFF" w:val="clear"/>
            <w:tcMar>
              <w:bottom w:w="28" w:type="dxa"/>
            </w:tcMar>
            <w:vAlign w:val="center"/>
          </w:tcPr>
          <w:p>
            <w:pPr>
              <w:pStyle w:val="TableContents"/>
              <w:bidi w:val="0"/>
              <w:spacing w:before="0" w:after="283"/>
              <w:jc w:val="right"/>
              <w:rPr/>
            </w:pPr>
            <w:r>
              <w:rPr/>
              <w:t>5,276</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4,643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14</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pPr>
            <w:r>
              <w:rPr/>
              <w:t>26,585</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28,221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-6</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21,152</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19,762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7</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Gross billing</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i/>
              </w:rPr>
            </w:pPr>
            <w:r>
              <w:rPr>
                <w:i/>
              </w:rPr>
              <w:t>66</w:t>
            </w:r>
          </w:p>
        </w:tc>
        <w:tc>
          <w:tcPr>
            <w:tcW w:w="330" w:type="dxa"/>
            <w:tcBorders/>
            <w:shd w:fill="FFFFFF" w:val="clear"/>
            <w:vAlign w:val="center"/>
          </w:tcPr>
          <w:p>
            <w:pPr>
              <w:pStyle w:val="TableContents"/>
              <w:bidi w:val="0"/>
              <w:spacing w:before="0" w:after="283"/>
              <w:jc w:val="left"/>
              <w:rPr>
                <w:i/>
              </w:rPr>
            </w:pPr>
            <w:r>
              <w:rPr>
                <w:i/>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i/>
              </w:rPr>
            </w:pPr>
            <w:r>
              <w:rPr>
                <w:i/>
              </w:rPr>
              <w:t>60</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i/>
              </w:rPr>
            </w:pPr>
            <w:r>
              <w:rPr>
                <w:i/>
              </w:rPr>
              <w:t>80</w:t>
            </w:r>
          </w:p>
        </w:tc>
        <w:tc>
          <w:tcPr>
            <w:tcW w:w="330" w:type="dxa"/>
            <w:tcBorders/>
            <w:shd w:fill="CCEEFF" w:val="clear"/>
            <w:vAlign w:val="center"/>
          </w:tcPr>
          <w:p>
            <w:pPr>
              <w:pStyle w:val="TableContents"/>
              <w:bidi w:val="0"/>
              <w:spacing w:before="0" w:after="283"/>
              <w:jc w:val="left"/>
              <w:rPr>
                <w:i/>
              </w:rPr>
            </w:pPr>
            <w:r>
              <w:rPr>
                <w:i/>
              </w:rPr>
              <w:t>%</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i/>
              </w:rPr>
            </w:pPr>
            <w:r>
              <w:rPr>
                <w:i/>
              </w:rPr>
              <w:t>70</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06" w:type="dxa"/>
            <w:tcBorders>
              <w:bottom w:val="single" w:sz="8" w:space="0" w:color="000000"/>
            </w:tcBorders>
            <w:shd w:fill="FFFFFF" w:val="clear"/>
            <w:tcMar>
              <w:bottom w:w="28" w:type="dxa"/>
            </w:tcMar>
            <w:vAlign w:val="center"/>
          </w:tcPr>
          <w:p>
            <w:pPr>
              <w:pStyle w:val="TableContents"/>
              <w:bidi w:val="0"/>
              <w:spacing w:before="0" w:after="283"/>
              <w:jc w:val="right"/>
              <w:rPr/>
            </w:pPr>
            <w:r>
              <w:rPr/>
              <w:t>5,433</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8,459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i/>
              </w:rPr>
            </w:pPr>
            <w:r>
              <w:rPr>
                <w:i/>
              </w:rPr>
              <w:t>20</w:t>
            </w:r>
          </w:p>
        </w:tc>
        <w:tc>
          <w:tcPr>
            <w:tcW w:w="330" w:type="dxa"/>
            <w:tcBorders/>
            <w:shd w:fill="CCEEFF" w:val="clear"/>
            <w:vAlign w:val="center"/>
          </w:tcPr>
          <w:p>
            <w:pPr>
              <w:pStyle w:val="TableContents"/>
              <w:bidi w:val="0"/>
              <w:spacing w:before="0" w:after="283"/>
              <w:jc w:val="left"/>
              <w:rPr>
                <w:i/>
              </w:rPr>
            </w:pPr>
            <w:r>
              <w:rPr>
                <w:i/>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i/>
              </w:rPr>
            </w:pPr>
            <w:r>
              <w:rPr>
                <w:i/>
              </w:rPr>
              <w:t>30</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Delivery and handling</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506" w:type="dxa"/>
            <w:tcBorders/>
            <w:shd w:fill="FFFFFF" w:val="clear"/>
            <w:vAlign w:val="center"/>
          </w:tcPr>
          <w:p>
            <w:pPr>
              <w:pStyle w:val="TableContents"/>
              <w:bidi w:val="0"/>
              <w:spacing w:before="0" w:after="283"/>
              <w:jc w:val="right"/>
              <w:rPr/>
            </w:pPr>
            <w:r>
              <w:rPr/>
              <w:t>4,299</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4,204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w:t>
            </w:r>
          </w:p>
        </w:tc>
        <w:tc>
          <w:tcPr>
            <w:tcW w:w="23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i/>
              </w:rPr>
            </w:pPr>
            <w:r>
              <w:rPr>
                <w:i/>
              </w:rPr>
              <w:t>% of Net sales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i/>
              </w:rPr>
            </w:pPr>
            <w:r>
              <w:rPr>
                <w:i/>
              </w:rPr>
              <w:t>16</w:t>
            </w:r>
          </w:p>
        </w:tc>
        <w:tc>
          <w:tcPr>
            <w:tcW w:w="330" w:type="dxa"/>
            <w:tcBorders/>
            <w:shd w:fill="CCEEFF" w:val="clear"/>
            <w:vAlign w:val="center"/>
          </w:tcPr>
          <w:p>
            <w:pPr>
              <w:pStyle w:val="TableContents"/>
              <w:bidi w:val="0"/>
              <w:spacing w:before="0" w:after="283"/>
              <w:jc w:val="left"/>
              <w:rPr>
                <w:i/>
              </w:rPr>
            </w:pPr>
            <w:r>
              <w:rPr>
                <w:i/>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i/>
              </w:rPr>
            </w:pPr>
            <w:r>
              <w:rPr>
                <w:i/>
              </w:rPr>
              <w:t>15</w:t>
            </w:r>
          </w:p>
        </w:tc>
        <w:tc>
          <w:tcPr>
            <w:tcW w:w="215" w:type="dxa"/>
            <w:tcBorders/>
            <w:shd w:fill="CCEEFF" w:val="clear"/>
            <w:vAlign w:val="center"/>
          </w:tcPr>
          <w:p>
            <w:pPr>
              <w:pStyle w:val="TableContents"/>
              <w:bidi w:val="0"/>
              <w:spacing w:before="0" w:after="283"/>
              <w:jc w:val="left"/>
              <w:rPr>
                <w:i/>
              </w:rPr>
            </w:pPr>
            <w:r>
              <w:rPr>
                <w:i/>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i/>
              </w:rPr>
            </w:pPr>
            <w:r>
              <w:rPr>
                <w:i/>
              </w:rPr>
              <w:t>Dollar per case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i/>
              </w:rPr>
            </w:pPr>
            <w:r>
              <w:rPr>
                <w:i/>
              </w:rPr>
              <w:t>2.84</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i/>
              </w:rPr>
            </w:pPr>
            <w:r>
              <w:rPr>
                <w:i/>
              </w:rPr>
              <w:t>2.66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4,139</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3,473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i/>
              </w:rPr>
            </w:pPr>
            <w:r>
              <w:rPr>
                <w:i/>
              </w:rPr>
              <w:t>16</w:t>
            </w:r>
          </w:p>
        </w:tc>
        <w:tc>
          <w:tcPr>
            <w:tcW w:w="330" w:type="dxa"/>
            <w:tcBorders/>
            <w:shd w:fill="FFFFFF" w:val="clear"/>
            <w:vAlign w:val="center"/>
          </w:tcPr>
          <w:p>
            <w:pPr>
              <w:pStyle w:val="TableContents"/>
              <w:bidi w:val="0"/>
              <w:spacing w:before="0" w:after="283"/>
              <w:jc w:val="left"/>
              <w:rPr>
                <w:i/>
              </w:rPr>
            </w:pPr>
            <w:r>
              <w:rPr>
                <w:i/>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i/>
              </w:rPr>
            </w:pPr>
            <w:r>
              <w:rPr>
                <w:i/>
              </w:rPr>
              <w:t>12</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8,633</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5,239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65</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i/>
              </w:rPr>
            </w:pPr>
            <w:r>
              <w:rPr>
                <w:i/>
              </w:rPr>
              <w:t>% of Net sales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32</w:t>
            </w:r>
          </w:p>
        </w:tc>
        <w:tc>
          <w:tcPr>
            <w:tcW w:w="330" w:type="dxa"/>
            <w:tcBorders/>
            <w:shd w:fill="FFFFFF" w:val="clear"/>
            <w:vAlign w:val="center"/>
          </w:tcPr>
          <w:p>
            <w:pPr>
              <w:pStyle w:val="TableContents"/>
              <w:bidi w:val="0"/>
              <w:spacing w:before="0" w:after="283"/>
              <w:jc w:val="left"/>
              <w:rPr>
                <w:i/>
              </w:rPr>
            </w:pPr>
            <w:r>
              <w:rPr>
                <w:i/>
              </w:rPr>
              <w:t>%</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i/>
              </w:rPr>
            </w:pPr>
            <w:r>
              <w:rPr>
                <w:i/>
              </w:rPr>
              <w:t>19</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pPr>
            <w:r>
              <w:rPr/>
              <w:t>17,071</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12,916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32</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(11,638</w:t>
            </w:r>
          </w:p>
        </w:tc>
        <w:tc>
          <w:tcPr>
            <w:tcW w:w="330"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(4,457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161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Interest expense and other income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pPr>
            <w:r>
              <w:rPr/>
              <w:t>(423</w:t>
            </w:r>
          </w:p>
        </w:tc>
        <w:tc>
          <w:tcPr>
            <w:tcW w:w="330"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(4,578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-91</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6" w:type="dxa"/>
            <w:tcBorders>
              <w:bottom w:val="double" w:sz="6" w:space="0" w:color="000000"/>
            </w:tcBorders>
            <w:shd w:fill="CCEEFF" w:val="clear"/>
            <w:tcMar>
              <w:bottom w:w="28" w:type="dxa"/>
            </w:tcMar>
            <w:vAlign w:val="center"/>
          </w:tcPr>
          <w:p>
            <w:pPr>
              <w:pStyle w:val="TableContents"/>
              <w:bidi w:val="0"/>
              <w:spacing w:before="0" w:after="283"/>
              <w:jc w:val="right"/>
              <w:rPr/>
            </w:pPr>
            <w:r>
              <w:rPr/>
              <w:t>(12,061</w:t>
            </w:r>
          </w:p>
        </w:tc>
        <w:tc>
          <w:tcPr>
            <w:tcW w:w="330"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r>
              <w:rPr/>
              <w:t>(9,035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33</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330"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(12.10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-87</w:t>
            </w:r>
          </w:p>
        </w:tc>
        <w:tc>
          <w:tcPr>
            <w:tcW w:w="23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Weighted average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7,848,471</w:t>
            </w:r>
          </w:p>
        </w:tc>
        <w:tc>
          <w:tcPr>
            <w:tcW w:w="33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747,265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950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however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nine months ended September 30, 2025, represents 100% of all beverage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decreased by 3% to $31,861 during the nine months ended September 30, 2025, compared to $32,862 during the same period last year, driven by Virgil’s volume decline of 10%. Price on our core brands increased 1% to $21.03 per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sales were 17% during the nine months ended September 30, 2025, compared to 14% in the same period last year. Net sales decreased 6% during the nine months ended September 30, 2025, to $26,585, compared to $28,221 in the same period last year driven by lower volumes with recurring national customers and higher promotional and other allowances.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$1,390 during the nine months ended September 30, 2025, as compared to the same period last year. As a percentage of net sales, cost of goods sold for the nine months ended September 30, 2025, was 80% as compared to 70% for the same period last year. The increase in cost of goods sold was primarily driven by inventory write-offs related to changes in product portfolio optimization made by new management, in an amount of $1,775.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increased to $13.96 per case in the nine months ended September 30, 2025, from $12.51 per case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20% for the nine months ended September 30, 2024, compared to 30%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increased by $95 in the nine months ended September 30, 2025, to $4,299 from $4,204 in the same period last year, primarily driven by higher transportation costs. Delivery costs in the nine months ended September 30, 2025, were 16% of net sales and $2.84 per case, compared to 15% of net sales and $2.66 per case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$4,139 during the nine months ended September 30, 2025, compared to $3,473 during the same period last year. The increase was primarily driven by higher employee related costs and marketing expenditures. As a percentage of net sales, selling and marketing were 16% of net sales during the nine months ended September 30, 2025, as compared to 12% of net sales during the same period last year.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were $8,633 during the nine months ended September 30, 2025, an increase of $3,394 over the same period last year. As a percentage of net sales, general and administrative expenses were 32% during the nine months ended September 30, 2025, as compared to 19% during the same period last year. The increase was driven by contract proceedings costs and the Company’s investments in personnel and related services to support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$11,638 for the nine months ended September 30, 2025, as compared to a loss of $4,457 in the same period last year driven by lower gross profit and higher operating expenses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expense for the nine months ended September 30, 2025, consisted of $864 of interest expense offset by $441 of other income. During the same period last year, interest and other expense consisted of $4,578 of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legal and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nine months ended September 30, 2025 and 2024 (unaudited; in thousands):</w:t>
      </w:r>
    </w:p>
    <w:p>
      <w:pPr>
        <w:pStyle w:val="TextBody"/>
        <w:bidi w:val="0"/>
        <w:spacing w:before="0" w:after="0"/>
        <w:ind w:left="0" w:right="0" w:hanging="0"/>
        <w:jc w:val="left"/>
        <w:rPr>
          <w:caps w:val="false"/>
          <w:smallCaps w:val="false"/>
        </w:rPr>
      </w:pPr>
      <w:r>
        <w:rPr>
          <w:caps w:val="false"/>
          <w:smallCaps w:val="false"/>
        </w:rPr>
        <w:t> </w:t>
      </w:r>
    </w:p>
    <w:tbl>
      <w:tblPr>
        <w:tblW w:w="8143" w:type="dxa"/>
        <w:jc w:val="left"/>
        <w:tblInd w:w="0" w:type="dxa"/>
        <w:tblLayout w:type="fixed"/>
        <w:tblCellMar>
          <w:top w:w="0" w:type="dxa"/>
          <w:left w:w="0" w:type="dxa"/>
          <w:bottom w:w="0" w:type="dxa"/>
          <w:right w:w="0" w:type="dxa"/>
        </w:tblCellMar>
      </w:tblPr>
      <w:tblGrid>
        <w:gridCol w:w="4385"/>
        <w:gridCol w:w="60"/>
        <w:gridCol w:w="275"/>
        <w:gridCol w:w="1485"/>
        <w:gridCol w:w="186"/>
        <w:gridCol w:w="118"/>
        <w:gridCol w:w="275"/>
        <w:gridCol w:w="1249"/>
        <w:gridCol w:w="11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6"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485" w:type="dxa"/>
            <w:tcBorders/>
            <w:shd w:fill="CCEEFF" w:val="clear"/>
            <w:vAlign w:val="center"/>
          </w:tcPr>
          <w:p>
            <w:pPr>
              <w:pStyle w:val="TableContents"/>
              <w:bidi w:val="0"/>
              <w:spacing w:before="0" w:after="283"/>
              <w:jc w:val="right"/>
              <w:rPr/>
            </w:pPr>
            <w:r>
              <w:rPr/>
              <w:t>(12,061</w:t>
            </w:r>
          </w:p>
        </w:tc>
        <w:tc>
          <w:tcPr>
            <w:tcW w:w="186"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(9,035</w:t>
            </w:r>
          </w:p>
        </w:tc>
        <w:tc>
          <w:tcPr>
            <w:tcW w:w="1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Modified EBITDA adjustments: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156</w:t>
            </w:r>
          </w:p>
        </w:tc>
        <w:tc>
          <w:tcPr>
            <w:tcW w:w="18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209</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w:t>
            </w:r>
          </w:p>
        </w:tc>
        <w:tc>
          <w:tcPr>
            <w:tcW w:w="18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864</w:t>
            </w:r>
          </w:p>
        </w:tc>
        <w:tc>
          <w:tcPr>
            <w:tcW w:w="18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4,578</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Product quality hold write-down</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w:t>
            </w:r>
          </w:p>
        </w:tc>
        <w:tc>
          <w:tcPr>
            <w:tcW w:w="18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44</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Stock option and other noncash compensation</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60</w:t>
            </w:r>
          </w:p>
        </w:tc>
        <w:tc>
          <w:tcPr>
            <w:tcW w:w="18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268</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208</w:t>
            </w:r>
          </w:p>
        </w:tc>
        <w:tc>
          <w:tcPr>
            <w:tcW w:w="18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334</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Severance expense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147</w:t>
            </w:r>
          </w:p>
        </w:tc>
        <w:tc>
          <w:tcPr>
            <w:tcW w:w="18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42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Contract proceedings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850</w:t>
            </w:r>
          </w:p>
        </w:tc>
        <w:tc>
          <w:tcPr>
            <w:tcW w:w="18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Gain on sale of property and equipment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(5</w:t>
            </w:r>
          </w:p>
        </w:tc>
        <w:tc>
          <w:tcPr>
            <w:tcW w:w="186"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Employee retention credit refund</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(324</w:t>
            </w:r>
          </w:p>
        </w:tc>
        <w:tc>
          <w:tcPr>
            <w:tcW w:w="186"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Insurance payment on product quality claim</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(100</w:t>
            </w:r>
          </w:p>
        </w:tc>
        <w:tc>
          <w:tcPr>
            <w:tcW w:w="186"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Legal settlements</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8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pPr>
            <w:r>
              <w:rPr/>
              <w:t>170</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Total EBITDA adjustments</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pPr>
            <w:r>
              <w:rPr/>
              <w:t>1,856</w:t>
            </w:r>
          </w:p>
        </w:tc>
        <w:tc>
          <w:tcPr>
            <w:tcW w:w="18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5,712</w:t>
            </w:r>
          </w:p>
        </w:tc>
        <w:tc>
          <w:tcPr>
            <w:tcW w:w="1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Modified EBITDA</w:t>
            </w:r>
          </w:p>
        </w:tc>
        <w:tc>
          <w:tcPr>
            <w:tcW w:w="60"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pPr>
            <w:r>
              <w:rPr/>
              <w:t>(10,205</w:t>
            </w:r>
          </w:p>
        </w:tc>
        <w:tc>
          <w:tcPr>
            <w:tcW w:w="186"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pPr>
            <w:r>
              <w:rPr/>
              <w:t>(3,323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financial statements included elsewhere in this Quarterly Report on Form 10-Q, for the nine months ended September 30, 2025, the Company recorded a net loss of $12,061 and used cash in operations of $13,230. Cash used in operations was primarily from our operating losses as well as for working capital, as the Company invested $3,443 in inventory to more effectively fulfill customer demand, and investment in strategic growth initiatives. As of September 30, 2025, we had a cash balance of $4,136 and no remaining availability under our Senior Secured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existing cash balances, cash generated from operations, public and private issuance of common stock, preferred stock, convertible debt instruments, term loans and credit lines from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the Company completed a private placement with certain accredited investors, pursuant to which the Company issued and sold to the investors an aggregate of 833,330 common shares for total consideration of $5,000 (see Note 7).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entered into the Amended Loan Agreement governing the Senior Secured Loan with certain funds affiliated with Whitebox Advisors LLC, as lenders, and Cantor Fitzgerald Securities, as administrative agent and collateral agent. The Amended Loan Agreement (i) reduced the aggregate principal amount of the revolving credit commitment to $9,250 from $10,000, (ii) changed interest payments on the revolving loan to be due monthly in arrears from quarterly in arrears, (iii) and extended the maturity date to September 30, 2026. The Senior Secured Loan accrues interest at a per annum rate equal to 8.00% on the principal amount outstanding, payable monthly in arrears. The Senior Secured Loan also accrues an unused fee at a rate per annum equal to 3.00% on the excess, if any, of the revolving credit commitment over the average principal amount outstanding from time to time during the preceding fiscal quarter, payable monthly in arrears. The Senior Secured Loan is secured by substantially all of the Company’s assets, including all intellectual property.</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Amended Loan Agreement, the Company repaid $650 of the aggregate outstanding principal balance, plus accrued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the principal amount outstanding on the Senior Secured Loan was $9,250 and $9,900, respectively, and the remaining availability was $0 and $100,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agreement with Whitebox includes customary restrictions that limit our ability to engage in certain types of transactions. Additionally, the agreement contains a financial covenant that requires us to meet a certain minimum cash balance and liquidity threshold as of the end of each month. We were in compliance with the terms of our agreement with Whitebox as of September 30, 2025 and December 31, 2024.</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$410 of direct costs associated with the Senior Secured Loan transaction, consisting primarily of broker, bank and legal fees. These costs have been deferred and are being amortized over the life of the agreement. The unamortized debt discount balance was $329 at December 31, 2024. For the nine months ended September 30, 2025, the company incurred $34 of additional fees, and the amortization of debt discount was $239. The unamortized debt discount balance was $90 at September 30, 2025. Additionally, in connection with the Amended Loan Agreement, the Company incurred 40 of direct costs, which were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that the Company’s existing cash of $4,136, cash generated from operations, and access to committed financing will be sufficient to fund the Company’s operating plan, which was approved by the Board of Directors in January 2025, for at least twelve months from the date of issuance of the financial statements included elsewhere in this Quarterly Report on Form 10-Q;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continuing to take actions to improve the Company’s operating performance and cash generated from operations, including product portfolio optimization, implementing strategies to increase sales, streamlining operations, improving supply chains, negotiating equitable vendor contracts, and managing product price architecture. However, we may be unsuccessful in executing these actions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whenever necessary or otherwise improve its operating performance or generation of cash from operations, it may be forced to decelerate or curtail certain of its operations until such time as additional capital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totaled $13,230 for the nine months ended September 30, 2025, compared to $2,254 for the nine months ended September 30, 2024. The increase in net cash used in operating activities was primarily driven by operating losses, working capital, and investment in strategic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totaled $172 for the nine months ended September 30, 2025, compared to $58 for the nine months ended September 30, 2024. The increase in net cash used in investing activities was primarily driven by purchases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$7,147 for the nine months ended September 30, 2025, compared to $2,015 net cash provided by financing activities for the nine months ended September 30, 2024. The net cash provided by financing activities in the nine months ended September 30, 2025 was primarily driven by proceeds from the sale of common stock in two private placements. The net cash provided by financing activities in the nine months ended September 30, 2024 was primarily driven by proceeds from the issuance of a SAFE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2024 Form 10-K that impacted our condensed financial statements and related notes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Notes to Condensed Financial Statements included elsewhere in this Quarterly Report on Form 10-Q for a discussion of recent accounting pronouncements.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9" w:name="a_009"/>
      <w:bookmarkEnd w:id="50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smaller reporting company is not required to provide the information required by this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0" w:name="a_010"/>
      <w:bookmarkEnd w:id="51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September 30, 2025,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September 30, 2025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1" w:name="a_011"/>
      <w:bookmarkEnd w:id="511"/>
      <w:r>
        <w:rPr>
          <w:rFonts w:ascii="Times New Roman;Times;Serif" w:hAnsi="Times New Roman;Times;Serif"/>
          <w:b/>
          <w:i w:val="false"/>
          <w:caps w:val="false"/>
          <w:smallCaps w:val="false"/>
          <w:sz w:val="20"/>
        </w:rPr>
        <w:t>PART II –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2" w:name="a_012"/>
      <w:bookmarkEnd w:id="51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ordinary, routine litigation incidental to our business, including routine litigations matters tendered to our insurance carriers. Our management evaluates our exposure to these claims and proceedings individually and in the aggregate and provides for potential losses on such litigation if the amount of the loss is estimable and the loss is probable. Although the results of such litigation matters and claims cannot be predicted with certainty, we believe that the final outcome of such ordinary, routine litigation will not have a material adverse impact on our financial position, liquidity,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legal proceedings see Note 10 “Transactions with California Custom Beverage, LLC, former related party” and Note 11 “Commitments and Contingencies” to our unaudited interim financial statements included elsewhere in this Quarterly Report on Form 10-Q. We believe there are currently no pending legal proceedings to which we or our property are subject that could have a material adverse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3" w:name="a_013"/>
      <w:bookmarkEnd w:id="51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Except as set forth below, there have been no material changes with respect to the risk factors disclosed in our 2024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Senior Secured Loan matures in September 2026 and we may not be able to secure refinancing or additional financing on favorable terms, or at all, to meet our future capital needs, which may in turn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Secured Loan is due on September 30, 2026. The Senior Secured Loan provides a revolving credit commitment in an aggregate amount of $9,250 and, as of September 30, 2025, the principal amount outstanding was $9,250 and the remaining availability was $0. The Senior Secured Loan accrues interest at a per annum rate equal to 8.00% on the principal amount outstanding, payable monthly in arrears. The Senior Secured Loan also accrues an unused fee at a rate per annum equal to 3.00% on the excess, if any, of the revolving credit commitment over the average principal amount outstanding from time to time during the preceding fiscal quarter, payable monthly in arrears. The Senior Secured Loan is secured by substantially all of the Company’s assets, including all intellectual property. There can be no assurance that the Company will be able to refinance the Senior Secured Loan on favorable terms or at all. If we are unable to secure refinancing on favorable terms, or at all, our ability to continue to operate our business could be impaired, which would adversely affect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unable to secure additional financing on favorable terms, or at all, when we require it, our ability to continue to grow our business or react to market conditions could be impaired and in turn adversely affect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expand, grow and develop our business, which may require additional capital to develop new products, enhance our platform, expand distribution, improve our operating infrastructure, react to market conditions and finance working capital requirements.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which would adversely affect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face difficulties as we expand our operations into new markets in which we have no prior operating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work to grow our brand, we intend to enter into new markets, including eventually expanding into countries other than those in which we currently operate, including our recent expansion into new geographic markets in the Asia Pacific region. It may be difficult for us to understand and accurately predict taste preferences and purchasing habits of consumers in these new geographic markets. We will also face increased competition with larger competitors who have stronger established brands in such markets. The political, legal and social systems of certain territories pose difficult challenges related to establishing and maintaining control and ownership of our brand and intellectual property, as well as mitigating the risk of diverted sales to other territories and/or sales diverted into the U.S. It is also costly to establish, develop and maintain international operations and develop and promote our brands in international markets and we may face adverse tax consequences, tariffs, and barriers to trade. As we expand our business into new countries, we may encounter regulatory, legal, personnel, technological and other difficulties that increase our expenses and/or delay our ability to become profitable and compete effectively in such countries, which may have a material adverse effect on our business and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4" w:name="a_014"/>
      <w:bookmarkEnd w:id="51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that have not been previously disclosed in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5" w:name="a_015"/>
      <w:bookmarkEnd w:id="51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6" w:name="a_016"/>
      <w:bookmarkEnd w:id="51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7" w:name="a_017"/>
      <w:bookmarkEnd w:id="51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During the three months ended September 30, 2025, none of our directors or executive officers </w:t>
      </w:r>
      <w:bookmarkStart w:id="518" w:name="xdx_906_eecd--NonRule10b51ArrAdoptedFlag"/>
      <w:bookmarkStart w:id="519" w:name="xdx_904_eecd--Rule10b51ArrAdoptedFlag_db"/>
      <w:bookmarkEnd w:id="518"/>
      <w:bookmarkEnd w:id="519"/>
      <w:r>
        <w:rPr>
          <w:rFonts w:ascii="Times New Roman;Times;Serif" w:hAnsi="Times New Roman;Times;Serif"/>
          <w:b w:val="false"/>
          <w:i w:val="false"/>
          <w:caps w:val="false"/>
          <w:smallCaps w:val="false"/>
          <w:sz w:val="20"/>
        </w:rPr>
        <w:t>adopted</w:t>
      </w:r>
      <w:r>
        <w:rPr>
          <w:rFonts w:ascii="Times New Roman;Times;Serif" w:hAnsi="Times New Roman;Times;Serif"/>
          <w:b w:val="false"/>
          <w:i w:val="false"/>
          <w:caps w:val="false"/>
          <w:smallCaps w:val="false"/>
          <w:sz w:val="20"/>
          <w:shd w:fill="FFFFFF" w:val="clear"/>
        </w:rPr>
        <w:t xml:space="preserve">, </w:t>
      </w:r>
      <w:bookmarkStart w:id="520" w:name="xdx_909_ecustom--NonRule10b51ArrModified"/>
      <w:bookmarkStart w:id="521" w:name="xdx_901_ecustom--Rule10b51ArrModifiedFla"/>
      <w:bookmarkEnd w:id="520"/>
      <w:bookmarkEnd w:id="521"/>
      <w:r>
        <w:rPr>
          <w:rFonts w:ascii="Times New Roman;Times;Serif" w:hAnsi="Times New Roman;Times;Serif"/>
          <w:b w:val="false"/>
          <w:i w:val="false"/>
          <w:caps w:val="false"/>
          <w:smallCaps w:val="false"/>
          <w:sz w:val="20"/>
          <w:shd w:fill="FFFFFF" w:val="clear"/>
        </w:rPr>
        <w:t xml:space="preserve">modified or </w:t>
      </w:r>
      <w:bookmarkStart w:id="522" w:name="xdx_907_eecd--NonRule10b51ArrTrmntdFlag_"/>
      <w:bookmarkStart w:id="523" w:name="xdx_90E_eecd--Rule10b51ArrTrmntdFlag_dbF"/>
      <w:bookmarkEnd w:id="522"/>
      <w:bookmarkEnd w:id="523"/>
      <w:r>
        <w:rPr>
          <w:rFonts w:ascii="Times New Roman;Times;Serif" w:hAnsi="Times New Roman;Times;Serif"/>
          <w:b w:val="false"/>
          <w:i w:val="false"/>
          <w:caps w:val="false"/>
          <w:smallCaps w:val="false"/>
          <w:sz w:val="20"/>
        </w:rPr>
        <w:t xml:space="preserve">terminated </w:t>
      </w:r>
      <w:r>
        <w:rPr>
          <w:rFonts w:ascii="Times New Roman;Times;Serif" w:hAnsi="Times New Roman;Times;Serif"/>
          <w:b w:val="false"/>
          <w:i w:val="false"/>
          <w:caps w:val="false"/>
          <w:smallCaps w:val="false"/>
          <w:sz w:val="20"/>
          <w:shd w:fill="FFFFFF" w:val="clear"/>
        </w:rPr>
        <w:t>a “Rule 10b5-1 trading arrangement” or a “non-Rule 10b5-1 trading arrangement” as such terms are defined under Item 408 of Regulation 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4" w:name="a_018"/>
      <w:bookmarkEnd w:id="52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Exhibits.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15(a)(3)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exhibits filed as part of this Form 10-Q. The documents incorporated by reference can be viewed on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w:t>
            </w:r>
          </w:p>
        </w:tc>
        <w:tc>
          <w:tcPr>
            <w:tcW w:w="9784"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Certificate of Incorporation of Reeds, Inc., incorporated by reference to Exhibit 3(i) to Form 10-K filed with SEC on March 28, 2025.</w:t>
              </w:r>
            </w:hyperlink>
          </w:p>
        </w:tc>
      </w:tr>
      <w:tr>
        <w:trPr/>
        <w:tc>
          <w:tcPr>
            <w:tcW w:w="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3(ii)</w:t>
            </w:r>
          </w:p>
        </w:tc>
        <w:tc>
          <w:tcPr>
            <w:tcW w:w="9784"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Reed’s, Inc. incorporated by reference to Exhibit 3(ii) to Form 10-K filed with SEC on March 28, 2025.</w:t>
              </w:r>
            </w:hyperlink>
          </w:p>
        </w:tc>
      </w:tr>
      <w:tr>
        <w:trPr/>
        <w:tc>
          <w:tcPr>
            <w:tcW w:w="421" w:type="dxa"/>
            <w:tcBorders/>
            <w:vAlign w:val="center"/>
          </w:tcPr>
          <w:p>
            <w:pPr>
              <w:pStyle w:val="TableContents"/>
              <w:bidi w:val="0"/>
              <w:spacing w:before="0" w:after="283"/>
              <w:jc w:val="left"/>
              <w:rPr>
                <w:sz w:val="20"/>
              </w:rPr>
            </w:pPr>
            <w:r>
              <w:rPr>
                <w:sz w:val="20"/>
              </w:rPr>
              <w:t>10.1</w:t>
            </w:r>
          </w:p>
        </w:tc>
        <w:tc>
          <w:tcPr>
            <w:tcW w:w="9784" w:type="dxa"/>
            <w:tcBorders/>
            <w:vAlign w:val="center"/>
          </w:tcPr>
          <w:p>
            <w:pPr>
              <w:pStyle w:val="TableContents"/>
              <w:bidi w:val="0"/>
              <w:spacing w:before="0" w:after="283"/>
              <w:jc w:val="both"/>
              <w:rPr/>
            </w:pPr>
            <w:hyperlink r:id="rId4">
              <w:r>
                <w:rPr>
                  <w:rStyle w:val="InternetLink"/>
                  <w:sz w:val="20"/>
                </w:rPr>
                <w:t xml:space="preserve">Form of Securities Purchase Agreement by and between Reed’s, Inc. and certain accredited investors dated September 12, 2025, incorporated by reference to Exhibit 10.1 to Form 8-K filed with the SEC on September 16, 2025. </w:t>
              </w:r>
            </w:hyperlink>
          </w:p>
        </w:tc>
      </w:tr>
      <w:tr>
        <w:trPr/>
        <w:tc>
          <w:tcPr>
            <w:tcW w:w="421" w:type="dxa"/>
            <w:tcBorders/>
            <w:vAlign w:val="center"/>
          </w:tcPr>
          <w:p>
            <w:pPr>
              <w:pStyle w:val="TableContents"/>
              <w:bidi w:val="0"/>
              <w:spacing w:before="0" w:after="283"/>
              <w:jc w:val="left"/>
              <w:rPr>
                <w:sz w:val="20"/>
              </w:rPr>
            </w:pPr>
            <w:r>
              <w:rPr>
                <w:sz w:val="20"/>
              </w:rPr>
              <w:t>10.2</w:t>
            </w:r>
          </w:p>
        </w:tc>
        <w:tc>
          <w:tcPr>
            <w:tcW w:w="9784" w:type="dxa"/>
            <w:tcBorders/>
            <w:vAlign w:val="center"/>
          </w:tcPr>
          <w:p>
            <w:pPr>
              <w:pStyle w:val="TableContents"/>
              <w:bidi w:val="0"/>
              <w:spacing w:before="0" w:after="283"/>
              <w:jc w:val="both"/>
              <w:rPr/>
            </w:pPr>
            <w:hyperlink r:id="rId5">
              <w:r>
                <w:rPr>
                  <w:rStyle w:val="InternetLink"/>
                  <w:sz w:val="20"/>
                </w:rPr>
                <w:t xml:space="preserve">Form of Registration Rights Agreement by and between Reed’s, Inc. and certain accredited investors dated September 12, 2025, incorporated by reference to Exhibit 10.2 to Form 8-K filed with the SEC on September 16, 2025. </w:t>
              </w:r>
            </w:hyperlink>
          </w:p>
        </w:tc>
      </w:tr>
      <w:tr>
        <w:trPr/>
        <w:tc>
          <w:tcPr>
            <w:tcW w:w="421" w:type="dxa"/>
            <w:tcBorders/>
            <w:vAlign w:val="center"/>
          </w:tcPr>
          <w:p>
            <w:pPr>
              <w:pStyle w:val="TableContents"/>
              <w:bidi w:val="0"/>
              <w:spacing w:before="0" w:after="283"/>
              <w:jc w:val="left"/>
              <w:rPr>
                <w:sz w:val="20"/>
              </w:rPr>
            </w:pPr>
            <w:r>
              <w:rPr>
                <w:sz w:val="20"/>
              </w:rPr>
              <w:t>10.3+</w:t>
            </w:r>
          </w:p>
        </w:tc>
        <w:tc>
          <w:tcPr>
            <w:tcW w:w="9784" w:type="dxa"/>
            <w:tcBorders/>
            <w:vAlign w:val="center"/>
          </w:tcPr>
          <w:p>
            <w:pPr>
              <w:pStyle w:val="TableContents"/>
              <w:bidi w:val="0"/>
              <w:spacing w:before="0" w:after="283"/>
              <w:jc w:val="both"/>
              <w:rPr/>
            </w:pPr>
            <w:hyperlink r:id="rId6">
              <w:r>
                <w:rPr>
                  <w:rStyle w:val="InternetLink"/>
                  <w:sz w:val="20"/>
                </w:rPr>
                <w:t>Amendment No. 1 to Senior Secured Loan and Security Agreement, by and between Reed’s, Inc., the Guarantors party thereto, and Cantor Fitzgerald Securities, as administrative agent and collateral agent, dated September 26, 2025, incorporated by reference to Exhibit 10.1 to Form 8-K filed with the SEC on September 26, 2025.</w:t>
              </w:r>
            </w:hyperlink>
          </w:p>
        </w:tc>
      </w:tr>
      <w:tr>
        <w:trPr/>
        <w:tc>
          <w:tcPr>
            <w:tcW w:w="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784" w:type="dxa"/>
            <w:tcBorders/>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Certification of our Chief Executive Officer and our Chief Financial Officer pursuant to Section 302 of the Sarbanes-Oxley Act of 2002.</w:t>
              </w:r>
            </w:hyperlink>
          </w:p>
        </w:tc>
      </w:tr>
      <w:tr>
        <w:trPr/>
        <w:tc>
          <w:tcPr>
            <w:tcW w:w="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784" w:type="dxa"/>
            <w:tcBorders/>
            <w:vAlign w:val="center"/>
          </w:tcPr>
          <w:p>
            <w:pPr>
              <w:pStyle w:val="TableContents"/>
              <w:bidi w:val="0"/>
              <w:spacing w:before="0" w:after="283"/>
              <w:jc w:val="both"/>
              <w:rPr/>
            </w:pPr>
            <w:hyperlink w:anchor="ex32.htm">
              <w:r>
                <w:rPr>
                  <w:rStyle w:val="InternetLink"/>
                  <w:rFonts w:ascii="Times New Roman;Times;Serif" w:hAnsi="Times New Roman;Times;Serif"/>
                  <w:b w:val="false"/>
                  <w:i w:val="false"/>
                  <w:caps w:val="false"/>
                  <w:smallCaps w:val="false"/>
                  <w:sz w:val="20"/>
                </w:rPr>
                <w:t>Certification of our Chief Executive Officer and our Chief Financial Officer pursuant to Section 906 of the Sarbanes-Oxley Act of 2002.</w:t>
              </w:r>
            </w:hyperlink>
          </w:p>
        </w:tc>
      </w:tr>
      <w:tr>
        <w:trPr/>
        <w:tc>
          <w:tcPr>
            <w:tcW w:w="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7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Reed’s, Inc.’s Quarterly Report on Form 10-Q for the quarter ended September 30, 2025 formatted in iXBRL (Inline eXtensible Business Reporting Language): (i) the Condensed Balance Sheets, (ii) the Condensed Statements of Operations, (iii) the Condensed Statements of Changes in Stockholders (Deficit), (iv) the Condensed Statements of Cash Flows, and (v) Notes to Condensed Financial Statements.</w:t>
            </w:r>
          </w:p>
        </w:tc>
      </w:tr>
      <w:tr>
        <w:trPr/>
        <w:tc>
          <w:tcPr>
            <w:tcW w:w="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7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Reed’s, Inc. Quarterly Report on Form 10-Q for the quarter ended September 30, 2025, formatted in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pStyle w:val="TextBody"/>
        <w:bidi w:val="0"/>
        <w:spacing w:before="0" w:after="0"/>
        <w:ind w:left="0" w:right="0" w:hanging="0"/>
        <w:jc w:val="both"/>
        <w:rPr>
          <w:caps w:val="false"/>
          <w:smallCaps w:val="false"/>
          <w:shd w:fill="FFFFFF" w:val="clear"/>
        </w:rPr>
      </w:pP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Management contracts and compensatory plans or arrangements required to be filed as exhibits pursuant to Item 15(a)(3) of this report.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have been omitted because they are not material and are the type that the registrant treats as private or confidential.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015"/>
        <w:gridCol w:w="2585"/>
      </w:tblGrid>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br/>
              <w:t>(Registrant)</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4, 2025</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Cyril A. Wallace, Jr.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Cyril A. Wallace, Jr.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4, 2025</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01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525" w:name="ex31.htm"/>
      <w:bookmarkStart w:id="526" w:name="ksex31"/>
      <w:bookmarkEnd w:id="525"/>
      <w:bookmarkEnd w:id="5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i w:val="false"/>
          <w:caps/>
          <w:sz w:val="20"/>
        </w:rPr>
        <w:t>xhibit</w:t>
      </w:r>
      <w:r>
        <w:rPr>
          <w:rFonts w:ascii="Times New Roman;Times;Serif" w:hAnsi="Times New Roman;Times;Serif"/>
          <w:b/>
          <w:i w:val="false"/>
          <w:caps w:val="false"/>
          <w:smallCaps w:val="false"/>
          <w:sz w:val="20"/>
        </w:rPr>
        <w:t xml:space="preserve"> 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Cyril A. Wallace, Jr.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4, 2025</w:t>
      </w:r>
    </w:p>
    <w:p>
      <w:pPr>
        <w:pStyle w:val="TextBody"/>
        <w:bidi w:val="0"/>
        <w:spacing w:before="0" w:after="0"/>
        <w:jc w:val="center"/>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590"/>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Cyril A. Wallace,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Cyril A. Wallace,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W. McCurdy,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Reed’s,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4, 2025</w:t>
      </w:r>
    </w:p>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590"/>
        <w:gridCol w:w="2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27" w:name="ex32.htm"/>
      <w:bookmarkStart w:id="528" w:name="ksex32"/>
      <w:bookmarkEnd w:id="527"/>
      <w:bookmarkEnd w:id="5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i w:val="false"/>
          <w:caps/>
          <w:sz w:val="20"/>
        </w:rPr>
        <w:t>xhibit</w:t>
      </w:r>
      <w:r>
        <w:rPr>
          <w:rFonts w:ascii="Times New Roman;Times;Serif" w:hAnsi="Times New Roman;Times;Serif"/>
          <w:b/>
          <w:i w:val="false"/>
          <w:caps w:val="false"/>
          <w:smallCaps w:val="false"/>
          <w:sz w:val="20"/>
        </w:rPr>
        <w:t xml:space="preserve"> 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(the “Exchange Act”), and Section 1350 of Chapter 63 of Title 18 of the United States Code (18 U.S.C. §1350), as adopted pursuant to Section 906 of the Sarbanes-Oxley Act of 2002, I, Cyril A. Wallace, Jr., the Chief Executive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September 30, 2025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Section 15(d) of the Exchange Act;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4, 2025</w:t>
      </w:r>
    </w:p>
    <w:p>
      <w:pPr>
        <w:pStyle w:val="TextBody"/>
        <w:bidi w:val="0"/>
        <w:spacing w:before="0" w:after="0"/>
        <w:jc w:val="center"/>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545"/>
        <w:gridCol w:w="23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Cyril A. Wallace, Jr.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Cyril A. Wallace, Jr.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set forth in Rule 13a-14(b) of the Securities Exchange Act of 1934, as amended (the “Exchange Act”), and Section 1350 of Chapter 63 of Title 18 of the United States Code (18 U.S.C. §1350), as adopted pursuant to Section 906 of the Sarbanes-Oxley Act of 2002, I, Douglas W. McCurdy, the Chief Financial Officer of Reed’s,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certify,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on Form 10-Q for the quarterly period ended September 30, 2025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of the Company fully complies with the requirements of Section 13(a) or Section 15(d) of the Exchange Act;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4, 2025</w:t>
      </w:r>
    </w:p>
    <w:p>
      <w:pPr>
        <w:pStyle w:val="TextBody"/>
        <w:bidi w:val="0"/>
        <w:spacing w:before="0" w:after="0"/>
        <w:ind w:left="0" w:right="0" w:firstLine="72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0215/000164117225001344/ex3-i.htm" TargetMode="External"/><Relationship Id="rId3" Type="http://schemas.openxmlformats.org/officeDocument/2006/relationships/hyperlink" Target="https://www.sec.gov/Archives/edgar/data/1140215/000164117225001344/ex3-ii.htm" TargetMode="External"/><Relationship Id="rId4" Type="http://schemas.openxmlformats.org/officeDocument/2006/relationships/hyperlink" Target="https://www.sec.gov/Archives/edgar/data/1140215/000149315225013710/ex10-1.htm" TargetMode="External"/><Relationship Id="rId5" Type="http://schemas.openxmlformats.org/officeDocument/2006/relationships/hyperlink" Target="https://www.sec.gov/Archives/edgar/data/1140215/000149315225013710/ex10-2.htm" TargetMode="External"/><Relationship Id="rId6" Type="http://schemas.openxmlformats.org/officeDocument/2006/relationships/hyperlink" Target="https://www.sec.gov/Archives/edgar/data/1140215/000149315225015770/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17392</Words>
  <Characters>93607</Characters>
  <CharactersWithSpaces>113218</CharactersWithSpaces>
  <Paragraphs>6621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