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both"/>
        <w:rPr>
          <w:caps w:val="false"/>
          <w:smallCaps w:val="false"/>
        </w:rPr>
      </w:pPr>
      <w:bookmarkStart w:id="0" w:name="form10-k.htm"/>
      <w:bookmarkStart w:id="1" w:name="ksform10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30101__20"/>
      <w:bookmarkEnd w:id="2"/>
      <w:r>
        <w:rPr>
          <w:rFonts w:ascii="Times New Roman;Times;Serif" w:hAnsi="Times New Roman;Times;Serif"/>
          <w:b/>
          <w:i w:val="false"/>
          <w:caps w:val="false"/>
          <w:smallCaps w:val="false"/>
          <w:sz w:val="36"/>
        </w:rPr>
        <w:t>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D_edei--DocumentAnnualReport_c2023"/>
      <w:bookmarkEnd w:id="3"/>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ended </w:t>
      </w:r>
      <w:bookmarkStart w:id="4" w:name="xdx_903_edei--CurrentFiscalYearEndDate_c"/>
      <w:bookmarkStart w:id="5" w:name="xdx_90B_edei--DocumentPeriodEndDate_c202"/>
      <w:bookmarkEnd w:id="4"/>
      <w:bookmarkEnd w:id="5"/>
      <w:r>
        <w:rPr>
          <w:rFonts w:ascii="Times New Roman;Times;Serif" w:hAnsi="Times New Roman;Times;Serif"/>
          <w:b w:val="false"/>
          <w:i w:val="false"/>
          <w:caps w:val="false"/>
          <w:smallCaps w:val="false"/>
          <w:sz w:val="20"/>
        </w:rPr>
        <w:t xml:space="preserve">December 31, </w:t>
      </w:r>
      <w:bookmarkStart w:id="6" w:name="xdx_905_edei--DocumentFiscalYearFocus_c2"/>
      <w:bookmarkEnd w:id="6"/>
      <w:r>
        <w:rPr>
          <w:rFonts w:ascii="Times New Roman;Times;Serif" w:hAnsi="Times New Roman;Times;Serif"/>
          <w:b w:val="false"/>
          <w:i w:val="false"/>
          <w:caps w:val="false"/>
          <w:smallCaps w:val="false"/>
          <w:sz w:val="20"/>
        </w:rPr>
        <w:t>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7" w:name="xdx_909_edei--DocumentTransitionReport_c"/>
      <w:bookmarkEnd w:id="7"/>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 to 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8" w:name="xdx_900_edei--EntityFileNumber_c20230101"/>
      <w:bookmarkEnd w:id="8"/>
      <w:r>
        <w:rPr>
          <w:rFonts w:ascii="Times New Roman;Times;Serif" w:hAnsi="Times New Roman;Times;Serif"/>
          <w:b w:val="false"/>
          <w:i w:val="false"/>
          <w:caps w:val="false"/>
          <w:smallCaps w:val="false"/>
          <w:sz w:val="20"/>
        </w:rPr>
        <w:t>001-32501</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9" w:name="xdx_900_edei--EntityRegistrantName_c2023"/>
      <w:bookmarkEnd w:id="9"/>
      <w:r>
        <w:rPr>
          <w:rFonts w:ascii="Times New Roman;Times;Serif" w:hAnsi="Times New Roman;Times;Serif"/>
          <w:b/>
          <w:i w:val="false"/>
          <w:caps w:val="false"/>
          <w:smallCaps w:val="false"/>
          <w:sz w:val="36"/>
        </w:rPr>
        <w:t>REED’S,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3520" w:type="dxa"/>
        <w:jc w:val="left"/>
        <w:tblInd w:w="0" w:type="dxa"/>
        <w:tblLayout w:type="fixed"/>
        <w:tblCellMar>
          <w:top w:w="0" w:type="dxa"/>
          <w:left w:w="0" w:type="dxa"/>
          <w:bottom w:w="28" w:type="dxa"/>
          <w:right w:w="0" w:type="dxa"/>
        </w:tblCellMar>
      </w:tblPr>
      <w:tblGrid>
        <w:gridCol w:w="1925"/>
        <w:gridCol w:w="60"/>
        <w:gridCol w:w="1535"/>
      </w:tblGrid>
      <w:tr>
        <w:trPr/>
        <w:tc>
          <w:tcPr>
            <w:tcW w:w="192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D_edei--EntityIncorporationStateCo"/>
            <w:bookmarkEnd w:id="10"/>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 w:name="xdx_90F_edei--EntityTaxIdentificationNum"/>
            <w:bookmarkEnd w:id="11"/>
            <w:r>
              <w:rPr>
                <w:rFonts w:ascii="Times New Roman;Times;Serif" w:hAnsi="Times New Roman;Times;Serif"/>
                <w:b w:val="false"/>
                <w:i w:val="false"/>
                <w:caps w:val="false"/>
                <w:smallCaps w:val="false"/>
                <w:sz w:val="20"/>
              </w:rPr>
              <w:t>35-2177773</w:t>
            </w:r>
          </w:p>
        </w:tc>
      </w:tr>
      <w:tr>
        <w:trPr/>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 w:name="xdx_90D_edei--EntityAddressAddressLine1_"/>
            <w:bookmarkEnd w:id="12"/>
            <w:r>
              <w:rPr>
                <w:rFonts w:ascii="Times New Roman;Times;Serif" w:hAnsi="Times New Roman;Times;Serif"/>
                <w:b w:val="false"/>
                <w:i w:val="false"/>
                <w:caps w:val="false"/>
                <w:smallCaps w:val="false"/>
                <w:sz w:val="20"/>
              </w:rPr>
              <w:t xml:space="preserve">201 Merritt 7, </w:t>
            </w:r>
            <w:bookmarkStart w:id="13" w:name="xdx_901_edei--EntityAddressCityOrTown_c2"/>
            <w:bookmarkEnd w:id="13"/>
            <w:r>
              <w:rPr>
                <w:rFonts w:ascii="Times New Roman;Times;Serif" w:hAnsi="Times New Roman;Times;Serif"/>
                <w:b w:val="false"/>
                <w:i w:val="false"/>
                <w:caps w:val="false"/>
                <w:smallCaps w:val="false"/>
                <w:sz w:val="20"/>
              </w:rPr>
              <w:t xml:space="preserve">Norwalk, </w:t>
            </w:r>
            <w:bookmarkStart w:id="14" w:name="xdx_90A_edei--EntityAddressStateOrProvin"/>
            <w:bookmarkEnd w:id="14"/>
            <w:r>
              <w:rPr>
                <w:rFonts w:ascii="Times New Roman;Times;Serif" w:hAnsi="Times New Roman;Times;Serif"/>
                <w:b w:val="false"/>
                <w:i w:val="false"/>
                <w:caps w:val="false"/>
                <w:smallCaps w:val="false"/>
                <w:sz w:val="20"/>
              </w:rPr>
              <w:t>CT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5" w:name="xdx_90C_edei--EntityAddressPostalZipCode"/>
            <w:bookmarkEnd w:id="15"/>
            <w:r>
              <w:rPr>
                <w:rFonts w:ascii="Times New Roman;Times;Serif" w:hAnsi="Times New Roman;Times;Serif"/>
                <w:b w:val="false"/>
                <w:i w:val="false"/>
                <w:caps w:val="false"/>
                <w:smallCaps w:val="false"/>
                <w:sz w:val="20"/>
              </w:rPr>
              <w:t>06851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6" w:name="xdx_908_edei--CityAreaCode_c20230101__20"/>
      <w:bookmarkEnd w:id="16"/>
      <w:r>
        <w:rPr>
          <w:rFonts w:ascii="Times New Roman;Times;Serif" w:hAnsi="Times New Roman;Times;Serif"/>
          <w:b w:val="false"/>
          <w:i w:val="false"/>
          <w:caps w:val="false"/>
          <w:smallCaps w:val="false"/>
          <w:sz w:val="20"/>
        </w:rPr>
        <w:t xml:space="preserve">(800) </w:t>
      </w:r>
      <w:bookmarkStart w:id="17" w:name="xdx_90A_edei--LocalPhoneNumber_c20230101"/>
      <w:bookmarkEnd w:id="17"/>
      <w:r>
        <w:rPr>
          <w:rFonts w:ascii="Times New Roman;Times;Serif" w:hAnsi="Times New Roman;Times;Serif"/>
          <w:b w:val="false"/>
          <w:i w:val="false"/>
          <w:caps w:val="false"/>
          <w:smallCaps w:val="false"/>
          <w:sz w:val="20"/>
        </w:rPr>
        <w:t>997-3337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both"/>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18" w:name="xdx_90A_edei--EntityWellKnownSeasonedIss"/>
      <w:bookmarkEnd w:id="18"/>
      <w:r>
        <w:rPr>
          <w:rFonts w:ascii="Times New Roman;Times;Serif" w:hAnsi="Times New Roman;Times;Serif"/>
          <w:b w:val="false"/>
          <w:i w:val="false"/>
          <w:caps w:val="false"/>
          <w:smallCaps w:val="false"/>
          <w:sz w:val="20"/>
        </w:rPr>
        <w:t>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15(d) of the Act. Yes ☐ </w:t>
      </w:r>
      <w:bookmarkStart w:id="19" w:name="xdx_90F_edei--EntityVoluntaryFilers_c202"/>
      <w:bookmarkEnd w:id="19"/>
      <w:r>
        <w:rPr>
          <w:rFonts w:ascii="Times New Roman;Times;Serif" w:hAnsi="Times New Roman;Times;Serif"/>
          <w:b w:val="false"/>
          <w:i w:val="false"/>
          <w:caps w:val="false"/>
          <w:smallCaps w:val="false"/>
          <w:sz w:val="20"/>
        </w:rPr>
        <w:t>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0" w:name="xdx_904_edei--EntityCurrentReportingStat"/>
      <w:bookmarkEnd w:id="20"/>
      <w:r>
        <w:rPr>
          <w:rFonts w:ascii="Times New Roman;Times;Serif" w:hAnsi="Times New Roman;Times;Serif"/>
          <w:b w:val="false"/>
          <w:i w:val="false"/>
          <w:caps w:val="false"/>
          <w:smallCaps w:val="false"/>
          <w:sz w:val="20"/>
        </w:rPr>
        <w:t>Yes ☒ No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1" w:name="xdx_90D_edei--EntityInteractiveDataCurre"/>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060"/>
        <w:gridCol w:w="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D_edei--EntityFilerCategory_c20230"/>
            <w:bookmarkEnd w:id="22"/>
            <w:r>
              <w:rPr>
                <w:rFonts w:ascii="Times New Roman;Times;Serif" w:hAnsi="Times New Roman;Times;Serif"/>
                <w:b w:val="false"/>
                <w:i w:val="false"/>
                <w:caps w:val="false"/>
                <w:smallCaps w:val="false"/>
                <w:sz w:val="20"/>
              </w:rPr>
              <w:t>Non-accelerated filer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3" w:name="xdx_90B_edei--EntitySmallBusiness_c20230"/>
            <w:bookmarkEnd w:id="23"/>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4_edei--EntityEmergingGrowthCompan"/>
            <w:bookmarkEnd w:id="24"/>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25" w:name="xdx_907_edei--IcfrAuditorAttestationFlag"/>
      <w:bookmarkEnd w:id="25"/>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NewRomanPSMT;serif" w:hAnsi="TimesNewRomanPSMT;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26" w:name="xdx_90E_edei--DocumentFinStmtErrorCorrec"/>
      <w:bookmarkEnd w:id="26"/>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NewRomanPSMT;serif" w:hAnsi="TimesNewRomanPSMT;serif"/>
          <w:b w:val="false"/>
          <w:i w:val="false"/>
          <w:caps w:val="false"/>
          <w:smallCaps w:val="false"/>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7" w:name="xdx_905_edei--EntityShellCompany_dbF_c20"/>
      <w:bookmarkEnd w:id="27"/>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common equity held by non-affiliates (excluding voting shares held by officers and directors) as of June 30, 2023 was $</w:t>
      </w:r>
      <w:bookmarkStart w:id="28" w:name="xdx_900_edei--EntityPublicFloat_iI_c2023"/>
      <w:bookmarkEnd w:id="28"/>
      <w:r>
        <w:rPr>
          <w:rFonts w:ascii="Times New Roman;Times;Serif" w:hAnsi="Times New Roman;Times;Serif"/>
          <w:b w:val="false"/>
          <w:i w:val="false"/>
          <w:caps w:val="false"/>
          <w:smallCaps w:val="false"/>
          <w:sz w:val="20"/>
        </w:rPr>
        <w:t>5,763,279.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the number of shares outstanding of each of the issuer’s classes of common stock, as of the latest practicable date. There was a total of </w:t>
      </w:r>
      <w:bookmarkStart w:id="29" w:name="xdx_90C_edei--EntityCommonStockSharesOut"/>
      <w:bookmarkEnd w:id="29"/>
      <w:r>
        <w:rPr>
          <w:rFonts w:ascii="Times New Roman;Times;Serif" w:hAnsi="Times New Roman;Times;Serif"/>
          <w:b w:val="false"/>
          <w:i w:val="false"/>
          <w:caps w:val="false"/>
          <w:smallCaps w:val="false"/>
          <w:sz w:val="20"/>
        </w:rPr>
        <w:t>4,187,291 shares of Common Stock outstanding as of March 19,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12" w:space="1" w:color="000000"/>
        </w:rPr>
      </w:pPr>
      <w:r>
        <w:rPr>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9665"/>
        <w:gridCol w:w="305"/>
      </w:tblGrid>
      <w:tr>
        <w:trPr/>
        <w:tc>
          <w:tcPr>
            <w:tcW w:w="9665" w:type="dxa"/>
            <w:tcBorders/>
            <w:shd w:fill="CCEEFF" w:val="clear"/>
            <w:vAlign w:val="center"/>
          </w:tcPr>
          <w:p>
            <w:pPr>
              <w:pStyle w:val="TableContents"/>
              <w:bidi w:val="0"/>
              <w:spacing w:before="0" w:after="283"/>
              <w:jc w:val="left"/>
              <w:rPr/>
            </w:pPr>
            <w:hyperlink w:anchor="aj_001">
              <w:r>
                <w:rPr>
                  <w:rStyle w:val="InternetLink"/>
                  <w:rFonts w:ascii="Times New Roman;Times;Serif" w:hAnsi="Times New Roman;Times;Serif"/>
                  <w:b w:val="false"/>
                  <w:i w:val="false"/>
                  <w:caps w:val="false"/>
                  <w:smallCaps w:val="false"/>
                  <w:sz w:val="20"/>
                </w:rPr>
                <w:t>PART I</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j_002">
              <w:r>
                <w:rPr>
                  <w:rStyle w:val="InternetLink"/>
                  <w:rFonts w:ascii="Times New Roman;Times;Serif" w:hAnsi="Times New Roman;Times;Serif"/>
                  <w:b w:val="false"/>
                  <w:i w:val="false"/>
                  <w:caps w:val="false"/>
                  <w:smallCaps w:val="false"/>
                  <w:sz w:val="20"/>
                </w:rPr>
                <w:t>Item 1. Business</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kia_001">
              <w:r>
                <w:rPr>
                  <w:rStyle w:val="InternetLink"/>
                  <w:rFonts w:ascii="Times New Roman;Times;Serif" w:hAnsi="Times New Roman;Times;Serif"/>
                  <w:b w:val="false"/>
                  <w:i w:val="false"/>
                  <w:caps w:val="false"/>
                  <w:smallCaps w:val="false"/>
                  <w:sz w:val="20"/>
                </w:rPr>
                <w:t>Item 1A. Risk Factors</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kia_003">
              <w:r>
                <w:rPr>
                  <w:rStyle w:val="InternetLink"/>
                  <w:rFonts w:ascii="Times New Roman;Times;Serif" w:hAnsi="Times New Roman;Times;Serif"/>
                  <w:b w:val="false"/>
                  <w:i w:val="false"/>
                  <w:caps w:val="false"/>
                  <w:smallCaps w:val="false"/>
                  <w:sz w:val="20"/>
                </w:rPr>
                <w:t>Item 1B. Unresolved Staff Comments</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kia_002">
              <w:r>
                <w:rPr>
                  <w:rStyle w:val="InternetLink"/>
                  <w:rFonts w:ascii="Times New Roman;Times;Serif" w:hAnsi="Times New Roman;Times;Serif"/>
                  <w:b w:val="false"/>
                  <w:i w:val="false"/>
                  <w:caps w:val="false"/>
                  <w:smallCaps w:val="false"/>
                  <w:sz w:val="20"/>
                </w:rPr>
                <w:t>Item 1C. Cybersecurity</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kia_004">
              <w:r>
                <w:rPr>
                  <w:rStyle w:val="InternetLink"/>
                  <w:rFonts w:ascii="Times New Roman;Times;Serif" w:hAnsi="Times New Roman;Times;Serif"/>
                  <w:b w:val="false"/>
                  <w:i w:val="false"/>
                  <w:caps w:val="false"/>
                  <w:smallCaps w:val="false"/>
                  <w:sz w:val="20"/>
                </w:rPr>
                <w:t>Item 2. Properties</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09">
              <w:r>
                <w:rPr>
                  <w:rStyle w:val="InternetLink"/>
                  <w:rFonts w:ascii="Times New Roman;Times;Serif" w:hAnsi="Times New Roman;Times;Serif"/>
                  <w:b w:val="false"/>
                  <w:i w:val="false"/>
                  <w:caps w:val="false"/>
                  <w:smallCaps w:val="false"/>
                  <w:sz w:val="20"/>
                </w:rPr>
                <w:t>Item 3. Legal Proceedings</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10">
              <w:r>
                <w:rPr>
                  <w:rStyle w:val="InternetLink"/>
                  <w:rFonts w:ascii="Times New Roman;Times;Serif" w:hAnsi="Times New Roman;Times;Serif"/>
                  <w:b w:val="false"/>
                  <w:i w:val="false"/>
                  <w:caps w:val="false"/>
                  <w:smallCaps w:val="false"/>
                  <w:sz w:val="20"/>
                </w:rPr>
                <w:t>Item 4. Mine Safety Disclosures</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11">
              <w:r>
                <w:rPr>
                  <w:rStyle w:val="InternetLink"/>
                  <w:rFonts w:ascii="Times New Roman;Times;Serif" w:hAnsi="Times New Roman;Times;Serif"/>
                  <w:b w:val="false"/>
                  <w:i w:val="false"/>
                  <w:caps w:val="false"/>
                  <w:smallCaps w:val="false"/>
                  <w:sz w:val="20"/>
                </w:rPr>
                <w:t>PART II</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12">
              <w:r>
                <w:rPr>
                  <w:rStyle w:val="InternetLink"/>
                  <w:rFonts w:ascii="Times New Roman;Times;Serif" w:hAnsi="Times New Roman;Times;Serif"/>
                  <w:b w:val="false"/>
                  <w:i w:val="false"/>
                  <w:caps w:val="false"/>
                  <w:smallCaps w:val="false"/>
                  <w:sz w:val="20"/>
                </w:rPr>
                <w:t>Item 5. Market for Registrant’s Common Equity, Related Stockholder Matters and Issuer Purchases of Equity Securities</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26">
              <w:r>
                <w:rPr>
                  <w:rStyle w:val="InternetLink"/>
                  <w:rFonts w:ascii="Times New Roman;Times;Serif" w:hAnsi="Times New Roman;Times;Serif"/>
                  <w:b w:val="false"/>
                  <w:i w:val="false"/>
                  <w:caps w:val="false"/>
                  <w:smallCaps w:val="false"/>
                  <w:sz w:val="20"/>
                </w:rPr>
                <w:t>Item 6. [Reserved]</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27">
              <w:r>
                <w:rPr>
                  <w:rStyle w:val="InternetLink"/>
                  <w:rFonts w:ascii="Times New Roman;Times;Serif" w:hAnsi="Times New Roman;Times;Serif"/>
                  <w:b w:val="false"/>
                  <w:i w:val="false"/>
                  <w:caps w:val="false"/>
                  <w:smallCaps w:val="false"/>
                  <w:sz w:val="20"/>
                </w:rPr>
                <w:t>Item 7. Management’s Discussion and Analysis of Financial Condition and Results of Operations</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13">
              <w:r>
                <w:rPr>
                  <w:rStyle w:val="InternetLink"/>
                  <w:rFonts w:ascii="Times New Roman;Times;Serif" w:hAnsi="Times New Roman;Times;Serif"/>
                  <w:b w:val="false"/>
                  <w:i w:val="false"/>
                  <w:caps w:val="false"/>
                  <w:smallCaps w:val="false"/>
                  <w:sz w:val="20"/>
                </w:rPr>
                <w:t>Item 7A. Quantitative and Qualitative Disclosures About Market Risk</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14">
              <w:r>
                <w:rPr>
                  <w:rStyle w:val="InternetLink"/>
                  <w:rFonts w:ascii="Times New Roman;Times;Serif" w:hAnsi="Times New Roman;Times;Serif"/>
                  <w:b w:val="false"/>
                  <w:i w:val="false"/>
                  <w:caps w:val="false"/>
                  <w:smallCaps w:val="false"/>
                  <w:sz w:val="20"/>
                </w:rPr>
                <w:t>Item 8. Financial Statements and Supplementary Data</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15">
              <w:r>
                <w:rPr>
                  <w:rStyle w:val="InternetLink"/>
                  <w:rFonts w:ascii="Times New Roman;Times;Serif" w:hAnsi="Times New Roman;Times;Serif"/>
                  <w:b w:val="false"/>
                  <w:i w:val="false"/>
                  <w:caps w:val="false"/>
                  <w:smallCaps w:val="false"/>
                  <w:sz w:val="20"/>
                </w:rPr>
                <w:t>Item 9. Changes in and Disagreements with Accountants on Accounting and Financial Disclosure</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16">
              <w:r>
                <w:rPr>
                  <w:rStyle w:val="InternetLink"/>
                  <w:rFonts w:ascii="Times New Roman;Times;Serif" w:hAnsi="Times New Roman;Times;Serif"/>
                  <w:b w:val="false"/>
                  <w:i w:val="false"/>
                  <w:caps w:val="false"/>
                  <w:smallCaps w:val="false"/>
                  <w:sz w:val="20"/>
                </w:rPr>
                <w:t>Item 9A. Controls and Procedures</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17">
              <w:r>
                <w:rPr>
                  <w:rStyle w:val="InternetLink"/>
                  <w:rFonts w:ascii="Times New Roman;Times;Serif" w:hAnsi="Times New Roman;Times;Serif"/>
                  <w:b w:val="false"/>
                  <w:i w:val="false"/>
                  <w:caps w:val="false"/>
                  <w:smallCaps w:val="false"/>
                  <w:sz w:val="20"/>
                </w:rPr>
                <w:t>Item 9B. Other Information</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18">
              <w:r>
                <w:rPr>
                  <w:rStyle w:val="InternetLink"/>
                  <w:rFonts w:ascii="Times New Roman;Times;Serif" w:hAnsi="Times New Roman;Times;Serif"/>
                  <w:b w:val="false"/>
                  <w:i w:val="false"/>
                  <w:caps w:val="false"/>
                  <w:smallCaps w:val="false"/>
                  <w:sz w:val="20"/>
                </w:rPr>
                <w:t>Item 9C. Disclosure Regarding Foreign Jurisdictions that Prevent Inspections</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19">
              <w:r>
                <w:rPr>
                  <w:rStyle w:val="InternetLink"/>
                  <w:rFonts w:ascii="Times New Roman;Times;Serif" w:hAnsi="Times New Roman;Times;Serif"/>
                  <w:b w:val="false"/>
                  <w:i w:val="false"/>
                  <w:caps w:val="false"/>
                  <w:smallCaps w:val="false"/>
                  <w:sz w:val="20"/>
                </w:rPr>
                <w:t>PART III</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20">
              <w:r>
                <w:rPr>
                  <w:rStyle w:val="InternetLink"/>
                  <w:rFonts w:ascii="Times New Roman;Times;Serif" w:hAnsi="Times New Roman;Times;Serif"/>
                  <w:b w:val="false"/>
                  <w:i w:val="false"/>
                  <w:caps w:val="false"/>
                  <w:smallCaps w:val="false"/>
                  <w:sz w:val="20"/>
                </w:rPr>
                <w:t>Item 10. Directors, Executive Officers and Corporate Governance</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21">
              <w:r>
                <w:rPr>
                  <w:rStyle w:val="InternetLink"/>
                  <w:rFonts w:ascii="Times New Roman;Times;Serif" w:hAnsi="Times New Roman;Times;Serif"/>
                  <w:b w:val="false"/>
                  <w:i w:val="false"/>
                  <w:caps w:val="false"/>
                  <w:smallCaps w:val="false"/>
                  <w:sz w:val="20"/>
                </w:rPr>
                <w:t>Item 11. Executive Compensation</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28">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 Matters</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29">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22">
              <w:r>
                <w:rPr>
                  <w:rStyle w:val="InternetLink"/>
                  <w:rFonts w:ascii="Times New Roman;Times;Serif" w:hAnsi="Times New Roman;Times;Serif"/>
                  <w:b w:val="false"/>
                  <w:i w:val="false"/>
                  <w:caps w:val="false"/>
                  <w:smallCaps w:val="false"/>
                  <w:sz w:val="20"/>
                </w:rPr>
                <w:t>Item 14. Principal Accountant Fees and Services</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23">
              <w:r>
                <w:rPr>
                  <w:rStyle w:val="InternetLink"/>
                  <w:rFonts w:ascii="Times New Roman;Times;Serif" w:hAnsi="Times New Roman;Times;Serif"/>
                  <w:b w:val="false"/>
                  <w:i w:val="false"/>
                  <w:caps w:val="false"/>
                  <w:smallCaps w:val="false"/>
                  <w:sz w:val="20"/>
                </w:rPr>
                <w:t>PART IV</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24">
              <w:r>
                <w:rPr>
                  <w:rStyle w:val="InternetLink"/>
                  <w:rFonts w:ascii="Times New Roman;Times;Serif" w:hAnsi="Times New Roman;Times;Serif"/>
                  <w:b w:val="false"/>
                  <w:i w:val="false"/>
                  <w:caps w:val="false"/>
                  <w:smallCaps w:val="false"/>
                  <w:sz w:val="20"/>
                </w:rPr>
                <w:t>Item 15. Exhibits, Financial Statement Schedules</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MS_025">
              <w:r>
                <w:rPr>
                  <w:rStyle w:val="InternetLink"/>
                  <w:rFonts w:ascii="Times New Roman;Times;Serif" w:hAnsi="Times New Roman;Times;Serif"/>
                  <w:b w:val="false"/>
                  <w:i w:val="false"/>
                  <w:caps w:val="false"/>
                  <w:smallCaps w:val="false"/>
                  <w:sz w:val="20"/>
                </w:rPr>
                <w:t>Item 16. Form 10-K Summary</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 AND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Annual Report on Form 10-K contains statements reflecting our views about our future performance that constitute “forward-looking statements” within the meaning of the Private Securities Litigation Reform Act of 1995 (Reform Act). Statements that constitute forward-looking statements within the meaning of the Reform Act are generally identified through the inclusion of words such as “aim,” “anticipate,” “believe,” “drive,” “estimate,” “expect,” “expressed confidence,” “forecast,” “future,” “goal,” “guidance,” “intend,” “may,” “objective,” “outlook,” “plan,” “position,”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within the meaning of the Reform Act.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These risks and uncertainties include, but are not limited to, those described in “Item 1A. Risk Factors” and “Item 7. Management’s Discussion and Analysis of Financial Condition and Results of Operations.” Investors are cautioned not to place undue reliance on any such forward-looking statements, which speak only as of the date they are made. We undertake no obligation to update any forward-looking statement, whether as a result of new information, future events or otherwise. The discussion of risks in this report is by no means all-inclusive but is designed to highlight what we believe are important factors to consider when evaluating our future performance.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j_001"/>
      <w:bookmarkEnd w:id="30"/>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j_002"/>
      <w:bookmarkEnd w:id="31"/>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 a Delaware corporation (“Reed’s”, the “Company,” “we,” or “us” throughout this report) owns a leading portfolio of handcrafted, natural beverages that is sold in over 45,000 outlets nationwide. These outlets include the natural and specialty food channel, grocery stores, mass merchants, drug stores, convenience stores, club stores, liquor stores, and on-premises locations including bars and restaurants. Reed’s two core brands are Reed’s, which includes Reed’s Craft Ginger Beer, Reed’s Real Ginger Ale, Reed’s Classic Mules, and Reed’s Hard Ginger Ale, and Virgil’s Handcrafted sodas. Reed’s Craft Ginger Beers are unique due to the proprietary process of using fresh ginger root combined with a Jamaican inspired recipe of natural spices, honey and fruit juices. Reed’s uses this same handcrafted approach in its Reed’s Real Ginger Ale and Virgil’s line of great tasting, bold flavored craft sodas, including its award-winning Virgil’s Root Beer.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is the first ginger beer in the US; Virgil’s is an independent natural full line craft soda and is a leader in the craft soda category.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Original Ginger Brew, created in 1987, was introduced to the market in Southern California stores in 1989. By 1990, we began marketing our products through United Natural Foods Inc. (“UNFI”) and other natural food distributors and moved our production to a larger facility in Boulder, Colorado.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1991, we incorporated our business operations in the state of Florida under the name of Original Beverage Corporation and moved all production to a co-pack facility in Pennsylvania. Throughout the 1990’s, we continued to develop and launch new Ginger Brew varieties. Reed’s Ginger Brews reached broad placement in natural and gourmet foods stores nationwide through UNFI and other major specialty, natural/gourmet and mainstream food and beverage distributors.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1997, we began licensing the products of China Cola and eventually acquired the rights to that product in 2000. In 1999, we purchased the Virgil’s Root Beer brand from the Crowley Beverage Company. In 2000, we moved into an 18,000-square foot warehouse property, the Brewery, in Los Angeles, California, as our headquarters. In 2001, pursuant to a reincorporation merger, we changed our state of incorporation to Delaware and also changed our name to “Reed’s,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2018, we completed the relocation of its headquarters to Norwalk, Connecticut. In December 2018, after a lengthy marketing and bidding process, we sold the Brewery to a company owned by Christopher J. Reed, our founder. The sale of the Brewery marked a fundamental shift in the nature of our operations and effectively eliminated our costs associated with excess manufacturing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Reed’s has 45 products that are sold throughout the United States, Canada, the United Kingdom, South Africa and the European Union. It produces its products through a network of nine independent manufacturers and distribution through five independent distribution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Move to the OTCQX “Best Market”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traded on the Nasdaq Capital Market from 2007 to 2013 and again form May 2019 through February 16, 2023. We voluntarily transferred to and from the NYSE American between 2013 and May 2019.</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2021, we received a written notice from The Nasdaq Stock Market LLC (“Nasdaq”) that we were no longer in compliance with the bid price rule.  On January 25, 2023, we effectuated a 1-for-50 reverse stock split of our issued and outstanding shares of common stock. On January 27, 2023, we achieved compliance with the bid price rule. However, we fell out of compliance with Nasdaq’s minimum stockholders’ equity rule, and, after evaluating options to achieve compliance, our board of directors determined not to proceed with a dilutive capital raise. On February 14, 2023, we were delisted from the Nasdaq Capital Market. On February 16, 2023, our common stock began quotation on the OTCQX “Best Market”. We are a reporting company currently registered under section 12(g)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Industry 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offers its portfolio of natural hand-crafted beverages in the craft specialty foods industry as natural alternatives to the $41 billion mainstream carbonated soft drinks (“CSD”) market in the United States as measured by IRI Multi Outlet scan data. Reed’s products are sold across the country and internationally in the following major channels: natural food, specialty food, grocery, mass merchant, convenience, club, drug, liquor, and on-premises locations (bars and restaurants).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Carbonated Soft Drink Industry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retail CSD category grew 9% during 2023 and the ginger ale segment grew 7% and is now a $1.9 billion-dollar market. Ginger ale growth, we believe, is driven primarily by a consumer perception of ginger ale as a healthier alternative to other sodas. Our new line of ginger ales made with real ginger deliver on this perception and are poised to breakout in the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COVID-19 pandemic, consumers are shifting consumption to better-for-you products. We believe there is significant growth potential from consumers switching away from mainstream beverages that contain artificial ingredients and preservatives towards great-tasting, natural alternatives.</w:t>
      </w:r>
    </w:p>
    <w:p>
      <w:pPr>
        <w:pStyle w:val="TextBody"/>
        <w:bidi w:val="0"/>
        <w:spacing w:before="0" w:after="0"/>
        <w:ind w:left="0" w:right="0" w:firstLine="223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Consumer Trends Driving Growth for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consumer trends that are accelerating and support our brands.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Natural</w:t>
            </w:r>
            <w:r>
              <w:rPr>
                <w:rFonts w:ascii="Times New Roman;Times;Serif" w:hAnsi="Times New Roman;Times;Serif"/>
                <w:b w:val="false"/>
                <w:i w:val="false"/>
                <w:caps w:val="false"/>
                <w:smallCaps w:val="false"/>
                <w:sz w:val="20"/>
              </w:rPr>
              <w:t>: Interest in natural products has gone mainstream with annual growth expected to be 11.4% from 2022 through 2030.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Clean Label</w:t>
            </w:r>
            <w:r>
              <w:rPr>
                <w:rFonts w:ascii="Times New Roman;Times;Serif" w:hAnsi="Times New Roman;Times;Serif"/>
                <w:b w:val="false"/>
                <w:i w:val="false"/>
                <w:caps w:val="false"/>
                <w:smallCaps w:val="false"/>
                <w:sz w:val="20"/>
              </w:rPr>
              <w:t xml:space="preserve">: 31% of all food and beverage launches between 2022 and 2030 contained clean labels.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Reduced Sugar</w:t>
            </w:r>
            <w:r>
              <w:rPr>
                <w:rFonts w:ascii="Times New Roman;Times;Serif" w:hAnsi="Times New Roman;Times;Serif"/>
                <w:b w:val="false"/>
                <w:i w:val="false"/>
                <w:caps w:val="false"/>
                <w:smallCaps w:val="false"/>
                <w:sz w:val="20"/>
              </w:rPr>
              <w:t xml:space="preserve">: Most consumers – 72% are looking to limit or avoid sugar. The global reduced-sugar-food and beverage market is expected to grow at an annual rate of 9% from 2022 to 2030.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Plant Based</w:t>
            </w:r>
            <w:r>
              <w:rPr>
                <w:rFonts w:ascii="Times New Roman;Times;Serif" w:hAnsi="Times New Roman;Times;Serif"/>
                <w:b w:val="false"/>
                <w:i w:val="false"/>
                <w:caps w:val="false"/>
                <w:smallCaps w:val="false"/>
                <w:sz w:val="20"/>
              </w:rPr>
              <w:t>: 70% of U.S. consumers are consuming plant-based foods and beverages.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Craft: </w:t>
            </w:r>
            <w:r>
              <w:rPr>
                <w:rFonts w:ascii="Times New Roman;Times;Serif" w:hAnsi="Times New Roman;Times;Serif"/>
                <w:b w:val="false"/>
                <w:i w:val="false"/>
                <w:caps w:val="false"/>
                <w:smallCaps w:val="false"/>
                <w:sz w:val="20"/>
              </w:rPr>
              <w:t xml:space="preserve">Appeal continues to grow of higher-quality, independent, and more authentic brands across many beverage categories.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Premiumization: </w:t>
            </w:r>
            <w:r>
              <w:rPr>
                <w:rFonts w:ascii="Times New Roman;Times;Serif" w:hAnsi="Times New Roman;Times;Serif"/>
                <w:b w:val="false"/>
                <w:i w:val="false"/>
                <w:caps w:val="false"/>
                <w:smallCaps w:val="false"/>
                <w:sz w:val="20"/>
              </w:rPr>
              <w:t xml:space="preserve">A trend towards embracing quality has accelerated during the pandemic with consumers splurging on premium beverages at retail, including premium mixers. 54% of 18 to 34 year olds are likely to choose a premium drink.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Better-for-you Mocktails</w:t>
            </w:r>
            <w:r>
              <w:rPr>
                <w:rFonts w:ascii="Times New Roman;Times;Serif" w:hAnsi="Times New Roman;Times;Serif"/>
                <w:b w:val="false"/>
                <w:i w:val="false"/>
                <w:caps w:val="false"/>
                <w:smallCaps w:val="false"/>
                <w:sz w:val="20"/>
              </w:rPr>
              <w:t>: More consumers are seeking non-alcoholic alternatives with bold and unique flavors. Annual growth is expected to be 3% from 2024 to 2028.</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strategies will remain responsive to these macro consumer trends as we concentrate our efforts on developing the Company’s sales and marketing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our hand-crafted beverages with only premium, natural ingredients. Our products are free of genetically modified organisms (“GMOs”) and artificial preservatives. Over the years, Reed’s has developed several product offerings. In 2019, we streamlined our focus to our core categories of Reed’s Ginger Beverages and Virgil’s Craft Sodas. In April 2020, we launched our new line of Reed’s Real Ginger Ales, in both Full Sugar and Zero Sugar varieties, made with fresh organic ginger. In 2021, we entered the alcohol space with the launch of our RTD Classic Mule that is 7% alcohol by volume (“ABV”) with Zero Sugar and Hard Ginger Ale which is 5% ABV and Zero Sugar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Reed’s Craft Ginger Beer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Craft Ginger Beer is set apart from other ginger beers by its proprietary process of pressing fresh ginger root, its exclusive use of natural ingredients, and its authentic Jamaican-inspired recipe. We do not use artificial preservatives, artificial flavors, or colors, and Reed’s Ginger Beer is certified kosher. We offer different levels of fresh ginger content, ranging from our lightest-spiced Original, to our medium-spiced Extra, and finally to our spiciest Strongest. We also offer three sweetener options: one with cane sugar, honey and fruit juices; one with honey and pineapple juice; and another without sugar (Zero Sugar) made from an innovative blend of natural sweeteners. In 2021, we expanded our Extra Ginger Beer portfolio into cans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2023, the Reed’s Craft Ginger Beer line included five major varieties with a mix of bottles and cans: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Reed’s Original Ginger Beer – </w:t>
      </w:r>
      <w:r>
        <w:rPr>
          <w:rFonts w:ascii="Times New Roman;Times;Serif" w:hAnsi="Times New Roman;Times;Serif"/>
          <w:b w:val="false"/>
          <w:i w:val="false"/>
          <w:caps w:val="false"/>
          <w:smallCaps w:val="false"/>
          <w:sz w:val="20"/>
        </w:rPr>
        <w:t>Our first to market product uses a Jamaican-inspired recipe that calls for fresh ginger root, lemon, lime, pineapple juice, honey, raw cane sugar, herbs and spices.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Reed’s Premium Ginger Beer – </w:t>
      </w:r>
      <w:r>
        <w:rPr>
          <w:rFonts w:ascii="Times New Roman;Times;Serif" w:hAnsi="Times New Roman;Times;Serif"/>
          <w:b w:val="false"/>
          <w:i w:val="false"/>
          <w:caps w:val="false"/>
          <w:smallCaps w:val="false"/>
          <w:sz w:val="20"/>
        </w:rPr>
        <w:t>Our Original Ginger Beer sweetened with honey and pineapple juice. (No cane sugar added.)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Reed’s Extra Ginger Beer – </w:t>
      </w:r>
      <w:r>
        <w:rPr>
          <w:rFonts w:ascii="Times New Roman;Times;Serif" w:hAnsi="Times New Roman;Times;Serif"/>
          <w:b w:val="false"/>
          <w:i w:val="false"/>
          <w:caps w:val="false"/>
          <w:smallCaps w:val="false"/>
          <w:sz w:val="20"/>
        </w:rPr>
        <w:t>Contains 50% more fresh ginger than Reed’s Original recipe for extra spice.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Reed’s Strongest Ginger Beer</w:t>
      </w:r>
      <w:r>
        <w:rPr>
          <w:rFonts w:ascii="Times New Roman;Times;Serif" w:hAnsi="Times New Roman;Times;Serif"/>
          <w:b w:val="false"/>
          <w:i w:val="false"/>
          <w:caps w:val="false"/>
          <w:smallCaps w:val="false"/>
          <w:sz w:val="20"/>
        </w:rPr>
        <w:t xml:space="preserve"> – Contains 125% more fresh ginger than Reed’s Original for the strongest spice.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Reed’s Zero Sugar Extra Ginger Beer – </w:t>
      </w:r>
      <w:r>
        <w:rPr>
          <w:rFonts w:ascii="Times New Roman;Times;Serif" w:hAnsi="Times New Roman;Times;Serif"/>
          <w:b w:val="false"/>
          <w:i w:val="false"/>
          <w:caps w:val="false"/>
          <w:smallCaps w:val="false"/>
          <w:sz w:val="20"/>
        </w:rPr>
        <w:t>launched in 2019, it uses a proprietary natural sweetening system for a zero-calorie version of our Reed’s Extra Ginger Beer.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Reed’s Real Ginger 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Real Ginger Ale is unique for the category because it combines real fresh ginger with the classic, refreshing taste that consumers love. It contains nothing artificial and is non-GMO project verified. We offer two sweetener options: one with cane sugar and the other with our zero-calorie proprietary natural sweetening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Reed’s Real Ginger Ale</w:t>
      </w:r>
      <w:r>
        <w:rPr>
          <w:rFonts w:ascii="Times New Roman;Times;Serif" w:hAnsi="Times New Roman;Times;Serif"/>
          <w:b w:val="false"/>
          <w:i w:val="false"/>
          <w:caps w:val="false"/>
          <w:smallCaps w:val="false"/>
          <w:sz w:val="20"/>
        </w:rPr>
        <w:t xml:space="preserve"> – launched in April 2020 in standard and sleek 12-ounce cans. It is the only mass market ginger ale made with organic fresh ginger.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Reed’s Zero Sugar Real Ginger Ale</w:t>
      </w:r>
      <w:r>
        <w:rPr>
          <w:rFonts w:ascii="Times New Roman;Times;Serif" w:hAnsi="Times New Roman;Times;Serif"/>
          <w:b w:val="false"/>
          <w:i w:val="false"/>
          <w:caps w:val="false"/>
          <w:smallCaps w:val="false"/>
          <w:sz w:val="20"/>
        </w:rPr>
        <w:t xml:space="preserve"> – also launched in April 2020 in standard and slim cans. It uses a proprietary sweetening system to match the great taste of the cane sugar version in a zero-calorie drink.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Reed’s Real Cranberry Ginger Ale</w:t>
      </w:r>
      <w:r>
        <w:rPr>
          <w:rFonts w:ascii="Times New Roman;Times;Serif" w:hAnsi="Times New Roman;Times;Serif"/>
          <w:b w:val="false"/>
          <w:i w:val="false"/>
          <w:caps w:val="false"/>
          <w:smallCaps w:val="false"/>
          <w:sz w:val="20"/>
        </w:rPr>
        <w:t xml:space="preserve"> – Seasonal product, launch in the fall of 2021 is our Real Ginger Ale with cranberry added. It is a consumer favorite during the holiday season and is available October through December.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Reed’s Harvest Spiced Apple Cider</w:t>
      </w:r>
      <w:r>
        <w:rPr>
          <w:rFonts w:ascii="Times New Roman;Times;Serif" w:hAnsi="Times New Roman;Times;Serif"/>
          <w:b w:val="false"/>
          <w:i w:val="false"/>
          <w:caps w:val="false"/>
          <w:smallCaps w:val="false"/>
          <w:sz w:val="20"/>
        </w:rPr>
        <w:t xml:space="preserve"> – This seasonal product launched in the fall of 2022 and is a delicious holiday offering available September through December.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Reed’s Ready to Drink</w:t>
      </w:r>
      <w:r>
        <w:rPr>
          <w:rFonts w:ascii="Times New Roman;Times;Serif" w:hAnsi="Times New Roman;Times;Serif"/>
          <w:b/>
          <w:i/>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Reed’s Zero Sugar Classic Mule – </w:t>
      </w:r>
      <w:r>
        <w:rPr>
          <w:rFonts w:ascii="Times New Roman;Times;Serif" w:hAnsi="Times New Roman;Times;Serif"/>
          <w:b w:val="false"/>
          <w:i w:val="false"/>
          <w:caps w:val="false"/>
          <w:smallCaps w:val="false"/>
          <w:sz w:val="20"/>
        </w:rPr>
        <w:t>Launched in 2020 and now sold in 23 states, Reed’s first-ever alcoholic offering is packed with REAL, fresh ginger root and made through a unique handcrafted brewing and fermentation process. It contains 7% ABV, and a light-spice flavor profile with no artificial colors, gluten, GMOs or caffeine. It is the ultimate mule, made with fresh ginger root, to be enjoyed anytime, anywhere.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Reed’s Zero Sugar Stormy Mule – </w:t>
      </w:r>
      <w:r>
        <w:rPr>
          <w:rFonts w:ascii="Times New Roman;Times;Serif" w:hAnsi="Times New Roman;Times;Serif"/>
          <w:b w:val="false"/>
          <w:i w:val="false"/>
          <w:caps w:val="false"/>
          <w:smallCaps w:val="false"/>
          <w:sz w:val="20"/>
        </w:rPr>
        <w:t>Launched in 2022</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Stormy is the perfect companion to our Classic Mule, the Stormy Mule is the ultimate rum flavored alcohol and ginger beer. It contains 7% ABV, and a light-spice flavor profile with no artificial colors, gluten, GMOs or caffeine. It is the ultimate stormy, made with fresh ginger root, to be enjoyed anytime, anywhere.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Reed’s Zero Sugar Hard Ginger Ale – </w:t>
      </w:r>
      <w:r>
        <w:rPr>
          <w:rFonts w:ascii="Times New Roman;Times;Serif" w:hAnsi="Times New Roman;Times;Serif"/>
          <w:b w:val="false"/>
          <w:i w:val="false"/>
          <w:caps w:val="false"/>
          <w:smallCaps w:val="false"/>
          <w:sz w:val="20"/>
        </w:rPr>
        <w:t>Launched in late 2002, our line of light refreshing hard ginger ales are available in four flavors: Mango, Cherry Lime, Strawberry Watermelon and Pineapple Coconut. They contain 5% ABV, 100 calories and zero carbohydrates and have no added sugar, artificial colors, gluten, GMOs or caffeine. They are made with fresh ginger root, to be enjoyed anytime, anywhere.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Virgil’s Handcrafted Sodas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Virgil’s is a premium handcrafted soda that uses only natural ingredients to create bold renditions of classic flavors. We don’t use any artificial preservatives, any artificial colors, or any GMO-sourced ingredients, and our Virgil’s line is certified kosher.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Virgil’s line includes the following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Handcrafted Line: </w:t>
      </w:r>
      <w:r>
        <w:rPr>
          <w:rFonts w:ascii="Times New Roman;Times;Serif" w:hAnsi="Times New Roman;Times;Serif"/>
          <w:b w:val="false"/>
          <w:i w:val="false"/>
          <w:caps w:val="false"/>
          <w:smallCaps w:val="false"/>
          <w:sz w:val="20"/>
        </w:rPr>
        <w:t>Virgil’s first Handcrafted soda was launched in 1994. It began as one man’s passion to create the finest root beer ever produced and has since won numerous awards. Virgil’s difference is using natural ingredients to craft bold, classic soda flavors. Virgil’s Handcrafted line includes Root Beer, Vanilla Cream, Black Cherry, and Orange Cream. Beginning in 2023 Virgil’s Handcrafted soda will be offered in both glass and can formats.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Zero Sugar Line:</w:t>
      </w:r>
      <w:r>
        <w:rPr>
          <w:rFonts w:ascii="Times New Roman;Times;Serif" w:hAnsi="Times New Roman;Times;Serif"/>
          <w:b w:val="false"/>
          <w:i w:val="false"/>
          <w:caps w:val="false"/>
          <w:smallCaps w:val="false"/>
          <w:sz w:val="20"/>
        </w:rPr>
        <w:t xml:space="preserve"> Virgil’s launched a new line of Zero Sugar, Zero Calorie craft sodas in 2019. Each Zero Sugar soda is sweetened with a proprietary blend of natural sweeteners with no added sugars and is certified Keto. This natural line of Zero Sugar flavors includes Root Beer, Cola, Black Cherry, Vanilla Cream, Orange Cream, and Dr. Better.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Primary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target a smaller segment of the estimated $41 billion mainstream carbonated and non-carbonated soft drink markets in the United States. Our brands are generally considered premium and natural, with upscale packaging. They are loosely defined as the craft specialty bottled carbonated soft drink category.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experienced and geographically diverse sales force promoting our products, with senior sales representatives strategically placed in multiple regions across the country, supported by local Reed’s sales staff. Additionally, we have sales managers handling national accounts for natural, specialty, grocery, mass, club, drug, liquor, and convenience channels. Our sales managers are responsible for all activities related to the sales, distribution, and marketing of our brands to our entire retail partner and distributor network in North America. The Company not only employs an internal sales force but has partnered with independent sales brokers and outside representatives to promote our products in specific channels and key targeted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sell to well-known popular natural food and gourmet retailers, large grocery store chains, mass merchants, club stores, convenience and drug stores, liquor stores, industrial cafeterias (corporate feeders), and to on-premises bars and restaurants nationwide and in some international markets. We also sell our products and promotional merchandise directly to consumers via the Internet through our Amazon storefront which can be accessed through our company web site </w:t>
      </w:r>
      <w:r>
        <w:rPr>
          <w:rFonts w:ascii="Times New Roman;Times;Serif" w:hAnsi="Times New Roman;Times;Serif"/>
          <w:b w:val="false"/>
          <w:i w:val="false"/>
          <w:caps w:val="false"/>
          <w:smallCaps w:val="false"/>
          <w:sz w:val="20"/>
          <w:u w:val="single"/>
        </w:rPr>
        <w:t>www.drinkreeds.com</w:t>
      </w:r>
      <w:r>
        <w:rPr>
          <w:rFonts w:ascii="Times New Roman;Times;Serif" w:hAnsi="Times New Roman;Times;Serif"/>
          <w:b w:val="false"/>
          <w:i w:val="false"/>
          <w:caps w:val="false"/>
          <w:smallCaps w:val="false"/>
          <w:sz w:val="20"/>
        </w:rPr>
        <w:t>. In November 2023 we relaunched this ecommerce platform, which includes a reoccurring subscription model.</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the retail landscape, including increased consolidation of retail ownership, the continued growth of sales through e-commerce websites and mobile commerce applications, including through subscription services and other direct-to-consumer businesses, the integration of physical and digital operations among retailers and the current economic environment continue to increase the importance of major customers.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representative key customers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Natural stores</w:t>
            </w:r>
            <w:r>
              <w:rPr>
                <w:rFonts w:ascii="Times New Roman;Times;Serif" w:hAnsi="Times New Roman;Times;Serif"/>
                <w:b w:val="false"/>
                <w:i w:val="false"/>
                <w:caps w:val="false"/>
                <w:smallCaps w:val="false"/>
                <w:sz w:val="20"/>
              </w:rPr>
              <w:t>: Whole Foods Market, Sprouts, Natural Grocers by Vitamin Cottage, Fresh Thyme, NDG, INFRA, Earthfare.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Gourmet &amp; specialty stores</w:t>
            </w:r>
            <w:r>
              <w:rPr>
                <w:rFonts w:ascii="Times New Roman;Times;Serif" w:hAnsi="Times New Roman;Times;Serif"/>
                <w:b w:val="false"/>
                <w:i w:val="false"/>
                <w:caps w:val="false"/>
                <w:smallCaps w:val="false"/>
                <w:sz w:val="20"/>
              </w:rPr>
              <w:t xml:space="preserve">: Trader Joe’s, Erewhon, Gelson’s, Harmon’s, Bristol Farms, The Fresh Market, Woodman’s Cost Plus World Market, Cracker Barrel.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Grocery and mass chains</w:t>
            </w:r>
            <w:r>
              <w:rPr>
                <w:rFonts w:ascii="Times New Roman;Times;Serif" w:hAnsi="Times New Roman;Times;Serif"/>
                <w:b w:val="false"/>
                <w:i w:val="false"/>
                <w:caps w:val="false"/>
                <w:smallCaps w:val="false"/>
                <w:sz w:val="20"/>
              </w:rPr>
              <w:t xml:space="preserve">: Kroger (and all Kroger banners), Albertson’s/Safeway, Publix, Food Lion, Stop &amp; Shop, H.E.B., Wegmans, Walmart, Raley’s, Savemart, Ingles, Harris Teeter, Hannaford, SEG/Winn Dixie, Giant, Spartan Nash, Food Land, Lowes, Smart and Final, Winco, Bashes, Haggen, AFS, Market Basket, Meijer, Cub HvVee.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Club stores</w:t>
            </w:r>
            <w:r>
              <w:rPr>
                <w:rFonts w:ascii="Times New Roman;Times;Serif" w:hAnsi="Times New Roman;Times;Serif"/>
                <w:b w:val="false"/>
                <w:i w:val="false"/>
                <w:caps w:val="false"/>
                <w:smallCaps w:val="false"/>
                <w:sz w:val="20"/>
              </w:rPr>
              <w:t xml:space="preserve">: Costco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Liquor stores</w:t>
            </w:r>
            <w:r>
              <w:rPr>
                <w:rFonts w:ascii="Times New Roman;Times;Serif" w:hAnsi="Times New Roman;Times;Serif"/>
                <w:b w:val="false"/>
                <w:i w:val="false"/>
                <w:caps w:val="false"/>
                <w:smallCaps w:val="false"/>
                <w:sz w:val="20"/>
              </w:rPr>
              <w:t xml:space="preserve">: BevMo!, Total Wine &amp; More.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Convenience &amp; drug stores</w:t>
            </w:r>
            <w:r>
              <w:rPr>
                <w:rFonts w:ascii="Times New Roman;Times;Serif" w:hAnsi="Times New Roman;Times;Serif"/>
                <w:b w:val="false"/>
                <w:i w:val="false"/>
                <w:caps w:val="false"/>
                <w:smallCaps w:val="false"/>
                <w:sz w:val="20"/>
              </w:rPr>
              <w:t xml:space="preserve">: Rite Aid, All Town Fresh Markets.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Distribution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brought to market through an extremely flexible and fluid hybrid distribution model, which is a mix of direct-store-delivery, customer warehouse, and distributor networks. The distribution system used depends on customer needs, product characteristics, and local trade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reaches the market in the following ways: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 to Natural &amp; Specialty Wholesale Distributors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natural and specialty distributor partners operate a distribution network delivering thousands of SKUs of natural and gourmet products to thousands of small, independent, natural retail outlets around the U.S., along with national chain customers, both conventional and natural. This system of distribution allows our brands far reaching access to some of the most remote parts of North America. During the past year we have expanded, and will continue to expand in this distribution network.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 to Store Distribution (“DSD”) Through Non-Alcoholic and Alcoholic Beverage Distributor Network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distributor partners operate DSD systems which deliver primarily beverages, foods, and snacks directly to retail stores where the products are merchandised by their route sales and field sales employees. DSD enables us to merchandise with maximum visibility and appeal. DSD is especially well-suited to products frequently restocked and responds to in-store promotion and merchandising. We are primarily focused on expanding our DSD network on a national basis.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 to Store Warehouse Distribution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products are delivered from our co-packers and warehouses directly to customer warehouses. Some retailers mandate we deliver directly to them, as it is more cost effective and allows them to pass savings along to their customers. Other retailers may not mandate direct delivery, but they recommend and prefer it as they have the capability to self-distribute and can realize significant savings with direct delivery.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Wholesale Distribution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a network of four independent distribution and consolidation centers across the United States to store and distribute our products. Our Wholesale Distributor network handles the wholesale shipments of our products. These distributors have a warehouse and distribution center, and ship Reed’s and Virgil’s products directly to the retailer (or to customers who opt for drop shipping).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International Distribution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presently export Reed’s and Virgil’s brands throughout international markets via US based exporters. International markets where our brands are present are France, UK, South Africa, portions of the Caribbean, Canada, Spain, Philippines, Mexico, Vietnam, and Australia.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sales to some areas of the world are cost prohibitive, except for some specialty sales, since our premium sodas were historically packed in glass, which drives substantial freight costs when shipping overseas. Despite these cost challenges, we believe there are good opportunities to expand internationally, and we are increasing our marketing focus on these areas by adding freight friendly packages such as aluminum cans and have secured manufacturing partnerships in local markets whereby we ship concentrate rather than finished goods. We currently have production facilities in the U.K. and will be expanding into the European Union during 2024. We are open to exporting and co-packing internationally and expanding our brands into foreign markets and believe that our new partnership with D and D Holdings will advance our ability to successfully penetrate the continent of Asia. We believe this area is a natural fit for Reed’s ginger products because of the popularity and importance of ginger in international markets, where ginger is a significant part of the local diet and nutrition.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strength of our brands, innovation, and marketing, coupled with the quality of our products and flexibility of our distribution network, allows us to compete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some of our distributors commit us to “termination fees” if we terminate our agreements early or without cause. These agreements provide for our distributor partners to have the right to distribute our products to a defined type of retailer within a defined geographic region. As is customary in the beverage industry, if we should terminate the agreement or not automatically renew the agreement, we would be obligated to make certain payments to our distributor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outside distributors are not bound by written agreements with us and may discontinue their relationship with us on short notice. Most distributors handle a number of competitive products. In addition, our products are sometimes a small part of our distributors’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continually monitor our distribution agreements with our partners across North America to ensure that they are optimal.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Reed’s products are produced by our co-pack partners. They brew, blend, bottle, and package our products and charge us a fee, generally by the case, for the products produced. We have a long-standing relationship with two co-packers in Pennsylvania and one in California, one in Washington state and one in New York state. We are actively expanding co-packing capacity and building finished goods inventory. During 2023, we entered into co-packing agreements with a new facility in the Southeast United States and a co-packer in North Carolina, Battle Co-Packaging. Our agreement with Battle Co-Packaging serves to expand our production for both bottles and cans and will allows us to better serve our Southeast and south-central customers and grow our sales in the region. We are also in discussions and negotiations with additional co-packers to secure added capability for future production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instances, subject to agreement, certain equipment may be purchased exclusively by us and/or jointly with our co-packers and installed at their facilities to enable them to produce certain of our products. In certain cases, such equipment remains our property and is required to be returned to us upon termination of the packing arrangements with such co-packers, unless we are reimbursed by the co-packer over a pre-determined number of cases that are produced at the facilities concerned.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most of our products there are limited co-packing facilities in our markets with adequate capacity and/or suitable equipment to package our products. </w:t>
      </w:r>
      <w:r>
        <w:rPr>
          <w:rFonts w:ascii="Times New Roman;Times;Serif" w:hAnsi="Times New Roman;Times;Serif"/>
          <w:b w:val="false"/>
          <w:i w:val="false"/>
          <w:caps w:val="false"/>
          <w:smallCaps w:val="false"/>
          <w:sz w:val="20"/>
          <w:shd w:fill="FFFFFF" w:val="clear"/>
        </w:rPr>
        <w:t>Further, our ability to estimate demand for our products is imprecise, particularly with new products, and may be less precise during periods of rapid growth, including in new markets. If we materially underestimate demand for our products, and/or are unable to secure sufficient ingredients or raw materials, and/or procure adequate packing arrangements and/or obtain adequate or timely shipment of our products, we are not be able to satisfy demand on a short-term basis.</w:t>
      </w:r>
      <w:r>
        <w:rPr>
          <w:rFonts w:ascii="Times New Roman;Times;Serif" w:hAnsi="Times New Roman;Times;Serif"/>
          <w:b w:val="false"/>
          <w:i w:val="false"/>
          <w:caps w:val="false"/>
          <w:smallCaps w:val="false"/>
          <w:sz w:val="20"/>
        </w:rPr>
        <w:t xml:space="preserve"> We have experienced disruptions and delays in production that have impacted our operations and revenues and there can be no assurances that we will not encounter such disruptions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actively seek alternative and/or additional co-packing facilities with adequate capacity and capability for the production of our various products to minimize transportation costs and transportation-related damages as well as to mitigate the risk of a disruption.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Warehousing and Logistics are a significant portion of the Company’s operational costs. In order to drive efficiency and reduce costs, on February 1, 2019, we entered into a strategic partnership with FitzMark to manage all freight movement for the Company. FitzMark is one of the largest distribution service providers in North America and has expertise that will provide a competitive advantage in the movement of raw materials and finished goods. This partnership supports planning and execution of all inventory movement, assessment of storage needs and cost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follow a “fill as needed” model to the best of our ability and have no significant order backlog.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Product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simplified our business and have streamlined a significant number of SKUs in order to further our primary objective of accelerating the growth of the Reed’s and Virgil’s core product offerings, we believe significant opportunity remains in the natural beverage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Healthier alternatives will be the future for carbonated soft drinks. We are in the process of formulating new products that leverage fresh organic ginger to create a portfolio of beverages targeting the “better-for-you” lifestyle category. We look forward to unveiling these products in the back half of the year with a soft launch during Q4.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drive product development in the natural, no and low sugar offerings in the “better for you” beverage categories. In addition, we believe there are powerful consumer trends that will help propel the growth of our brand portfolio including the increased consumption of ginger as a recognized superfood, the growing use of ginger beer in today’s popular cocktail drinks, and consumers’ increased demand for higher quality, natural handcrafted beverages.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Innovations include our compelling line of full flavor, natural, zero sugar, zero calorie sodas. Reed’s has also begun to expand and broaden its product development capabilities by engaging and working with larger, experienced beverage flavor houses and innovative ingredient research and supply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new business model enhances our ability to be nimble and innovative, producing category leading new products in a short period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Nonalcoholic Beverages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 in this competitive environment is dependent on effective promotion of existing products, effective introduction of new products and reformulations of existing products, increased efficiency in production techniques, effective incorporation of technology and digital tools across all areas of our business, the effectiveness of our advertising campaigns, marketing programs, product packaging and pricing, new vending and dispensing equipment and brand and trademark development and protection. We believe that the strength of our brands, innovation and marketing, coupled with the quality of our products and flexibility of our distribution network, allows us to compete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nonalcoholic beverage segment of the commercial beverage industry is highly competitive, consisting of numerous companies ranging from small or emerging to very large and well established. Our nonalcoholic products compete on the basis of brand recognition and loyalty, taste, price, value, quality, innovation, distribution, shelf space, advertising, marketing and promotional activity (including digital), packaging, convenience, service and the ability to anticipate and effectively respond to consumer preferences and trends, including increased consumer focus on health and wellness and sustainability and the continued acceleration of e-commerce and other methods of distributing and purchasing products. Our products compete with a wide range of drinks produced by a relatively large number of manufacturers. Many of these brands have enjoyed broad, well-established national recognition for years, through well-funded advertising and other branding campaigns. Competitors in the ginger beer category include Goslings, Barrett’s, Fever Tree, Bundaberg, Cock ‘n Bull and Q; in the craft soda category we compete with brands such as Stewart’s, IBC, Zevia, Henry Weinhard’s, Boylan, Sprechers, and Jones Soda; In the Ginger Ale category we compete with Canada Dry, Schweppes, Seagram’s, Vernor’s, and Zevia.</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compete for distributors who will concentrate on marketing our products over those of our competitors, provide stable and reliable distribution, and secure adequate shelf space in retail outlets.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have a relatively high price, we have minimal mass media advertising to date, and a small but growing presence in the mainstream market compared to many of our competitors, Our success in this competitive market is dependent on our natural innovative beverage recipes, brand innovation, packaging, commitment to the highest quality standards, use of premium ingredients, and our proprietary ginger processing formula.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Candy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Crystallized Ginger and Reed’s Ginger Chews restaged their product line up in 2020. The category is small and there is not a significant number of entrants. Key competitors are Chimes and Gin Gins. During 2023, the Company licensed its candy business to Rootstock Trading, a company founded and owned by our former Chief Sales Officer, Neal Cohane. As part of this agreement, Rootstock agreed to pay a royalty on a percentage of its net sales of licensed products. The royalty fees are 0% for 2023, 2% for 2024, 4% for 2025, and 5%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Ready to Drink: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RTD category refers to canned cocktails that offer convenience and quality for cocktail drinkers.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start of Covid-19, when restaurants and bars closed in March 2020, helped propel the category with consumers bringing the on-premises cocktail occasion to their homes. This was a major boost for canned, single-serve RTDs. Without the recent quality improvements of RTD cocktails, however, it’s unlikely that the category would have taken off. Today’s RTD cocktails bring much higher quality versus earlier wine coolers and malt-based hard lemonades. Premiumization has resulted in a new wave of products that boast less sugar and more transparency. Variety has also been a key driver, allowing consumers ways to experiment without buying costly ingredients or spirits. Reed’s is poised to leverage these trends by bringing high-quality, crafted Mules made with real fresh ginger to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Top selling brands in the category are High Noon, Cutwater Spirits, On The Rocks, Jose Cuervo, 1800 Tequila, Buzzballz, Bacardi, The Long Drink Company, and Fisher’s Island. In the Mule segment, the key players include ‘Merican Mule, Cutwater Mule, and Copper 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Raw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raw materials used in the preparation, bottling and packaging of our products are purchased by Reed’s or by our contract packers in accordance with our specifications. Raw materials are delivered and stored at our various third-party co-packers.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raw materials used in our products are obtained from domestic and foreign suppliers and many of the materials have multiple reliable suppliers. This provides a level of protection against a major supply constriction or adverse cost or supply impacts. Since our raw materials are common ingredients and supply is easily accessible, we have few long-term contracts in place with our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outside factors such as industry wide shortages, crop yield, weather, agricultural legislation, and the geopolitical climate impact supply and price; however, we do source certain ingredients from different regions and suppliers to mitigate some of this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Glass Bottles and Aluminum Cans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component of our product cost is the purchase of glass bottles and aluminum cans. We are generally responsible for arranging for the purchase and delivery to our third-party co-packers of the containers in which our beverage products are packaged. We source glass bottles directly from manufacturers or indirectly through brokers or co-packers, based on their cost and availability regionally. During 2022 we entered into a three year agreement with a packaging broker to supply us with sleek and standard 12-ounce cans though the year 2025. These suppliers provide expertise in emerging package and material innovation that can be leveraged to further expand marketing and package offerings.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Working Capital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2020 we entered into a licensing agreement with Full Sail Brewery headquartered in Hood River, Oregon to manufacture and sell our new line of Reed’s Alcoholic Classic Mule in 4 and 12 pack 12-ounce cans, and 12 pack 16-ounce cans. Full Sail manages all aspects of production and distribution. We subsequently amended that agreement to assume the distribution rights from Full Sail and instead utilize Full Sail as a co-packer of our RTD Classic Mule line. We now fully control the sales and marketing process, and this change in distribution ownership enables us to recognize gross revenue as opposed to a royalty fee going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nonalcoholic beverages are somewhat seasonal with higher-than-average volume in the warmer months. The volume of sales in the beverage business is affected by weather conditions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Proprietary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copyrights, trademarks and trade secrets relating to our products and the processes for their production; the packages used for our products; and the design and operation of various processes and equipment used in our business. Some of our proprietary rights are licensed to our co-packers and suppliers and other parties. Reed’s ginger processing and brewing process finished beverage products and concentrate formulas are among its most valuable trade secrets.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trademarks in the United States that we consider material to our business. Trademarks in the United States are valid as long as they are in use and/or their registrations are properly maintained. Pursuant to our manufacturing and bottling agreements, we authorize our co-packers to use applicable Reed’s trademarks in connection with their manufacture, sale and distribution of our products. We have registered and intend to obtain additional trademarks in international markets as may become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use confidentiality and non-disclosure agreements with employees, manufacturers and distributors to protect our proprietary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and it is our policy to comply with all applicable laws in all jurisdictions in which we do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laws and regulations that apply to our business and the production, distribution and sale of our products include, but are not limited to: the Federal Food, Drug and Cosmetic Act and various state laws governing food safety and food labeling; the Food Safety Modernization Act; the Occupational Safety and Health Act and various state laws and regulations governing workplace health and safety; various federal, state and local environmental protection laws, as discussed below; the Federal Motor Carrier Safety Act; the Federal Trade Commission Act; the Lanham Act and various state law statutory and common law duties regarding false advertising; various federal and state laws and regulations governing our employment practices, including those related to equal employment opportunity, such as the Equal Employment Opportunity Act and the National Labor Relations Act and those related to overtime compensation, such as the Fair Labor Standards Act; various state and federal laws pertaining to sale and distribution of alcohol beverages; data privacy and personal data protection laws and regulations, including the California Consumer Privacy Act of 2018 (as modified by the California Privacy Rights Act); customs and foreign trade laws and regulations, including laws regarding the import or export of our products or ingredients used in our products and tariffs; laws regulating the sale of certain of our products in schools; and laws regulating the ingredients or substances contained in, or attributes of, our products. We are subject to various state and local statutes and regulations, including state consumer protection laws such as Proposition 65 in California, which requires that a specific warning appear on any product that contains a substance listed by the State of California as having been found to cause cancer or birth defects, unless the amount of such substance in the product is below a safe harbor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jurisdictions have either imposed, or are considering imposing, new or increased taxes on the manufacture, distribution or sale of, ingredients or substances contained in, or attributes of, our products or commodities used in the production of our products. These taxes vary in scope and form: some apply to all beverages, including non-caloric beverages, while others apply only to beverages with a caloric sweetener (e.g., sugar). Similarly, some measures apply a single tax rate per ounce/liter on beverages containing over a certain level of added sugar (or other sweetener) while others apply a graduated tax rate depending upon the amount of added sugar (or other sweetener) in the beverage,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jurisdictions have either imposed or are considering imposing regulations designed to increase recycling rates, encourage waste reduction, restrict the sale of products utilizing certain packaging or to carry warnings about the environmental impact of plastic packaging. It is possible that similar or more restrictive requirements may be proposed or enacted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jurisdictions have either imposed, or are considering imposing, new or increased taxes on the manufacture, distribution or sale of our products, ingredients or substances contained in, or attributes of, our products or commodities used in the production of our products. These taxes vary in scope and form: some apply to all beverages, , while others apply only to beverages with a caloric sweetener (e.g., sugar). Similarly, some measures apply a single tax rate per ounce/liter on beverages containing over a certain level of added sugar (or other sweetener) while others apply a graduated tax rate depending upon the amount of added sugar (or other sweetener) in the beverage and some apply a flat tax rate on beverages containing a particular substance or ingredient, regardless of the level of such substance or ingredient.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Co-packers of our beverage products presently offer and use non-refillable, recyclable containers in the United States. Some of these co-packers also offer and use refillable containers, which are also recyclable. Legal requirements apply in various jurisdictions in the United States and overseas requiring deposits or certain taxes or fees be charged for the sale, marketing and use of certain non-refillable beverage containers. The precise requirements imposed by these measures vary. Other types of beverage container-related deposit, recycling, tax and/or product stewardship statutes and regulations also apply in various jurisdictions in the United States and overseas. We anticipate additional, similar legal requirements may be proposed or enacted in the future at local, state and federal levels, both in the United States and elsewhere.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Alcoholic beverages are regulated by federal, state and local governments in both the U.S. and abroad whose laws and regulations govern the production, distribution and sale of alcohol beverages, including licensing, permitting, advertising and marketing. The manufacturing and sale of alcohol products requires numerous approvals, licenses and permits from governmental agencies, including, but not limited to, the U.S. Department of Treasury, the Alcohol and Tobacco Tax and Trade Bureau (“TTB”), the U.S. Department of Agriculture, the FDA, state alcohol regulatory agencies and state and federal environmental agencies. Our third-party manufacturers, in particular, are subject to audits and inspections by TTB and applicable state alcohol regulatory agencies at any time. Our alcohol beverages are also subject to various taxes, license fees, and the like levied by governmental entities as well as bonds that such entities may deem necessary to ensure compliance with applicable laws and regulations. Beginning in January 2018, the federal excise taxes imposed on domestic brewers that produce less than 2 million barrels annually were reduced from $7.00 to $3.50 per barrel on the first 60,000 barrels shipped annually. State and local excise taxes, on the other hand, vary based on the alcohol content and type of beverage. Federal, state, or local governments may increase such excise taxes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co-packers are subject to federal, state and local environmental laws and regulations, including those relating to air emissions, water discharges, the use of water resources, waste disposal, and recycling. Changes in environmental compliance mandates, and any expenditures necessary to comply with such requirements, could increase costs. In addition, continuing concern over environmental matters, including climate change, is expected to continue to result in new or increased legal and regulatory requirements (in and outside of the United States), including to reduce or mitigate the potential effects of greenhouse gases, to limit or impose additional costs on commercial water use due to local water scarcity concerns, or to expand mandatory reporting of certain environmental, social and governance metrics.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various federal, state and international laws and regulations related to privacy and data protection, including the California Consumer Privacy Act of 2018 (“CCPA”), which became effective on January 1, 2020, and its extension, the California Privacy Rights Act (“CPRA”), which will take effect on January 1, 2023. The interpretation and application of data privacy, cross-border data transfers and data protection laws and regulations are often uncertain and are evolving in the United States and internationally. We monitor pending and proposed legislation and regulatory initiatives to ascertain their relevance to and potential impact on our business and develop strategies to address regulatory trends and developments, including any required changes to our privacy and data protection compliance programs and policies.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cost pertaining to environmental compliance activity is in recycling fees and redemption values. Various municipalities, states and foreign countries require that a deposit be charged for certain non-refillable beverage containers. The precise requirements imposed by these measures vary by jurisdiction. Other deposit, recycling, ecotaxes and/or product stewardship proposals have been, and may in the future be, introduced and enacted at the federal, state, and local levels, and in foreign countries. In California, we are required to collect redemption values from our customers and to remit such redemption values to the State of California Department of Resources Recycling and Recovery based upon the number of cans and bottles of certain carbonated and non-carbonated products sold. In certain other states and countries where our products are sold, we are also required to collect deposits from our customers and to remit such deposits to the respective jurisdictions based upon the number of cans and bottles of certain carbonated and non-carbonated products sold in such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discussion in this section, see also “Item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21 full-time equivalent employees on our corporate staff. We employ additional people on a part-time basis as needed. We have never participated in a collective bargaining agreement. We believe relations with our employees are good.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website at the following address: www.drinkreeds.com. The information on the Company’s website is not incorporated by reference in this report.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kia_001"/>
      <w:bookmarkEnd w:id="32"/>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risks, some of which have occurred and any of which may occur in the future, can have a material adverse effect on our business or financial performance, which in turn can affect the price of our publicly traded securities. These are not the only risks we face. There may be other risks we are not currently aware of or that we currently deem not to be material but that may become material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Risks Related to Our Debt Service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service our indebtedness will depend on our ability to generate cash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our outstanding obligation our 10% Secured Convertible Notes (“Notes”) was approximately $18.1 million and the balance on our ABL line of credit was approximately $9.9 million. Our business may not generate sufficient cash to fund our working capital requirements, capital expenditure, debt service and other liquidity needs, which could result in our inability to comply with financial and other covenants contained in our debt agreements, our being unable to repay or pay interest and penalties on our indebtedness, and our inability to fund our other liquidity needs. If we are unable to service our debt obligations, fund our other liquidity needs and maintain compliance with our financial and other covenants, we could be forced to curtail our operations, our creditors could accelerate our indebtedness and exercise other remedies and we could be required to pursue one or more alternative strategies, such as selling assets or refinancing or restructuring our indebtedness. However, such alternatives may not be feasible or 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our 10% Secured Convertible Notes (“Notes”) have been amenable to making accommodations under the Notes by waiving conditions and financial covenants in exchange for certain negotiated penalties in lieu of declaring default. If do not meet our obligations under the Notes and are unable to negotiate accommodations in the future, the Note holders may declare a default, which would likely force us into bankruptcy.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our outstanding obligation under the Notes was approximately $18.1 million. The Notes are secured by substantially all of the company’s assets. We have negotiated an extension under the Notes, subject to meeting certain conditions and executing documentation. As such the maturity date will be in April 2024. The indebtedness under the Notes limits our growth, and management of the debt requires a significant amount of time and effort of our executive officers. While we have been successful negotiating waivers and amendments under the Notes, we may not be able to continue to do so in the future. We have further been exploring our options to refinance these Notes. If we are unable to service or repay these obligations at maturity and we are otherwise unable to extend the maturity dates or refinance these obligations, we may default. A default would trigger acceleration under the Notes, and it is unlikely that we would have sufficient funds to make these payments. Upon a default, the holders have the right to exercise their remedies to collect, including foreclosing on our assets. Accordingly, we would likely be forced to seek bankruptcy protection in the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and Operational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realize benefits from our productivity initiatives can adversely affect our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depends, in part, on our ability to continue to reduce costs and improve efficiencies. We continue to identify and implement initiatives that we believe will position our business for long-term sustainable growth by allowing us to achieve a lower cost structure, improve decision-making and operate more efficiently. If we are unable to successfully implement our productivity initiatives as planned or do not achieve expected savings as a result of these initiatives, we may not realize all or any of the anticipated benefits, resulting in adverse effects on our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Demand for our products can fluctuate significantly and our management’s estimates of future product demand may be inaccurate, particularly with new product. Further, we may are subject to a variety of other factors that impact timely production and shipment of our products. Our business and results of operations are impacted by product shortages as well as product surplus.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estimates of future product demand may be inaccurate, which could result in an understated or overstated provision required for excess and obsolete inventory. At December 31, 2023, and 2022, inventory has been reduced by cumulative write-downs for inventory aggregating $1,848 and $479, respectively.</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underestimate demand for our products, are unable to secure sufficient ingredients or raw materials or procure adequate packing arrangements to obtain adequate or timely shipment of our products, we are not be able to satisfy demand on a short-term basis.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the timing and amount of our sales because our distributors are not required to place minimum orders with us. Our independent distributors and national accounts are not required to place minimum monthly or annual orders for our products. In order to reduce their inventory costs, independent distributors typically order products from us on a “just in time” basis in quantities and at such times based on the demand for the products in a particular distribution area. Accordingly, we cannot predict the timing or quantity of purchases by any of our independent distributors or whether any of our distributors will continue to purchase products from us in the same frequencies and volumes as they may have done in the past. Additionally, our larger distributors and partners may make orders that are larger than we have historically been required to fill.</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all of our products are produced by our co-pack partners. For most of our products there are limited co-packing facilities in our markets with adequate capacity and/or suitable equipment to package our products. If a co-packer terminates its relationship with us, we are have in the past, and will likely in the future, experience a delay finding a suitable replacement, which will negatively impact or business and financial results.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distributors, retailers and brokers could affect our ability to efficiently and profitably distribute and market our products, maintain our existing markets and expand our business into other geographic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expand our existing markets for our products, and to establish markets in new geographic distribution areas, is dependent on our ability to establish and maintain successful relationships with reliable distributors, retailers and brokers strategically positioned to serve those areas. Most of our distributors, retailers and brokers sell and distribute competing products and our products may represent a small portion of their businesses. The success of this network will depend on the performance of the distributors, retailers and brokers of this network. Our ability to incentivize and motivate distributors to manage and sell our products is affected by competition from other beverage companies who have greater resources than we do. To the extent that our distributors, retailers and brokers are distracted from selling our products or do not employ sufficient efforts in managing and selling our products, including re-stocking the retail shelves with our products, our sales and results of operations could be adversely affected. Furthermore, such third parties’ financial position or market share may deteriorate, which could adversely affect our distribution, marketing and sales activities. Our ability to maintain and expand our distribution network and attract additional distributors, retailers and brokers will depend on a number of factors, some of which are outside our control. Some of these factors include: (i) the level of demand for our brands and products in a particular distribution area; (ii) our ability to price our products at levels competitive with those of competing products; and (iii) our ability to deliver products in the quantity and at the time ordered by distributors, retailers and brokers. We may not be able to successfully manage all or any of these factors in any of our current or prospective geographic areas of distribution. Our inability to achieve success with regards to any of these factors in a geographic distribution area will have a material adverse effect on our relationships in that particular geographic area, thus limiting our ability to maintain or expand our market, which will likely adversely affect our revenues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 chain challenges have impacted our ability to benefit from strong demand for, and increased sales of our products and adversely impacted our business. Disruption of our production or supply chain, including continued increased commodity, packaging, transportation, labor and other input costs, can adversely affect our business.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disruption caused by labor shortages, significant raw material cost inflation, logistics issues and increased freight costs, and ongoing port congestion, resulted in suppressed margins. The raw materials and other supplies, including agricultural commodities, fuel and packaging materials, transportation, labor and other supply chain inputs that are required for the manufacturing, production and distribution of our products are subject to price volatility and fluctuations in availability caused by many factors, including changes in supply and demand, supplier capacity constraints, inflation, weather conditions (including potential effects of climate change), fire, natural disasters, disease or pests, agricultural uncertainty, health epidemics or pandemics or other contagious outbreaks (including COVID-19), labor shortages or changes in availability of our or our business partners’ workforce (including the lack of availability of truck drivers as a result of COVID-19), strikes or work stoppages (including by railway workers or other third parties involved in the manufacture, production and distribution of our products), governmental incentives and controls (including import/export restrictions, such as new or increased tariffs, sanctions, quotas or trade barriers), port congestions or delays, transport capacity constraints, cybersecurity incidents or other disruptions, loss or impairment of key manufacturing sites, political uncertainties, geopolitical events, wars and other military conflicts, acts of terrorism, governmental instability or currency exchange rates. Many of our raw materials and supplies are purchased in the open market and the prices we pay for such items are subject to fluctuation. Although we have experienced decreases in freight costs over the last three quarters, we believe there remains a volatile environment, and we continue to monitor pricing and availability in transportation. When input prices increase unexpectedly or significantly, we may be unwilling or unable to increase our product prices or unable to effectively hedge against price increases to offset these increased costs without suffering reduced volume, revenue, margins and operating results The disruption we experiences caused by labor shortages, significant raw material cost inflation, logistics issues and increased freight costs, and ongoing port congestion, resulted in suppressed margins. We could continue to experience disruption in our manufacturing operations and supply 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Reduction in future demand for our products would adversely affect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our products depends in part on our ability to innovate and anticipate and effectively respond to shifts in consumer trends and preferences, including the types of products our consumers want and how they browse for, purchase and consume them. Consumer preferences continuously evolve due to a variety of factors, including: changes in consumer demographics, consumption patterns, diet (whether due to changes in consumer behavior and eating habits, the use of weight-loss drugs or other factors) and channel preferences (including continued increases in the e-commerce and online-to-offline channels); pricing; product quality; concerns or perceptions regarding packaging and its environmental impact (such as single-use and other plastic packaging); and concerns or perceptions regarding the nutrition profile and health effects of, or location of origin of, ingredients or substances in our products or packaging, including due to the results of third-party studies (whether or not scientifically valid). Concerns with any of the foregoing could lead consumers to reduce or publicly boycott the purchase or consumption of our products. Pandemics, epidemics or other disease outbreaks, such as COVID-19, and geopolitical events, wars and other military conflicts have also impacted and could continue to impact consumer preferences and demand for our products. Consumer preferences are also influenced by perception of our brand image or the brand images of our products, the success of our advertising and marketing campaigns, our ability to engage with our consumers in the manner they prefer, including through the use of digital media or assets, and the perception of our use of social media and our response to political and social issues, geopolitical events, wars and other military conflicts or catastrophic events. These and other factors have reduced and could continue to reduce consumers’ willingness to purchase certain of our products, including as a result of public boycotts. Any inability on our part to anticipate or react to changes in consumer preferences and trends, or make the right strategic investments to do so, including investments in data analytics to understand consumer trends, can lead to reduced demand for our products, lead to inventory write-offs or erode our competitive and financial position, thereby adversely affecting our business. In addition, our business operations, including our supply chain, are subject to disruption by geopolitical events, wars and other military conflicts, natural disasters, pandemics, epidemics or other events beyond our control that could negatively impact product availability and decrease demand for our products.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Damage to our reputation or brand image can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 positive reputation is critical to selling our products. Our reputation or brand image could be adversely impacted by a variety of factors, including: particular ingredients in our products, including concerns regarding whether certain of our products contribute to obesity and other health conditions; any product quality or safety issues, including the recall of any of our products; any failure to comply with laws and regulations; marketing programs, use of social media; or any failure to effectively respond to negative or inaccurate comments about us on social media or otherwise regarding any of the foregoing. Damage to our reputation or brand image could decrease demand for our products, thereby adversely affecting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recalls or other issues or concerns with respect to product quality and safety can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recalled, and could in the future recall, products due to product quality or safety issues, such as mislabeling, spoilage or malfunction. Product quality or safety issues could reduce consumer confidence and demand for our products, cause production and delivery disruptions, and result in increased costs (including payment of fines, judgments and legal fees, and costs associated with alternative sources of production) and damage our reputation, all of which can adversely affect our business. Any perception or allegation (whether or not valid) of failure to maintain adequate oversight over product quality or safety can result in product recalls, litigation, government investigations or inquiries or civil, all of which may result in fines, penalties and damages. In addition, while we currently maintain insurance coverage that, subject to its terms and conditions, is intended to address costs associated with certain aspects of product recalls, this insurance coverage may not, depending on the specific facts and circumstances surrounding an incident, cover all losses or all types of claims that arise from an incident, or the damage to our reputation or brands that may result from an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inability to compete effectively can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compete against products of international beverage companies as well as regional, local and private label and economy brand manufacturers and other competitors, including smaller companies developing and selling micro brands directly to consumers through e-commerce platforms or through retailers focused on locally sourced products. Our products compete primarily on the basis of brand recognition and loyalty, taste, quality, innovation, distribution, shelf space, advertising, and promotional activity, packaging, convenience, and the ability to anticipate and effectively respond to consumer preferences and trends. Our business can be adversely affected if we are unable to effectively promote or develop our existing products or introduce and effectively market new products, if we are unable to improve operating efficiencies, if we are unable to effectively respond to supply disruptions, pricing pressure (including as a result of commodity inflation) or otherwise compete effectively, and we may be unable to grow or maintain sales or category share or we may need to increase capital, marketing or other expenditures. It is possible that our competitors may either respond to industry conditions or consumer trends more rapidly or effectively or resort to price competition to sustain market share, which could adversely affect our sales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attract, develop and maintain a highly skilled and diverse workforce or effectively manage changes in our workforce can have an adverse effect on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requires that we attract, develop and maintain a highly skilled and diverse workforce. Our employees are highly sought after by our competitors and other companies and our continued ability to compete effectively depends on our ability to attract, retain, develop and motivate highly skilled personnel for all areas of our organization. Our ability to do so has been and may continue to be impacted by challenges in the labor market, which has experienced and may continue to experience wage inflation, labor shortages, increased employee turnover, changes in availability of our workforce and changing worker expectations regarding flexible work models. Any unplanned turnover or failure to attract, develop and maintain a highly skilled and diverse workforce, can erode our competitive advantage or result in increased costs due to increased competition for employees or increased employee benefit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the retail landscape or in sales to any key customer can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retail industry is impacted by the actions and increasing power of retailers, including as a result of increased consolidation of ownership resulting in large retailers or buying groups with increased purchasing power, particularly in North America, Europe and Latin America. In this changing retail landscape, retailers and buying groups have impacted and may continue to impact our ability to compete in these jurisdictions by demanding lower prices or increased promotional programs. During the year ended December 31, 2023, we had two customers that accounted for approximately 24% and 15% of its sales, respectively; and during the year ended December 31, 2022, we had two customers that accounted for approximately 17% and 16% of its sales, respectively. These two customers serve hundreds if not thousands of various retail chains and end customers. No other customer exceeded 10% of sales for either period. Our inability to resolve a significant dispute with either of these customers, a change in the business condition (financial or otherwise) of either of these customers, even if unrelated to us, a significant reduction in sales to either of them, or the loss of either of them could </w:t>
      </w:r>
      <w:r>
        <w:rPr>
          <w:rFonts w:ascii="Times New Roman;Times;Serif" w:hAnsi="Times New Roman;Times;Serif"/>
          <w:b w:val="false"/>
          <w:i w:val="false"/>
          <w:caps w:val="false"/>
          <w:smallCaps w:val="false"/>
          <w:sz w:val="20"/>
          <w:shd w:fill="FFFFFF" w:val="clear"/>
        </w:rPr>
        <w:t>adversely affect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economic conditions can adversely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 jurisdictions in which our products are sold have experienced and could continue to experience uncertain or unfavorable economic conditions, such as high inflation and adverse changes in interest rates, tax laws or tax rates, including as a result of geopolitical events. These uncertain or unfavorable economic conditions have resulted in and could continue to result in recessions or economic slowdowns; volatile commodity markets; labor shortages; highly inflationary economies; and stimulus measures,. In addition, we cannot predict how current or future economic conditions will affect our business partners, including financial institutions with whom we do business, and any negative impact on any of the foregoing may also have an adverse impact on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cyber incidents and other disruptions to our information systems can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outsource cybersecurity to a third party provider.</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Cyberattacks and other cyber incidents are occurring more frequently, the techniques used to gain access to information technology systems and data, disable or degrade service or sabotage systems are constantly evolving and becoming more sophisticated in nature and are being carried out by groups and individuals with a wide range of expertise and motives. In addition, the rapid evolution and increased adoption of artificial intelligence technologies may increase our cybersecurity risks, including generative artificial intelligence augmenting threat actors’ technological sophistication to enhance existing or create new malware. We have not experienced a cyber security breach,; however, a breach could have a material adverse effect on us in the future.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Chairman and Vice Chairman are significant stockholders and may greatly influence the outcome of all matters on which stockholders vote.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conversion of the SAFE investment, Shufen Deng, our Vice Chairman, will beneficially own approximately 47% of our common stock and John J. Bello, our Chairman, will beneficially own approximately 9% of our common stock. They will exert significant influence on the outcome of stockholder votes. Furthermore, and the Union Square Entities, a related party, will own approximately 25% of our stock after conversion of the SAFE investment and will also have great influence on the outcome of a stockholder vote. (Beneficial ownership is calculated pursuant to Section 13d-3 of the Securities Exchange Act of 1934, as amended, and includes shares underlying derivative securities which may be exercised or converted within 60 days.)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largest stockholder’s preemptive right could dissuade a strategic investor from making an investment in the Company.</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largest stockholder, D&amp;D Source of Life Holding, Ltd. (“D&amp;D”) holds a preemptive right to purchase its pro-rata share, based on the ratio of shares of the Company’s common it owns to all the outstanding share of the Company’s common stock, of any investment in the equity securities or equity- linked securities of the Company, D&amp;D, an entity owned by our Vice Chairman, will beneficially own approximately 47% of our common stock after conversion of the SAFE investment. As such, D&amp;D’s exercise of its right could serve to dissuade a new strategic investor from proposing an investment in the Company or significantly decrease the size of the new investor’s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Tax and Regulatory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Taxes aimed at our products can adversely affect our business or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jurisdictions in which our products are sold have either imposed, or are considering imposing, new or increased taxes on the manufacture, distribution or sale of certain of our products, as a result of ingredients contained in our products. These taxes vary in scope and form: some apply to all beverages, including non-caloric beverages, while others apply only to beverages with a caloric sweetener (e.g., sugar). Similarly, some measures apply a single tax rate per ounce/liter on beverages containing over a certain amount of added sugar (or other sweetener), some apply a graduated tax rate depending upon the amount of added sugar (or other sweetener) in the beverage and others apply a flat tax rate on beverages containing any amount of added sugar (or other sweetener). These tax measures, whatever their scope or form, have in the past and could continue to increase the cost of certain of our products, reduce overall consumption of our products or lead to negative publicity, resulting in an adverse effect on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the marketing or sale of our products can adversely affect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jurisdictions in which our products are sold or may be sold have either imposed, or are considering imposing, limitations on the marketing or sale of our products as a result of ingredients or substances in our products or product packaging. These limitations require that we highlight perceived concerns about a product or product packaging, warn consumers to avoid consumption of certain ingredients or substances present in our products, restrict the age of consumers to whom products are marketed or sold, limit the location in which our products may be available or discontinue the use of certain ingredients or packaging. Certain jurisdictions have imposed or are considering imposing color-coded labeling requirements where colors such as red, yellow and green are used to indicate various levels of a particular ingredient, such as sugar, sodium or saturated fat, in products. The imposition or proposed imposition of additional limitations on the marketing or sale of our products has in the past reduced and could continue to reduce overall consumption of our products, lead to negative publicity or leave consumers with the perception that our products do not meet their health and wellness needs, resulting in an adverse effect on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 and regulations related to the use or disposal of plastics or other packaging materials can adversely affect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diverse packaging solutions to safely deliver products to our customers and consumers. Certain of our products are sold in packaging designed to be recyclable, commercially compostable, biodegradable or reusable. However, not all packaging is recovered, whether due to lack of infrastructure, improper disposal or otherwise, and certain of our packaging is not currently recyclable, commercially compostable, biodegradable or reusable. Packaging waste not properly disposed of that displays one or more of our brands has in the past resulted in and could continue to result in negative publicity, litigation, government investigations or other action or reduced consumer demand for our products, adversely affecting our financial performance. Many jurisdictions in which our products are sold have imposed or are considering imposing laws, regulations or policies intended to encourage the use of sustainable packaging, waste reduction, increased recycling rates or decreased use of single-use plastics or to restrict the sale of products utilizing certain packaging. These laws, regulations and policies vary in form and scope and include extended producer responsibility policies, plastic or packaging taxes, minimum recycled content requirements, restrictions on certain products and materials, restrictions or bans on the use of certain types of packaging, including single-use plastics and packaging containing PFAS, restrictions on labeling related to recyclability, requirements to charge deposit fees and requirements to scale reusable or refillable packaging. For example, the European Union and certain states in the United States, among other jurisdictions, have imposed a minimum recycled content requirement for beverage bottle packaging and similar legislation is under consideration in other jurisdictions. These laws and regulations have in the past increased and could continue to increase the cost of our products, impact demand for our products, result in negative publicity and require us and our business partners, including our independent co-packers, to increase capital expenditures to invest in reducing the amount of virgin plastic or other materials used in our packaging, to develop alternative packaging or to revise product labeling, all of which can adversely affect our business and financial performance.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Failure to comply with personal data protection and privacy laws can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variety of continuously evolving and developing laws and regulations in numerous jurisdictions regarding personal data protection and privacy laws. These laws and regulations may be interpreted and applied differently from country to country or, within the United States, from state to state, and can create inconsistent or conflicting requirements. For example. the California Consumer Privacy Act, which was significantly modified by the California Privacy Rights Act, as well as comprehensive privacy legislation in Virginia, Colorado, Utah and Connecticut that became effective in 2023, as well as the European Union’s General Data Protection Regulation (GDPR), the U.K. General Data Protection Regulation (which implements the GDPR into U.K. law) and China’s Personal Information Protection Act, impose significant costs and challenges that are likely to continue to increase over time, particularly as additional jurisdictions continue to adopt similar regulations. Failure to comply with these laws and regulations or to otherwise protect personal data from unauthorized access, use or other processing, have in the past and could in the future result in litigation, claims, legal or regulatory proceedings, inquiries or investigations, damage to our reputation, fines or penalties, all of which can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manufacturing process is not patented.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manufacturing processes used in producing our products are subject to a patent or similar intellectual property protection. Our only protection against a third party using our recipes and processes is confidentiality agreements with the companies that produce our beverages and with our employees who have knowledge of such processes. If our competitors develop substantially equivalent proprietary information or otherwise obtain access to our knowledge, we will have greater difficulty in competing with them for business, and our market share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adequately protect our intellectual property rights, or if we are found to infringe on the intellectual property rights of others, our business can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possess intellectual property rights that are important to our business, including ingredient formulas, trademarks, copyrights, business processes and other trade secrets. The laws of various jurisdictions in which we operate have differing levels of protection of intellectual property. Our competitive position and the value of our products and brands can be reduced and our business adversely affected if we fail to obtain or adequately protect our intellectual property, including our ingredient formulas, or if there is a change in law that limits or removes the current legal protections afforded our intellectual property. Also, in the course of developing new products or improving the quality of existing products, we could in the future infringe or be alleged to infringe, on the intellectual property rights of others. Such infringement or allegations of infringement could result in expensive litigation and damages, damage to our reputation, disruption to our operations, injunctions against development, manufacturing, use and/or sale of certain products, inventory write-offs or other limitations on our ability to introduce new products or improve the quality of existing products, resulting in an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laws and regulations applicable to our business can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conduct of our business is subject to numerous laws and regulations relating to the production, storage, distribution, sale, display, advertising, marketing, labeling, content (including whether a product contains genetically engineered ingredients), quality, safety, transportation, supply chain, traceability, sourcing (including pesticide use), packaging, disposal, recycling and use of our products or raw materials, employment and occupational health and safety, environmental, social and governance matters and reporting (including climate change), machine learning and artificial intelligence and data privacy and protection. The imposition of new laws, changes in laws or regulatory requirements or changing interpretations thereof, changes in the enforcement priorities of regulators, and differing or competing regulations and standards across the markets where our products or raw materials are made, manufactured, distributed or sold, have in the past and could continue to result in higher compliance costs, capital expenditures and higher production costs, resulting in adverse effects on our business. For example, increasing governmental and societal attention to environmental, social and governance matters has resulted and could continue to result in new laws or regulatory requirements, including expanded disclosure requirements that are expected to continue to expand the nature, scope and complexity of matters on which we are required to report. In addition, the entry into new markets or categories has resulted in and could continue to result in our business being subject to additional regulations resulting in higher compliance costs. If one jurisdiction imposes or proposes to impose new laws or regulations that impact the manufacture, distribution or sale of our products, other jurisdictions may follow. Failure to comply with such laws or regulations (or allegations thereof) can subject us to criminal or civil investigations or enforcement actions, including voluntary and involuntary document requests, fines, injunctions, product recalls, penalties, disgorgement of profits or activity restrictions, all of which can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liabilities and costs from litigation, claims, legal or regulatory proceedings, inquiries or investigations inherent in our business can have an adverse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party to a variety of litigation, claims, legal or regulatory proceedings, inquiries and investigations, including but not limited to disputes with our contractors, matters related to our ingredients, personal injury and employment, matters. These matters are uncertain and there is no guarantee that we will be successful in defending ourselves or that our assessment of the materiality of these matters and the likely outcome or potential losses and established reserves will be consistent with the ultimate outcome of such matters. Responding to these matters, even those that are ultimately non-meritorious, requires us to incur significant expense and devote significant resources, and may generate adverse publicity that damages our reputation or brand image. Any of the foregoing can adversely affect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concerning our alcohol beverages may adversely affect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agencies heavily regulate the alcohol beverage industry. In particular, they monitor and regulate licensing, warehousing, trade and pricing practices, permitted and required labeling, including warning labels, signage, advertising, relations with wholesalers and retailers, and, in control states, product listings. There may also be a focus on companies with established non-alcohol beverages lines of business that have expanded into the alcohol beverage industry, since marketing practices that are acceptable in the non-alcohol space may have regulatory challenges in the alcohol space. In addition, other countries in which we may sell alcohol beverages could impose duties, excise taxes and/or other related taxes. If, in the future, we are unable to comply with certain regulations, sales of our products could decrease significantly. Additionally, if such agencies or jurisdictions, foreign or domestic, choose to implement new or revised laws, regulations, fees, taxes, or other such requirements, our business could be adversely affected. If such governmental bodies require increased additional product labeling, warning requirements, or limitations on the marketing or sale of our alcohol products due to their contents or allegations concerning their potential to cause adverse health effects, our sales of alcohol beverages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Environmental Risk Factors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changes to or failure to comply with various environmental laws may our co-packers to liability or cause them to close, relocate or operate at reduced production levels, which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co-packers are subject to a wide and increasingly broad array of federal, state, regional, local, and international environmental laws, including statutes and regulations, which aim to regulate emissions and impacts to air, land, and water. Their operations may result in odors, noise, or other pollutants being emitted. Failure to comply with any environmental laws or any future changes to them could result in alleged harm to employees or others near facilities. Significant costs to satisfy environmental compliance, remediation or compensatory requirements, or the imposition of penalties or restrictions on operations by governmental agencies or courts may adversely affect our business, financial condition, and results of operations. Increasing concern over sustainability matters, including climate change, will likely result in new or revised laws and regulations aimed at reducing or mitigating the potential effects of greenhouse gases, restricting or increasing the costs of commercial water use due to local water scarcity concerns, or increasing mandatory reporting of certain sustainability metrics, such as recycling.</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Water scarcity and poor quality could negatively impact our costs and capacity.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 is a main ingredient in substantially all of our products, is vital to the production of the agricultural ingredients on which our business relies and is needed in our manufacturing process. Lack of available water of acceptable quality, actions by governmental and non-governmental organizations, investors, customers and consumers on water scarcity and increasing pressure to conserve and replenish water in areas of scarcity and stress, including due to the effects of climate change, can lead to: supply chain disruption; adverse effects on our operations or the operations of our business partners; higher compliance costs; increased capital expenditures; higher production costs, including less favorable pricing for water; perception of our failure to act responsibly with respect to water use or to effectively respond to legal or regulatory requirements concerning water scarcity; or damage to our reputation, any of which can adversely affect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Climate change and legal or regulatory responses thereto may have a long-term adverse impact on our business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increasing concern that a gradual increase in global average temperatures due to increased concentration of carbon dioxide and other greenhouse gases in the atmosphere will cause significant changes in weather patterns around the globe and an increase in the frequency and severity of natural disasters. Decreased agricultural productivity in certain regions of the world as a result of changing weather patterns may limit the availability or increase the cost of key agricultural commodities, which are important sources of ingredients for our products, and could impact the food security of communities around the world. Climate change may also exacerbate water scarcity and cause a further deterioration of water quality in affected regions, which could limit water availability for our independent cop-packers. Increased frequency or duration of extreme weather conditions could also impair production capabilities, disrupt our supply chain or impact demand for our products. Increasing concern over climate change also may result in additional legal or regulatory requirements designed to reduce or mitigate the effects of carbon dioxide and other greenhouse gas emissions on the environment. Increased energy or compliance costs and expenses due to increased legal or regulatory requirements may cause disruptions in, or an increase in the costs associated with, the manufacturing and distribution of our beverage products. There is an increased focus in many jurisdictions in which our products are manufactured, distributed or sold regarding environmental policies relating to climate change, biodiversity loss, regulating greenhouse gas emissions and energy policies and sustainability. This increased focus may result in new or increased legal and regulatory requirements, such as potential carbon pricing programs or revised product labeling requirements or other regulatory measures, which could, result in significant increased costs. The effects of climate change and legal or regulatory initiatives to address climate change could have a long-term adverse impact on our business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kia_003"/>
      <w:bookmarkEnd w:id="33"/>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kia_002"/>
      <w:bookmarkEnd w:id="34"/>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work with a third-party vendor, which has extensive cybersecurity expertise to help protect and defend against cybersecurity threats. This vendor has advised us on material cybersecurity-related risks and is helping us establish controls designed to protect, detect, respond to, and recover from cybersecurity incidents. These controls include firewall protection, antivirus software protection, two-factor authentication enforced on all endpoints including Windows PCs and laptops, and intrusion prevention software designed to automatically block any unauthorized access attempts on our servers. Our cybersecurity controls are embedded within our overall risk management processes and technology, including a 24/7 threat monitoring system provided by the vendor.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our board of directors is responsible for oversight of the Company’s cybersecurity and other information technology risks, controls and procedures, including the Company’s plans to mitigate cybersecurity risks and to respond to data breaches. The board receives and provides feedback on regular updates from management, including from the Company’s Chief Financial Officer, regarding the status of projects to strengthen internal cybersecurity, results from third-party assessments, and also discusses recent incidents at other companies and the emerging threat landscape. Our Chief Financial Officer is informed about and monitors the prevention, and detection of cybersecurity incidents, with the support of our third-party cybersecurity vendor.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we are not aware of any cybersecurity threats that have materially affected or are reasonably likely to materially affect us, including our business strategy, results of operations, or financial condition. However, the sophistication of cyber threats continues to increase, and the preventative actions we take to reduce the risk of cyber incidents and protect our systems and information may be insufficient. Accordingly, no matter how well our controls are designed or implemented, we will not be able to anticipate all security breaches, and we may not be able to implement effective preventive measures against such security breaches in a timely manner.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 w:name="kia_004"/>
      <w:bookmarkEnd w:id="35"/>
      <w:r>
        <w:rPr>
          <w:rFonts w:ascii="Times New Roman;Times;Serif" w:hAnsi="Times New Roman;Times;Serif"/>
          <w:b/>
          <w:i w:val="false"/>
          <w:caps w:val="false"/>
          <w:smallCaps w:val="false"/>
          <w:sz w:val="20"/>
        </w:rPr>
        <w:t>Item 2.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8,620 square feet of office space in Norwalk, Connecticut, which serves as our principal executive offices. The lease commenced September 1, 2018, and continues in effect for a period of 5.5 years.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MS_009"/>
      <w:bookmarkEnd w:id="36"/>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California Custom Beverage, LLC’s (“CCB”), an entity owned by Christopher J. Reed, a former related party, assumed the monthly payments on our lease obligation for a Los Angeles manufacturing plant, and our release from the obligation by the lessor, however, is dependent upon CCB’s deposit of $1,200 of security with the lessor. As of December 31, 2023, $800 has been deposited with the lessor and Chris J. Reed has placed approximately 7,260 shares of the Company’s common stock valued at $12 that remain in escrow with the lessor.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a party to ordinary, routine litigation incidental to our business. Our management evaluates our exposure to these claims and proceedings individually and in the aggregate and provides for potential losses on such litigation if the amount of the loss is estimable and the loss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party to any material pending legal proceedings (including environmental proceedings), other than ordinary, routine litigation incidental to the business at the current time. Although the results of such litigation matters and claims cannot be predicted with certainty, we believe that the final outcome of such ordinary, routine litigation will not have a material adverse impact on our financial position, liquidity,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MS_010"/>
      <w:bookmarkEnd w:id="3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MS_011"/>
      <w:bookmarkEnd w:id="38"/>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 w:name="MS_012"/>
      <w:bookmarkEnd w:id="39"/>
      <w:r>
        <w:rPr>
          <w:rFonts w:ascii="Times New Roman;Times;Serif" w:hAnsi="Times New Roman;Times;Serif"/>
          <w:b/>
          <w:i w:val="false"/>
          <w:caps w:val="false"/>
          <w:smallCaps w:val="false"/>
          <w:sz w:val="20"/>
        </w:rPr>
        <w:t>Item 5. Market for Common Equity and Related Stockholder Matters and Issuer Purchases of Equity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was delisted from The Nasdaq Capital Market on February 16, 2023. Concurrently, our common stock became quoted on the OTCQX Best Market. Our symbol remains “REED”. The OTCQX Best Market is an over-the-counter market. Over-the-counter market quotations reflect inter-dealer prices, without retail mark-up, mark-down or commission and may not necessarily represent actual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2021, our shareholders approved an increase in the number of authorized shares of common stock from 120 million to 180 million. On January 24, 2023, our shareholders approved a up to a 1:50 reverse stock split of our common stock. Effective January 27, 2023, we effected the 1:50 reverse stock split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19, 2024there were approximately 165 holders of record of our common This number does not include “street name” or beneficial holders, whose shares are held of record by banks, brokers, financial institutions and other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twelve months ended December 31, 2023, we repurchased 274 shares of common stock from an officer for $1 based on the market value of share on the date repurchased. We retired the shares in the second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no expectation to pay cash dividends to holders of our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John J. Bello funded $300,000 to Reed’s through the SAFE investment. The SAFE investment convert into the next equity financing of Reed’s on the same terms and conditions as investors in Reed’s next equity financing, subject to certain limitations and conditions. The SAFE has not been registered under the Securities Act of 1933, as amended (the “Securities Act”) and instead was offered pursuant to the exemption provided in Section 4(a)(2) under the Securities Act on the basis that there was no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above, the information has previously been included on a Current Report on Form 8-K or Quarterly Report on Form10Q.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SEC’s Regulation S-K Compliance and Disclosure Interpretation 106.01, the information required by this Item pursuant to Item 201(d) of Regulation S-K relating to securities authorized for issuance under the Corporation’s equity compensation plans is located in Item 12 of Part III of this Annual Report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 w:name="MS_026"/>
      <w:bookmarkEnd w:id="40"/>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 w:name="MS_027"/>
      <w:bookmarkEnd w:id="41"/>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financial statements and the related notes appearing elsewhere in this report.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our GAAP results, the following discussion includes Modified EBITDA as a supplemental measure of our performance. 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tax expense, depreciation and amortization, stock-based compensation, changes in fair value of warrant expense, legal and insurance settlements, inventory write-offs associated with exited categories and major packaging and formula changes, one-time changes in policy, impact of changes to accounting methodology and one-time restructuring-related costs including employee severance and asset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presented in the discussion below are 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continued to strengthen its supply chain, implement gross margin enhancement initiatives, drive efficiencies in transportation and warehouse costs and reduce operating expenses. In addition, it continues to build its innovation pipeline with sustained growth in Reed’s Real Ginger Ale, Virgil’s Zero Sugar handcrafted sodas, Reed’s Classic and Stormy Mule, and Reed’s Hard Ginger 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remains focused on driving sales growth, improving gross margin, and reducing freight costs. The sales growth focus is on channel expansion, increase in store placements, new product introduction and improved sales execution. The margin enhancement initiative is driven by packaging savings, co-packer upgrades, and better leveraged purchasing and improved efficiency. Underpinning these initiatives is a focus on strategically reducing operating costs particularly delivery and handling expenses. In addition, the Company continues to augment its co-packer network to drive further efficiencies and build proper levels of inventory at the appropriate location to maximize delivery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Trends – Market Conditions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U.S. economy continued to grow throughout 2023, the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experienced moderation from the elevated freight costs experienced in 2022. The average cost of shipping and handling for year ended December 31, 2023, was $3.07 per case, as compared to $3.95 per case for the year ended December 31, 2022. Although the Company has experienced decreases in freight costs over the last three quarters, in the Company’s opinion there remains a volatile environment and the Company will continue to monitor pricing and availability in transportation. Mitigation plans have been implemented to manage this risk. The Company has been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The Company has experienced moderation in inflation and anticipates this to continue throughout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December 31, 2023, we continued to generate cash flows to meet our short-term liquidity needs, and we expected to maintain access to the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key statistics for the years ended December 31, 2023, and 2022, in thousands:</w:t>
      </w:r>
    </w:p>
    <w:p>
      <w:pPr>
        <w:pStyle w:val="TextBody"/>
        <w:bidi w:val="0"/>
        <w:spacing w:before="0" w:after="0"/>
        <w:ind w:left="0" w:right="0" w:hanging="0"/>
        <w:jc w:val="both"/>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4505"/>
        <w:gridCol w:w="60"/>
        <w:gridCol w:w="125"/>
        <w:gridCol w:w="845"/>
        <w:gridCol w:w="185"/>
        <w:gridCol w:w="60"/>
        <w:gridCol w:w="125"/>
        <w:gridCol w:w="845"/>
        <w:gridCol w:w="185"/>
        <w:gridCol w:w="60"/>
        <w:gridCol w:w="111"/>
        <w:gridCol w:w="539"/>
        <w:gridCol w:w="200"/>
      </w:tblGrid>
      <w:tr>
        <w:trPr/>
        <w:tc>
          <w:tcPr>
            <w:tcW w:w="45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 December 31,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billing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50,689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59,464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Promotional and other allowances (B)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44,711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53,041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31,884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40,929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of Gross billing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of 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quality hold write-down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1,848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of Gross billing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of Net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product hold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of Gross billing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of 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of 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of 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per case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3.95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of Net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of Net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receivable with former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of Net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26,946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(14,834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and other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(15,523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(20,057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per share –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outstanding – basic &amp;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3,537,882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2,211,319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key statistics for the transition of the Company’s top line activity through the years ended December 31, 2023.</w:t>
      </w:r>
    </w:p>
    <w:p>
      <w:pPr>
        <w:pStyle w:val="TextBody"/>
        <w:bidi w:val="0"/>
        <w:spacing w:before="0" w:after="0"/>
        <w:ind w:left="0" w:right="0" w:hanging="0"/>
        <w:jc w:val="both"/>
        <w:rPr>
          <w:caps w:val="false"/>
          <w:smallCaps w:val="false"/>
        </w:rPr>
      </w:pPr>
      <w:r>
        <w:rPr>
          <w:caps w:val="false"/>
          <w:smallCaps w:val="false"/>
        </w:rPr>
        <w:t> </w:t>
      </w:r>
    </w:p>
    <w:tbl>
      <w:tblPr>
        <w:tblW w:w="8111" w:type="dxa"/>
        <w:jc w:val="left"/>
        <w:tblInd w:w="0" w:type="dxa"/>
        <w:tblLayout w:type="fixed"/>
        <w:tblCellMar>
          <w:top w:w="0" w:type="dxa"/>
          <w:left w:w="0" w:type="dxa"/>
          <w:bottom w:w="0" w:type="dxa"/>
          <w:right w:w="0" w:type="dxa"/>
        </w:tblCellMar>
      </w:tblPr>
      <w:tblGrid>
        <w:gridCol w:w="1700"/>
        <w:gridCol w:w="60"/>
        <w:gridCol w:w="140"/>
        <w:gridCol w:w="755"/>
        <w:gridCol w:w="215"/>
        <w:gridCol w:w="60"/>
        <w:gridCol w:w="140"/>
        <w:gridCol w:w="755"/>
        <w:gridCol w:w="215"/>
        <w:gridCol w:w="60"/>
        <w:gridCol w:w="94"/>
        <w:gridCol w:w="525"/>
        <w:gridCol w:w="260"/>
        <w:gridCol w:w="60"/>
        <w:gridCol w:w="146"/>
        <w:gridCol w:w="788"/>
        <w:gridCol w:w="95"/>
        <w:gridCol w:w="60"/>
        <w:gridCol w:w="159"/>
        <w:gridCol w:w="775"/>
        <w:gridCol w:w="95"/>
        <w:gridCol w:w="60"/>
        <w:gridCol w:w="84"/>
        <w:gridCol w:w="535"/>
        <w:gridCol w:w="275"/>
      </w:tblGrid>
      <w:tr>
        <w:trPr/>
        <w:tc>
          <w:tcPr>
            <w:tcW w:w="1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vAlign w:val="center"/>
          </w:tcPr>
          <w:p>
            <w:pPr>
              <w:pStyle w:val="TableContents"/>
              <w:bidi w:val="0"/>
              <w:spacing w:before="0" w:after="283"/>
              <w:jc w:val="center"/>
              <w:rPr>
                <w:b/>
              </w:rPr>
            </w:pPr>
            <w:r>
              <w:rPr>
                <w:b/>
              </w:rPr>
              <w:t>Total</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vAlign w:val="center"/>
          </w:tcPr>
          <w:p>
            <w:pPr>
              <w:pStyle w:val="TableContents"/>
              <w:bidi w:val="0"/>
              <w:spacing w:before="0" w:after="283"/>
              <w:jc w:val="center"/>
              <w:rPr>
                <w:b/>
              </w:rPr>
            </w:pPr>
            <w:r>
              <w:rPr>
                <w:b/>
              </w:rPr>
              <w:t>Total</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19"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4" w:type="dxa"/>
            <w:gridSpan w:val="2"/>
            <w:tcBorders/>
            <w:vAlign w:val="center"/>
          </w:tcPr>
          <w:p>
            <w:pPr>
              <w:pStyle w:val="TableContents"/>
              <w:bidi w:val="0"/>
              <w:spacing w:before="0" w:after="283"/>
              <w:jc w:val="center"/>
              <w:rPr>
                <w:b/>
              </w:rPr>
            </w:pPr>
            <w:r>
              <w:rPr>
                <w:b/>
              </w:rPr>
              <w:t>Per Case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4" w:type="dxa"/>
            <w:gridSpan w:val="2"/>
            <w:tcBorders/>
            <w:vAlign w:val="center"/>
          </w:tcPr>
          <w:p>
            <w:pPr>
              <w:pStyle w:val="TableContents"/>
              <w:bidi w:val="0"/>
              <w:spacing w:before="0" w:after="283"/>
              <w:jc w:val="center"/>
              <w:rPr>
                <w:b/>
              </w:rPr>
            </w:pPr>
            <w:r>
              <w:rPr>
                <w:b/>
              </w:rPr>
              <w:t>Per Case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19"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center"/>
              <w:rPr/>
            </w:pPr>
            <w:r>
              <w:rPr/>
              <w:t> </w:t>
            </w:r>
          </w:p>
        </w:tc>
      </w:tr>
      <w:tr>
        <w:trPr/>
        <w:tc>
          <w:tcPr>
            <w:tcW w:w="1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vs PY</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vs PY</w:t>
            </w:r>
          </w:p>
        </w:tc>
        <w:tc>
          <w:tcPr>
            <w:tcW w:w="275" w:type="dxa"/>
            <w:tcBorders/>
            <w:vAlign w:val="center"/>
          </w:tcPr>
          <w:p>
            <w:pPr>
              <w:pStyle w:val="TableContents"/>
              <w:bidi w:val="0"/>
              <w:spacing w:before="0" w:after="283"/>
              <w:jc w:val="center"/>
              <w:rPr/>
            </w:pPr>
            <w:r>
              <w:rPr/>
              <w:t> </w:t>
            </w:r>
          </w:p>
        </w:tc>
      </w:tr>
      <w:tr>
        <w:trPr/>
        <w:tc>
          <w:tcPr>
            <w:tcW w:w="1700" w:type="dxa"/>
            <w:tcBorders/>
            <w:vAlign w:val="center"/>
          </w:tcPr>
          <w:p>
            <w:pPr>
              <w:pStyle w:val="TableContents"/>
              <w:bidi w:val="0"/>
              <w:spacing w:before="0" w:after="283"/>
              <w:jc w:val="left"/>
              <w:rPr>
                <w:b/>
              </w:rPr>
            </w:pPr>
            <w:r>
              <w:rPr>
                <w:b/>
              </w:rPr>
              <w:t>Cases:</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pPr>
            <w:r>
              <w:rPr/>
              <w:t>Reed’s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1,582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pPr>
            <w:r>
              <w:rPr/>
              <w:t>Virgil’s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870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1,209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pPr>
            <w:r>
              <w:rPr/>
              <w:t>Total Core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2,791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-14</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pPr>
            <w:r>
              <w:rPr/>
              <w:t>Non-Core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149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bottom w:val="single" w:sz="12" w:space="0" w:color="000000"/>
            </w:tcBorders>
            <w:shd w:fill="FFFFFF" w:val="clear"/>
            <w:tcMar>
              <w:bottom w:w="28" w:type="dxa"/>
            </w:tcMar>
            <w:vAlign w:val="center"/>
          </w:tcPr>
          <w:p>
            <w:pPr>
              <w:pStyle w:val="TableContents"/>
              <w:bidi w:val="0"/>
              <w:spacing w:before="0" w:after="283"/>
              <w:jc w:val="right"/>
              <w:rPr/>
            </w:pPr>
            <w:r>
              <w:rPr/>
              <w:t>-60</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2,460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2,940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b/>
              </w:rPr>
            </w:pPr>
            <w:r>
              <w:rPr>
                <w:b/>
              </w:rPr>
              <w:t>-16</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b/>
              </w:rPr>
            </w:pPr>
            <w:r>
              <w:rPr>
                <w:b/>
              </w:rPr>
              <w:t>Gross Billing: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pPr>
            <w:r>
              <w:rPr/>
              <w:t>Core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48,778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54,613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-11</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788" w:type="dxa"/>
            <w:tcBorders/>
            <w:shd w:fill="FFFFFF" w:val="clear"/>
            <w:vAlign w:val="center"/>
          </w:tcPr>
          <w:p>
            <w:pPr>
              <w:pStyle w:val="TableContents"/>
              <w:bidi w:val="0"/>
              <w:spacing w:before="0" w:after="283"/>
              <w:jc w:val="right"/>
              <w:rPr/>
            </w:pPr>
            <w:r>
              <w:rPr/>
              <w:t>20.32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775" w:type="dxa"/>
            <w:tcBorders/>
            <w:shd w:fill="FFFFFF" w:val="clear"/>
            <w:vAlign w:val="center"/>
          </w:tcPr>
          <w:p>
            <w:pPr>
              <w:pStyle w:val="TableContents"/>
              <w:bidi w:val="0"/>
              <w:spacing w:before="0" w:after="283"/>
              <w:jc w:val="right"/>
              <w:rPr/>
            </w:pPr>
            <w:r>
              <w:rPr/>
              <w:t>19.57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4</w:t>
            </w:r>
          </w:p>
        </w:tc>
        <w:tc>
          <w:tcPr>
            <w:tcW w:w="275" w:type="dxa"/>
            <w:tcBorders/>
            <w:shd w:fill="FFFFFF" w:val="clear"/>
            <w:vAlign w:val="center"/>
          </w:tcPr>
          <w:p>
            <w:pPr>
              <w:pStyle w:val="TableContents"/>
              <w:bidi w:val="0"/>
              <w:spacing w:before="0" w:after="283"/>
              <w:jc w:val="left"/>
              <w:rPr/>
            </w:pPr>
            <w:r>
              <w:rPr/>
              <w:t>%</w:t>
            </w:r>
          </w:p>
        </w:tc>
      </w:tr>
      <w:tr>
        <w:trPr/>
        <w:tc>
          <w:tcPr>
            <w:tcW w:w="1700" w:type="dxa"/>
            <w:tcBorders/>
            <w:shd w:fill="CCEEFF" w:val="clear"/>
            <w:vAlign w:val="center"/>
          </w:tcPr>
          <w:p>
            <w:pPr>
              <w:pStyle w:val="TableContents"/>
              <w:bidi w:val="0"/>
              <w:spacing w:before="0" w:after="283"/>
              <w:jc w:val="left"/>
              <w:rPr/>
            </w:pPr>
            <w:r>
              <w:rPr/>
              <w:t>Non-Core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1,911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4,851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bottom w:val="single" w:sz="12" w:space="0" w:color="000000"/>
            </w:tcBorders>
            <w:shd w:fill="CCEEFF" w:val="clear"/>
            <w:tcMar>
              <w:bottom w:w="28" w:type="dxa"/>
            </w:tcMar>
            <w:vAlign w:val="center"/>
          </w:tcPr>
          <w:p>
            <w:pPr>
              <w:pStyle w:val="TableContents"/>
              <w:bidi w:val="0"/>
              <w:spacing w:before="0" w:after="283"/>
              <w:jc w:val="right"/>
              <w:rPr/>
            </w:pPr>
            <w:r>
              <w:rPr/>
              <w:t>-61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pPr>
            <w:r>
              <w:rPr/>
              <w:t>31.85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5" w:type="dxa"/>
            <w:tcBorders>
              <w:bottom w:val="single" w:sz="12" w:space="0" w:color="000000"/>
            </w:tcBorders>
            <w:shd w:fill="CCEEFF" w:val="clear"/>
            <w:tcMar>
              <w:bottom w:w="28" w:type="dxa"/>
            </w:tcMar>
            <w:vAlign w:val="center"/>
          </w:tcPr>
          <w:p>
            <w:pPr>
              <w:pStyle w:val="TableContents"/>
              <w:bidi w:val="0"/>
              <w:spacing w:before="0" w:after="283"/>
              <w:jc w:val="right"/>
              <w:rPr/>
            </w:pPr>
            <w:r>
              <w:rPr/>
              <w:t>32.56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5"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w:t>
            </w:r>
          </w:p>
        </w:tc>
      </w:tr>
      <w:tr>
        <w:trPr/>
        <w:tc>
          <w:tcPr>
            <w:tcW w:w="170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755" w:type="dxa"/>
            <w:tcBorders/>
            <w:shd w:fill="FFFFFF" w:val="clear"/>
            <w:vAlign w:val="center"/>
          </w:tcPr>
          <w:p>
            <w:pPr>
              <w:pStyle w:val="TableContents"/>
              <w:bidi w:val="0"/>
              <w:spacing w:before="0" w:after="283"/>
              <w:jc w:val="right"/>
              <w:rPr>
                <w:b/>
              </w:rPr>
            </w:pPr>
            <w:r>
              <w:rPr>
                <w:b/>
              </w:rPr>
              <w:t>50,689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755" w:type="dxa"/>
            <w:tcBorders/>
            <w:shd w:fill="FFFFFF" w:val="clear"/>
            <w:vAlign w:val="center"/>
          </w:tcPr>
          <w:p>
            <w:pPr>
              <w:pStyle w:val="TableContents"/>
              <w:bidi w:val="0"/>
              <w:spacing w:before="0" w:after="283"/>
              <w:jc w:val="right"/>
              <w:rPr>
                <w:b/>
              </w:rPr>
            </w:pPr>
            <w:r>
              <w:rPr>
                <w:b/>
              </w:rPr>
              <w:t>59,464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b/>
              </w:rPr>
            </w:pPr>
            <w:r>
              <w:rPr>
                <w:b/>
              </w:rPr>
              <w:t>-15</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b/>
              </w:rPr>
            </w:pPr>
            <w:r>
              <w:rPr>
                <w:b/>
              </w:rPr>
              <w:t>20.61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b/>
              </w:rPr>
            </w:pPr>
            <w:r>
              <w:rPr>
                <w:b/>
              </w:rPr>
              <w:t>20.23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b/>
              </w:rPr>
            </w:pPr>
            <w:r>
              <w:rPr>
                <w:b/>
              </w:rPr>
              <w:t>2</w:t>
            </w:r>
          </w:p>
        </w:tc>
        <w:tc>
          <w:tcPr>
            <w:tcW w:w="275" w:type="dxa"/>
            <w:tcBorders/>
            <w:shd w:fill="FFFFFF" w:val="clear"/>
            <w:vAlign w:val="center"/>
          </w:tcPr>
          <w:p>
            <w:pPr>
              <w:pStyle w:val="TableContents"/>
              <w:bidi w:val="0"/>
              <w:spacing w:before="0" w:after="283"/>
              <w:jc w:val="left"/>
              <w:rPr>
                <w:b/>
              </w:rPr>
            </w:pPr>
            <w:r>
              <w:rPr>
                <w:b/>
              </w:rPr>
              <w:t>%</w:t>
            </w:r>
          </w:p>
        </w:tc>
      </w:tr>
      <w:tr>
        <w:trPr/>
        <w:tc>
          <w:tcPr>
            <w:tcW w:w="17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b/>
              </w:rPr>
            </w:pPr>
            <w:r>
              <w:rPr>
                <w:b/>
              </w:rPr>
              <w:t>Discounts: 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755" w:type="dxa"/>
            <w:tcBorders/>
            <w:shd w:fill="FFFFFF" w:val="clear"/>
            <w:vAlign w:val="center"/>
          </w:tcPr>
          <w:p>
            <w:pPr>
              <w:pStyle w:val="TableContents"/>
              <w:bidi w:val="0"/>
              <w:spacing w:before="0" w:after="283"/>
              <w:jc w:val="right"/>
              <w:rPr>
                <w:b/>
              </w:rPr>
            </w:pPr>
            <w:r>
              <w:rPr>
                <w:b/>
              </w:rPr>
              <w:t>(5,978</w:t>
            </w:r>
          </w:p>
        </w:tc>
        <w:tc>
          <w:tcPr>
            <w:tcW w:w="21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755" w:type="dxa"/>
            <w:tcBorders/>
            <w:shd w:fill="FFFFFF" w:val="clear"/>
            <w:vAlign w:val="center"/>
          </w:tcPr>
          <w:p>
            <w:pPr>
              <w:pStyle w:val="TableContents"/>
              <w:bidi w:val="0"/>
              <w:spacing w:before="0" w:after="283"/>
              <w:jc w:val="right"/>
              <w:rPr>
                <w:b/>
              </w:rPr>
            </w:pPr>
            <w:r>
              <w:rPr>
                <w:b/>
              </w:rPr>
              <w:t>(6,423</w:t>
            </w:r>
          </w:p>
        </w:tc>
        <w:tc>
          <w:tcPr>
            <w:tcW w:w="21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b/>
              </w:rPr>
            </w:pPr>
            <w:r>
              <w:rPr>
                <w:b/>
              </w:rPr>
              <w:t>-7</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r>
              <w:rPr>
                <w:rFonts w:ascii="Times New Roman;Times;Serif" w:hAnsi="Times New Roman;Times;Serif"/>
                <w:b/>
                <w:sz w:val="20"/>
              </w:rPr>
              <w:t>$ (2.4 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b/>
              </w:rPr>
            </w:pPr>
            <w:r>
              <w:rPr>
                <w:b/>
              </w:rPr>
              <w:t>$</w:t>
            </w:r>
          </w:p>
        </w:tc>
        <w:tc>
          <w:tcPr>
            <w:tcW w:w="775" w:type="dxa"/>
            <w:tcBorders/>
            <w:shd w:fill="FFFFFF" w:val="clear"/>
            <w:vAlign w:val="center"/>
          </w:tcPr>
          <w:p>
            <w:pPr>
              <w:pStyle w:val="TableContents"/>
              <w:bidi w:val="0"/>
              <w:spacing w:before="0" w:after="283"/>
              <w:jc w:val="right"/>
              <w:rPr>
                <w:b/>
              </w:rPr>
            </w:pPr>
            <w:r>
              <w:rPr>
                <w:b/>
              </w:rPr>
              <w:t>(2.18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b/>
              </w:rPr>
            </w:pPr>
            <w:r>
              <w:rPr>
                <w:b/>
              </w:rPr>
              <w:t>11</w:t>
            </w:r>
          </w:p>
        </w:tc>
        <w:tc>
          <w:tcPr>
            <w:tcW w:w="275" w:type="dxa"/>
            <w:tcBorders/>
            <w:shd w:fill="FFFFFF" w:val="clear"/>
            <w:vAlign w:val="center"/>
          </w:tcPr>
          <w:p>
            <w:pPr>
              <w:pStyle w:val="TableContents"/>
              <w:bidi w:val="0"/>
              <w:spacing w:before="0" w:after="283"/>
              <w:jc w:val="left"/>
              <w:rPr>
                <w:b/>
              </w:rPr>
            </w:pPr>
            <w:r>
              <w:rPr>
                <w:b/>
              </w:rPr>
              <w:t>%</w:t>
            </w:r>
          </w:p>
        </w:tc>
      </w:tr>
      <w:tr>
        <w:trPr/>
        <w:tc>
          <w:tcPr>
            <w:tcW w:w="17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b/>
              </w:rPr>
            </w:pPr>
            <w:r>
              <w:rPr>
                <w:b/>
              </w:rPr>
              <w:t>COGS: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pPr>
            <w:r>
              <w:rPr/>
              <w:t>Core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(30,777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(37,931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-19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88" w:type="dxa"/>
            <w:tcBorders/>
            <w:shd w:fill="CCEEFF" w:val="clear"/>
            <w:vAlign w:val="center"/>
          </w:tcPr>
          <w:p>
            <w:pPr>
              <w:pStyle w:val="TableContents"/>
              <w:bidi w:val="0"/>
              <w:spacing w:before="0" w:after="283"/>
              <w:jc w:val="right"/>
              <w:rPr/>
            </w:pPr>
            <w:r>
              <w:rPr/>
              <w:t>(12.82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5" w:type="dxa"/>
            <w:tcBorders/>
            <w:shd w:fill="CCEEFF" w:val="clear"/>
            <w:vAlign w:val="center"/>
          </w:tcPr>
          <w:p>
            <w:pPr>
              <w:pStyle w:val="TableContents"/>
              <w:bidi w:val="0"/>
              <w:spacing w:before="0" w:after="283"/>
              <w:jc w:val="right"/>
              <w:rPr/>
            </w:pPr>
            <w:r>
              <w:rPr/>
              <w:t>(13.59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-6</w:t>
            </w:r>
          </w:p>
        </w:tc>
        <w:tc>
          <w:tcPr>
            <w:tcW w:w="275" w:type="dxa"/>
            <w:tcBorders/>
            <w:shd w:fill="CCEEFF" w:val="clear"/>
            <w:vAlign w:val="center"/>
          </w:tcPr>
          <w:p>
            <w:pPr>
              <w:pStyle w:val="TableContents"/>
              <w:bidi w:val="0"/>
              <w:spacing w:before="0" w:after="283"/>
              <w:jc w:val="left"/>
              <w:rPr/>
            </w:pPr>
            <w:r>
              <w:rPr/>
              <w:t>%</w:t>
            </w:r>
          </w:p>
        </w:tc>
      </w:tr>
      <w:tr>
        <w:trPr/>
        <w:tc>
          <w:tcPr>
            <w:tcW w:w="1700" w:type="dxa"/>
            <w:tcBorders/>
            <w:shd w:fill="FFFFFF" w:val="clear"/>
            <w:vAlign w:val="center"/>
          </w:tcPr>
          <w:p>
            <w:pPr>
              <w:pStyle w:val="TableContents"/>
              <w:bidi w:val="0"/>
              <w:spacing w:before="0" w:after="283"/>
              <w:jc w:val="left"/>
              <w:rPr/>
            </w:pPr>
            <w:r>
              <w:rPr/>
              <w:t>Non-Core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(4,222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(2,998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-41</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(70.46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775" w:type="dxa"/>
            <w:tcBorders/>
            <w:shd w:fill="FFFFFF" w:val="clear"/>
            <w:vAlign w:val="center"/>
          </w:tcPr>
          <w:p>
            <w:pPr>
              <w:pStyle w:val="TableContents"/>
              <w:bidi w:val="0"/>
              <w:spacing w:before="0" w:after="283"/>
              <w:jc w:val="right"/>
              <w:rPr/>
            </w:pPr>
            <w:r>
              <w:rPr/>
              <w:t>(20.12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250</w:t>
            </w:r>
          </w:p>
        </w:tc>
        <w:tc>
          <w:tcPr>
            <w:tcW w:w="275" w:type="dxa"/>
            <w:tcBorders/>
            <w:shd w:fill="FFFFFF" w:val="clear"/>
            <w:vAlign w:val="center"/>
          </w:tcPr>
          <w:p>
            <w:pPr>
              <w:pStyle w:val="TableContents"/>
              <w:bidi w:val="0"/>
              <w:spacing w:before="0" w:after="283"/>
              <w:jc w:val="left"/>
              <w:rPr/>
            </w:pPr>
            <w:r>
              <w:rPr/>
              <w:t>%</w:t>
            </w:r>
          </w:p>
        </w:tc>
      </w:tr>
      <w:tr>
        <w:trPr/>
        <w:tc>
          <w:tcPr>
            <w:tcW w:w="17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(34,999</w:t>
            </w:r>
          </w:p>
        </w:tc>
        <w:tc>
          <w:tcPr>
            <w:tcW w:w="21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(40,929</w:t>
            </w:r>
          </w:p>
        </w:tc>
        <w:tc>
          <w:tcPr>
            <w:tcW w:w="21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b/>
              </w:rPr>
            </w:pPr>
            <w:r>
              <w:rPr>
                <w:b/>
              </w:rPr>
              <w:t>-14</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b/>
              </w:rPr>
            </w:pPr>
            <w:r>
              <w:rPr>
                <w:b/>
              </w:rPr>
              <w:t>$</w:t>
            </w:r>
          </w:p>
        </w:tc>
        <w:tc>
          <w:tcPr>
            <w:tcW w:w="788" w:type="dxa"/>
            <w:tcBorders/>
            <w:shd w:fill="CCEEFF" w:val="clear"/>
            <w:vAlign w:val="center"/>
          </w:tcPr>
          <w:p>
            <w:pPr>
              <w:pStyle w:val="TableContents"/>
              <w:bidi w:val="0"/>
              <w:spacing w:before="0" w:after="283"/>
              <w:jc w:val="right"/>
              <w:rPr>
                <w:b/>
              </w:rPr>
            </w:pPr>
            <w:r>
              <w:rPr>
                <w:b/>
              </w:rPr>
              <w:t>(14.22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b/>
              </w:rPr>
            </w:pPr>
            <w:r>
              <w:rPr>
                <w:b/>
              </w:rPr>
              <w:t>$</w:t>
            </w:r>
          </w:p>
        </w:tc>
        <w:tc>
          <w:tcPr>
            <w:tcW w:w="775" w:type="dxa"/>
            <w:tcBorders/>
            <w:shd w:fill="CCEEFF" w:val="clear"/>
            <w:vAlign w:val="center"/>
          </w:tcPr>
          <w:p>
            <w:pPr>
              <w:pStyle w:val="TableContents"/>
              <w:bidi w:val="0"/>
              <w:spacing w:before="0" w:after="283"/>
              <w:jc w:val="right"/>
              <w:rPr>
                <w:b/>
              </w:rPr>
            </w:pPr>
            <w:r>
              <w:rPr>
                <w:b/>
              </w:rPr>
              <w:t>(13.92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b/>
              </w:rPr>
            </w:pPr>
            <w:r>
              <w:rPr>
                <w:b/>
              </w:rPr>
              <w:t>2</w:t>
            </w:r>
          </w:p>
        </w:tc>
        <w:tc>
          <w:tcPr>
            <w:tcW w:w="275" w:type="dxa"/>
            <w:tcBorders/>
            <w:shd w:fill="CCEEFF" w:val="clear"/>
            <w:vAlign w:val="center"/>
          </w:tcPr>
          <w:p>
            <w:pPr>
              <w:pStyle w:val="TableContents"/>
              <w:bidi w:val="0"/>
              <w:spacing w:before="0" w:after="283"/>
              <w:jc w:val="left"/>
              <w:rPr>
                <w:b/>
              </w:rPr>
            </w:pPr>
            <w:r>
              <w:rPr>
                <w:b/>
              </w:rPr>
              <w:t>%</w:t>
            </w:r>
          </w:p>
        </w:tc>
      </w:tr>
      <w:tr>
        <w:trPr/>
        <w:tc>
          <w:tcPr>
            <w:tcW w:w="1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b/>
              </w:rPr>
            </w:pPr>
            <w:r>
              <w:rPr>
                <w:b/>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9,712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12,112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b/>
              </w:rPr>
            </w:pPr>
            <w:r>
              <w:rPr>
                <w:b/>
              </w:rPr>
              <w:t>-19</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b/>
              </w:rPr>
            </w:pPr>
            <w:r>
              <w:rPr>
                <w:b/>
              </w:rPr>
              <w:t>$</w:t>
            </w:r>
          </w:p>
        </w:tc>
        <w:tc>
          <w:tcPr>
            <w:tcW w:w="788" w:type="dxa"/>
            <w:tcBorders/>
            <w:shd w:fill="CCEEFF" w:val="clear"/>
            <w:vAlign w:val="center"/>
          </w:tcPr>
          <w:p>
            <w:pPr>
              <w:pStyle w:val="TableContents"/>
              <w:bidi w:val="0"/>
              <w:spacing w:before="0" w:after="283"/>
              <w:jc w:val="right"/>
              <w:rPr>
                <w:b/>
              </w:rPr>
            </w:pPr>
            <w:r>
              <w:rPr>
                <w:b/>
              </w:rPr>
              <w:t>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r>
              <w:rPr>
                <w:rFonts w:ascii="Times New Roman;Times;Serif" w:hAnsi="Times New Roman;Times;Serif"/>
                <w:b/>
                <w:sz w:val="20"/>
              </w:rPr>
              <w:t xml:space="preserve">$ 4.1 2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b/>
              </w:rPr>
            </w:pPr>
            <w:r>
              <w:rPr>
                <w:b/>
              </w:rPr>
              <w:t>-4</w:t>
            </w:r>
          </w:p>
        </w:tc>
        <w:tc>
          <w:tcPr>
            <w:tcW w:w="275" w:type="dxa"/>
            <w:tcBorders/>
            <w:shd w:fill="CCEEFF" w:val="clear"/>
            <w:vAlign w:val="center"/>
          </w:tcPr>
          <w:p>
            <w:pPr>
              <w:pStyle w:val="TableContents"/>
              <w:bidi w:val="0"/>
              <w:spacing w:before="0" w:after="283"/>
              <w:jc w:val="left"/>
              <w:rPr>
                <w:b/>
              </w:rPr>
            </w:pPr>
            <w:r>
              <w:rPr>
                <w:b/>
              </w:rPr>
              <w:t>%</w:t>
            </w:r>
          </w:p>
        </w:tc>
      </w:tr>
      <w:tr>
        <w:trPr/>
        <w:tc>
          <w:tcPr>
            <w:tcW w:w="1700" w:type="dxa"/>
            <w:tcBorders/>
            <w:shd w:fill="FFFFFF" w:val="clear"/>
            <w:vAlign w:val="center"/>
          </w:tcPr>
          <w:p>
            <w:pPr>
              <w:pStyle w:val="TableContents"/>
              <w:bidi w:val="0"/>
              <w:spacing w:before="0" w:after="283"/>
              <w:jc w:val="left"/>
              <w:rPr>
                <w:b/>
              </w:rPr>
            </w:pPr>
            <w:r>
              <w:rPr>
                <w:b/>
              </w:rPr>
              <w:t>as % Net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ongoing initiative to simplify and streamline operations the Company has identified core products on which to place its strategic focus. These core products consist of Reed’s and Virgil’s branded beverages. Non-core products consist primarily of Private Label, Wellness Shots, candy and slower selling discontinued Reed’s and Virgil’s SKUs.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Company licensed its candy business to Rootstock Trading, a company founded and owned by our former Chief Sales Officer, Neal Cohane. As part of this agreement, Rootstock agrees to pay a royalty on a percentage of its net sales of licensed products. The royalty fees are 0% for 2023, 2% for 2024, 4% for 2025, and 5% thereafter.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beverage volume for the year ended December 31, 2023, represents 98% of all beverage volume.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Core brand gross billing decreased by 11% to $48,778 compared to $54,613 during the same period last year, driven by a Reed’s volume decline of 3% and Virgil’s volume decline of 28%. The result is a decrease in total gross billing of 15%, to $50,689 during the year ended December 31, 2023, from $59,464 in the same period last year. Price on our core brands increased 4% to $20.32 per case. The decrease was a result of volume declines that have impacted the CSD segment as a result of price increases coupled with the Company’s inability to produce sufficient levels of inventory to meet current demand as a result of tighter credit terms from suppliers.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as a percentage of gross sales were 12% compared to 11% in the same period last year. As a result, net sales revenue decreased 16% for the year ended December 31, 2023, to $44,711, compared to $53,041 in the same period last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made a one-time change in policy for discounts which resulted in an additional $756 of deductions in 2023. Excluding this adjustment, discounts as a percentage of sales would have been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decreased $9,045 during the year ended December 31, 2023, as compared to the same period last year. As a percentage of net sales, cost of goods sold for the year ended December 31, 2023, was 71% as compared to 77% for the same period last year. The decrease was primarily driven by lower supply chain and input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wrote off $1,848 of inventory comprised of $1,452 of packaging and ingredients related to major changes in packaging and formulations, and $396 of candy as a result of exiting this line of business. These write-offs represented 4% of 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2023, the Company was made aware of a closure failure in our seasonal swing-lid products which resulted in a product quality hold write-down. The Company recorded expense of $1,267 related to costs associated with the product quality hold write-down. An insurance claim is 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cost of goods per case decreased to $14.22 per case for the year ended December 31, 2023, from $13.92 per case for the same period last year. The cost of goods sold per case on core brands was $12.82 during the year ended December 31, 2023, compared to $13.59 for the same period last year. Excluding the write-offs and provision for product quality hold write-down., total cost of goods sold per case would have been $12.96.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decreased to 22% for the year ended December 31, 2023, compared to 23% for the same period last year. Excluding the one-time adjustments related to discounts, inventory write-offs, and provision for product quality hold write-down. discussed above, gross margin would have been 30% for the year ended December 31,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 and Handling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expenses consist of delivery costs to customers and warehousing costs incurred for handling our finished goods after production. Delivery and handling expenses decreased by $4,042 in the year ended December 31, 2023, to $7,561 from $11,603 in the same period last year, driven by our efforts to mitigate inflationary costs. Delivery costs in the year ended December 31, 2023, were 17% of net sales and $3.07 per case, compared to 22% of net sales and $3.95 per case during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expenses consist of direct marketing, marketing labor, and marketing support costs. Selling expenses consist of all other selling-related expenses including personnel and contractor support. Total selling and marketing expenses were $4,865 during the year ended December 31, 2023, compared to $7,316 during the same period last year. As a percentage of net sales, selling and marketing were 11% of net sales during the year ended December 31, 2023, as compared to 14% of net sales during the same period last year. The decrease was driven by lower marketing related expenditures, headcount, broker commissions, information technology charges, travel and entertainment expenses partially offset by stock compensation and trade show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 of executive, administrative, and finance personnel, as well as professional fees. General and administrative expenses decreased in the year ended December 31, 2023, to $6,118 from $7,489, a decrease of $1,371 over the same period last year. The decrease was driven by lower stock compensation, bad debt expense, co-packer and customer penalties, information technology charges, consulting fees, and investor relation charges partially offset by higher franchise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from operations was $9,417 for the year ended December 31, 2023, as compared to a loss of $14,834 in the same period last year driven by decreased gross profit and decreases in operating expenses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for the year ended December 31, 2023, consisted of $6,106 of interest expense. During the same period last year, interest expense consisted of $5,223 of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Modified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tax expense, depreciation and amortization, stock-based compensation, changes in fair value of warrant expense, legal and insurance settlements, inventory write-offs associated with exited categories and major packaging and formula changes, one-time changes in policy, impact of changes to accounting methodology and one-time restructuring-related costs including employee severance and asset impairment.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reconciliation of net loss to Modified EBITDA for the year ended December 31, 2023, and 2022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29"/>
        <w:gridCol w:w="60"/>
        <w:gridCol w:w="163"/>
        <w:gridCol w:w="854"/>
        <w:gridCol w:w="104"/>
        <w:gridCol w:w="77"/>
        <w:gridCol w:w="163"/>
        <w:gridCol w:w="854"/>
        <w:gridCol w:w="101"/>
      </w:tblGrid>
      <w:tr>
        <w:trPr/>
        <w:tc>
          <w:tcPr>
            <w:tcW w:w="78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04"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101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(15,523</w:t>
            </w:r>
          </w:p>
        </w:tc>
        <w:tc>
          <w:tcPr>
            <w:tcW w:w="1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(20,057</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6,106</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5,223</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and other noncash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receivable with former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quality hold write-down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write-offs associated with exited categories and major packaging and formula changes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1,848</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One-time change in policy for discounts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settlement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EBITDA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11,855</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6,911</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(3,668</w:t>
            </w:r>
          </w:p>
        </w:tc>
        <w:tc>
          <w:tcPr>
            <w:tcW w:w="1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(13,146</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our cash expenditures, or future requirements, for capital expenditures or contractual commitments;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changes in, or cash requirements for, our working capital needs;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future interest expense, or the cash requirements necessary to service interest or principal payments, on our debts;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Modified EBITDA does not reflect any cash requirements for such replacements.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2023, the Company recorded a net loss of $15,523 and used cash in operations of $4,266. In accordance with Accounting Standards Codification (“ASC”) 205-40, </w:t>
      </w:r>
      <w:r>
        <w:rPr>
          <w:rFonts w:ascii="Times New Roman;Times;Serif" w:hAnsi="Times New Roman;Times;Serif"/>
          <w:b w:val="false"/>
          <w:i/>
          <w:caps w:val="false"/>
          <w:smallCaps w:val="false"/>
          <w:sz w:val="20"/>
        </w:rPr>
        <w:t>Going Concern</w:t>
      </w:r>
      <w:r>
        <w:rPr>
          <w:rFonts w:ascii="Times New Roman;Times;Serif" w:hAnsi="Times New Roman;Times;Serif"/>
          <w:b w:val="false"/>
          <w:i w:val="false"/>
          <w:caps w:val="false"/>
          <w:smallCaps w:val="false"/>
          <w:sz w:val="20"/>
        </w:rPr>
        <w:t>, the Company’s management has evaluated whether there are conditions and events, considered in the aggregate, that raise substantial doubt about the Company’s ability to continue as a going concern within one year after the date the accompanying financial statements were issued. As of the issuance date of these financial statements, management expects that the Company’s existing cash of $603, plus $4,100 of additional cash received subsequent to December 31, 2023, from investments with significant stockholders (See Note 15), will be sufficient to fund the Company’s current operating plan for at least twelve months from the date of issuance of these financial statements. The financial statements do not include any adjustments that might be necessary if the Company is unable to continue as a going concern.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assessment whether there is sufficient cash on hand, together with expected capital raises, to assure operations for a period of at least twelve months from the date these financial statements are issued, is based on conditions that are known and reasonably knowable to management, considering various scenarios, projections, and estimates and certain key assumptions. These assumptions include, among other factors, management’s ability to raise additional capital, and the expected timing and nature of the Company’s forecasted cash expenditures.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has financed its operations through public and private sales of common stock, convertible debt instruments, credit lines from financial institutions, and cash generated from operations.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financial statements in conformity with generally accepted accounting principles in the United States (“U.S. GAAP”) requires management to make estimates and assumptions that affect the reported amounts of assets and liabilities at the date of the financial statements and the reported amounts of expenses during the reporting period. Some of those judgments can be subjective and complex, and therefore, actual results could differ materially from those estimates under different assumptions or conditions. Management bases its estimates on historical experience and on various assumptions that are believed to be reasonable in relation to the financial statements taken as a whole under the circumstances,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 There were no changes to our critical accounting policies described in the consolidated financial statements included in this Annual Report on Form 10-K for the fiscal year ended December 31, 2022, that impacted our condensed consolidated financial statements and related notes included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of the financial statements for a discussion of recent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 w:name="MS_013"/>
      <w:bookmarkEnd w:id="42"/>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Reed’s is not required to provide the information required by this Item 7A.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MS_014"/>
      <w:bookmarkEnd w:id="43"/>
      <w:r>
        <w:rPr>
          <w:rFonts w:ascii="Times New Roman;Times;Serif" w:hAnsi="Times New Roman;Times;Serif"/>
          <w:b/>
          <w:i w:val="false"/>
          <w:caps w:val="false"/>
          <w:smallCaps w:val="false"/>
          <w:sz w:val="20"/>
        </w:rPr>
        <w:t>Item 8. Financial Statements</w:t>
      </w:r>
    </w:p>
    <w:p>
      <w:pPr>
        <w:pStyle w:val="TextBody"/>
        <w:bidi w:val="0"/>
        <w:spacing w:before="0" w:after="0"/>
        <w:ind w:left="0" w:right="0" w:hanging="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7865"/>
        <w:gridCol w:w="305"/>
      </w:tblGrid>
      <w:tr>
        <w:trPr/>
        <w:tc>
          <w:tcPr>
            <w:tcW w:w="7865"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Firm ID: </w:t>
            </w:r>
            <w:bookmarkStart w:id="44" w:name="xdx_908_edei--AuditorFirmId_c20230101__2"/>
            <w:bookmarkEnd w:id="44"/>
            <w:r>
              <w:rPr>
                <w:rFonts w:ascii="Times New Roman;Times;Serif" w:hAnsi="Times New Roman;Times;Serif"/>
                <w:b w:val="false"/>
                <w:i w:val="false"/>
                <w:caps w:val="false"/>
                <w:smallCaps w:val="false"/>
                <w:sz w:val="20"/>
              </w:rPr>
              <w:t>572)</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7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3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pPr>
            <w:hyperlink w:anchor="F_002">
              <w:r>
                <w:rPr>
                  <w:rStyle w:val="InternetLink"/>
                  <w:rFonts w:ascii="Times New Roman;Times;Serif" w:hAnsi="Times New Roman;Times;Serif"/>
                  <w:b w:val="false"/>
                  <w:i w:val="false"/>
                  <w:caps w:val="false"/>
                  <w:smallCaps w:val="false"/>
                  <w:sz w:val="20"/>
                </w:rPr>
                <w:t>Balance Sheets as of December 31, 2023 and December 31, 2022</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7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b w:val="false"/>
                  <w:i w:val="false"/>
                  <w:caps w:val="false"/>
                  <w:smallCaps w:val="false"/>
                  <w:sz w:val="20"/>
                </w:rPr>
                <w:t>Statements of Operations for the years ended December 31, 2023 and 2022</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7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pPr>
            <w:hyperlink w:anchor="F_004">
              <w:r>
                <w:rPr>
                  <w:rStyle w:val="InternetLink"/>
                  <w:rFonts w:ascii="Times New Roman;Times;Serif" w:hAnsi="Times New Roman;Times;Serif"/>
                  <w:b w:val="false"/>
                  <w:i w:val="false"/>
                  <w:caps w:val="false"/>
                  <w:smallCaps w:val="false"/>
                  <w:sz w:val="20"/>
                </w:rPr>
                <w:t>Statements of Changes in Stockholders’ Deficit for the years ended December 31, 2023 and 2022</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7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b w:val="false"/>
                  <w:i w:val="false"/>
                  <w:caps w:val="false"/>
                  <w:smallCaps w:val="false"/>
                  <w:sz w:val="20"/>
                </w:rPr>
                <w:t>Statements of Cash Flows for the years ended December 31, 2023 and 2022</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7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pPr>
            <w:hyperlink w:anchor="F_006">
              <w:r>
                <w:rPr>
                  <w:rStyle w:val="InternetLink"/>
                  <w:rFonts w:ascii="Times New Roman;Times;Serif" w:hAnsi="Times New Roman;Times;Serif"/>
                  <w:b w:val="false"/>
                  <w:i w:val="false"/>
                  <w:caps w:val="false"/>
                  <w:smallCaps w:val="false"/>
                  <w:sz w:val="20"/>
                </w:rPr>
                <w:t>Notes to Financial Statements for the years ended December 31, 2023 and 2022</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bl>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 w:name="F_001"/>
      <w:bookmarkEnd w:id="45"/>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 Reed’s,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sheets of Reed’s, Inc. (the “Company”) as of December 31, 2023 and 2022, the related statements of operations, changes in stockholders’ equity (deficit), and cash flows for the years then ended,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Inventory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Company’s inventory totaled $11.3 million. As explained in Note 2 to the financial statements, inventories are stated at the lower of cost or net realizable value, with cost determined on a first-in, first-out (“FIFO”) basis. The Company assesses inventory at each reporting date in order to assert that it is recorded at net realizable value. In determining net realizable value, management considers historical usage, forecasted demand in relation to inventory on hand, market conditions, and other factors.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management’s assessment of net realizable value of inventory as a critical audit matter as a high degree of auditor judgment and increased auditor effort was required to evaluate the Company’s ability to sell certain products, taking into consideration a number of factors, such as estimating future customer demand, customer preferences, and the broader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procedures we performed to address this critical audit matter included: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management’s product demand forecast for reasonableness considering historical sales by product, and whether they were consistent with the historical data and evidence obtained in other areas of the audit.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compared significant assumptions used by management to current industry and economic trends.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developed an independent expectation of the net realizable value of inventory using historic inventory activity and compared our independent expectation to the amount recorded in the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to the financial statements, for the year ended December 31, 2023, the Company recorded a net loss of $15,523 and used cash in operations of $4,266. Management believes that the Company’s ongoing business, existing cash, plus additional cash received subsequent to December 31, 2023, from investments with significant stockholders, is sufficient to fund operations for twelve months from the date of issuance of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evaluation of Management’s assessment of the Company’s ability to continue as a going concern as a critical audit matter due to the high degree of subjective auditor judgment required to evaluate the Company’s forecasted cash flows used in its going concern analysis due to uncertainty in certain assumptions, specifically forecasted sales, gross profit margins, and feasibility of the Company’s expense management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procedures we performed to address this critical audit matter included: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obtained management’s cash flow forecast and evaluated the reasonableness of the cash flow forecast by comparing it to historical operating results, considering management’s ability to accurately forecast and perform sensitivity analysis on revenue, cash expenditures, and commitments.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performed sensitivity analyses on the forecasted revenue and operating margins used in the Company’s cash flow forecast to evaluate the impact on the conclusions reached by management.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considered the Company’s historical ability to raise capital, and tested subsequent event activity including, but not limited to, the receipt of subsequent proceeds from investments with significant stockholders.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assessed the appropriateness and sufficiency of the Company’s liquidity disclosures and compared to other audit evidence obtained to determine whether such information is consistent with the Company’s disclosures.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46" w:name="xdx_905_edei--AuditorName_c20230101__202"/>
      <w:bookmarkEnd w:id="46"/>
      <w:r>
        <w:rPr>
          <w:rFonts w:ascii="Times New Roman;Times;Serif" w:hAnsi="Times New Roman;Times;Serif"/>
          <w:b w:val="false"/>
          <w:i w:val="false"/>
          <w:caps w:val="false"/>
          <w:smallCaps w:val="false"/>
          <w:sz w:val="20"/>
        </w:rPr>
        <w:t>Weinberg &amp; Company, P.A.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7" w:name="xdx_904_edei--AuditorLocation_c20230101_"/>
      <w:bookmarkEnd w:id="47"/>
      <w:r>
        <w:rPr>
          <w:rFonts w:ascii="Times New Roman;Times;Serif" w:hAnsi="Times New Roman;Times;Serif"/>
          <w:b w:val="false"/>
          <w:i w:val="false"/>
          <w:caps w:val="false"/>
          <w:smallCaps w:val="false"/>
          <w:sz w:val="20"/>
        </w:rPr>
        <w:t>Los Angeles,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2024</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8" w:name="F_002"/>
      <w:bookmarkEnd w:id="48"/>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9" w:name="xdx_301_111_pn3n3_zX9innLRerqf"/>
      <w:bookmarkStart w:id="50" w:name="xdx_301_111_pn3n3_zX9innLRerqf"/>
      <w:bookmarkEnd w:id="50"/>
    </w:p>
    <w:tbl>
      <w:tblPr>
        <w:tblW w:w="10205" w:type="dxa"/>
        <w:jc w:val="left"/>
        <w:tblInd w:w="0" w:type="dxa"/>
        <w:tblLayout w:type="fixed"/>
        <w:tblCellMar>
          <w:top w:w="0" w:type="dxa"/>
          <w:left w:w="0" w:type="dxa"/>
          <w:bottom w:w="0" w:type="dxa"/>
          <w:right w:w="0" w:type="dxa"/>
        </w:tblCellMar>
      </w:tblPr>
      <w:tblGrid>
        <w:gridCol w:w="7766"/>
        <w:gridCol w:w="60"/>
        <w:gridCol w:w="151"/>
        <w:gridCol w:w="920"/>
        <w:gridCol w:w="80"/>
        <w:gridCol w:w="60"/>
        <w:gridCol w:w="151"/>
        <w:gridCol w:w="920"/>
        <w:gridCol w:w="97"/>
      </w:tblGrid>
      <w:tr>
        <w:trPr/>
        <w:tc>
          <w:tcPr>
            <w:tcW w:w="776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1" w:name="xdx_49B_20231231_zTMHnFyaXSC3"/>
            <w:bookmarkEnd w:id="51"/>
          </w:p>
        </w:tc>
        <w:tc>
          <w:tcPr>
            <w:tcW w:w="107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2" w:name="xdx_49A_20221231_z08sshdxNc5l"/>
            <w:bookmarkEnd w:id="52"/>
          </w:p>
        </w:tc>
        <w:tc>
          <w:tcPr>
            <w:tcW w:w="107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1"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7" w:type="dxa"/>
            <w:tcBorders/>
            <w:vAlign w:val="center"/>
          </w:tcPr>
          <w:p>
            <w:pPr>
              <w:pStyle w:val="TableContents"/>
              <w:bidi w:val="0"/>
              <w:spacing w:before="0" w:after="283"/>
              <w:jc w:val="left"/>
              <w:rPr>
                <w:caps w:val="false"/>
                <w:smallCaps w:val="false"/>
              </w:rPr>
            </w:pPr>
            <w:r>
              <w:rPr>
                <w:caps w:val="false"/>
                <w:smallCaps w:val="false"/>
              </w:rPr>
              <w:t> </w:t>
            </w:r>
            <w:bookmarkStart w:id="53" w:name="xdx_400_eus-gaap--AssetsAbstract_iB_zXVn"/>
            <w:bookmarkEnd w:id="53"/>
          </w:p>
        </w:tc>
      </w:tr>
      <w:tr>
        <w:trPr/>
        <w:tc>
          <w:tcPr>
            <w:tcW w:w="77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4" w:name="xdx_406_eus-gaap--AssetsCurrentAbstract_"/>
            <w:bookmarkEnd w:id="54"/>
          </w:p>
        </w:tc>
      </w:tr>
      <w:tr>
        <w:trPr/>
        <w:tc>
          <w:tcPr>
            <w:tcW w:w="77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5" w:name="xdx_405_eus-gaap--Cash_i02I_maCzy7i_zdIr"/>
            <w:bookmarkEnd w:id="55"/>
          </w:p>
        </w:tc>
      </w:tr>
      <w:tr>
        <w:trPr/>
        <w:tc>
          <w:tcPr>
            <w:tcW w:w="77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6" w:name="xdx_40B_eus-gaap--AccountsReceivableNetC"/>
            <w:bookmarkEnd w:id="56"/>
          </w:p>
        </w:tc>
      </w:tr>
      <w:tr>
        <w:trPr/>
        <w:tc>
          <w:tcPr>
            <w:tcW w:w="77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 of $</w:t>
            </w:r>
            <w:bookmarkStart w:id="57" w:name="xdx_90E_eus-gaap--AllowanceForDoubtfulAc"/>
            <w:bookmarkEnd w:id="57"/>
            <w:r>
              <w:rPr>
                <w:rFonts w:ascii="Times New Roman;Times;Serif" w:hAnsi="Times New Roman;Times;Serif"/>
                <w:b w:val="false"/>
                <w:i w:val="false"/>
                <w:caps w:val="false"/>
                <w:smallCaps w:val="false"/>
                <w:sz w:val="20"/>
              </w:rPr>
              <w:t>860 and $</w:t>
            </w:r>
            <w:bookmarkStart w:id="58" w:name="xdx_90D_eus-gaap--AllowanceForDoubtfulAc"/>
            <w:bookmarkEnd w:id="58"/>
            <w:r>
              <w:rPr>
                <w:rFonts w:ascii="Times New Roman;Times;Serif" w:hAnsi="Times New Roman;Times;Serif"/>
                <w:b w:val="false"/>
                <w:i w:val="false"/>
                <w:caps w:val="false"/>
                <w:smallCaps w:val="false"/>
                <w:sz w:val="20"/>
              </w:rPr>
              <w:t>252,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9" w:name="xdx_405_eus-gaap--InventoryNet_i02I_maCz"/>
            <w:bookmarkEnd w:id="59"/>
          </w:p>
        </w:tc>
      </w:tr>
      <w:tr>
        <w:trPr/>
        <w:tc>
          <w:tcPr>
            <w:tcW w:w="77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0" w:name="xdx_406_eus-gaap--OtherReceivablesNetCur"/>
            <w:bookmarkEnd w:id="60"/>
          </w:p>
        </w:tc>
      </w:tr>
      <w:tr>
        <w:trPr/>
        <w:tc>
          <w:tcPr>
            <w:tcW w:w="77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 from former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1" w:name="xdx_40A_eus-gaap--PrepaidExpenseAndOther"/>
            <w:bookmarkEnd w:id="61"/>
          </w:p>
        </w:tc>
      </w:tr>
      <w:tr>
        <w:trPr/>
        <w:tc>
          <w:tcPr>
            <w:tcW w:w="77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2" w:name="xdx_40B_eus-gaap--AssetsCurrent_i02TI_mt"/>
            <w:bookmarkEnd w:id="62"/>
          </w:p>
        </w:tc>
      </w:tr>
      <w:tr>
        <w:trPr/>
        <w:tc>
          <w:tcPr>
            <w:tcW w:w="7766"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24,095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3" w:name="xdx_407_eus-gaap--PropertyPlantAndEquipm"/>
            <w:bookmarkEnd w:id="63"/>
          </w:p>
        </w:tc>
      </w:tr>
      <w:tr>
        <w:trPr/>
        <w:tc>
          <w:tcPr>
            <w:tcW w:w="77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of accumulated depreciation of $</w:t>
            </w:r>
            <w:bookmarkStart w:id="64" w:name="xdx_906_eus-gaap--AccumulatedDepreciatio"/>
            <w:bookmarkEnd w:id="64"/>
            <w:r>
              <w:rPr>
                <w:rFonts w:ascii="Times New Roman;Times;Serif" w:hAnsi="Times New Roman;Times;Serif"/>
                <w:b w:val="false"/>
                <w:i w:val="false"/>
                <w:caps w:val="false"/>
                <w:smallCaps w:val="false"/>
                <w:sz w:val="20"/>
              </w:rPr>
              <w:t>1,068 and $</w:t>
            </w:r>
            <w:bookmarkStart w:id="65" w:name="xdx_907_eus-gaap--AccumulatedDepreciatio"/>
            <w:bookmarkEnd w:id="65"/>
            <w:r>
              <w:rPr>
                <w:rFonts w:ascii="Times New Roman;Times;Serif" w:hAnsi="Times New Roman;Times;Serif"/>
                <w:b w:val="false"/>
                <w:i w:val="false"/>
                <w:caps w:val="false"/>
                <w:smallCaps w:val="false"/>
                <w:sz w:val="20"/>
              </w:rPr>
              <w:t>787,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6" w:name="xdx_40D_eus-gaap--IntangibleAssetsNetExc"/>
            <w:bookmarkEnd w:id="66"/>
          </w:p>
        </w:tc>
      </w:tr>
      <w:tr>
        <w:trPr/>
        <w:tc>
          <w:tcPr>
            <w:tcW w:w="77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7" w:name="xdx_408_eus-gaap--Assets_i01TI_mtCzxyX_z"/>
            <w:bookmarkEnd w:id="67"/>
          </w:p>
        </w:tc>
      </w:tr>
      <w:tr>
        <w:trPr/>
        <w:tc>
          <w:tcPr>
            <w:tcW w:w="776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25,487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8" w:name="xdx_401_eus-gaap--LiabilitiesAndStockhol"/>
            <w:bookmarkEnd w:id="68"/>
          </w:p>
        </w:tc>
      </w:tr>
      <w:tr>
        <w:trPr/>
        <w:tc>
          <w:tcPr>
            <w:tcW w:w="776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9" w:name="xdx_406_eus-gaap--LiabilitiesCurrentAbst"/>
            <w:bookmarkEnd w:id="69"/>
          </w:p>
        </w:tc>
      </w:tr>
      <w:tr>
        <w:trPr/>
        <w:tc>
          <w:tcPr>
            <w:tcW w:w="77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0" w:name="xdx_40E_eus-gaap--AccountsPayableCurrent"/>
            <w:bookmarkEnd w:id="70"/>
          </w:p>
        </w:tc>
      </w:tr>
      <w:tr>
        <w:trPr/>
        <w:tc>
          <w:tcPr>
            <w:tcW w:w="77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1" w:name="xdx_40F_eus-gaap--AccruedLiabilitiesCurr"/>
            <w:bookmarkEnd w:id="71"/>
          </w:p>
        </w:tc>
      </w:tr>
      <w:tr>
        <w:trPr/>
        <w:tc>
          <w:tcPr>
            <w:tcW w:w="77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2" w:name="xdx_400_eus-gaap--LinesOfCreditCurrent_i"/>
            <w:bookmarkEnd w:id="72"/>
          </w:p>
        </w:tc>
      </w:tr>
      <w:tr>
        <w:trPr/>
        <w:tc>
          <w:tcPr>
            <w:tcW w:w="77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line of credit, net of capitalized financing costs of $</w:t>
            </w:r>
            <w:bookmarkStart w:id="73" w:name="xdx_90E_eus-gaap--DeferredFinanceCostsCu"/>
            <w:bookmarkEnd w:id="73"/>
            <w:r>
              <w:rPr>
                <w:rFonts w:ascii="Times New Roman;Times;Serif" w:hAnsi="Times New Roman;Times;Serif"/>
                <w:b w:val="false"/>
                <w:i w:val="false"/>
                <w:caps w:val="false"/>
                <w:smallCaps w:val="false"/>
                <w:sz w:val="20"/>
              </w:rPr>
              <w:t>201 and $</w:t>
            </w:r>
            <w:bookmarkStart w:id="74" w:name="xdx_90D_eus-gaap--DeferredFinanceCostsCu"/>
            <w:bookmarkEnd w:id="74"/>
            <w:r>
              <w:rPr>
                <w:rFonts w:ascii="Times New Roman;Times;Serif" w:hAnsi="Times New Roman;Times;Serif"/>
                <w:b w:val="false"/>
                <w:i w:val="false"/>
                <w:caps w:val="false"/>
                <w:smallCaps w:val="false"/>
                <w:sz w:val="20"/>
              </w:rPr>
              <w:t>363,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10,974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5" w:name="xdx_406_eus-gaap--OtherLiabilitiesCurren"/>
            <w:bookmarkEnd w:id="75"/>
          </w:p>
        </w:tc>
      </w:tr>
      <w:tr>
        <w:trPr/>
        <w:tc>
          <w:tcPr>
            <w:tcW w:w="77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 to former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 w:name="xdx_40D_eus-gaap--ConvertibleNotesPayabl"/>
            <w:bookmarkEnd w:id="76"/>
          </w:p>
        </w:tc>
      </w:tr>
      <w:tr>
        <w:trPr/>
        <w:tc>
          <w:tcPr>
            <w:tcW w:w="77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convertible notes payable, net of debt discount of $</w:t>
            </w:r>
            <w:bookmarkStart w:id="77" w:name="xdx_904_eus-gaap--DebtInstrumentUnamorti"/>
            <w:bookmarkEnd w:id="77"/>
            <w:r>
              <w:rPr>
                <w:rFonts w:ascii="Times New Roman;Times;Serif" w:hAnsi="Times New Roman;Times;Serif"/>
                <w:b w:val="false"/>
                <w:i w:val="false"/>
                <w:caps w:val="false"/>
                <w:smallCaps w:val="false"/>
                <w:sz w:val="20"/>
              </w:rPr>
              <w:t>424 and $</w:t>
            </w:r>
            <w:bookmarkStart w:id="78" w:name="xdx_905_eus-gaap--DebtInstrumentUnamorti"/>
            <w:bookmarkEnd w:id="78"/>
            <w:r>
              <w:rPr>
                <w:rFonts w:ascii="Times New Roman;Times;Serif" w:hAnsi="Times New Roman;Times;Serif"/>
                <w:b w:val="false"/>
                <w:i w:val="false"/>
                <w:caps w:val="false"/>
                <w:smallCaps w:val="false"/>
                <w:sz w:val="20"/>
              </w:rPr>
              <w:t>414,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9" w:name="xdx_40A_eus-gaap--OperatingLeaseLiabilit"/>
            <w:bookmarkEnd w:id="79"/>
          </w:p>
        </w:tc>
      </w:tr>
      <w:tr>
        <w:trPr/>
        <w:tc>
          <w:tcPr>
            <w:tcW w:w="77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0" w:name="xdx_40F_eus-gaap--LiabilitiesCurrent_i02"/>
            <w:bookmarkEnd w:id="80"/>
          </w:p>
        </w:tc>
      </w:tr>
      <w:tr>
        <w:trPr/>
        <w:tc>
          <w:tcPr>
            <w:tcW w:w="7766"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25,658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1" w:name="xdx_409_eus-gaap--ConvertibleLongTermNot"/>
            <w:bookmarkEnd w:id="81"/>
          </w:p>
        </w:tc>
      </w:tr>
      <w:tr>
        <w:trPr/>
        <w:tc>
          <w:tcPr>
            <w:tcW w:w="77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 payable, net of debt discount of $</w:t>
            </w:r>
            <w:bookmarkStart w:id="82" w:name="xdx_90D_eus-gaap--DebtInstrumentUnamorti"/>
            <w:bookmarkEnd w:id="82"/>
            <w:r>
              <w:rPr>
                <w:rFonts w:ascii="Times New Roman;Times;Serif" w:hAnsi="Times New Roman;Times;Serif"/>
                <w:b w:val="false"/>
                <w:i w:val="false"/>
                <w:caps w:val="false"/>
                <w:smallCaps w:val="false"/>
                <w:sz w:val="20"/>
              </w:rPr>
              <w:t>148 and $</w:t>
            </w:r>
            <w:bookmarkStart w:id="83" w:name="xdx_902_eus-gaap--DebtInstrumentUnamorti"/>
            <w:bookmarkEnd w:id="83"/>
            <w:r>
              <w:rPr>
                <w:rFonts w:ascii="Times New Roman;Times;Serif" w:hAnsi="Times New Roman;Times;Serif"/>
                <w:b w:val="false"/>
                <w:i w:val="false"/>
                <w:caps w:val="false"/>
                <w:smallCaps w:val="false"/>
                <w:sz w:val="20"/>
              </w:rPr>
              <w:t>562, respectively, less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4" w:name="xdx_409_eus-gaap--OperatingLeaseLiabilit"/>
            <w:bookmarkEnd w:id="84"/>
          </w:p>
        </w:tc>
      </w:tr>
      <w:tr>
        <w:trPr/>
        <w:tc>
          <w:tcPr>
            <w:tcW w:w="77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less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5" w:name="xdx_401_eus-gaap--Liabilities_i01TI_mtCz"/>
            <w:bookmarkEnd w:id="85"/>
          </w:p>
        </w:tc>
      </w:tr>
      <w:tr>
        <w:trPr/>
        <w:tc>
          <w:tcPr>
            <w:tcW w:w="776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33,957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6" w:name="xdx_40D_eus-gaap--StockholdersEquityAbst"/>
            <w:bookmarkEnd w:id="86"/>
          </w:p>
        </w:tc>
      </w:tr>
      <w:tr>
        <w:trPr/>
        <w:tc>
          <w:tcPr>
            <w:tcW w:w="776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7" w:name="xdx_406_eus-gaap--PreferredStockValue_i0"/>
            <w:bookmarkEnd w:id="87"/>
          </w:p>
        </w:tc>
      </w:tr>
      <w:tr>
        <w:trPr/>
        <w:tc>
          <w:tcPr>
            <w:tcW w:w="77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Convertible Preferred stock, $</w:t>
            </w:r>
            <w:bookmarkStart w:id="88" w:name="xdx_90D_eus-gaap--PreferredStockParOrSta"/>
            <w:bookmarkStart w:id="89" w:name="xdx_90D_eus-gaap--PreferredStockParOrSta"/>
            <w:bookmarkEnd w:id="88"/>
            <w:bookmarkEnd w:id="89"/>
            <w:r>
              <w:rPr>
                <w:rFonts w:ascii="Times New Roman;Times;Serif" w:hAnsi="Times New Roman;Times;Serif"/>
                <w:b w:val="false"/>
                <w:i w:val="false"/>
                <w:caps w:val="false"/>
                <w:smallCaps w:val="false"/>
                <w:sz w:val="20"/>
              </w:rPr>
              <w:t xml:space="preserve">10 par value, </w:t>
            </w:r>
            <w:bookmarkStart w:id="90" w:name="xdx_90B_eus-gaap--PreferredStockSharesAu"/>
            <w:bookmarkStart w:id="91" w:name="xdx_905_eus-gaap--PreferredStockSharesAu"/>
            <w:bookmarkEnd w:id="90"/>
            <w:bookmarkEnd w:id="91"/>
            <w:r>
              <w:rPr>
                <w:rFonts w:ascii="Times New Roman;Times;Serif" w:hAnsi="Times New Roman;Times;Serif"/>
                <w:b w:val="false"/>
                <w:i w:val="false"/>
                <w:caps w:val="false"/>
                <w:smallCaps w:val="false"/>
                <w:sz w:val="20"/>
              </w:rPr>
              <w:t xml:space="preserve">500,000 shares authorized, </w:t>
            </w:r>
            <w:bookmarkStart w:id="92" w:name="xdx_90B_eus-gaap--PreferredStockSharesOu"/>
            <w:bookmarkStart w:id="93" w:name="xdx_908_eus-gaap--PreferredStockSharesIs"/>
            <w:bookmarkStart w:id="94" w:name="xdx_909_eus-gaap--PreferredStockSharesOu"/>
            <w:bookmarkStart w:id="95" w:name="xdx_900_eus-gaap--PreferredStockSharesIs"/>
            <w:bookmarkEnd w:id="92"/>
            <w:bookmarkEnd w:id="93"/>
            <w:bookmarkEnd w:id="94"/>
            <w:bookmarkEnd w:id="95"/>
            <w:r>
              <w:rPr>
                <w:rFonts w:ascii="Times New Roman;Times;Serif" w:hAnsi="Times New Roman;Times;Serif"/>
                <w:b w:val="false"/>
                <w:i w:val="false"/>
                <w:caps w:val="false"/>
                <w:smallCaps w:val="false"/>
                <w:sz w:val="20"/>
              </w:rPr>
              <w:t>9,411 shares issued and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6" w:name="xdx_407_eus-gaap--CommonStockValue_i02I_"/>
            <w:bookmarkEnd w:id="96"/>
          </w:p>
        </w:tc>
      </w:tr>
      <w:tr>
        <w:trPr/>
        <w:tc>
          <w:tcPr>
            <w:tcW w:w="77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w:t>
            </w:r>
            <w:bookmarkStart w:id="97" w:name="xdx_90A_eus-gaap--CommonStockParOrStated"/>
            <w:bookmarkStart w:id="98" w:name="xdx_90B_eus-gaap--CommonStockParOrStated"/>
            <w:bookmarkEnd w:id="97"/>
            <w:bookmarkEnd w:id="98"/>
            <w:r>
              <w:rPr>
                <w:rFonts w:ascii="Times New Roman;Times;Serif" w:hAnsi="Times New Roman;Times;Serif"/>
                <w:b w:val="false"/>
                <w:i w:val="false"/>
                <w:caps w:val="false"/>
                <w:smallCaps w:val="false"/>
                <w:sz w:val="20"/>
              </w:rPr>
              <w:t xml:space="preserve">.0001 par value, </w:t>
            </w:r>
            <w:bookmarkStart w:id="99" w:name="xdx_906_eus-gaap--CommonStockSharesAutho"/>
            <w:bookmarkStart w:id="100" w:name="xdx_906_eus-gaap--CommonStockSharesAutho"/>
            <w:bookmarkEnd w:id="99"/>
            <w:bookmarkEnd w:id="100"/>
            <w:r>
              <w:rPr>
                <w:rFonts w:ascii="Times New Roman;Times;Serif" w:hAnsi="Times New Roman;Times;Serif"/>
                <w:b w:val="false"/>
                <w:i w:val="false"/>
                <w:caps w:val="false"/>
                <w:smallCaps w:val="false"/>
                <w:sz w:val="20"/>
              </w:rPr>
              <w:t xml:space="preserve">180,000,000 shares authorized; </w:t>
            </w:r>
            <w:bookmarkStart w:id="101" w:name="xdx_90C_eus-gaap--CommonStockSharesOutst"/>
            <w:bookmarkStart w:id="102" w:name="xdx_90B_eus-gaap--CommonStockSharesIssue"/>
            <w:bookmarkEnd w:id="101"/>
            <w:bookmarkEnd w:id="102"/>
            <w:r>
              <w:rPr>
                <w:rFonts w:ascii="Times New Roman;Times;Serif" w:hAnsi="Times New Roman;Times;Serif"/>
                <w:b w:val="false"/>
                <w:i w:val="false"/>
                <w:caps w:val="false"/>
                <w:smallCaps w:val="false"/>
                <w:sz w:val="20"/>
              </w:rPr>
              <w:t xml:space="preserve">4,187,291 and </w:t>
            </w:r>
            <w:bookmarkStart w:id="103" w:name="xdx_90C_eus-gaap--CommonStockSharesOutst"/>
            <w:bookmarkStart w:id="104" w:name="xdx_90E_eus-gaap--CommonStockSharesIssue"/>
            <w:bookmarkEnd w:id="103"/>
            <w:bookmarkEnd w:id="104"/>
            <w:r>
              <w:rPr>
                <w:rFonts w:ascii="Times New Roman;Times;Serif" w:hAnsi="Times New Roman;Times;Serif"/>
                <w:b w:val="false"/>
                <w:i w:val="false"/>
                <w:caps w:val="false"/>
                <w:smallCaps w:val="false"/>
                <w:sz w:val="20"/>
              </w:rPr>
              <w:t>2,519,485 shares issued and outstanding,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5" w:name="xdx_404_eus-gaap--AdditionalPaidInCapita"/>
            <w:bookmarkEnd w:id="105"/>
          </w:p>
        </w:tc>
      </w:tr>
      <w:tr>
        <w:trPr/>
        <w:tc>
          <w:tcPr>
            <w:tcW w:w="77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 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119,452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114,635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6" w:name="xdx_409_eus-gaap--RetainedEarningsAccumu"/>
            <w:bookmarkEnd w:id="106"/>
          </w:p>
        </w:tc>
      </w:tr>
      <w:tr>
        <w:trPr/>
        <w:tc>
          <w:tcPr>
            <w:tcW w:w="77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(138,727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(123,199</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7" w:name="xdx_40F_eus-gaap--StockholdersEquity_i02"/>
            <w:bookmarkEnd w:id="107"/>
          </w:p>
        </w:tc>
      </w:tr>
      <w:tr>
        <w:trPr/>
        <w:tc>
          <w:tcPr>
            <w:tcW w:w="77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(8,470</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8" w:name="xdx_406_eus-gaap--LiabilitiesAndStockhol"/>
            <w:bookmarkEnd w:id="108"/>
          </w:p>
        </w:tc>
      </w:tr>
      <w:tr>
        <w:trPr/>
        <w:tc>
          <w:tcPr>
            <w:tcW w:w="776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25,487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9" w:name="F_003"/>
      <w:bookmarkEnd w:id="109"/>
      <w:r>
        <w:rPr>
          <w:rFonts w:ascii="Times New Roman;Times;Serif" w:hAnsi="Times New Roman;Times;Serif"/>
          <w:b/>
          <w:i w:val="false"/>
          <w:caps w:val="false"/>
          <w:smallCaps w:val="false"/>
          <w:sz w:val="20"/>
        </w:rPr>
        <w:t>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and 2023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0" w:name="xdx_30E_113_pn3n3_zQmNFX1tv2H8"/>
      <w:bookmarkStart w:id="111" w:name="xdx_30E_113_pn3n3_zQmNFX1tv2H8"/>
      <w:bookmarkEnd w:id="111"/>
    </w:p>
    <w:tbl>
      <w:tblPr>
        <w:tblW w:w="10205" w:type="dxa"/>
        <w:jc w:val="left"/>
        <w:tblInd w:w="0" w:type="dxa"/>
        <w:tblLayout w:type="fixed"/>
        <w:tblCellMar>
          <w:top w:w="0" w:type="dxa"/>
          <w:left w:w="0" w:type="dxa"/>
          <w:bottom w:w="0" w:type="dxa"/>
          <w:right w:w="0" w:type="dxa"/>
        </w:tblCellMar>
      </w:tblPr>
      <w:tblGrid>
        <w:gridCol w:w="7829"/>
        <w:gridCol w:w="60"/>
        <w:gridCol w:w="132"/>
        <w:gridCol w:w="902"/>
        <w:gridCol w:w="84"/>
        <w:gridCol w:w="63"/>
        <w:gridCol w:w="132"/>
        <w:gridCol w:w="902"/>
        <w:gridCol w:w="101"/>
      </w:tblGrid>
      <w:tr>
        <w:trPr/>
        <w:tc>
          <w:tcPr>
            <w:tcW w:w="78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12" w:name="xdx_491_20230101__20231231_zc51PqSaIE9"/>
            <w:bookmarkEnd w:id="112"/>
          </w:p>
        </w:tc>
        <w:tc>
          <w:tcPr>
            <w:tcW w:w="10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bookmarkStart w:id="113" w:name="xdx_494_20220101__20221231_zCq3OsQFymkk"/>
            <w:bookmarkEnd w:id="113"/>
          </w:p>
        </w:tc>
        <w:tc>
          <w:tcPr>
            <w:tcW w:w="10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10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01" w:type="dxa"/>
            <w:tcBorders/>
            <w:vAlign w:val="center"/>
          </w:tcPr>
          <w:p>
            <w:pPr>
              <w:pStyle w:val="TableContents"/>
              <w:bidi w:val="0"/>
              <w:spacing w:before="0" w:after="283"/>
              <w:jc w:val="left"/>
              <w:rPr>
                <w:caps w:val="false"/>
                <w:smallCaps w:val="false"/>
              </w:rPr>
            </w:pPr>
            <w:r>
              <w:rPr>
                <w:caps w:val="false"/>
                <w:smallCaps w:val="false"/>
              </w:rPr>
              <w:t> </w:t>
            </w:r>
            <w:bookmarkStart w:id="114" w:name="xdx_409_eus-gaap--RevenueFromContractWit"/>
            <w:bookmarkEnd w:id="114"/>
          </w:p>
        </w:tc>
      </w:tr>
      <w:tr>
        <w:trPr/>
        <w:tc>
          <w:tcPr>
            <w:tcW w:w="78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44,711</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53,041</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5" w:name="xdx_401_eus-gaap--CostOfGoodsAndServices"/>
            <w:bookmarkEnd w:id="115"/>
          </w:p>
        </w:tc>
      </w:tr>
      <w:tr>
        <w:trPr/>
        <w:tc>
          <w:tcPr>
            <w:tcW w:w="78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31,884</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40,929</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6" w:name="xdx_40E_ecustom--InventoryWriteDownExclu"/>
            <w:bookmarkEnd w:id="116"/>
          </w:p>
        </w:tc>
      </w:tr>
      <w:tr>
        <w:trPr/>
        <w:tc>
          <w:tcPr>
            <w:tcW w:w="78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write-offs associated with exited categories and major packaging and formula changes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1,848</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7" w:name="xdx_40A_ecustom--ProductQualityHoldWrite"/>
            <w:bookmarkEnd w:id="117"/>
          </w:p>
        </w:tc>
      </w:tr>
      <w:tr>
        <w:trPr/>
        <w:tc>
          <w:tcPr>
            <w:tcW w:w="78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quality hold write-down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8" w:name="xdx_403_eus-gaap--GrossProfit_iT_mtCz9dd"/>
            <w:bookmarkEnd w:id="118"/>
          </w:p>
        </w:tc>
      </w:tr>
      <w:tr>
        <w:trPr/>
        <w:tc>
          <w:tcPr>
            <w:tcW w:w="78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9,712</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12,112</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9" w:name="xdx_408_eus-gaap--OperatingExpensesAbstr"/>
            <w:bookmarkEnd w:id="119"/>
          </w:p>
        </w:tc>
      </w:tr>
      <w:tr>
        <w:trPr/>
        <w:tc>
          <w:tcPr>
            <w:tcW w:w="78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0" w:name="xdx_40D_ecustom--DeliveryAndHandlingExpe"/>
            <w:bookmarkEnd w:id="120"/>
          </w:p>
        </w:tc>
      </w:tr>
      <w:tr>
        <w:trPr/>
        <w:tc>
          <w:tcPr>
            <w:tcW w:w="78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7,561</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11,603</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1" w:name="xdx_406_eus-gaap--SellingAndMarketingExp"/>
            <w:bookmarkEnd w:id="121"/>
          </w:p>
        </w:tc>
      </w:tr>
      <w:tr>
        <w:trPr/>
        <w:tc>
          <w:tcPr>
            <w:tcW w:w="78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4,865</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2" w:name="xdx_408_eus-gaap--GeneralAndAdministrati"/>
            <w:bookmarkEnd w:id="122"/>
          </w:p>
        </w:tc>
      </w:tr>
      <w:tr>
        <w:trPr/>
        <w:tc>
          <w:tcPr>
            <w:tcW w:w="78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6,118</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7,489</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3" w:name="xdx_40D_ecustom--ProvisionForReceivableW"/>
            <w:bookmarkEnd w:id="123"/>
          </w:p>
        </w:tc>
      </w:tr>
      <w:tr>
        <w:trPr/>
        <w:tc>
          <w:tcPr>
            <w:tcW w:w="78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receivable with former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4" w:name="xdx_409_eus-gaap--OperatingExpenses_i01T"/>
            <w:bookmarkEnd w:id="124"/>
          </w:p>
        </w:tc>
      </w:tr>
      <w:tr>
        <w:trPr/>
        <w:tc>
          <w:tcPr>
            <w:tcW w:w="782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19,129</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26,946</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5" w:name="xdx_40E_eus-gaap--OperatingIncomeLoss_iT"/>
            <w:bookmarkEnd w:id="125"/>
          </w:p>
        </w:tc>
      </w:tr>
      <w:tr>
        <w:trPr/>
        <w:tc>
          <w:tcPr>
            <w:tcW w:w="782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(9,417</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(14,834</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6" w:name="xdx_401_eus-gaap--InterestExpense_iN_di_"/>
            <w:bookmarkEnd w:id="126"/>
          </w:p>
        </w:tc>
      </w:tr>
      <w:tr>
        <w:trPr/>
        <w:tc>
          <w:tcPr>
            <w:tcW w:w="78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(6,106</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(5,223</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7" w:name="xdx_403_eus-gaap--NetIncomeLoss_iT_mtCzg"/>
            <w:bookmarkEnd w:id="127"/>
          </w:p>
        </w:tc>
      </w:tr>
      <w:tr>
        <w:trPr/>
        <w:tc>
          <w:tcPr>
            <w:tcW w:w="782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(15,523</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(20,057</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8" w:name="xdx_40D_eus-gaap--PreferredStockDividend"/>
            <w:bookmarkEnd w:id="128"/>
          </w:p>
        </w:tc>
      </w:tr>
      <w:tr>
        <w:trPr/>
        <w:tc>
          <w:tcPr>
            <w:tcW w:w="782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on Series A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9" w:name="xdx_403_eus-gaap--NetIncomeLossAvailable"/>
            <w:bookmarkEnd w:id="129"/>
          </w:p>
        </w:tc>
      </w:tr>
      <w:tr>
        <w:trPr/>
        <w:tc>
          <w:tcPr>
            <w:tcW w:w="782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common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(15,528</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(20,062</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per share –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30" w:name="xdx_909_eus-gaap--EarningsPerShareDilute"/>
            <w:bookmarkStart w:id="131" w:name="xdx_90C_eus-gaap--EarningsPerShareBasic_"/>
            <w:bookmarkEnd w:id="130"/>
            <w:bookmarkEnd w:id="131"/>
            <w:r>
              <w:rPr>
                <w:rFonts w:ascii="Times New Roman;Times;Serif" w:hAnsi="Times New Roman;Times;Serif"/>
                <w:b w:val="false"/>
                <w:i w:val="false"/>
                <w:caps w:val="false"/>
                <w:smallCaps w:val="false"/>
                <w:sz w:val="20"/>
              </w:rPr>
              <w:t>(4.39</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32" w:name="xdx_901_eus-gaap--EarningsPerShareDilute"/>
            <w:bookmarkStart w:id="133" w:name="xdx_909_eus-gaap--EarningsPerShareBasic_"/>
            <w:bookmarkEnd w:id="132"/>
            <w:bookmarkEnd w:id="133"/>
            <w:r>
              <w:rPr>
                <w:rFonts w:ascii="Times New Roman;Times;Serif" w:hAnsi="Times New Roman;Times;Serif"/>
                <w:b w:val="false"/>
                <w:i w:val="false"/>
                <w:caps w:val="false"/>
                <w:smallCaps w:val="false"/>
                <w:sz w:val="20"/>
              </w:rPr>
              <w:t>(9.07</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 outstanding –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34" w:name="xdx_90F_eus-gaap--WeightedAverageNumberO"/>
            <w:bookmarkStart w:id="135" w:name="xdx_904_eus-gaap--WeightedAverageNumberO"/>
            <w:bookmarkEnd w:id="134"/>
            <w:bookmarkEnd w:id="135"/>
            <w:r>
              <w:rPr>
                <w:rFonts w:ascii="Times New Roman;Times;Serif" w:hAnsi="Times New Roman;Times;Serif"/>
                <w:b w:val="false"/>
                <w:i w:val="false"/>
                <w:caps w:val="false"/>
                <w:smallCaps w:val="false"/>
                <w:sz w:val="20"/>
              </w:rPr>
              <w:t>3,537,882</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36" w:name="xdx_909_eus-gaap--WeightedAverageNumberO"/>
            <w:bookmarkStart w:id="137" w:name="xdx_908_eus-gaap--WeightedAverageNumberO"/>
            <w:bookmarkEnd w:id="136"/>
            <w:bookmarkEnd w:id="137"/>
            <w:r>
              <w:rPr>
                <w:rFonts w:ascii="Times New Roman;Times;Serif" w:hAnsi="Times New Roman;Times;Serif"/>
                <w:b w:val="false"/>
                <w:i w:val="false"/>
                <w:caps w:val="false"/>
                <w:smallCaps w:val="false"/>
                <w:sz w:val="20"/>
              </w:rPr>
              <w:t>2,211,319</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8" w:name="F_004"/>
      <w:bookmarkEnd w:id="138"/>
      <w:r>
        <w:rPr>
          <w:rFonts w:ascii="Times New Roman;Times;Serif" w:hAnsi="Times New Roman;Times;Serif"/>
          <w:b/>
          <w:i w:val="false"/>
          <w:caps w:val="false"/>
          <w:smallCaps w:val="false"/>
          <w:sz w:val="20"/>
        </w:rPr>
        <w:t>STATEMENTS OF CHANGES IN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and 2022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9" w:name="xdx_306_114_pn3n3_zSJk1cPR9Xia"/>
      <w:bookmarkStart w:id="140" w:name="xdx_306_114_pn3n3_zSJk1cPR9Xia"/>
      <w:bookmarkEnd w:id="140"/>
    </w:p>
    <w:tbl>
      <w:tblPr>
        <w:tblW w:w="10205" w:type="dxa"/>
        <w:jc w:val="left"/>
        <w:tblInd w:w="0" w:type="dxa"/>
        <w:tblLayout w:type="fixed"/>
        <w:tblCellMar>
          <w:top w:w="0" w:type="dxa"/>
          <w:left w:w="0" w:type="dxa"/>
          <w:bottom w:w="0" w:type="dxa"/>
          <w:right w:w="0" w:type="dxa"/>
        </w:tblCellMar>
      </w:tblPr>
      <w:tblGrid>
        <w:gridCol w:w="2057"/>
        <w:gridCol w:w="60"/>
        <w:gridCol w:w="60"/>
        <w:gridCol w:w="980"/>
        <w:gridCol w:w="95"/>
        <w:gridCol w:w="60"/>
        <w:gridCol w:w="476"/>
        <w:gridCol w:w="324"/>
        <w:gridCol w:w="60"/>
        <w:gridCol w:w="60"/>
        <w:gridCol w:w="140"/>
        <w:gridCol w:w="560"/>
        <w:gridCol w:w="60"/>
        <w:gridCol w:w="60"/>
        <w:gridCol w:w="280"/>
        <w:gridCol w:w="520"/>
        <w:gridCol w:w="60"/>
        <w:gridCol w:w="60"/>
        <w:gridCol w:w="165"/>
        <w:gridCol w:w="953"/>
        <w:gridCol w:w="95"/>
        <w:gridCol w:w="60"/>
        <w:gridCol w:w="176"/>
        <w:gridCol w:w="1104"/>
        <w:gridCol w:w="95"/>
        <w:gridCol w:w="60"/>
        <w:gridCol w:w="220"/>
        <w:gridCol w:w="1192"/>
        <w:gridCol w:w="113"/>
      </w:tblGrid>
      <w:tr>
        <w:trPr/>
        <w:tc>
          <w:tcPr>
            <w:tcW w:w="20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1" w:name="xdx_4BA_us-gaap--StatementEquityComponen"/>
            <w:bookmarkEnd w:id="141"/>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2" w:name="xdx_4B3_us-gaap--StatementEquityComponen"/>
            <w:bookmarkEnd w:id="142"/>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3" w:name="xdx_4B1_us-gaap--StatementEquityComponen"/>
            <w:bookmarkEnd w:id="143"/>
          </w:p>
        </w:tc>
        <w:tc>
          <w:tcPr>
            <w:tcW w:w="1118"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4" w:name="xdx_4B5_us-gaap--StatementEquityComponen"/>
            <w:bookmarkEnd w:id="144"/>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5" w:name="xdx_4B6_zG6cPdF1lf5"/>
            <w:bookmarkEnd w:id="145"/>
          </w:p>
        </w:tc>
        <w:tc>
          <w:tcPr>
            <w:tcW w:w="1412"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113" w:type="dxa"/>
            <w:tcBorders/>
            <w:vAlign w:val="center"/>
          </w:tcPr>
          <w:p>
            <w:pPr>
              <w:pStyle w:val="TableContents"/>
              <w:bidi w:val="0"/>
              <w:spacing w:before="0" w:after="283"/>
              <w:jc w:val="center"/>
              <w:rPr/>
            </w:pPr>
            <w:r>
              <w:rPr/>
              <w:t> </w:t>
            </w:r>
          </w:p>
        </w:tc>
      </w:tr>
      <w:tr>
        <w:trPr/>
        <w:tc>
          <w:tcPr>
            <w:tcW w:w="20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95"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20" w:type="dxa"/>
            <w:gridSpan w:val="6"/>
            <w:tcBorders>
              <w:bottom w:val="single" w:sz="12" w:space="0" w:color="000000"/>
            </w:tcBorders>
            <w:tcMar>
              <w:bottom w:w="28" w:type="dxa"/>
            </w:tcMar>
            <w:vAlign w:val="center"/>
          </w:tcPr>
          <w:p>
            <w:pPr>
              <w:pStyle w:val="TableContents"/>
              <w:bidi w:val="0"/>
              <w:spacing w:before="0" w:after="283"/>
              <w:jc w:val="center"/>
              <w:rPr/>
            </w:pPr>
            <w:r>
              <w:rP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8" w:type="dxa"/>
            <w:gridSpan w:val="2"/>
            <w:tcBorders/>
            <w:vAlign w:val="center"/>
          </w:tcPr>
          <w:p>
            <w:pPr>
              <w:pStyle w:val="TableContents"/>
              <w:bidi w:val="0"/>
              <w:spacing w:before="0" w:after="283"/>
              <w:jc w:val="center"/>
              <w:rPr/>
            </w:pPr>
            <w:r>
              <w:rPr/>
              <w:t>Additional Paid 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2" w:type="dxa"/>
            <w:gridSpan w:val="2"/>
            <w:tcBorders/>
            <w:vAlign w:val="center"/>
          </w:tcPr>
          <w:p>
            <w:pPr>
              <w:pStyle w:val="TableContents"/>
              <w:bidi w:val="0"/>
              <w:jc w:val="center"/>
              <w:rPr/>
            </w:pPr>
            <w:r>
              <w:rPr/>
              <w:t>Total</w:t>
            </w:r>
          </w:p>
          <w:p>
            <w:pPr>
              <w:pStyle w:val="TableContents"/>
              <w:bidi w:val="0"/>
              <w:spacing w:before="0" w:after="283"/>
              <w:jc w:val="center"/>
              <w:rPr/>
            </w:pPr>
            <w:r>
              <w:rPr/>
              <w:t>Stockholders’ Equity</w:t>
            </w:r>
          </w:p>
        </w:tc>
        <w:tc>
          <w:tcPr>
            <w:tcW w:w="113" w:type="dxa"/>
            <w:tcBorders/>
            <w:vAlign w:val="center"/>
          </w:tcPr>
          <w:p>
            <w:pPr>
              <w:pStyle w:val="TableContents"/>
              <w:bidi w:val="0"/>
              <w:spacing w:before="0" w:after="283"/>
              <w:jc w:val="center"/>
              <w:rPr/>
            </w:pPr>
            <w:r>
              <w:rPr/>
              <w:t> </w:t>
            </w:r>
          </w:p>
        </w:tc>
      </w:tr>
      <w:tr>
        <w:trPr/>
        <w:tc>
          <w:tcPr>
            <w:tcW w:w="20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8"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2"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113" w:type="dxa"/>
            <w:tcBorders/>
            <w:vAlign w:val="center"/>
          </w:tcPr>
          <w:p>
            <w:pPr>
              <w:pStyle w:val="TableContents"/>
              <w:bidi w:val="0"/>
              <w:spacing w:before="0" w:after="283"/>
              <w:jc w:val="center"/>
              <w:rPr/>
            </w:pPr>
            <w:r>
              <w:rPr/>
              <w:t> </w:t>
            </w:r>
            <w:bookmarkStart w:id="146" w:name="xdx_434_c20220101__20221231_eus-gaap--St"/>
            <w:bookmarkEnd w:id="146"/>
          </w:p>
        </w:tc>
      </w:tr>
      <w:tr>
        <w:trPr/>
        <w:tc>
          <w:tcPr>
            <w:tcW w:w="2057" w:type="dxa"/>
            <w:tcBorders/>
            <w:shd w:fill="CCEEFF" w:val="clear"/>
            <w:vAlign w:val="center"/>
          </w:tcPr>
          <w:p>
            <w:pPr>
              <w:pStyle w:val="TableContents"/>
              <w:bidi w:val="0"/>
              <w:spacing w:before="0" w:after="283"/>
              <w:jc w:val="left"/>
              <w:rPr>
                <w:b/>
              </w:rPr>
            </w:pPr>
            <w:r>
              <w:rPr>
                <w:b/>
              </w:rPr>
              <w:t>Balance,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7" w:name="xdx_98F_eus-gaap--SharesOutstanding_iS_p"/>
            <w:bookmarkEnd w:id="147"/>
          </w:p>
        </w:tc>
        <w:tc>
          <w:tcPr>
            <w:tcW w:w="980" w:type="dxa"/>
            <w:tcBorders/>
            <w:shd w:fill="CCEEFF" w:val="clear"/>
            <w:vAlign w:val="center"/>
          </w:tcPr>
          <w:p>
            <w:pPr>
              <w:pStyle w:val="TableContents"/>
              <w:bidi w:val="0"/>
              <w:spacing w:before="0" w:after="283"/>
              <w:jc w:val="right"/>
              <w:rPr/>
            </w:pPr>
            <w:r>
              <w:rPr/>
              <w:t>1,874,866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w:t>
            </w:r>
          </w:p>
        </w:tc>
        <w:tc>
          <w:tcPr>
            <w:tcW w:w="3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48" w:name="xdx_983_eus-gaap--SharesOutstanding_iS_p"/>
            <w:bookmarkEnd w:id="148"/>
          </w:p>
        </w:tc>
        <w:tc>
          <w:tcPr>
            <w:tcW w:w="560" w:type="dxa"/>
            <w:tcBorders/>
            <w:shd w:fill="CCEEFF" w:val="clear"/>
            <w:vAlign w:val="center"/>
          </w:tcPr>
          <w:p>
            <w:pPr>
              <w:pStyle w:val="TableContents"/>
              <w:bidi w:val="0"/>
              <w:spacing w:before="0" w:after="283"/>
              <w:jc w:val="right"/>
              <w:rPr/>
            </w:pPr>
            <w:r>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520"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953" w:type="dxa"/>
            <w:tcBorders/>
            <w:shd w:fill="CCEEFF" w:val="clear"/>
            <w:vAlign w:val="center"/>
          </w:tcPr>
          <w:p>
            <w:pPr>
              <w:pStyle w:val="TableContents"/>
              <w:bidi w:val="0"/>
              <w:spacing w:before="0" w:after="283"/>
              <w:jc w:val="right"/>
              <w:rPr/>
            </w:pPr>
            <w:r>
              <w:rPr/>
              <w:t>107,246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(103,137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4,203</w:t>
            </w:r>
          </w:p>
        </w:tc>
        <w:tc>
          <w:tcPr>
            <w:tcW w:w="113" w:type="dxa"/>
            <w:tcBorders/>
            <w:shd w:fill="CCEEFF" w:val="clear"/>
            <w:vAlign w:val="center"/>
          </w:tcPr>
          <w:p>
            <w:pPr>
              <w:pStyle w:val="TableContents"/>
              <w:bidi w:val="0"/>
              <w:spacing w:before="0" w:after="283"/>
              <w:jc w:val="left"/>
              <w:rPr/>
            </w:pPr>
            <w:r>
              <w:rPr/>
              <w:t> </w:t>
            </w:r>
            <w:bookmarkStart w:id="149" w:name="xdx_400_ecustom--AdjustmentsToAdditional"/>
            <w:bookmarkEnd w:id="149"/>
          </w:p>
        </w:tc>
      </w:tr>
      <w:tr>
        <w:trPr/>
        <w:tc>
          <w:tcPr>
            <w:tcW w:w="2057"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701</w:t>
            </w:r>
          </w:p>
        </w:tc>
        <w:tc>
          <w:tcPr>
            <w:tcW w:w="113" w:type="dxa"/>
            <w:tcBorders/>
            <w:shd w:fill="FFFFFF" w:val="clear"/>
            <w:vAlign w:val="center"/>
          </w:tcPr>
          <w:p>
            <w:pPr>
              <w:pStyle w:val="TableContents"/>
              <w:bidi w:val="0"/>
              <w:spacing w:before="0" w:after="283"/>
              <w:jc w:val="left"/>
              <w:rPr/>
            </w:pPr>
            <w:r>
              <w:rPr/>
              <w:t> </w:t>
            </w:r>
            <w:bookmarkStart w:id="150" w:name="xdx_40B_eus-gaap--StockIssuedDuringPerio"/>
            <w:bookmarkEnd w:id="150"/>
          </w:p>
        </w:tc>
      </w:tr>
      <w:tr>
        <w:trPr/>
        <w:tc>
          <w:tcPr>
            <w:tcW w:w="2057" w:type="dxa"/>
            <w:tcBorders/>
            <w:shd w:fill="CCEEFF" w:val="clear"/>
            <w:vAlign w:val="center"/>
          </w:tcPr>
          <w:p>
            <w:pPr>
              <w:pStyle w:val="TableContents"/>
              <w:bidi w:val="0"/>
              <w:spacing w:before="0" w:after="283"/>
              <w:jc w:val="left"/>
              <w:rPr/>
            </w:pPr>
            <w:r>
              <w:rPr/>
              <w:t>Fair value of vested restricted shares granted to officers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1" w:name="xdx_984_eus-gaap--StockIssuedDuringPerio"/>
            <w:bookmarkEnd w:id="151"/>
          </w:p>
        </w:tc>
        <w:tc>
          <w:tcPr>
            <w:tcW w:w="980" w:type="dxa"/>
            <w:tcBorders/>
            <w:shd w:fill="CCEEFF" w:val="clear"/>
            <w:vAlign w:val="center"/>
          </w:tcPr>
          <w:p>
            <w:pPr>
              <w:pStyle w:val="TableContents"/>
              <w:bidi w:val="0"/>
              <w:spacing w:before="0" w:after="283"/>
              <w:jc w:val="right"/>
              <w:rPr/>
            </w:pPr>
            <w:r>
              <w:rPr/>
              <w:t>8,758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158</w:t>
            </w:r>
          </w:p>
        </w:tc>
        <w:tc>
          <w:tcPr>
            <w:tcW w:w="113" w:type="dxa"/>
            <w:tcBorders/>
            <w:shd w:fill="CCEEFF" w:val="clear"/>
            <w:vAlign w:val="center"/>
          </w:tcPr>
          <w:p>
            <w:pPr>
              <w:pStyle w:val="TableContents"/>
              <w:bidi w:val="0"/>
              <w:spacing w:before="0" w:after="283"/>
              <w:jc w:val="left"/>
              <w:rPr/>
            </w:pPr>
            <w:r>
              <w:rPr/>
              <w:t> </w:t>
            </w:r>
            <w:bookmarkStart w:id="152" w:name="xdx_40A_eus-gaap--StockRepurchasedDuring"/>
            <w:bookmarkEnd w:id="152"/>
          </w:p>
        </w:tc>
      </w:tr>
      <w:tr>
        <w:trPr/>
        <w:tc>
          <w:tcPr>
            <w:tcW w:w="2057" w:type="dxa"/>
            <w:tcBorders/>
            <w:shd w:fill="FFFFFF" w:val="clear"/>
            <w:vAlign w:val="center"/>
          </w:tcPr>
          <w:p>
            <w:pPr>
              <w:pStyle w:val="TableContents"/>
              <w:bidi w:val="0"/>
              <w:spacing w:before="0" w:after="283"/>
              <w:jc w:val="left"/>
              <w:rPr/>
            </w:pPr>
            <w:r>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3" w:name="xdx_982_eus-gaap--StockRepurchasedDuring"/>
            <w:bookmarkEnd w:id="153"/>
          </w:p>
        </w:tc>
        <w:tc>
          <w:tcPr>
            <w:tcW w:w="980" w:type="dxa"/>
            <w:tcBorders/>
            <w:shd w:fill="FFFFFF" w:val="clear"/>
            <w:vAlign w:val="center"/>
          </w:tcPr>
          <w:p>
            <w:pPr>
              <w:pStyle w:val="TableContents"/>
              <w:bidi w:val="0"/>
              <w:spacing w:before="0" w:after="283"/>
              <w:jc w:val="right"/>
              <w:rPr/>
            </w:pPr>
            <w:r>
              <w:rPr/>
              <w:t>(265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(2</w:t>
            </w:r>
          </w:p>
        </w:tc>
        <w:tc>
          <w:tcPr>
            <w:tcW w:w="113" w:type="dxa"/>
            <w:tcBorders/>
            <w:shd w:fill="FFFFFF" w:val="clear"/>
            <w:vAlign w:val="center"/>
          </w:tcPr>
          <w:p>
            <w:pPr>
              <w:pStyle w:val="TableContents"/>
              <w:bidi w:val="0"/>
              <w:spacing w:before="0" w:after="283"/>
              <w:jc w:val="left"/>
              <w:rPr/>
            </w:pPr>
            <w:r>
              <w:rPr/>
              <w:t>)</w:t>
            </w:r>
            <w:bookmarkStart w:id="154" w:name="xdx_403_eus-gaap--DividendsPreferredStoc"/>
            <w:bookmarkEnd w:id="154"/>
          </w:p>
        </w:tc>
      </w:tr>
      <w:tr>
        <w:trPr/>
        <w:tc>
          <w:tcPr>
            <w:tcW w:w="2057" w:type="dxa"/>
            <w:tcBorders/>
            <w:shd w:fill="CCEEFF" w:val="clear"/>
            <w:vAlign w:val="center"/>
          </w:tcPr>
          <w:p>
            <w:pPr>
              <w:pStyle w:val="TableContents"/>
              <w:bidi w:val="0"/>
              <w:spacing w:before="0" w:after="283"/>
              <w:jc w:val="left"/>
              <w:rPr/>
            </w:pPr>
            <w:r>
              <w:rPr/>
              <w:t>Dividends on Series A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(5</w:t>
            </w:r>
          </w:p>
        </w:tc>
        <w:tc>
          <w:tcPr>
            <w:tcW w:w="113" w:type="dxa"/>
            <w:tcBorders/>
            <w:shd w:fill="CCEEFF" w:val="clear"/>
            <w:vAlign w:val="center"/>
          </w:tcPr>
          <w:p>
            <w:pPr>
              <w:pStyle w:val="TableContents"/>
              <w:bidi w:val="0"/>
              <w:spacing w:before="0" w:after="283"/>
              <w:jc w:val="left"/>
              <w:rPr/>
            </w:pPr>
            <w:r>
              <w:rPr/>
              <w:t>)</w:t>
            </w:r>
            <w:bookmarkStart w:id="155" w:name="xdx_407_eus-gaap--StockIssuedDuringPerio"/>
            <w:bookmarkEnd w:id="155"/>
          </w:p>
        </w:tc>
      </w:tr>
      <w:tr>
        <w:trPr/>
        <w:tc>
          <w:tcPr>
            <w:tcW w:w="2057" w:type="dxa"/>
            <w:tcBorders/>
            <w:shd w:fill="FFFFFF" w:val="clear"/>
            <w:vAlign w:val="center"/>
          </w:tcPr>
          <w:p>
            <w:pPr>
              <w:pStyle w:val="TableContents"/>
              <w:bidi w:val="0"/>
              <w:spacing w:before="0" w:after="283"/>
              <w:jc w:val="left"/>
              <w:rPr/>
            </w:pPr>
            <w:r>
              <w:rPr/>
              <w:t>Common shares issued for financing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6" w:name="xdx_983_eus-gaap--StockIssuedDuringPerio"/>
            <w:bookmarkEnd w:id="156"/>
          </w:p>
        </w:tc>
        <w:tc>
          <w:tcPr>
            <w:tcW w:w="980" w:type="dxa"/>
            <w:tcBorders/>
            <w:shd w:fill="FFFFFF" w:val="clear"/>
            <w:vAlign w:val="center"/>
          </w:tcPr>
          <w:p>
            <w:pPr>
              <w:pStyle w:val="TableContents"/>
              <w:bidi w:val="0"/>
              <w:spacing w:before="0" w:after="283"/>
              <w:jc w:val="right"/>
              <w:rPr/>
            </w:pPr>
            <w:r>
              <w:rPr/>
              <w:t>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37</w:t>
            </w:r>
          </w:p>
        </w:tc>
        <w:tc>
          <w:tcPr>
            <w:tcW w:w="113" w:type="dxa"/>
            <w:tcBorders/>
            <w:shd w:fill="FFFFFF" w:val="clear"/>
            <w:vAlign w:val="center"/>
          </w:tcPr>
          <w:p>
            <w:pPr>
              <w:pStyle w:val="TableContents"/>
              <w:bidi w:val="0"/>
              <w:spacing w:before="0" w:after="283"/>
              <w:jc w:val="left"/>
              <w:rPr/>
            </w:pPr>
            <w:r>
              <w:rPr/>
              <w:t> </w:t>
            </w:r>
            <w:bookmarkStart w:id="157" w:name="xdx_40D_ecustom--StockIssuedDuringPeriod"/>
            <w:bookmarkEnd w:id="157"/>
          </w:p>
        </w:tc>
      </w:tr>
      <w:tr>
        <w:trPr/>
        <w:tc>
          <w:tcPr>
            <w:tcW w:w="2057" w:type="dxa"/>
            <w:tcBorders/>
            <w:shd w:fill="CCEEFF" w:val="clear"/>
            <w:vAlign w:val="center"/>
          </w:tcPr>
          <w:p>
            <w:pPr>
              <w:pStyle w:val="TableContents"/>
              <w:bidi w:val="0"/>
              <w:spacing w:before="0" w:after="283"/>
              <w:jc w:val="left"/>
              <w:rPr/>
            </w:pPr>
            <w:r>
              <w:rPr/>
              <w:t>Common shares issued for interest payment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8" w:name="xdx_981_ecustom--StockIssuedDuringPeriod"/>
            <w:bookmarkEnd w:id="158"/>
          </w:p>
        </w:tc>
        <w:tc>
          <w:tcPr>
            <w:tcW w:w="980" w:type="dxa"/>
            <w:tcBorders/>
            <w:shd w:fill="CCEEFF" w:val="clear"/>
            <w:vAlign w:val="center"/>
          </w:tcPr>
          <w:p>
            <w:pPr>
              <w:pStyle w:val="TableContents"/>
              <w:bidi w:val="0"/>
              <w:spacing w:before="0" w:after="283"/>
              <w:jc w:val="right"/>
              <w:rPr/>
            </w:pPr>
            <w:r>
              <w:rPr/>
              <w:t>262,234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1,461</w:t>
            </w:r>
          </w:p>
        </w:tc>
        <w:tc>
          <w:tcPr>
            <w:tcW w:w="113" w:type="dxa"/>
            <w:tcBorders/>
            <w:shd w:fill="CCEEFF" w:val="clear"/>
            <w:vAlign w:val="center"/>
          </w:tcPr>
          <w:p>
            <w:pPr>
              <w:pStyle w:val="TableContents"/>
              <w:bidi w:val="0"/>
              <w:spacing w:before="0" w:after="283"/>
              <w:jc w:val="left"/>
              <w:rPr/>
            </w:pPr>
            <w:r>
              <w:rPr/>
              <w:t> </w:t>
            </w:r>
            <w:bookmarkStart w:id="159" w:name="xdx_405_eus-gaap--StockIssuedDuringPerio"/>
            <w:bookmarkEnd w:id="159"/>
          </w:p>
        </w:tc>
      </w:tr>
      <w:tr>
        <w:trPr/>
        <w:tc>
          <w:tcPr>
            <w:tcW w:w="2057" w:type="dxa"/>
            <w:tcBorders/>
            <w:shd w:fill="FFFFFF" w:val="clear"/>
            <w:vAlign w:val="center"/>
          </w:tcPr>
          <w:p>
            <w:pPr>
              <w:pStyle w:val="TableContents"/>
              <w:bidi w:val="0"/>
              <w:spacing w:before="0" w:after="283"/>
              <w:jc w:val="left"/>
              <w:rPr/>
            </w:pPr>
            <w:r>
              <w:rPr/>
              <w:t>Common shares issued pursuant to a rights offering, net of offering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0" w:name="xdx_982_eus-gaap--StockIssuedDuringPerio"/>
            <w:bookmarkEnd w:id="160"/>
          </w:p>
        </w:tc>
        <w:tc>
          <w:tcPr>
            <w:tcW w:w="980" w:type="dxa"/>
            <w:tcBorders/>
            <w:shd w:fill="FFFFFF" w:val="clear"/>
            <w:vAlign w:val="center"/>
          </w:tcPr>
          <w:p>
            <w:pPr>
              <w:pStyle w:val="TableContents"/>
              <w:bidi w:val="0"/>
              <w:spacing w:before="0" w:after="283"/>
              <w:jc w:val="right"/>
              <w:rPr/>
            </w:pPr>
            <w:r>
              <w:rPr/>
              <w:t>371,892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5,034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5,034</w:t>
            </w:r>
          </w:p>
        </w:tc>
        <w:tc>
          <w:tcPr>
            <w:tcW w:w="113" w:type="dxa"/>
            <w:tcBorders/>
            <w:shd w:fill="FFFFFF" w:val="clear"/>
            <w:vAlign w:val="center"/>
          </w:tcPr>
          <w:p>
            <w:pPr>
              <w:pStyle w:val="TableContents"/>
              <w:bidi w:val="0"/>
              <w:spacing w:before="0" w:after="283"/>
              <w:jc w:val="left"/>
              <w:rPr/>
            </w:pPr>
            <w:r>
              <w:rPr/>
              <w:t> </w:t>
            </w:r>
            <w:bookmarkStart w:id="161" w:name="xdx_40C_eus-gaap--NetIncomeLoss_zXppevDY"/>
            <w:bookmarkEnd w:id="161"/>
          </w:p>
        </w:tc>
      </w:tr>
      <w:tr>
        <w:trPr/>
        <w:tc>
          <w:tcPr>
            <w:tcW w:w="2057"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(20,057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(20,057</w:t>
            </w:r>
          </w:p>
        </w:tc>
        <w:tc>
          <w:tcPr>
            <w:tcW w:w="113" w:type="dxa"/>
            <w:tcBorders/>
            <w:shd w:fill="CCEEFF" w:val="clear"/>
            <w:vAlign w:val="center"/>
          </w:tcPr>
          <w:p>
            <w:pPr>
              <w:pStyle w:val="TableContents"/>
              <w:bidi w:val="0"/>
              <w:spacing w:before="0" w:after="283"/>
              <w:jc w:val="left"/>
              <w:rPr/>
            </w:pPr>
            <w:r>
              <w:rPr/>
              <w:t>)</w:t>
            </w:r>
            <w:bookmarkStart w:id="162" w:name="xdx_431_c20230101__20231231_eus-gaap--St"/>
            <w:bookmarkEnd w:id="162"/>
          </w:p>
        </w:tc>
      </w:tr>
      <w:tr>
        <w:trPr/>
        <w:tc>
          <w:tcPr>
            <w:tcW w:w="2057" w:type="dxa"/>
            <w:tcBorders/>
            <w:shd w:fill="FFFFFF" w:val="clear"/>
            <w:vAlign w:val="center"/>
          </w:tcPr>
          <w:p>
            <w:pPr>
              <w:pStyle w:val="TableContents"/>
              <w:bidi w:val="0"/>
              <w:spacing w:before="0" w:after="283"/>
              <w:jc w:val="left"/>
              <w:rPr>
                <w:b/>
              </w:rPr>
            </w:pPr>
            <w:r>
              <w:rPr>
                <w:b/>
              </w:rPr>
              <w:t>Balance, December 31,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3" w:name="xdx_98A_eus-gaap--SharesOutstanding_iS_p"/>
            <w:bookmarkEnd w:id="163"/>
          </w:p>
        </w:tc>
        <w:tc>
          <w:tcPr>
            <w:tcW w:w="980" w:type="dxa"/>
            <w:tcBorders/>
            <w:shd w:fill="FFFFFF" w:val="clear"/>
            <w:vAlign w:val="center"/>
          </w:tcPr>
          <w:p>
            <w:pPr>
              <w:pStyle w:val="TableContents"/>
              <w:bidi w:val="0"/>
              <w:spacing w:before="0" w:after="283"/>
              <w:jc w:val="right"/>
              <w:rPr/>
            </w:pPr>
            <w:r>
              <w:rPr/>
              <w:t>2,519,485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64" w:name="xdx_98E_eus-gaap--SharesOutstanding_iS_p"/>
            <w:bookmarkEnd w:id="164"/>
          </w:p>
        </w:tc>
        <w:tc>
          <w:tcPr>
            <w:tcW w:w="560" w:type="dxa"/>
            <w:tcBorders/>
            <w:shd w:fill="FFFFFF" w:val="clear"/>
            <w:vAlign w:val="center"/>
          </w:tcPr>
          <w:p>
            <w:pPr>
              <w:pStyle w:val="TableContents"/>
              <w:bidi w:val="0"/>
              <w:spacing w:before="0" w:after="283"/>
              <w:jc w:val="right"/>
              <w:rPr/>
            </w:pPr>
            <w:r>
              <w:rPr/>
              <w:t>9,411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114,635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(123,199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(8,470</w:t>
            </w:r>
          </w:p>
        </w:tc>
        <w:tc>
          <w:tcPr>
            <w:tcW w:w="113" w:type="dxa"/>
            <w:tcBorders/>
            <w:shd w:fill="FFFFFF" w:val="clear"/>
            <w:vAlign w:val="center"/>
          </w:tcPr>
          <w:p>
            <w:pPr>
              <w:pStyle w:val="TableContents"/>
              <w:bidi w:val="0"/>
              <w:spacing w:before="0" w:after="283"/>
              <w:jc w:val="left"/>
              <w:rPr/>
            </w:pPr>
            <w:r>
              <w:rPr/>
              <w:t>)</w:t>
            </w:r>
            <w:bookmarkStart w:id="165" w:name="xdx_43D_c20230101__20231231_eus-gaap--St"/>
            <w:bookmarkEnd w:id="165"/>
          </w:p>
        </w:tc>
      </w:tr>
      <w:tr>
        <w:trPr/>
        <w:tc>
          <w:tcPr>
            <w:tcW w:w="2057"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6" w:name="xdx_985_eus-gaap--SharesOutstanding_iS_p"/>
            <w:bookmarkEnd w:id="166"/>
          </w:p>
        </w:tc>
        <w:tc>
          <w:tcPr>
            <w:tcW w:w="980" w:type="dxa"/>
            <w:tcBorders/>
            <w:shd w:fill="FFFFFF" w:val="clear"/>
            <w:vAlign w:val="center"/>
          </w:tcPr>
          <w:p>
            <w:pPr>
              <w:pStyle w:val="TableContents"/>
              <w:bidi w:val="0"/>
              <w:spacing w:before="0" w:after="283"/>
              <w:jc w:val="right"/>
              <w:rPr/>
            </w:pPr>
            <w:r>
              <w:rPr/>
              <w:t>2,519,485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67" w:name="xdx_986_eus-gaap--SharesOutstanding_iS_p"/>
            <w:bookmarkEnd w:id="167"/>
          </w:p>
        </w:tc>
        <w:tc>
          <w:tcPr>
            <w:tcW w:w="560" w:type="dxa"/>
            <w:tcBorders/>
            <w:shd w:fill="FFFFFF" w:val="clear"/>
            <w:vAlign w:val="center"/>
          </w:tcPr>
          <w:p>
            <w:pPr>
              <w:pStyle w:val="TableContents"/>
              <w:bidi w:val="0"/>
              <w:spacing w:before="0" w:after="283"/>
              <w:jc w:val="right"/>
              <w:rPr/>
            </w:pPr>
            <w:r>
              <w:rPr/>
              <w:t>9,411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114,635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(123,199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(8,470</w:t>
            </w:r>
          </w:p>
        </w:tc>
        <w:tc>
          <w:tcPr>
            <w:tcW w:w="113" w:type="dxa"/>
            <w:tcBorders/>
            <w:shd w:fill="FFFFFF" w:val="clear"/>
            <w:vAlign w:val="center"/>
          </w:tcPr>
          <w:p>
            <w:pPr>
              <w:pStyle w:val="TableContents"/>
              <w:bidi w:val="0"/>
              <w:spacing w:before="0" w:after="283"/>
              <w:jc w:val="left"/>
              <w:rPr/>
            </w:pPr>
            <w:r>
              <w:rPr/>
              <w:t>)</w:t>
            </w:r>
          </w:p>
        </w:tc>
      </w:tr>
      <w:tr>
        <w:trPr/>
        <w:tc>
          <w:tcPr>
            <w:tcW w:w="20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68" w:name="xdx_40D_ecustom--AdjustmentsToAdditional"/>
            <w:bookmarkEnd w:id="168"/>
          </w:p>
        </w:tc>
      </w:tr>
      <w:tr>
        <w:trPr/>
        <w:tc>
          <w:tcPr>
            <w:tcW w:w="2057"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490</w:t>
            </w:r>
          </w:p>
        </w:tc>
        <w:tc>
          <w:tcPr>
            <w:tcW w:w="113" w:type="dxa"/>
            <w:tcBorders/>
            <w:shd w:fill="FFFFFF" w:val="clear"/>
            <w:vAlign w:val="center"/>
          </w:tcPr>
          <w:p>
            <w:pPr>
              <w:pStyle w:val="TableContents"/>
              <w:bidi w:val="0"/>
              <w:spacing w:before="0" w:after="283"/>
              <w:jc w:val="left"/>
              <w:rPr/>
            </w:pPr>
            <w:r>
              <w:rPr/>
              <w:t> </w:t>
            </w:r>
            <w:bookmarkStart w:id="169" w:name="xdx_405_eus-gaap--StockIssuedDuringPerio"/>
            <w:bookmarkEnd w:id="169"/>
          </w:p>
        </w:tc>
      </w:tr>
      <w:tr>
        <w:trPr/>
        <w:tc>
          <w:tcPr>
            <w:tcW w:w="2057" w:type="dxa"/>
            <w:tcBorders/>
            <w:shd w:fill="CCEEFF" w:val="clear"/>
            <w:vAlign w:val="center"/>
          </w:tcPr>
          <w:p>
            <w:pPr>
              <w:pStyle w:val="TableContents"/>
              <w:bidi w:val="0"/>
              <w:spacing w:before="0" w:after="283"/>
              <w:jc w:val="left"/>
              <w:rPr/>
            </w:pPr>
            <w:r>
              <w:rPr/>
              <w:t>Fair value of vested restricted shares granted to officers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 w:name="xdx_98D_eus-gaap--StockIssuedDuringPerio"/>
            <w:bookmarkEnd w:id="170"/>
          </w:p>
        </w:tc>
        <w:tc>
          <w:tcPr>
            <w:tcW w:w="980" w:type="dxa"/>
            <w:tcBorders/>
            <w:shd w:fill="CCEEFF" w:val="clear"/>
            <w:vAlign w:val="center"/>
          </w:tcPr>
          <w:p>
            <w:pPr>
              <w:pStyle w:val="TableContents"/>
              <w:bidi w:val="0"/>
              <w:spacing w:before="0" w:after="283"/>
              <w:jc w:val="right"/>
              <w:rPr/>
            </w:pPr>
            <w:r>
              <w:rPr/>
              <w:t>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3</w:t>
            </w:r>
          </w:p>
        </w:tc>
        <w:tc>
          <w:tcPr>
            <w:tcW w:w="113" w:type="dxa"/>
            <w:tcBorders/>
            <w:shd w:fill="CCEEFF" w:val="clear"/>
            <w:vAlign w:val="center"/>
          </w:tcPr>
          <w:p>
            <w:pPr>
              <w:pStyle w:val="TableContents"/>
              <w:bidi w:val="0"/>
              <w:spacing w:before="0" w:after="283"/>
              <w:jc w:val="left"/>
              <w:rPr/>
            </w:pPr>
            <w:r>
              <w:rPr/>
              <w:t> </w:t>
            </w:r>
            <w:bookmarkStart w:id="171" w:name="xdx_40A_eus-gaap--StockRepurchasedDuring"/>
            <w:bookmarkEnd w:id="171"/>
          </w:p>
        </w:tc>
      </w:tr>
      <w:tr>
        <w:trPr/>
        <w:tc>
          <w:tcPr>
            <w:tcW w:w="2057" w:type="dxa"/>
            <w:tcBorders/>
            <w:shd w:fill="FFFFFF" w:val="clear"/>
            <w:vAlign w:val="center"/>
          </w:tcPr>
          <w:p>
            <w:pPr>
              <w:pStyle w:val="TableContents"/>
              <w:bidi w:val="0"/>
              <w:spacing w:before="0" w:after="283"/>
              <w:jc w:val="left"/>
              <w:rPr/>
            </w:pPr>
            <w:r>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2" w:name="xdx_98E_eus-gaap--StockRepurchasedDuring"/>
            <w:bookmarkEnd w:id="172"/>
          </w:p>
        </w:tc>
        <w:tc>
          <w:tcPr>
            <w:tcW w:w="980" w:type="dxa"/>
            <w:tcBorders/>
            <w:shd w:fill="FFFFFF" w:val="clear"/>
            <w:vAlign w:val="center"/>
          </w:tcPr>
          <w:p>
            <w:pPr>
              <w:pStyle w:val="TableContents"/>
              <w:bidi w:val="0"/>
              <w:spacing w:before="0" w:after="283"/>
              <w:jc w:val="right"/>
              <w:rPr/>
            </w:pPr>
            <w:r>
              <w:rPr/>
              <w:t>(274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(1</w:t>
            </w:r>
          </w:p>
        </w:tc>
        <w:tc>
          <w:tcPr>
            <w:tcW w:w="113" w:type="dxa"/>
            <w:tcBorders/>
            <w:shd w:fill="FFFFFF" w:val="clear"/>
            <w:vAlign w:val="center"/>
          </w:tcPr>
          <w:p>
            <w:pPr>
              <w:pStyle w:val="TableContents"/>
              <w:bidi w:val="0"/>
              <w:spacing w:before="0" w:after="283"/>
              <w:jc w:val="left"/>
              <w:rPr/>
            </w:pPr>
            <w:r>
              <w:rPr/>
              <w:t>)</w:t>
            </w:r>
            <w:bookmarkStart w:id="173" w:name="xdx_407_eus-gaap--StockIssuedDuringPerio"/>
            <w:bookmarkEnd w:id="173"/>
          </w:p>
        </w:tc>
      </w:tr>
      <w:tr>
        <w:trPr/>
        <w:tc>
          <w:tcPr>
            <w:tcW w:w="2057" w:type="dxa"/>
            <w:tcBorders/>
            <w:shd w:fill="CCEEFF" w:val="clear"/>
            <w:vAlign w:val="center"/>
          </w:tcPr>
          <w:p>
            <w:pPr>
              <w:pStyle w:val="TableContents"/>
              <w:bidi w:val="0"/>
              <w:spacing w:before="0" w:after="283"/>
              <w:jc w:val="left"/>
              <w:rPr/>
            </w:pPr>
            <w:r>
              <w:rPr/>
              <w:t>Common shares issued for financing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4" w:name="xdx_984_eus-gaap--StockIssuedDuringPerio"/>
            <w:bookmarkEnd w:id="174"/>
          </w:p>
        </w:tc>
        <w:tc>
          <w:tcPr>
            <w:tcW w:w="980" w:type="dxa"/>
            <w:tcBorders/>
            <w:shd w:fill="CCEEFF" w:val="clear"/>
            <w:vAlign w:val="center"/>
          </w:tcPr>
          <w:p>
            <w:pPr>
              <w:pStyle w:val="TableContents"/>
              <w:bidi w:val="0"/>
              <w:spacing w:before="0" w:after="283"/>
              <w:jc w:val="right"/>
              <w:rPr/>
            </w:pPr>
            <w:r>
              <w:rPr/>
              <w:t>82,438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273</w:t>
            </w:r>
          </w:p>
        </w:tc>
        <w:tc>
          <w:tcPr>
            <w:tcW w:w="113" w:type="dxa"/>
            <w:tcBorders/>
            <w:shd w:fill="CCEEFF" w:val="clear"/>
            <w:vAlign w:val="center"/>
          </w:tcPr>
          <w:p>
            <w:pPr>
              <w:pStyle w:val="TableContents"/>
              <w:bidi w:val="0"/>
              <w:spacing w:before="0" w:after="283"/>
              <w:jc w:val="left"/>
              <w:rPr/>
            </w:pPr>
            <w:r>
              <w:rPr/>
              <w:t> </w:t>
            </w:r>
            <w:bookmarkStart w:id="175" w:name="xdx_403_eus-gaap--DividendsPreferredStoc"/>
            <w:bookmarkEnd w:id="175"/>
          </w:p>
        </w:tc>
      </w:tr>
      <w:tr>
        <w:trPr/>
        <w:tc>
          <w:tcPr>
            <w:tcW w:w="2057" w:type="dxa"/>
            <w:tcBorders/>
            <w:shd w:fill="FFFFFF" w:val="clear"/>
            <w:vAlign w:val="center"/>
          </w:tcPr>
          <w:p>
            <w:pPr>
              <w:pStyle w:val="TableContents"/>
              <w:bidi w:val="0"/>
              <w:spacing w:before="0" w:after="283"/>
              <w:jc w:val="left"/>
              <w:rPr/>
            </w:pPr>
            <w:r>
              <w:rPr/>
              <w:t>Issuance of shares for dividends on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(5</w:t>
            </w:r>
          </w:p>
        </w:tc>
        <w:tc>
          <w:tcPr>
            <w:tcW w:w="113" w:type="dxa"/>
            <w:tcBorders/>
            <w:shd w:fill="FFFFFF" w:val="clear"/>
            <w:vAlign w:val="center"/>
          </w:tcPr>
          <w:p>
            <w:pPr>
              <w:pStyle w:val="TableContents"/>
              <w:bidi w:val="0"/>
              <w:spacing w:before="0" w:after="283"/>
              <w:jc w:val="left"/>
              <w:rPr/>
            </w:pPr>
            <w:r>
              <w:rPr/>
              <w:t>)</w:t>
            </w:r>
            <w:bookmarkStart w:id="176" w:name="xdx_400_eus-gaap--StockIssuedDuringPerio"/>
            <w:bookmarkEnd w:id="176"/>
          </w:p>
        </w:tc>
      </w:tr>
      <w:tr>
        <w:trPr/>
        <w:tc>
          <w:tcPr>
            <w:tcW w:w="2057" w:type="dxa"/>
            <w:tcBorders/>
            <w:shd w:fill="CCEEFF" w:val="clear"/>
            <w:vAlign w:val="center"/>
          </w:tcPr>
          <w:p>
            <w:pPr>
              <w:pStyle w:val="TableContents"/>
              <w:bidi w:val="0"/>
              <w:spacing w:before="0" w:after="283"/>
              <w:jc w:val="left"/>
              <w:rPr/>
            </w:pPr>
            <w:r>
              <w:rPr/>
              <w:t>Common shares issued as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7" w:name="xdx_98F_eus-gaap--StockIssuedDuringPerio"/>
            <w:bookmarkEnd w:id="177"/>
          </w:p>
        </w:tc>
        <w:tc>
          <w:tcPr>
            <w:tcW w:w="980" w:type="dxa"/>
            <w:tcBorders/>
            <w:shd w:fill="CCEEFF" w:val="clear"/>
            <w:vAlign w:val="center"/>
          </w:tcPr>
          <w:p>
            <w:pPr>
              <w:pStyle w:val="TableContents"/>
              <w:bidi w:val="0"/>
              <w:spacing w:before="0" w:after="283"/>
              <w:jc w:val="right"/>
              <w:rPr/>
            </w:pPr>
            <w:r>
              <w:rPr/>
              <w:t>18,160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36</w:t>
            </w:r>
          </w:p>
        </w:tc>
        <w:tc>
          <w:tcPr>
            <w:tcW w:w="113" w:type="dxa"/>
            <w:tcBorders/>
            <w:shd w:fill="CCEEFF" w:val="clear"/>
            <w:vAlign w:val="center"/>
          </w:tcPr>
          <w:p>
            <w:pPr>
              <w:pStyle w:val="TableContents"/>
              <w:bidi w:val="0"/>
              <w:spacing w:before="0" w:after="283"/>
              <w:jc w:val="left"/>
              <w:rPr/>
            </w:pPr>
            <w:r>
              <w:rPr/>
              <w:t> </w:t>
            </w:r>
            <w:bookmarkStart w:id="178" w:name="xdx_405_eus-gaap--StockIssuedDuringPerio"/>
            <w:bookmarkEnd w:id="178"/>
          </w:p>
        </w:tc>
      </w:tr>
      <w:tr>
        <w:trPr/>
        <w:tc>
          <w:tcPr>
            <w:tcW w:w="2057" w:type="dxa"/>
            <w:tcBorders/>
            <w:shd w:fill="FFFFFF" w:val="clear"/>
            <w:vAlign w:val="center"/>
          </w:tcPr>
          <w:p>
            <w:pPr>
              <w:pStyle w:val="TableContents"/>
              <w:bidi w:val="0"/>
              <w:spacing w:before="0" w:after="283"/>
              <w:jc w:val="left"/>
              <w:rPr/>
            </w:pPr>
            <w:r>
              <w:rPr/>
              <w:t>Common shares issued for cash, net of offering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 w:name="xdx_985_eus-gaap--StockIssuedDuringPerio"/>
            <w:bookmarkEnd w:id="179"/>
          </w:p>
        </w:tc>
        <w:tc>
          <w:tcPr>
            <w:tcW w:w="980" w:type="dxa"/>
            <w:tcBorders/>
            <w:shd w:fill="FFFFFF" w:val="clear"/>
            <w:vAlign w:val="center"/>
          </w:tcPr>
          <w:p>
            <w:pPr>
              <w:pStyle w:val="TableContents"/>
              <w:bidi w:val="0"/>
              <w:spacing w:before="0" w:after="283"/>
              <w:jc w:val="right"/>
              <w:rPr/>
            </w:pPr>
            <w:r>
              <w:rPr/>
              <w:t>1,566,732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4,016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4,016</w:t>
            </w:r>
          </w:p>
        </w:tc>
        <w:tc>
          <w:tcPr>
            <w:tcW w:w="113" w:type="dxa"/>
            <w:tcBorders/>
            <w:shd w:fill="FFFFFF" w:val="clear"/>
            <w:vAlign w:val="center"/>
          </w:tcPr>
          <w:p>
            <w:pPr>
              <w:pStyle w:val="TableContents"/>
              <w:bidi w:val="0"/>
              <w:spacing w:before="0" w:after="283"/>
              <w:jc w:val="left"/>
              <w:rPr/>
            </w:pPr>
            <w:r>
              <w:rPr/>
              <w:t> </w:t>
            </w:r>
            <w:bookmarkStart w:id="180" w:name="xdx_40C_eus-gaap--NetIncomeLoss_zhPOjKLv"/>
            <w:bookmarkEnd w:id="180"/>
          </w:p>
        </w:tc>
      </w:tr>
      <w:tr>
        <w:trPr/>
        <w:tc>
          <w:tcPr>
            <w:tcW w:w="2057"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(15,523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(15,523</w:t>
            </w:r>
          </w:p>
        </w:tc>
        <w:tc>
          <w:tcPr>
            <w:tcW w:w="113" w:type="dxa"/>
            <w:tcBorders/>
            <w:shd w:fill="CCEEFF" w:val="clear"/>
            <w:vAlign w:val="center"/>
          </w:tcPr>
          <w:p>
            <w:pPr>
              <w:pStyle w:val="TableContents"/>
              <w:bidi w:val="0"/>
              <w:spacing w:before="0" w:after="283"/>
              <w:jc w:val="left"/>
              <w:rPr/>
            </w:pPr>
            <w:r>
              <w:rPr/>
              <w:t>)</w:t>
            </w:r>
            <w:bookmarkStart w:id="181" w:name="xdx_43E_c20230101__20231231_eus-gaap--St"/>
            <w:bookmarkEnd w:id="181"/>
          </w:p>
        </w:tc>
      </w:tr>
      <w:tr>
        <w:trPr/>
        <w:tc>
          <w:tcPr>
            <w:tcW w:w="2057" w:type="dxa"/>
            <w:tcBorders/>
            <w:shd w:fill="FFFFFF" w:val="clear"/>
            <w:vAlign w:val="center"/>
          </w:tcPr>
          <w:p>
            <w:pPr>
              <w:pStyle w:val="TableContents"/>
              <w:bidi w:val="0"/>
              <w:spacing w:before="0" w:after="283"/>
              <w:jc w:val="left"/>
              <w:rPr>
                <w:b/>
              </w:rPr>
            </w:pPr>
            <w:r>
              <w:rPr>
                <w:b/>
              </w:rPr>
              <w:t>Balance,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2" w:name="xdx_988_eus-gaap--SharesOutstanding_iE_p"/>
            <w:bookmarkEnd w:id="18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4,187,291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83" w:name="xdx_98F_eus-gaap--SharesOutstanding_iE_p"/>
            <w:bookmarkEnd w:id="183"/>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9,411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20" w:type="dxa"/>
            <w:tcBorders>
              <w:bottom w:val="double" w:sz="6" w:space="0" w:color="000000"/>
            </w:tcBorders>
            <w:shd w:fill="FFFFFF" w:val="clear"/>
            <w:tcMar>
              <w:bottom w:w="28" w:type="dxa"/>
            </w:tcM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53" w:type="dxa"/>
            <w:tcBorders>
              <w:bottom w:val="double" w:sz="6" w:space="0" w:color="000000"/>
            </w:tcBorders>
            <w:shd w:fill="FFFFFF" w:val="clear"/>
            <w:tcMar>
              <w:bottom w:w="28" w:type="dxa"/>
            </w:tcMar>
            <w:vAlign w:val="center"/>
          </w:tcPr>
          <w:p>
            <w:pPr>
              <w:pStyle w:val="TableContents"/>
              <w:bidi w:val="0"/>
              <w:spacing w:before="0" w:after="283"/>
              <w:jc w:val="right"/>
              <w:rPr/>
            </w:pPr>
            <w:r>
              <w:rPr/>
              <w:t>119,452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4" w:type="dxa"/>
            <w:tcBorders>
              <w:bottom w:val="double" w:sz="6" w:space="0" w:color="000000"/>
            </w:tcBorders>
            <w:shd w:fill="FFFFFF" w:val="clear"/>
            <w:tcMar>
              <w:bottom w:w="28" w:type="dxa"/>
            </w:tcMar>
            <w:vAlign w:val="center"/>
          </w:tcPr>
          <w:p>
            <w:pPr>
              <w:pStyle w:val="TableContents"/>
              <w:bidi w:val="0"/>
              <w:spacing w:before="0" w:after="283"/>
              <w:jc w:val="right"/>
              <w:rPr/>
            </w:pPr>
            <w:r>
              <w:rPr/>
              <w:t>(138,727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2" w:type="dxa"/>
            <w:tcBorders>
              <w:bottom w:val="double" w:sz="6" w:space="0" w:color="000000"/>
            </w:tcBorders>
            <w:shd w:fill="FFFFFF" w:val="clear"/>
            <w:tcMar>
              <w:bottom w:w="28" w:type="dxa"/>
            </w:tcMar>
            <w:vAlign w:val="center"/>
          </w:tcPr>
          <w:p>
            <w:pPr>
              <w:pStyle w:val="TableContents"/>
              <w:bidi w:val="0"/>
              <w:spacing w:before="0" w:after="283"/>
              <w:jc w:val="right"/>
              <w:rPr/>
            </w:pPr>
            <w:r>
              <w:rPr/>
              <w:t>(19,181</w:t>
            </w:r>
          </w:p>
        </w:tc>
        <w:tc>
          <w:tcPr>
            <w:tcW w:w="113" w:type="dxa"/>
            <w:tcBorders/>
            <w:shd w:fill="FFFFFF" w:val="clear"/>
            <w:vAlign w:val="center"/>
          </w:tcPr>
          <w:p>
            <w:pPr>
              <w:pStyle w:val="TableContents"/>
              <w:bidi w:val="0"/>
              <w:spacing w:before="0" w:after="283"/>
              <w:jc w:val="left"/>
              <w:rPr/>
            </w:pPr>
            <w:r>
              <w:rPr/>
              <w:t>)</w:t>
            </w:r>
            <w:bookmarkStart w:id="184" w:name="xdx_43E_c20230101__20231231_eus-gaap--St"/>
            <w:bookmarkEnd w:id="184"/>
          </w:p>
        </w:tc>
      </w:tr>
      <w:tr>
        <w:trPr/>
        <w:tc>
          <w:tcPr>
            <w:tcW w:w="2057"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5" w:name="xdx_982_eus-gaap--SharesOutstanding_iE_p"/>
            <w:bookmarkEnd w:id="185"/>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4,187,291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86" w:name="xdx_983_eus-gaap--SharesOutstanding_iE_p"/>
            <w:bookmarkEnd w:id="186"/>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9,411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20" w:type="dxa"/>
            <w:tcBorders>
              <w:bottom w:val="double" w:sz="6" w:space="0" w:color="000000"/>
            </w:tcBorders>
            <w:shd w:fill="FFFFFF" w:val="clear"/>
            <w:tcMar>
              <w:bottom w:w="28" w:type="dxa"/>
            </w:tcM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53" w:type="dxa"/>
            <w:tcBorders>
              <w:bottom w:val="double" w:sz="6" w:space="0" w:color="000000"/>
            </w:tcBorders>
            <w:shd w:fill="FFFFFF" w:val="clear"/>
            <w:tcMar>
              <w:bottom w:w="28" w:type="dxa"/>
            </w:tcMar>
            <w:vAlign w:val="center"/>
          </w:tcPr>
          <w:p>
            <w:pPr>
              <w:pStyle w:val="TableContents"/>
              <w:bidi w:val="0"/>
              <w:spacing w:before="0" w:after="283"/>
              <w:jc w:val="right"/>
              <w:rPr/>
            </w:pPr>
            <w:r>
              <w:rPr/>
              <w:t>119,452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4" w:type="dxa"/>
            <w:tcBorders>
              <w:bottom w:val="double" w:sz="6" w:space="0" w:color="000000"/>
            </w:tcBorders>
            <w:shd w:fill="FFFFFF" w:val="clear"/>
            <w:tcMar>
              <w:bottom w:w="28" w:type="dxa"/>
            </w:tcMar>
            <w:vAlign w:val="center"/>
          </w:tcPr>
          <w:p>
            <w:pPr>
              <w:pStyle w:val="TableContents"/>
              <w:bidi w:val="0"/>
              <w:spacing w:before="0" w:after="283"/>
              <w:jc w:val="right"/>
              <w:rPr/>
            </w:pPr>
            <w:r>
              <w:rPr/>
              <w:t>(138,727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2" w:type="dxa"/>
            <w:tcBorders>
              <w:bottom w:val="double" w:sz="6" w:space="0" w:color="000000"/>
            </w:tcBorders>
            <w:shd w:fill="FFFFFF" w:val="clear"/>
            <w:tcMar>
              <w:bottom w:w="28" w:type="dxa"/>
            </w:tcMar>
            <w:vAlign w:val="center"/>
          </w:tcPr>
          <w:p>
            <w:pPr>
              <w:pStyle w:val="TableContents"/>
              <w:bidi w:val="0"/>
              <w:spacing w:before="0" w:after="283"/>
              <w:jc w:val="right"/>
              <w:rPr/>
            </w:pPr>
            <w:r>
              <w:rPr/>
              <w:t>(19,181</w:t>
            </w:r>
          </w:p>
        </w:tc>
        <w:tc>
          <w:tcPr>
            <w:tcW w:w="11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7" w:name="F_005"/>
      <w:bookmarkEnd w:id="187"/>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and 2022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88" w:name="xdx_309_112_pn3n3_zYdBTbzywthc"/>
      <w:bookmarkStart w:id="189" w:name="xdx_309_112_pn3n3_zYdBTbzywthc"/>
      <w:bookmarkEnd w:id="189"/>
    </w:p>
    <w:tbl>
      <w:tblPr>
        <w:tblW w:w="10205" w:type="dxa"/>
        <w:jc w:val="left"/>
        <w:tblInd w:w="0" w:type="dxa"/>
        <w:tblLayout w:type="fixed"/>
        <w:tblCellMar>
          <w:top w:w="0" w:type="dxa"/>
          <w:left w:w="0" w:type="dxa"/>
          <w:bottom w:w="0" w:type="dxa"/>
          <w:right w:w="0" w:type="dxa"/>
        </w:tblCellMar>
      </w:tblPr>
      <w:tblGrid>
        <w:gridCol w:w="6346"/>
        <w:gridCol w:w="60"/>
        <w:gridCol w:w="275"/>
        <w:gridCol w:w="1490"/>
        <w:gridCol w:w="95"/>
        <w:gridCol w:w="60"/>
        <w:gridCol w:w="275"/>
        <w:gridCol w:w="1490"/>
        <w:gridCol w:w="114"/>
      </w:tblGrid>
      <w:tr>
        <w:trPr/>
        <w:tc>
          <w:tcPr>
            <w:tcW w:w="6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0" w:name="xdx_49C_20230101__20231231_zGTueKI52jh8"/>
            <w:bookmarkEnd w:id="190"/>
          </w:p>
        </w:tc>
        <w:tc>
          <w:tcPr>
            <w:tcW w:w="17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1" w:name="xdx_490_20220101__20221231_zqSmdFrckMUa"/>
            <w:bookmarkEnd w:id="191"/>
          </w:p>
        </w:tc>
        <w:tc>
          <w:tcPr>
            <w:tcW w:w="17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114" w:type="dxa"/>
            <w:tcBorders/>
            <w:vAlign w:val="center"/>
          </w:tcPr>
          <w:p>
            <w:pPr>
              <w:pStyle w:val="TableContents"/>
              <w:bidi w:val="0"/>
              <w:spacing w:before="0" w:after="283"/>
              <w:jc w:val="left"/>
              <w:rPr/>
            </w:pPr>
            <w:r>
              <w:rPr/>
              <w:t> </w:t>
            </w:r>
            <w:bookmarkStart w:id="192" w:name="xdx_40C_eus-gaap--NetCashProvidedByUsedI"/>
            <w:bookmarkEnd w:id="192"/>
          </w:p>
        </w:tc>
      </w:tr>
      <w:tr>
        <w:trPr/>
        <w:tc>
          <w:tcPr>
            <w:tcW w:w="6346" w:type="dxa"/>
            <w:tcBorders/>
            <w:shd w:fill="CCEEFF" w:val="clear"/>
            <w:vAlign w:val="center"/>
          </w:tcPr>
          <w:p>
            <w:pPr>
              <w:pStyle w:val="TableContents"/>
              <w:bidi w:val="0"/>
              <w:spacing w:before="0" w:after="283"/>
              <w:jc w:val="left"/>
              <w:rPr>
                <w:i/>
              </w:rPr>
            </w:pPr>
            <w:r>
              <w:rPr>
                <w:i/>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3" w:name="xdx_407_eus-gaap--NetIncomeLoss_i01_maNC"/>
            <w:bookmarkEnd w:id="193"/>
          </w:p>
        </w:tc>
      </w:tr>
      <w:tr>
        <w:trPr/>
        <w:tc>
          <w:tcPr>
            <w:tcW w:w="6346"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w:t>
            </w:r>
          </w:p>
        </w:tc>
        <w:tc>
          <w:tcPr>
            <w:tcW w:w="1490" w:type="dxa"/>
            <w:tcBorders/>
            <w:shd w:fill="FFFFFF" w:val="clear"/>
            <w:vAlign w:val="center"/>
          </w:tcPr>
          <w:p>
            <w:pPr>
              <w:pStyle w:val="TableContents"/>
              <w:bidi w:val="0"/>
              <w:spacing w:before="0" w:after="283"/>
              <w:jc w:val="right"/>
              <w:rPr/>
            </w:pPr>
            <w:r>
              <w:rPr/>
              <w:t>(15,523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w:t>
            </w:r>
          </w:p>
        </w:tc>
        <w:tc>
          <w:tcPr>
            <w:tcW w:w="1490" w:type="dxa"/>
            <w:tcBorders/>
            <w:shd w:fill="FFFFFF" w:val="clear"/>
            <w:vAlign w:val="center"/>
          </w:tcPr>
          <w:p>
            <w:pPr>
              <w:pStyle w:val="TableContents"/>
              <w:bidi w:val="0"/>
              <w:spacing w:before="0" w:after="283"/>
              <w:jc w:val="right"/>
              <w:rPr/>
            </w:pPr>
            <w:r>
              <w:rPr/>
              <w:t>(20,057</w:t>
            </w:r>
          </w:p>
        </w:tc>
        <w:tc>
          <w:tcPr>
            <w:tcW w:w="114" w:type="dxa"/>
            <w:tcBorders/>
            <w:shd w:fill="FFFFFF" w:val="clear"/>
            <w:vAlign w:val="center"/>
          </w:tcPr>
          <w:p>
            <w:pPr>
              <w:pStyle w:val="TableContents"/>
              <w:bidi w:val="0"/>
              <w:spacing w:before="0" w:after="283"/>
              <w:jc w:val="left"/>
              <w:rPr/>
            </w:pPr>
            <w:r>
              <w:rPr/>
              <w:t>)</w:t>
            </w:r>
            <w:bookmarkStart w:id="194" w:name="xdx_40C_eus-gaap--AdjustmentsToReconcile"/>
            <w:bookmarkEnd w:id="194"/>
          </w:p>
        </w:tc>
      </w:tr>
      <w:tr>
        <w:trPr/>
        <w:tc>
          <w:tcPr>
            <w:tcW w:w="6346" w:type="dxa"/>
            <w:tcBorders/>
            <w:shd w:fill="CCEEFF" w:val="clear"/>
            <w:vAlign w:val="center"/>
          </w:tcPr>
          <w:p>
            <w:pPr>
              <w:pStyle w:val="TableContents"/>
              <w:bidi w:val="0"/>
              <w:spacing w:before="0" w:after="283"/>
              <w:jc w:val="left"/>
              <w:rPr>
                <w:i/>
              </w:rPr>
            </w:pPr>
            <w:r>
              <w:rPr>
                <w:i/>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5" w:name="xdx_408_eus-gaap--Depreciation_i02_maNCP"/>
            <w:bookmarkEnd w:id="195"/>
          </w:p>
        </w:tc>
      </w:tr>
      <w:tr>
        <w:trPr/>
        <w:tc>
          <w:tcPr>
            <w:tcW w:w="6346"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142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108</w:t>
            </w:r>
          </w:p>
        </w:tc>
        <w:tc>
          <w:tcPr>
            <w:tcW w:w="114" w:type="dxa"/>
            <w:tcBorders/>
            <w:shd w:fill="FFFFFF" w:val="clear"/>
            <w:vAlign w:val="center"/>
          </w:tcPr>
          <w:p>
            <w:pPr>
              <w:pStyle w:val="TableContents"/>
              <w:bidi w:val="0"/>
              <w:spacing w:before="0" w:after="283"/>
              <w:jc w:val="left"/>
              <w:rPr/>
            </w:pPr>
            <w:r>
              <w:rPr/>
              <w:t> </w:t>
            </w:r>
            <w:bookmarkStart w:id="196" w:name="xdx_402_eus-gaap--GainLossOnSaleOfProper"/>
            <w:bookmarkEnd w:id="196"/>
          </w:p>
        </w:tc>
      </w:tr>
      <w:tr>
        <w:trPr/>
        <w:tc>
          <w:tcPr>
            <w:tcW w:w="6346" w:type="dxa"/>
            <w:tcBorders/>
            <w:shd w:fill="CCEEFF" w:val="clear"/>
            <w:vAlign w:val="center"/>
          </w:tcPr>
          <w:p>
            <w:pPr>
              <w:pStyle w:val="TableContents"/>
              <w:bidi w:val="0"/>
              <w:spacing w:before="0" w:after="283"/>
              <w:jc w:val="left"/>
              <w:rPr/>
            </w:pPr>
            <w:r>
              <w:rPr/>
              <w:t>Loss on disposal of property &amp; equipment</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97" w:name="xdx_401_eus-gaap--AmortizationOfDebtDisc"/>
            <w:bookmarkEnd w:id="197"/>
          </w:p>
        </w:tc>
      </w:tr>
      <w:tr>
        <w:trPr/>
        <w:tc>
          <w:tcPr>
            <w:tcW w:w="6346"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1,137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530</w:t>
            </w:r>
          </w:p>
        </w:tc>
        <w:tc>
          <w:tcPr>
            <w:tcW w:w="114" w:type="dxa"/>
            <w:tcBorders/>
            <w:shd w:fill="FFFFFF" w:val="clear"/>
            <w:vAlign w:val="center"/>
          </w:tcPr>
          <w:p>
            <w:pPr>
              <w:pStyle w:val="TableContents"/>
              <w:bidi w:val="0"/>
              <w:spacing w:before="0" w:after="283"/>
              <w:jc w:val="left"/>
              <w:rPr/>
            </w:pPr>
            <w:r>
              <w:rPr/>
              <w:t> </w:t>
            </w:r>
            <w:bookmarkStart w:id="198" w:name="xdx_400_eus-gaap--AmortizationOfFinancin"/>
            <w:bookmarkEnd w:id="198"/>
          </w:p>
        </w:tc>
      </w:tr>
      <w:tr>
        <w:trPr/>
        <w:tc>
          <w:tcPr>
            <w:tcW w:w="6346" w:type="dxa"/>
            <w:tcBorders/>
            <w:shd w:fill="CCEEFF" w:val="clear"/>
            <w:vAlign w:val="center"/>
          </w:tcPr>
          <w:p>
            <w:pPr>
              <w:pStyle w:val="TableContents"/>
              <w:bidi w:val="0"/>
              <w:spacing w:before="0" w:after="283"/>
              <w:jc w:val="left"/>
              <w:rPr/>
            </w:pPr>
            <w:r>
              <w:rPr/>
              <w:t>Amortization of prepaid financing costs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431</w:t>
            </w:r>
          </w:p>
        </w:tc>
        <w:tc>
          <w:tcPr>
            <w:tcW w:w="114" w:type="dxa"/>
            <w:tcBorders/>
            <w:shd w:fill="CCEEFF" w:val="clear"/>
            <w:vAlign w:val="center"/>
          </w:tcPr>
          <w:p>
            <w:pPr>
              <w:pStyle w:val="TableContents"/>
              <w:bidi w:val="0"/>
              <w:spacing w:before="0" w:after="283"/>
              <w:jc w:val="left"/>
              <w:rPr/>
            </w:pPr>
            <w:r>
              <w:rPr/>
              <w:t> </w:t>
            </w:r>
            <w:bookmarkStart w:id="199" w:name="xdx_40C_ecustom--FairValueOfVestedOption"/>
            <w:bookmarkEnd w:id="199"/>
          </w:p>
        </w:tc>
      </w:tr>
      <w:tr>
        <w:trPr/>
        <w:tc>
          <w:tcPr>
            <w:tcW w:w="6346"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701</w:t>
            </w:r>
          </w:p>
        </w:tc>
        <w:tc>
          <w:tcPr>
            <w:tcW w:w="114" w:type="dxa"/>
            <w:tcBorders/>
            <w:shd w:fill="FFFFFF" w:val="clear"/>
            <w:vAlign w:val="center"/>
          </w:tcPr>
          <w:p>
            <w:pPr>
              <w:pStyle w:val="TableContents"/>
              <w:bidi w:val="0"/>
              <w:spacing w:before="0" w:after="283"/>
              <w:jc w:val="left"/>
              <w:rPr/>
            </w:pPr>
            <w:r>
              <w:rPr/>
              <w:t> </w:t>
            </w:r>
            <w:bookmarkStart w:id="200" w:name="xdx_40B_ecustom--FairValueOfVestedRestri"/>
            <w:bookmarkEnd w:id="200"/>
          </w:p>
        </w:tc>
      </w:tr>
      <w:tr>
        <w:trPr/>
        <w:tc>
          <w:tcPr>
            <w:tcW w:w="6346" w:type="dxa"/>
            <w:tcBorders/>
            <w:shd w:fill="CCEEFF" w:val="clear"/>
            <w:vAlign w:val="center"/>
          </w:tcPr>
          <w:p>
            <w:pPr>
              <w:pStyle w:val="TableContents"/>
              <w:bidi w:val="0"/>
              <w:spacing w:before="0" w:after="283"/>
              <w:jc w:val="left"/>
              <w:rPr/>
            </w:pPr>
            <w:r>
              <w:rPr/>
              <w:t>Fair value of vested restricted shares granted to directors and officers for services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158</w:t>
            </w:r>
          </w:p>
        </w:tc>
        <w:tc>
          <w:tcPr>
            <w:tcW w:w="114" w:type="dxa"/>
            <w:tcBorders/>
            <w:shd w:fill="CCEEFF" w:val="clear"/>
            <w:vAlign w:val="center"/>
          </w:tcPr>
          <w:p>
            <w:pPr>
              <w:pStyle w:val="TableContents"/>
              <w:bidi w:val="0"/>
              <w:spacing w:before="0" w:after="283"/>
              <w:jc w:val="left"/>
              <w:rPr/>
            </w:pPr>
            <w:r>
              <w:rPr/>
              <w:t> </w:t>
            </w:r>
            <w:bookmarkStart w:id="201" w:name="xdx_40E_ecustom--CommonSharesIssuedAsFin"/>
            <w:bookmarkEnd w:id="201"/>
          </w:p>
        </w:tc>
      </w:tr>
      <w:tr>
        <w:trPr/>
        <w:tc>
          <w:tcPr>
            <w:tcW w:w="6346" w:type="dxa"/>
            <w:tcBorders/>
            <w:shd w:fill="FFFFFF" w:val="clear"/>
            <w:vAlign w:val="center"/>
          </w:tcPr>
          <w:p>
            <w:pPr>
              <w:pStyle w:val="TableContents"/>
              <w:bidi w:val="0"/>
              <w:spacing w:before="0" w:after="283"/>
              <w:jc w:val="left"/>
              <w:rPr/>
            </w:pPr>
            <w:r>
              <w:rPr/>
              <w:t>Common shares issued as financing costs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37</w:t>
            </w:r>
          </w:p>
        </w:tc>
        <w:tc>
          <w:tcPr>
            <w:tcW w:w="114" w:type="dxa"/>
            <w:tcBorders/>
            <w:shd w:fill="FFFFFF" w:val="clear"/>
            <w:vAlign w:val="center"/>
          </w:tcPr>
          <w:p>
            <w:pPr>
              <w:pStyle w:val="TableContents"/>
              <w:bidi w:val="0"/>
              <w:spacing w:before="0" w:after="283"/>
              <w:jc w:val="left"/>
              <w:rPr/>
            </w:pPr>
            <w:r>
              <w:rPr/>
              <w:t> </w:t>
            </w:r>
            <w:bookmarkStart w:id="202" w:name="xdx_40B_ecustom--CommonSharesIssuedForCo"/>
            <w:bookmarkEnd w:id="202"/>
          </w:p>
        </w:tc>
      </w:tr>
      <w:tr>
        <w:trPr/>
        <w:tc>
          <w:tcPr>
            <w:tcW w:w="6346" w:type="dxa"/>
            <w:tcBorders/>
            <w:shd w:fill="CCEEFF" w:val="clear"/>
            <w:vAlign w:val="center"/>
          </w:tcPr>
          <w:p>
            <w:pPr>
              <w:pStyle w:val="TableContents"/>
              <w:bidi w:val="0"/>
              <w:spacing w:before="0" w:after="283"/>
              <w:jc w:val="left"/>
              <w:rPr/>
            </w:pPr>
            <w:r>
              <w:rPr/>
              <w:t>Common shares issued for compensation</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03" w:name="xdx_400_ecustom--ProvisionForProductReca"/>
            <w:bookmarkEnd w:id="203"/>
          </w:p>
        </w:tc>
      </w:tr>
      <w:tr>
        <w:trPr/>
        <w:tc>
          <w:tcPr>
            <w:tcW w:w="6346" w:type="dxa"/>
            <w:tcBorders/>
            <w:shd w:fill="FFFFFF" w:val="clear"/>
            <w:vAlign w:val="center"/>
          </w:tcPr>
          <w:p>
            <w:pPr>
              <w:pStyle w:val="TableContents"/>
              <w:bidi w:val="0"/>
              <w:spacing w:before="0" w:after="283"/>
              <w:jc w:val="left"/>
              <w:rPr/>
            </w:pPr>
            <w:r>
              <w:rPr/>
              <w:t>Product quality hold write-down</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1,267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04" w:name="xdx_408_eus-gaap--ProvisionForDoubtfulAc"/>
            <w:bookmarkEnd w:id="204"/>
          </w:p>
        </w:tc>
      </w:tr>
      <w:tr>
        <w:trPr/>
        <w:tc>
          <w:tcPr>
            <w:tcW w:w="6346" w:type="dxa"/>
            <w:tcBorders/>
            <w:shd w:fill="CCEEFF" w:val="clear"/>
            <w:vAlign w:val="center"/>
          </w:tcPr>
          <w:p>
            <w:pPr>
              <w:pStyle w:val="TableContents"/>
              <w:bidi w:val="0"/>
              <w:spacing w:before="0" w:after="283"/>
              <w:jc w:val="left"/>
              <w:rPr/>
            </w:pPr>
            <w:r>
              <w:rPr/>
              <w:t>Allowance for estimated credit losses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37</w:t>
            </w:r>
          </w:p>
        </w:tc>
        <w:tc>
          <w:tcPr>
            <w:tcW w:w="114" w:type="dxa"/>
            <w:tcBorders/>
            <w:shd w:fill="CCEEFF" w:val="clear"/>
            <w:vAlign w:val="center"/>
          </w:tcPr>
          <w:p>
            <w:pPr>
              <w:pStyle w:val="TableContents"/>
              <w:bidi w:val="0"/>
              <w:spacing w:before="0" w:after="283"/>
              <w:jc w:val="left"/>
              <w:rPr/>
            </w:pPr>
            <w:r>
              <w:rPr/>
              <w:t> </w:t>
            </w:r>
            <w:bookmarkStart w:id="205" w:name="xdx_40E_ecustom--ProvisionForReceivableW"/>
            <w:bookmarkEnd w:id="205"/>
          </w:p>
        </w:tc>
      </w:tr>
      <w:tr>
        <w:trPr/>
        <w:tc>
          <w:tcPr>
            <w:tcW w:w="6346" w:type="dxa"/>
            <w:tcBorders/>
            <w:shd w:fill="FFFFFF" w:val="clear"/>
            <w:vAlign w:val="center"/>
          </w:tcPr>
          <w:p>
            <w:pPr>
              <w:pStyle w:val="TableContents"/>
              <w:bidi w:val="0"/>
              <w:spacing w:before="0" w:after="283"/>
              <w:jc w:val="left"/>
              <w:rPr/>
            </w:pPr>
            <w:r>
              <w:rPr/>
              <w:t>Provision for receivable with former related party</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538</w:t>
            </w:r>
          </w:p>
        </w:tc>
        <w:tc>
          <w:tcPr>
            <w:tcW w:w="114" w:type="dxa"/>
            <w:tcBorders/>
            <w:shd w:fill="FFFFFF" w:val="clear"/>
            <w:vAlign w:val="center"/>
          </w:tcPr>
          <w:p>
            <w:pPr>
              <w:pStyle w:val="TableContents"/>
              <w:bidi w:val="0"/>
              <w:spacing w:before="0" w:after="283"/>
              <w:jc w:val="left"/>
              <w:rPr/>
            </w:pPr>
            <w:r>
              <w:rPr/>
              <w:t> </w:t>
            </w:r>
            <w:bookmarkStart w:id="206" w:name="xdx_40D_ecustom--IncreaseDecreaseInInven"/>
            <w:bookmarkEnd w:id="206"/>
          </w:p>
        </w:tc>
      </w:tr>
      <w:tr>
        <w:trPr/>
        <w:tc>
          <w:tcPr>
            <w:tcW w:w="6346" w:type="dxa"/>
            <w:tcBorders/>
            <w:shd w:fill="CCEEFF" w:val="clear"/>
            <w:vAlign w:val="center"/>
          </w:tcPr>
          <w:p>
            <w:pPr>
              <w:pStyle w:val="TableContents"/>
              <w:bidi w:val="0"/>
              <w:spacing w:before="0" w:after="283"/>
              <w:jc w:val="left"/>
              <w:rPr/>
            </w:pPr>
            <w:r>
              <w:rPr/>
              <w:t>Inventory write down</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344</w:t>
            </w:r>
          </w:p>
        </w:tc>
        <w:tc>
          <w:tcPr>
            <w:tcW w:w="114" w:type="dxa"/>
            <w:tcBorders/>
            <w:shd w:fill="CCEEFF" w:val="clear"/>
            <w:vAlign w:val="center"/>
          </w:tcPr>
          <w:p>
            <w:pPr>
              <w:pStyle w:val="TableContents"/>
              <w:bidi w:val="0"/>
              <w:spacing w:before="0" w:after="283"/>
              <w:jc w:val="left"/>
              <w:rPr/>
            </w:pPr>
            <w:r>
              <w:rPr/>
              <w:t> </w:t>
            </w:r>
            <w:bookmarkStart w:id="207" w:name="xdx_40B_ecustom--AccrualOfInterestOnConv"/>
            <w:bookmarkEnd w:id="207"/>
          </w:p>
        </w:tc>
      </w:tr>
      <w:tr>
        <w:trPr/>
        <w:tc>
          <w:tcPr>
            <w:tcW w:w="6346" w:type="dxa"/>
            <w:tcBorders/>
            <w:shd w:fill="FFFFFF" w:val="clear"/>
            <w:vAlign w:val="center"/>
          </w:tcPr>
          <w:p>
            <w:pPr>
              <w:pStyle w:val="TableContents"/>
              <w:bidi w:val="0"/>
              <w:spacing w:before="0" w:after="283"/>
              <w:jc w:val="left"/>
              <w:rPr/>
            </w:pPr>
            <w:r>
              <w:rPr/>
              <w:t>Accrued interest on convertible note</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2,831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2,313</w:t>
            </w:r>
          </w:p>
        </w:tc>
        <w:tc>
          <w:tcPr>
            <w:tcW w:w="114" w:type="dxa"/>
            <w:tcBorders/>
            <w:shd w:fill="FFFFFF" w:val="clear"/>
            <w:vAlign w:val="center"/>
          </w:tcPr>
          <w:p>
            <w:pPr>
              <w:pStyle w:val="TableContents"/>
              <w:bidi w:val="0"/>
              <w:spacing w:before="0" w:after="283"/>
              <w:jc w:val="left"/>
              <w:rPr/>
            </w:pPr>
            <w:r>
              <w:rPr/>
              <w:t> </w:t>
            </w:r>
            <w:bookmarkStart w:id="208" w:name="xdx_407_eus-gaap--OperatingLeasePayments"/>
            <w:bookmarkEnd w:id="208"/>
          </w:p>
        </w:tc>
      </w:tr>
      <w:tr>
        <w:trPr/>
        <w:tc>
          <w:tcPr>
            <w:tcW w:w="6346"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(187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(161</w:t>
            </w:r>
          </w:p>
        </w:tc>
        <w:tc>
          <w:tcPr>
            <w:tcW w:w="114" w:type="dxa"/>
            <w:tcBorders/>
            <w:shd w:fill="CCEEFF" w:val="clear"/>
            <w:vAlign w:val="center"/>
          </w:tcPr>
          <w:p>
            <w:pPr>
              <w:pStyle w:val="TableContents"/>
              <w:bidi w:val="0"/>
              <w:spacing w:before="0" w:after="283"/>
              <w:jc w:val="left"/>
              <w:rPr/>
            </w:pPr>
            <w:r>
              <w:rPr/>
              <w:t>)</w:t>
            </w:r>
            <w:bookmarkStart w:id="209" w:name="xdx_400_eus-gaap--IncreaseDecreaseInOper"/>
            <w:bookmarkEnd w:id="209"/>
          </w:p>
        </w:tc>
      </w:tr>
      <w:tr>
        <w:trPr/>
        <w:tc>
          <w:tcPr>
            <w:tcW w:w="6346" w:type="dxa"/>
            <w:tcBorders/>
            <w:shd w:fill="FFFFFF" w:val="clear"/>
            <w:vAlign w:val="center"/>
          </w:tcPr>
          <w:p>
            <w:pPr>
              <w:pStyle w:val="TableContents"/>
              <w:bidi w:val="0"/>
              <w:spacing w:before="0" w:after="283"/>
              <w:jc w:val="left"/>
              <w:rPr>
                <w:i/>
              </w:rPr>
            </w:pPr>
            <w:r>
              <w:rPr>
                <w:i/>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10" w:name="xdx_402_eus-gaap--IncreaseDecreaseInAcco"/>
            <w:bookmarkEnd w:id="210"/>
          </w:p>
        </w:tc>
      </w:tr>
      <w:tr>
        <w:trPr/>
        <w:tc>
          <w:tcPr>
            <w:tcW w:w="6346"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(525</w:t>
            </w:r>
          </w:p>
        </w:tc>
        <w:tc>
          <w:tcPr>
            <w:tcW w:w="114" w:type="dxa"/>
            <w:tcBorders/>
            <w:shd w:fill="CCEEFF" w:val="clear"/>
            <w:vAlign w:val="center"/>
          </w:tcPr>
          <w:p>
            <w:pPr>
              <w:pStyle w:val="TableContents"/>
              <w:bidi w:val="0"/>
              <w:spacing w:before="0" w:after="283"/>
              <w:jc w:val="left"/>
              <w:rPr/>
            </w:pPr>
            <w:r>
              <w:rPr/>
              <w:t>)</w:t>
            </w:r>
            <w:bookmarkStart w:id="211" w:name="xdx_405_eus-gaap--IncreaseDecreaseInInve"/>
            <w:bookmarkEnd w:id="211"/>
          </w:p>
        </w:tc>
      </w:tr>
      <w:tr>
        <w:trPr/>
        <w:tc>
          <w:tcPr>
            <w:tcW w:w="6346"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2,653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531</w:t>
            </w:r>
          </w:p>
        </w:tc>
        <w:tc>
          <w:tcPr>
            <w:tcW w:w="114" w:type="dxa"/>
            <w:tcBorders/>
            <w:shd w:fill="FFFFFF" w:val="clear"/>
            <w:vAlign w:val="center"/>
          </w:tcPr>
          <w:p>
            <w:pPr>
              <w:pStyle w:val="TableContents"/>
              <w:bidi w:val="0"/>
              <w:spacing w:before="0" w:after="283"/>
              <w:jc w:val="left"/>
              <w:rPr/>
            </w:pPr>
            <w:r>
              <w:rPr/>
              <w:t> </w:t>
            </w:r>
            <w:bookmarkStart w:id="212" w:name="xdx_406_eus-gaap--IncreaseDecreaseInPrep"/>
            <w:bookmarkEnd w:id="212"/>
          </w:p>
        </w:tc>
      </w:tr>
      <w:tr>
        <w:trPr/>
        <w:tc>
          <w:tcPr>
            <w:tcW w:w="6346"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55</w:t>
            </w:r>
          </w:p>
        </w:tc>
        <w:tc>
          <w:tcPr>
            <w:tcW w:w="114" w:type="dxa"/>
            <w:tcBorders/>
            <w:shd w:fill="CCEEFF" w:val="clear"/>
            <w:vAlign w:val="center"/>
          </w:tcPr>
          <w:p>
            <w:pPr>
              <w:pStyle w:val="TableContents"/>
              <w:bidi w:val="0"/>
              <w:spacing w:before="0" w:after="283"/>
              <w:jc w:val="left"/>
              <w:rPr/>
            </w:pPr>
            <w:r>
              <w:rPr/>
              <w:t> </w:t>
            </w:r>
            <w:bookmarkStart w:id="213" w:name="xdx_401_ecustom--IncreaseDecreaseInAmort"/>
            <w:bookmarkEnd w:id="213"/>
          </w:p>
        </w:tc>
      </w:tr>
      <w:tr>
        <w:trPr/>
        <w:tc>
          <w:tcPr>
            <w:tcW w:w="6346" w:type="dxa"/>
            <w:tcBorders/>
            <w:shd w:fill="FFFFFF" w:val="clear"/>
            <w:vAlign w:val="center"/>
          </w:tcPr>
          <w:p>
            <w:pPr>
              <w:pStyle w:val="TableContents"/>
              <w:bidi w:val="0"/>
              <w:spacing w:before="0" w:after="283"/>
              <w:jc w:val="left"/>
              <w:rPr/>
            </w:pPr>
            <w:r>
              <w:rPr/>
              <w:t>Decrease in right of use assets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117</w:t>
            </w:r>
          </w:p>
        </w:tc>
        <w:tc>
          <w:tcPr>
            <w:tcW w:w="114" w:type="dxa"/>
            <w:tcBorders/>
            <w:shd w:fill="FFFFFF" w:val="clear"/>
            <w:vAlign w:val="center"/>
          </w:tcPr>
          <w:p>
            <w:pPr>
              <w:pStyle w:val="TableContents"/>
              <w:bidi w:val="0"/>
              <w:spacing w:before="0" w:after="283"/>
              <w:jc w:val="left"/>
              <w:rPr/>
            </w:pPr>
            <w:r>
              <w:rPr/>
              <w:t> </w:t>
            </w:r>
            <w:bookmarkStart w:id="214" w:name="xdx_400_eus-gaap--IncreaseDecreaseInAcco"/>
            <w:bookmarkEnd w:id="214"/>
          </w:p>
        </w:tc>
      </w:tr>
      <w:tr>
        <w:trPr/>
        <w:tc>
          <w:tcPr>
            <w:tcW w:w="6346"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(1,073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(629</w:t>
            </w:r>
          </w:p>
        </w:tc>
        <w:tc>
          <w:tcPr>
            <w:tcW w:w="114" w:type="dxa"/>
            <w:tcBorders/>
            <w:shd w:fill="CCEEFF" w:val="clear"/>
            <w:vAlign w:val="center"/>
          </w:tcPr>
          <w:p>
            <w:pPr>
              <w:pStyle w:val="TableContents"/>
              <w:bidi w:val="0"/>
              <w:spacing w:before="0" w:after="283"/>
              <w:jc w:val="left"/>
              <w:rPr/>
            </w:pPr>
            <w:r>
              <w:rPr/>
              <w:t>)</w:t>
            </w:r>
            <w:bookmarkStart w:id="215" w:name="xdx_404_eus-gaap--IncreaseDecreaseInAccr"/>
            <w:bookmarkEnd w:id="215"/>
          </w:p>
        </w:tc>
      </w:tr>
      <w:tr>
        <w:trPr/>
        <w:tc>
          <w:tcPr>
            <w:tcW w:w="6346"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FFFFFF" w:val="clear"/>
            <w:tcMar>
              <w:bottom w:w="28" w:type="dxa"/>
            </w:tcMar>
            <w:vAlign w:val="center"/>
          </w:tcPr>
          <w:p>
            <w:pPr>
              <w:pStyle w:val="TableContents"/>
              <w:bidi w:val="0"/>
              <w:spacing w:before="0" w:after="283"/>
              <w:jc w:val="right"/>
              <w:rPr/>
            </w:pPr>
            <w:r>
              <w:rPr/>
              <w:t>859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FFFFFF" w:val="clear"/>
            <w:tcMar>
              <w:bottom w:w="28" w:type="dxa"/>
            </w:tcMar>
            <w:vAlign w:val="center"/>
          </w:tcPr>
          <w:p>
            <w:pPr>
              <w:pStyle w:val="TableContents"/>
              <w:bidi w:val="0"/>
              <w:spacing w:before="0" w:after="283"/>
              <w:jc w:val="right"/>
              <w:rPr/>
            </w:pPr>
            <w:r>
              <w:rPr/>
              <w:t>(58</w:t>
            </w:r>
          </w:p>
        </w:tc>
        <w:tc>
          <w:tcPr>
            <w:tcW w:w="114" w:type="dxa"/>
            <w:tcBorders/>
            <w:shd w:fill="FFFFFF" w:val="clear"/>
            <w:vAlign w:val="center"/>
          </w:tcPr>
          <w:p>
            <w:pPr>
              <w:pStyle w:val="TableContents"/>
              <w:bidi w:val="0"/>
              <w:spacing w:before="0" w:after="283"/>
              <w:jc w:val="left"/>
              <w:rPr/>
            </w:pPr>
            <w:r>
              <w:rPr/>
              <w:t>)</w:t>
            </w:r>
            <w:bookmarkStart w:id="216" w:name="xdx_403_eus-gaap--NetCashProvidedByUsedI"/>
            <w:bookmarkEnd w:id="216"/>
          </w:p>
        </w:tc>
      </w:tr>
      <w:tr>
        <w:trPr/>
        <w:tc>
          <w:tcPr>
            <w:tcW w:w="6346"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(4,266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(15,530</w:t>
            </w:r>
          </w:p>
        </w:tc>
        <w:tc>
          <w:tcPr>
            <w:tcW w:w="114" w:type="dxa"/>
            <w:tcBorders/>
            <w:shd w:fill="CCEEFF" w:val="clear"/>
            <w:vAlign w:val="center"/>
          </w:tcPr>
          <w:p>
            <w:pPr>
              <w:pStyle w:val="TableContents"/>
              <w:bidi w:val="0"/>
              <w:spacing w:before="0" w:after="283"/>
              <w:jc w:val="left"/>
              <w:rPr/>
            </w:pPr>
            <w:r>
              <w:rPr/>
              <w:t>)</w:t>
            </w:r>
            <w:bookmarkStart w:id="217" w:name="xdx_404_eus-gaap--NetCashProvidedByUsedI"/>
            <w:bookmarkEnd w:id="217"/>
          </w:p>
        </w:tc>
      </w:tr>
      <w:tr>
        <w:trPr/>
        <w:tc>
          <w:tcPr>
            <w:tcW w:w="6346" w:type="dxa"/>
            <w:tcBorders/>
            <w:shd w:fill="FFFFFF" w:val="clear"/>
            <w:vAlign w:val="center"/>
          </w:tcPr>
          <w:p>
            <w:pPr>
              <w:pStyle w:val="TableContents"/>
              <w:bidi w:val="0"/>
              <w:spacing w:before="0" w:after="283"/>
              <w:jc w:val="left"/>
              <w:rPr>
                <w:i/>
              </w:rPr>
            </w:pPr>
            <w:r>
              <w:rPr>
                <w:i/>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18" w:name="xdx_408_eus-gaap--PaymentsToAcquireIntan"/>
            <w:bookmarkEnd w:id="218"/>
          </w:p>
        </w:tc>
      </w:tr>
      <w:tr>
        <w:trPr/>
        <w:tc>
          <w:tcPr>
            <w:tcW w:w="6346" w:type="dxa"/>
            <w:tcBorders/>
            <w:shd w:fill="CCEEFF" w:val="clear"/>
            <w:vAlign w:val="center"/>
          </w:tcPr>
          <w:p>
            <w:pPr>
              <w:pStyle w:val="TableContents"/>
              <w:bidi w:val="0"/>
              <w:spacing w:before="0" w:after="283"/>
              <w:jc w:val="left"/>
              <w:rPr/>
            </w:pPr>
            <w:r>
              <w:rPr/>
              <w:t>Intangible asset trademark costs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(2</w:t>
            </w:r>
          </w:p>
        </w:tc>
        <w:tc>
          <w:tcPr>
            <w:tcW w:w="114" w:type="dxa"/>
            <w:tcBorders/>
            <w:shd w:fill="CCEEFF" w:val="clear"/>
            <w:vAlign w:val="center"/>
          </w:tcPr>
          <w:p>
            <w:pPr>
              <w:pStyle w:val="TableContents"/>
              <w:bidi w:val="0"/>
              <w:spacing w:before="0" w:after="283"/>
              <w:jc w:val="left"/>
              <w:rPr/>
            </w:pPr>
            <w:r>
              <w:rPr/>
              <w:t>)</w:t>
            </w:r>
            <w:bookmarkStart w:id="219" w:name="xdx_408_eus-gaap--PaymentsToAcquirePrope"/>
            <w:bookmarkEnd w:id="219"/>
          </w:p>
        </w:tc>
      </w:tr>
      <w:tr>
        <w:trPr/>
        <w:tc>
          <w:tcPr>
            <w:tcW w:w="6346"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20" w:name="xdx_40D_eus-gaap--ProceedsFromSaleOfProp"/>
            <w:bookmarkEnd w:id="220"/>
          </w:p>
        </w:tc>
      </w:tr>
      <w:tr>
        <w:trPr/>
        <w:tc>
          <w:tcPr>
            <w:tcW w:w="6346" w:type="dxa"/>
            <w:tcBorders/>
            <w:shd w:fill="CCEEFF" w:val="clear"/>
            <w:vAlign w:val="center"/>
          </w:tcPr>
          <w:p>
            <w:pPr>
              <w:pStyle w:val="TableContents"/>
              <w:bidi w:val="0"/>
              <w:spacing w:before="0" w:after="283"/>
              <w:jc w:val="left"/>
              <w:rPr/>
            </w:pPr>
            <w:r>
              <w:rPr/>
              <w:t>Sale of property and equipment</w:t>
            </w:r>
          </w:p>
        </w:tc>
        <w:tc>
          <w:tcPr>
            <w:tcW w:w="60" w:type="dxa"/>
            <w:tcBorders/>
            <w:shd w:fill="CCEEFF" w:val="clear"/>
            <w:vAlign w:val="center"/>
          </w:tcPr>
          <w:p>
            <w:pPr>
              <w:pStyle w:val="TableContents"/>
              <w:bidi w:val="0"/>
              <w:spacing w:before="0" w:after="283"/>
              <w:jc w:val="left"/>
              <w:rPr/>
            </w:pPr>
            <w:r>
              <w:rPr/>
              <w:t> </w:t>
            </w:r>
          </w:p>
        </w:tc>
        <w:tc>
          <w:tcPr>
            <w:tcW w:w="2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21" w:name="xdx_40A_eus-gaap--NetCashProvidedByUsedI"/>
            <w:bookmarkEnd w:id="221"/>
          </w:p>
        </w:tc>
      </w:tr>
      <w:tr>
        <w:trPr/>
        <w:tc>
          <w:tcPr>
            <w:tcW w:w="6346"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(2</w:t>
            </w:r>
          </w:p>
        </w:tc>
        <w:tc>
          <w:tcPr>
            <w:tcW w:w="114" w:type="dxa"/>
            <w:tcBorders/>
            <w:shd w:fill="FFFFFF" w:val="clear"/>
            <w:vAlign w:val="center"/>
          </w:tcPr>
          <w:p>
            <w:pPr>
              <w:pStyle w:val="TableContents"/>
              <w:bidi w:val="0"/>
              <w:spacing w:before="0" w:after="283"/>
              <w:jc w:val="left"/>
              <w:rPr/>
            </w:pPr>
            <w:r>
              <w:rPr/>
              <w:t>)</w:t>
            </w:r>
            <w:bookmarkStart w:id="222" w:name="xdx_402_eus-gaap--NetCashProvidedByUsedI"/>
            <w:bookmarkEnd w:id="222"/>
          </w:p>
        </w:tc>
      </w:tr>
      <w:tr>
        <w:trPr/>
        <w:tc>
          <w:tcPr>
            <w:tcW w:w="6346" w:type="dxa"/>
            <w:tcBorders/>
            <w:shd w:fill="CCEEFF" w:val="clear"/>
            <w:vAlign w:val="center"/>
          </w:tcPr>
          <w:p>
            <w:pPr>
              <w:pStyle w:val="TableContents"/>
              <w:bidi w:val="0"/>
              <w:spacing w:before="0" w:after="283"/>
              <w:jc w:val="left"/>
              <w:rPr>
                <w:i/>
              </w:rPr>
            </w:pPr>
            <w:r>
              <w:rPr>
                <w:i/>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23" w:name="xdx_409_eus-gaap--ProceedsFromLinesOfCre"/>
            <w:bookmarkEnd w:id="223"/>
          </w:p>
        </w:tc>
      </w:tr>
      <w:tr>
        <w:trPr/>
        <w:tc>
          <w:tcPr>
            <w:tcW w:w="6346" w:type="dxa"/>
            <w:tcBorders/>
            <w:shd w:fill="FFFFFF" w:val="clear"/>
            <w:vAlign w:val="center"/>
          </w:tcPr>
          <w:p>
            <w:pPr>
              <w:pStyle w:val="TableContents"/>
              <w:bidi w:val="0"/>
              <w:spacing w:before="0" w:after="283"/>
              <w:jc w:val="left"/>
              <w:rPr/>
            </w:pPr>
            <w:r>
              <w:rPr/>
              <w:t>Proceeds from line of credit</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43,836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54,564</w:t>
            </w:r>
          </w:p>
        </w:tc>
        <w:tc>
          <w:tcPr>
            <w:tcW w:w="114" w:type="dxa"/>
            <w:tcBorders/>
            <w:shd w:fill="FFFFFF" w:val="clear"/>
            <w:vAlign w:val="center"/>
          </w:tcPr>
          <w:p>
            <w:pPr>
              <w:pStyle w:val="TableContents"/>
              <w:bidi w:val="0"/>
              <w:spacing w:before="0" w:after="283"/>
              <w:jc w:val="left"/>
              <w:rPr/>
            </w:pPr>
            <w:r>
              <w:rPr/>
              <w:t> </w:t>
            </w:r>
            <w:bookmarkStart w:id="224" w:name="xdx_40C_eus-gaap--RepaymentsOfLinesOfCre"/>
            <w:bookmarkEnd w:id="224"/>
          </w:p>
        </w:tc>
      </w:tr>
      <w:tr>
        <w:trPr/>
        <w:tc>
          <w:tcPr>
            <w:tcW w:w="6346" w:type="dxa"/>
            <w:tcBorders/>
            <w:shd w:fill="CCEEFF" w:val="clear"/>
            <w:vAlign w:val="center"/>
          </w:tcPr>
          <w:p>
            <w:pPr>
              <w:pStyle w:val="TableContents"/>
              <w:bidi w:val="0"/>
              <w:spacing w:before="0" w:after="283"/>
              <w:jc w:val="left"/>
              <w:rPr/>
            </w:pPr>
            <w:r>
              <w:rPr/>
              <w:t>Payments on the line of credit</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(45,213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(53,456</w:t>
            </w:r>
          </w:p>
        </w:tc>
        <w:tc>
          <w:tcPr>
            <w:tcW w:w="114" w:type="dxa"/>
            <w:tcBorders/>
            <w:shd w:fill="CCEEFF" w:val="clear"/>
            <w:vAlign w:val="center"/>
          </w:tcPr>
          <w:p>
            <w:pPr>
              <w:pStyle w:val="TableContents"/>
              <w:bidi w:val="0"/>
              <w:spacing w:before="0" w:after="283"/>
              <w:jc w:val="left"/>
              <w:rPr/>
            </w:pPr>
            <w:r>
              <w:rPr/>
              <w:t>)</w:t>
            </w:r>
            <w:bookmarkStart w:id="225" w:name="xdx_405_eus-gaap--PaymentsOfDebtIssuance"/>
            <w:bookmarkEnd w:id="225"/>
          </w:p>
        </w:tc>
      </w:tr>
      <w:tr>
        <w:trPr/>
        <w:tc>
          <w:tcPr>
            <w:tcW w:w="6346" w:type="dxa"/>
            <w:tcBorders/>
            <w:shd w:fill="FFFFFF" w:val="clear"/>
            <w:vAlign w:val="center"/>
          </w:tcPr>
          <w:p>
            <w:pPr>
              <w:pStyle w:val="TableContents"/>
              <w:bidi w:val="0"/>
              <w:spacing w:before="0" w:after="283"/>
              <w:jc w:val="left"/>
              <w:rPr/>
            </w:pPr>
            <w:r>
              <w:rPr/>
              <w:t>Payment of debt issuance costs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(483</w:t>
            </w:r>
          </w:p>
        </w:tc>
        <w:tc>
          <w:tcPr>
            <w:tcW w:w="114" w:type="dxa"/>
            <w:tcBorders/>
            <w:shd w:fill="FFFFFF" w:val="clear"/>
            <w:vAlign w:val="center"/>
          </w:tcPr>
          <w:p>
            <w:pPr>
              <w:pStyle w:val="TableContents"/>
              <w:bidi w:val="0"/>
              <w:spacing w:before="0" w:after="283"/>
              <w:jc w:val="left"/>
              <w:rPr/>
            </w:pPr>
            <w:r>
              <w:rPr/>
              <w:t>)</w:t>
            </w:r>
            <w:bookmarkStart w:id="226" w:name="xdx_40F_eus-gaap--ProceedsFromIssuanceOf"/>
            <w:bookmarkEnd w:id="226"/>
          </w:p>
        </w:tc>
      </w:tr>
      <w:tr>
        <w:trPr/>
        <w:tc>
          <w:tcPr>
            <w:tcW w:w="6346" w:type="dxa"/>
            <w:tcBorders/>
            <w:shd w:fill="CCEEFF" w:val="clear"/>
            <w:vAlign w:val="center"/>
          </w:tcPr>
          <w:p>
            <w:pPr>
              <w:pStyle w:val="TableContents"/>
              <w:bidi w:val="0"/>
              <w:spacing w:before="0" w:after="283"/>
              <w:jc w:val="left"/>
              <w:rPr/>
            </w:pPr>
            <w:r>
              <w:rPr/>
              <w:t>Proceeds from sale of common stock</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4,016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5,034</w:t>
            </w:r>
          </w:p>
        </w:tc>
        <w:tc>
          <w:tcPr>
            <w:tcW w:w="114" w:type="dxa"/>
            <w:tcBorders/>
            <w:shd w:fill="CCEEFF" w:val="clear"/>
            <w:vAlign w:val="center"/>
          </w:tcPr>
          <w:p>
            <w:pPr>
              <w:pStyle w:val="TableContents"/>
              <w:bidi w:val="0"/>
              <w:spacing w:before="0" w:after="283"/>
              <w:jc w:val="left"/>
              <w:rPr/>
            </w:pPr>
            <w:r>
              <w:rPr/>
              <w:t> </w:t>
            </w:r>
            <w:bookmarkStart w:id="227" w:name="xdx_409_eus-gaap--ProceedsFromConvertibl"/>
            <w:bookmarkEnd w:id="227"/>
          </w:p>
        </w:tc>
      </w:tr>
      <w:tr>
        <w:trPr/>
        <w:tc>
          <w:tcPr>
            <w:tcW w:w="6346" w:type="dxa"/>
            <w:tcBorders/>
            <w:shd w:fill="FFFFFF" w:val="clear"/>
            <w:vAlign w:val="center"/>
          </w:tcPr>
          <w:p>
            <w:pPr>
              <w:pStyle w:val="TableContents"/>
              <w:bidi w:val="0"/>
              <w:spacing w:before="0" w:after="283"/>
              <w:jc w:val="left"/>
              <w:rPr/>
            </w:pPr>
            <w:r>
              <w:rPr/>
              <w:t>Proceeds from convertible note payable, net of expenses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3,751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12,430</w:t>
            </w:r>
          </w:p>
        </w:tc>
        <w:tc>
          <w:tcPr>
            <w:tcW w:w="114" w:type="dxa"/>
            <w:tcBorders/>
            <w:shd w:fill="FFFFFF" w:val="clear"/>
            <w:vAlign w:val="center"/>
          </w:tcPr>
          <w:p>
            <w:pPr>
              <w:pStyle w:val="TableContents"/>
              <w:bidi w:val="0"/>
              <w:spacing w:before="0" w:after="283"/>
              <w:jc w:val="left"/>
              <w:rPr/>
            </w:pPr>
            <w:r>
              <w:rPr/>
              <w:t> </w:t>
            </w:r>
            <w:bookmarkStart w:id="228" w:name="xdx_407_eus-gaap--RepaymentsOfConvertibl"/>
            <w:bookmarkEnd w:id="228"/>
          </w:p>
        </w:tc>
      </w:tr>
      <w:tr>
        <w:trPr/>
        <w:tc>
          <w:tcPr>
            <w:tcW w:w="6346" w:type="dxa"/>
            <w:tcBorders/>
            <w:shd w:fill="CCEEFF" w:val="clear"/>
            <w:vAlign w:val="center"/>
          </w:tcPr>
          <w:p>
            <w:pPr>
              <w:pStyle w:val="TableContents"/>
              <w:bidi w:val="0"/>
              <w:spacing w:before="0" w:after="283"/>
              <w:jc w:val="left"/>
              <w:rPr/>
            </w:pPr>
            <w:r>
              <w:rPr/>
              <w:t>Payment of convertible note payable</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(3,100</w:t>
            </w:r>
          </w:p>
        </w:tc>
        <w:tc>
          <w:tcPr>
            <w:tcW w:w="114" w:type="dxa"/>
            <w:tcBorders/>
            <w:shd w:fill="CCEEFF" w:val="clear"/>
            <w:vAlign w:val="center"/>
          </w:tcPr>
          <w:p>
            <w:pPr>
              <w:pStyle w:val="TableContents"/>
              <w:bidi w:val="0"/>
              <w:spacing w:before="0" w:after="283"/>
              <w:jc w:val="left"/>
              <w:rPr/>
            </w:pPr>
            <w:r>
              <w:rPr/>
              <w:t>)</w:t>
            </w:r>
            <w:bookmarkStart w:id="229" w:name="xdx_407_eus-gaap--ProceedsFromRepayments"/>
            <w:bookmarkEnd w:id="229"/>
          </w:p>
        </w:tc>
      </w:tr>
      <w:tr>
        <w:trPr/>
        <w:tc>
          <w:tcPr>
            <w:tcW w:w="6346" w:type="dxa"/>
            <w:tcBorders/>
            <w:shd w:fill="FFFFFF" w:val="clear"/>
            <w:vAlign w:val="center"/>
          </w:tcPr>
          <w:p>
            <w:pPr>
              <w:pStyle w:val="TableContents"/>
              <w:bidi w:val="0"/>
              <w:spacing w:before="0" w:after="283"/>
              <w:jc w:val="left"/>
              <w:rPr/>
            </w:pPr>
            <w:r>
              <w:rPr/>
              <w:t>Amounts from former related party, net</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(1,833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1,029</w:t>
            </w:r>
          </w:p>
        </w:tc>
        <w:tc>
          <w:tcPr>
            <w:tcW w:w="114" w:type="dxa"/>
            <w:tcBorders/>
            <w:shd w:fill="FFFFFF" w:val="clear"/>
            <w:vAlign w:val="center"/>
          </w:tcPr>
          <w:p>
            <w:pPr>
              <w:pStyle w:val="TableContents"/>
              <w:bidi w:val="0"/>
              <w:spacing w:before="0" w:after="283"/>
              <w:jc w:val="left"/>
              <w:rPr/>
            </w:pPr>
            <w:r>
              <w:rPr/>
              <w:t> </w:t>
            </w:r>
            <w:bookmarkStart w:id="230" w:name="xdx_40F_eus-gaap--PaymentsForRepurchaseO"/>
            <w:bookmarkEnd w:id="230"/>
          </w:p>
        </w:tc>
      </w:tr>
      <w:tr>
        <w:trPr/>
        <w:tc>
          <w:tcPr>
            <w:tcW w:w="6346" w:type="dxa"/>
            <w:tcBorders/>
            <w:shd w:fill="CCEEFF" w:val="clear"/>
            <w:vAlign w:val="center"/>
          </w:tcPr>
          <w:p>
            <w:pPr>
              <w:pStyle w:val="TableContents"/>
              <w:bidi w:val="0"/>
              <w:spacing w:before="0" w:after="283"/>
              <w:jc w:val="left"/>
              <w:rPr/>
            </w:pPr>
            <w:r>
              <w:rPr/>
              <w:t>Repurchase of common stock</w:t>
            </w:r>
          </w:p>
        </w:tc>
        <w:tc>
          <w:tcPr>
            <w:tcW w:w="60" w:type="dxa"/>
            <w:tcBorders/>
            <w:shd w:fill="CCEEFF" w:val="clear"/>
            <w:vAlign w:val="center"/>
          </w:tcPr>
          <w:p>
            <w:pPr>
              <w:pStyle w:val="TableContents"/>
              <w:bidi w:val="0"/>
              <w:spacing w:before="0" w:after="283"/>
              <w:jc w:val="left"/>
              <w:rPr/>
            </w:pPr>
            <w:r>
              <w:rPr/>
              <w:t> </w:t>
            </w:r>
          </w:p>
        </w:tc>
        <w:tc>
          <w:tcPr>
            <w:tcW w:w="2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14" w:type="dxa"/>
            <w:tcBorders/>
            <w:shd w:fill="CCEEFF" w:val="clear"/>
            <w:vAlign w:val="center"/>
          </w:tcPr>
          <w:p>
            <w:pPr>
              <w:pStyle w:val="TableContents"/>
              <w:bidi w:val="0"/>
              <w:spacing w:before="0" w:after="283"/>
              <w:jc w:val="left"/>
              <w:rPr/>
            </w:pPr>
            <w:r>
              <w:rPr/>
              <w:t>)</w:t>
            </w:r>
            <w:bookmarkStart w:id="231" w:name="xdx_400_eus-gaap--NetCashProvidedByUsedI"/>
            <w:bookmarkEnd w:id="231"/>
          </w:p>
        </w:tc>
      </w:tr>
      <w:tr>
        <w:trPr/>
        <w:tc>
          <w:tcPr>
            <w:tcW w:w="6346"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FFFFFF" w:val="clear"/>
            <w:tcMar>
              <w:bottom w:w="28" w:type="dxa"/>
            </w:tcMar>
            <w:vAlign w:val="center"/>
          </w:tcPr>
          <w:p>
            <w:pPr>
              <w:pStyle w:val="TableContents"/>
              <w:bidi w:val="0"/>
              <w:spacing w:before="0" w:after="283"/>
              <w:jc w:val="right"/>
              <w:rPr/>
            </w:pPr>
            <w:r>
              <w:rPr/>
              <w:t>4,356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FFFFFF" w:val="clear"/>
            <w:tcMar>
              <w:bottom w:w="28" w:type="dxa"/>
            </w:tcMar>
            <w:vAlign w:val="center"/>
          </w:tcPr>
          <w:p>
            <w:pPr>
              <w:pStyle w:val="TableContents"/>
              <w:bidi w:val="0"/>
              <w:spacing w:before="0" w:after="283"/>
              <w:jc w:val="right"/>
              <w:rPr/>
            </w:pPr>
            <w:r>
              <w:rPr/>
              <w:t>16,016</w:t>
            </w:r>
          </w:p>
        </w:tc>
        <w:tc>
          <w:tcPr>
            <w:tcW w:w="114" w:type="dxa"/>
            <w:tcBorders/>
            <w:shd w:fill="FFFFFF" w:val="clear"/>
            <w:vAlign w:val="center"/>
          </w:tcPr>
          <w:p>
            <w:pPr>
              <w:pStyle w:val="TableContents"/>
              <w:bidi w:val="0"/>
              <w:spacing w:before="0" w:after="283"/>
              <w:jc w:val="left"/>
              <w:rPr/>
            </w:pPr>
            <w:r>
              <w:rPr/>
              <w:t> </w:t>
            </w:r>
          </w:p>
        </w:tc>
      </w:tr>
      <w:tr>
        <w:trPr/>
        <w:tc>
          <w:tcPr>
            <w:tcW w:w="63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32" w:name="xdx_409_eus-gaap--CashCashEquivalentsRes"/>
            <w:bookmarkEnd w:id="232"/>
          </w:p>
        </w:tc>
      </w:tr>
      <w:tr>
        <w:trPr/>
        <w:tc>
          <w:tcPr>
            <w:tcW w:w="6346" w:type="dxa"/>
            <w:tcBorders/>
            <w:shd w:fill="FFFFFF" w:val="clear"/>
            <w:vAlign w:val="center"/>
          </w:tcPr>
          <w:p>
            <w:pPr>
              <w:pStyle w:val="TableContents"/>
              <w:bidi w:val="0"/>
              <w:spacing w:before="0" w:after="283"/>
              <w:jc w:val="left"/>
              <w:rPr/>
            </w:pPr>
            <w:r>
              <w:rPr/>
              <w:t>Net increase in cash</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484</w:t>
            </w:r>
          </w:p>
        </w:tc>
        <w:tc>
          <w:tcPr>
            <w:tcW w:w="114" w:type="dxa"/>
            <w:tcBorders/>
            <w:shd w:fill="FFFFFF" w:val="clear"/>
            <w:vAlign w:val="center"/>
          </w:tcPr>
          <w:p>
            <w:pPr>
              <w:pStyle w:val="TableContents"/>
              <w:bidi w:val="0"/>
              <w:spacing w:before="0" w:after="283"/>
              <w:jc w:val="left"/>
              <w:rPr/>
            </w:pPr>
            <w:r>
              <w:rPr/>
              <w:t> </w:t>
            </w:r>
            <w:bookmarkStart w:id="233" w:name="xdx_40A_eus-gaap--CashCashEquivalentsRes"/>
            <w:bookmarkEnd w:id="233"/>
          </w:p>
        </w:tc>
      </w:tr>
      <w:tr>
        <w:trPr/>
        <w:tc>
          <w:tcPr>
            <w:tcW w:w="6346" w:type="dxa"/>
            <w:tcBorders/>
            <w:shd w:fill="CCEEFF" w:val="clear"/>
            <w:vAlign w:val="center"/>
          </w:tcPr>
          <w:p>
            <w:pPr>
              <w:pStyle w:val="TableContents"/>
              <w:bidi w:val="0"/>
              <w:spacing w:before="0" w:after="283"/>
              <w:jc w:val="left"/>
              <w:rPr/>
            </w:pPr>
            <w:r>
              <w:rPr/>
              <w:t>Cash at beginning of period</w:t>
            </w:r>
          </w:p>
        </w:tc>
        <w:tc>
          <w:tcPr>
            <w:tcW w:w="60" w:type="dxa"/>
            <w:tcBorders/>
            <w:shd w:fill="CCEEFF" w:val="clear"/>
            <w:vAlign w:val="center"/>
          </w:tcPr>
          <w:p>
            <w:pPr>
              <w:pStyle w:val="TableContents"/>
              <w:bidi w:val="0"/>
              <w:spacing w:before="0" w:after="283"/>
              <w:jc w:val="left"/>
              <w:rPr/>
            </w:pPr>
            <w:r>
              <w:rPr/>
              <w:t> </w:t>
            </w:r>
          </w:p>
        </w:tc>
        <w:tc>
          <w:tcPr>
            <w:tcW w:w="2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pPr>
            <w:r>
              <w:rPr/>
              <w:t>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pPr>
            <w:r>
              <w:rPr/>
              <w:t>49</w:t>
            </w:r>
          </w:p>
        </w:tc>
        <w:tc>
          <w:tcPr>
            <w:tcW w:w="114" w:type="dxa"/>
            <w:tcBorders/>
            <w:shd w:fill="CCEEFF" w:val="clear"/>
            <w:vAlign w:val="center"/>
          </w:tcPr>
          <w:p>
            <w:pPr>
              <w:pStyle w:val="TableContents"/>
              <w:bidi w:val="0"/>
              <w:spacing w:before="0" w:after="283"/>
              <w:jc w:val="left"/>
              <w:rPr/>
            </w:pPr>
            <w:r>
              <w:rPr/>
              <w:t> </w:t>
            </w:r>
            <w:bookmarkStart w:id="234" w:name="xdx_40A_eus-gaap--CashCashEquivalentsRes"/>
            <w:bookmarkEnd w:id="234"/>
          </w:p>
        </w:tc>
      </w:tr>
      <w:tr>
        <w:trPr/>
        <w:tc>
          <w:tcPr>
            <w:tcW w:w="6346" w:type="dxa"/>
            <w:tcBorders/>
            <w:shd w:fill="FFFFFF" w:val="clear"/>
            <w:vAlign w:val="center"/>
          </w:tcPr>
          <w:p>
            <w:pPr>
              <w:pStyle w:val="TableContents"/>
              <w:bidi w:val="0"/>
              <w:spacing w:before="0" w:after="283"/>
              <w:jc w:val="left"/>
              <w:rPr>
                <w:b/>
              </w:rPr>
            </w:pPr>
            <w:r>
              <w:rPr>
                <w:b/>
              </w:rPr>
              <w:t>Cash at end of period</w:t>
            </w:r>
          </w:p>
        </w:tc>
        <w:tc>
          <w:tcPr>
            <w:tcW w:w="60"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90" w:type="dxa"/>
            <w:tcBorders>
              <w:bottom w:val="double" w:sz="6" w:space="0" w:color="000000"/>
            </w:tcBorders>
            <w:shd w:fill="FFFFFF" w:val="clear"/>
            <w:tcMar>
              <w:bottom w:w="28" w:type="dxa"/>
            </w:tcMar>
            <w:vAlign w:val="center"/>
          </w:tcPr>
          <w:p>
            <w:pPr>
              <w:pStyle w:val="TableContents"/>
              <w:bidi w:val="0"/>
              <w:spacing w:before="0" w:after="283"/>
              <w:jc w:val="right"/>
              <w:rPr/>
            </w:pPr>
            <w:r>
              <w:rPr/>
              <w:t>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90" w:type="dxa"/>
            <w:tcBorders>
              <w:bottom w:val="double" w:sz="6" w:space="0" w:color="000000"/>
            </w:tcBorders>
            <w:shd w:fill="FFFFFF" w:val="clear"/>
            <w:tcMar>
              <w:bottom w:w="28" w:type="dxa"/>
            </w:tcMar>
            <w:vAlign w:val="center"/>
          </w:tcPr>
          <w:p>
            <w:pPr>
              <w:pStyle w:val="TableContents"/>
              <w:bidi w:val="0"/>
              <w:spacing w:before="0" w:after="283"/>
              <w:jc w:val="right"/>
              <w:rPr/>
            </w:pPr>
            <w:r>
              <w:rPr/>
              <w:t>533</w:t>
            </w:r>
          </w:p>
        </w:tc>
        <w:tc>
          <w:tcPr>
            <w:tcW w:w="114" w:type="dxa"/>
            <w:tcBorders/>
            <w:shd w:fill="FFFFFF" w:val="clear"/>
            <w:vAlign w:val="center"/>
          </w:tcPr>
          <w:p>
            <w:pPr>
              <w:pStyle w:val="TableContents"/>
              <w:bidi w:val="0"/>
              <w:spacing w:before="0" w:after="283"/>
              <w:jc w:val="left"/>
              <w:rPr/>
            </w:pPr>
            <w:r>
              <w:rPr/>
              <w:t> </w:t>
            </w:r>
          </w:p>
        </w:tc>
      </w:tr>
      <w:tr>
        <w:trPr/>
        <w:tc>
          <w:tcPr>
            <w:tcW w:w="63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35" w:name="xdx_404_eus-gaap--SupplementalCashFlowIn"/>
            <w:bookmarkEnd w:id="235"/>
          </w:p>
        </w:tc>
      </w:tr>
      <w:tr>
        <w:trPr/>
        <w:tc>
          <w:tcPr>
            <w:tcW w:w="6346"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36" w:name="xdx_403_eus-gaap--InterestPaidNet_i01_z0"/>
            <w:bookmarkEnd w:id="236"/>
          </w:p>
        </w:tc>
      </w:tr>
      <w:tr>
        <w:trPr/>
        <w:tc>
          <w:tcPr>
            <w:tcW w:w="6346"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1490" w:type="dxa"/>
            <w:tcBorders/>
            <w:shd w:fill="CCEEFF" w:val="clear"/>
            <w:vAlign w:val="center"/>
          </w:tcPr>
          <w:p>
            <w:pPr>
              <w:pStyle w:val="TableContents"/>
              <w:bidi w:val="0"/>
              <w:spacing w:before="0" w:after="283"/>
              <w:jc w:val="right"/>
              <w:rPr/>
            </w:pPr>
            <w:r>
              <w:rPr/>
              <w:t>1,046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1490" w:type="dxa"/>
            <w:tcBorders/>
            <w:shd w:fill="CCEEFF" w:val="clear"/>
            <w:vAlign w:val="center"/>
          </w:tcPr>
          <w:p>
            <w:pPr>
              <w:pStyle w:val="TableContents"/>
              <w:bidi w:val="0"/>
              <w:spacing w:before="0" w:after="283"/>
              <w:jc w:val="right"/>
              <w:rPr/>
            </w:pPr>
            <w:r>
              <w:rPr/>
              <w:t>1,911</w:t>
            </w:r>
          </w:p>
        </w:tc>
        <w:tc>
          <w:tcPr>
            <w:tcW w:w="114" w:type="dxa"/>
            <w:tcBorders/>
            <w:shd w:fill="CCEEFF" w:val="clear"/>
            <w:vAlign w:val="center"/>
          </w:tcPr>
          <w:p>
            <w:pPr>
              <w:pStyle w:val="TableContents"/>
              <w:bidi w:val="0"/>
              <w:spacing w:before="0" w:after="283"/>
              <w:jc w:val="left"/>
              <w:rPr/>
            </w:pPr>
            <w:r>
              <w:rPr/>
              <w:t> </w:t>
            </w:r>
            <w:bookmarkStart w:id="237" w:name="xdx_403_eus-gaap--CashFlowNoncashInvesti"/>
            <w:bookmarkEnd w:id="237"/>
          </w:p>
        </w:tc>
      </w:tr>
      <w:tr>
        <w:trPr/>
        <w:tc>
          <w:tcPr>
            <w:tcW w:w="6346" w:type="dxa"/>
            <w:tcBorders/>
            <w:shd w:fill="FFFFFF" w:val="clear"/>
            <w:vAlign w:val="center"/>
          </w:tcPr>
          <w:p>
            <w:pPr>
              <w:pStyle w:val="TableContents"/>
              <w:bidi w:val="0"/>
              <w:spacing w:before="0" w:after="283"/>
              <w:jc w:val="left"/>
              <w:rPr>
                <w:b/>
              </w:rPr>
            </w:pPr>
            <w:r>
              <w:rPr>
                <w:b/>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38" w:name="xdx_40B_ecustom--DividendsOnSeriesConver"/>
            <w:bookmarkEnd w:id="238"/>
          </w:p>
        </w:tc>
      </w:tr>
      <w:tr>
        <w:trPr/>
        <w:tc>
          <w:tcPr>
            <w:tcW w:w="6346" w:type="dxa"/>
            <w:tcBorders/>
            <w:shd w:fill="CCEEFF" w:val="clear"/>
            <w:vAlign w:val="center"/>
          </w:tcPr>
          <w:p>
            <w:pPr>
              <w:pStyle w:val="TableContents"/>
              <w:bidi w:val="0"/>
              <w:spacing w:before="0" w:after="283"/>
              <w:jc w:val="left"/>
              <w:rPr/>
            </w:pPr>
            <w:r>
              <w:rPr/>
              <w:t>Dividends on Series A Convertible Preferred Stock</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1490"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1490" w:type="dxa"/>
            <w:tcBorders/>
            <w:shd w:fill="CCEEFF" w:val="clear"/>
            <w:vAlign w:val="center"/>
          </w:tcPr>
          <w:p>
            <w:pPr>
              <w:pStyle w:val="TableContents"/>
              <w:bidi w:val="0"/>
              <w:spacing w:before="0" w:after="283"/>
              <w:jc w:val="right"/>
              <w:rPr/>
            </w:pPr>
            <w:r>
              <w:rPr/>
              <w:t>5</w:t>
            </w:r>
          </w:p>
        </w:tc>
        <w:tc>
          <w:tcPr>
            <w:tcW w:w="114" w:type="dxa"/>
            <w:tcBorders/>
            <w:shd w:fill="CCEEFF" w:val="clear"/>
            <w:vAlign w:val="center"/>
          </w:tcPr>
          <w:p>
            <w:pPr>
              <w:pStyle w:val="TableContents"/>
              <w:bidi w:val="0"/>
              <w:spacing w:before="0" w:after="283"/>
              <w:jc w:val="left"/>
              <w:rPr/>
            </w:pPr>
            <w:r>
              <w:rPr/>
              <w:t> </w:t>
            </w:r>
            <w:bookmarkStart w:id="239" w:name="xdx_408_eus-gaap--StockIssued1_i01_zRDOj"/>
            <w:bookmarkEnd w:id="239"/>
          </w:p>
        </w:tc>
      </w:tr>
      <w:tr>
        <w:trPr/>
        <w:tc>
          <w:tcPr>
            <w:tcW w:w="6346" w:type="dxa"/>
            <w:tcBorders/>
            <w:shd w:fill="FFFFFF" w:val="clear"/>
            <w:vAlign w:val="center"/>
          </w:tcPr>
          <w:p>
            <w:pPr>
              <w:pStyle w:val="TableContents"/>
              <w:bidi w:val="0"/>
              <w:spacing w:before="0" w:after="283"/>
              <w:jc w:val="left"/>
              <w:rPr/>
            </w:pPr>
            <w:r>
              <w:rPr/>
              <w:t>Common Shares issued for financing costs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w:t>
            </w:r>
          </w:p>
        </w:tc>
        <w:tc>
          <w:tcPr>
            <w:tcW w:w="1490" w:type="dxa"/>
            <w:tcBorders/>
            <w:shd w:fill="FFFFFF" w:val="clear"/>
            <w:vAlign w:val="center"/>
          </w:tcPr>
          <w:p>
            <w:pPr>
              <w:pStyle w:val="TableContents"/>
              <w:bidi w:val="0"/>
              <w:spacing w:before="0" w:after="283"/>
              <w:jc w:val="right"/>
              <w:rPr/>
            </w:pPr>
            <w:r>
              <w:rPr/>
              <w:t>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4" w:type="dxa"/>
            <w:tcBorders/>
            <w:shd w:fill="FFFFFF" w:val="clear"/>
            <w:vAlign w:val="center"/>
          </w:tcPr>
          <w:p>
            <w:pPr>
              <w:pStyle w:val="TableContents"/>
              <w:bidi w:val="0"/>
              <w:spacing w:before="0" w:after="283"/>
              <w:jc w:val="left"/>
              <w:rPr/>
            </w:pPr>
            <w:r>
              <w:rPr/>
              <w:t> </w:t>
            </w:r>
            <w:bookmarkStart w:id="240" w:name="xdx_40A_ecustom--CommonSharesIssuedForPr"/>
            <w:bookmarkEnd w:id="240"/>
          </w:p>
        </w:tc>
      </w:tr>
      <w:tr>
        <w:trPr/>
        <w:tc>
          <w:tcPr>
            <w:tcW w:w="6346" w:type="dxa"/>
            <w:tcBorders/>
            <w:shd w:fill="CCEEFF" w:val="clear"/>
            <w:vAlign w:val="center"/>
          </w:tcPr>
          <w:p>
            <w:pPr>
              <w:pStyle w:val="TableContents"/>
              <w:bidi w:val="0"/>
              <w:spacing w:before="0" w:after="283"/>
              <w:jc w:val="left"/>
              <w:rPr/>
            </w:pPr>
            <w:r>
              <w:rPr/>
              <w:t>Common Shares issued for principal payment</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14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1490" w:type="dxa"/>
            <w:tcBorders/>
            <w:shd w:fill="CCEEFF" w:val="clear"/>
            <w:vAlign w:val="center"/>
          </w:tcPr>
          <w:p>
            <w:pPr>
              <w:pStyle w:val="TableContents"/>
              <w:bidi w:val="0"/>
              <w:spacing w:before="0" w:after="283"/>
              <w:jc w:val="right"/>
              <w:rPr/>
            </w:pPr>
            <w:r>
              <w:rPr/>
              <w:t>200</w:t>
            </w:r>
          </w:p>
        </w:tc>
        <w:tc>
          <w:tcPr>
            <w:tcW w:w="114" w:type="dxa"/>
            <w:tcBorders/>
            <w:shd w:fill="CCEEFF" w:val="clear"/>
            <w:vAlign w:val="center"/>
          </w:tcPr>
          <w:p>
            <w:pPr>
              <w:pStyle w:val="TableContents"/>
              <w:bidi w:val="0"/>
              <w:spacing w:before="0" w:after="283"/>
              <w:jc w:val="left"/>
              <w:rPr/>
            </w:pPr>
            <w:r>
              <w:rPr/>
              <w:t> </w:t>
            </w:r>
            <w:bookmarkStart w:id="241" w:name="xdx_403_ecustom--CommonSharesIssuedForIn"/>
            <w:bookmarkEnd w:id="241"/>
          </w:p>
        </w:tc>
      </w:tr>
      <w:tr>
        <w:trPr/>
        <w:tc>
          <w:tcPr>
            <w:tcW w:w="6346" w:type="dxa"/>
            <w:tcBorders/>
            <w:shd w:fill="FFFFFF" w:val="clear"/>
            <w:vAlign w:val="center"/>
          </w:tcPr>
          <w:p>
            <w:pPr>
              <w:pStyle w:val="TableContents"/>
              <w:bidi w:val="0"/>
              <w:spacing w:before="0" w:after="283"/>
              <w:jc w:val="left"/>
              <w:rPr/>
            </w:pPr>
            <w:r>
              <w:rPr/>
              <w:t>Common Shares issued for interest payment</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w:t>
            </w:r>
          </w:p>
        </w:tc>
        <w:tc>
          <w:tcPr>
            <w:tcW w:w="14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w:t>
            </w:r>
          </w:p>
        </w:tc>
        <w:tc>
          <w:tcPr>
            <w:tcW w:w="1490" w:type="dxa"/>
            <w:tcBorders/>
            <w:shd w:fill="FFFFFF" w:val="clear"/>
            <w:vAlign w:val="center"/>
          </w:tcPr>
          <w:p>
            <w:pPr>
              <w:pStyle w:val="TableContents"/>
              <w:bidi w:val="0"/>
              <w:spacing w:before="0" w:after="283"/>
              <w:jc w:val="right"/>
              <w:rPr/>
            </w:pPr>
            <w:r>
              <w:rPr/>
              <w:t>1,261</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2" w:name="F_006"/>
      <w:bookmarkEnd w:id="242"/>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and 2022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3" w:name="xdx_80A_eus-gaap--NatureOfOperations_zSG"/>
      <w:bookmarkEnd w:id="243"/>
      <w:r>
        <w:rPr>
          <w:rFonts w:ascii="Times New Roman;Times;Serif" w:hAnsi="Times New Roman;Times;Serif"/>
          <w:b/>
          <w:i w:val="false"/>
          <w:caps w:val="false"/>
          <w:smallCaps w:val="false"/>
          <w:sz w:val="20"/>
        </w:rPr>
        <w:t xml:space="preserve">1. </w:t>
      </w:r>
      <w:bookmarkStart w:id="244" w:name="xdx_82B_zKWvTpkWyhRa"/>
      <w:bookmarkEnd w:id="244"/>
      <w:r>
        <w:rPr>
          <w:rFonts w:ascii="Times New Roman;Times;Serif" w:hAnsi="Times New Roman;Times;Serif"/>
          <w:b/>
          <w:i w:val="false"/>
          <w:caps w:val="false"/>
          <w:smallCaps w:val="false"/>
          <w:sz w:val="20"/>
        </w:rPr>
        <w:t>Operations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 (the “Company”) is the owner and maker of Reed’s Craft Ginger Beer, Reed’s Real Ginger Ale, Reed’s Classic and Stormy Mules, and Reed’s Hard Ginger Ales and Virgil’s Handcrafted Sodas. The Company was established in 1989 and is incorporated in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2023, the Company recorded a net loss of $15,523 and used cash in operations of $4,266. In accordance with Accounting Standards Codification (“ASC”) 205-40, </w:t>
      </w:r>
      <w:r>
        <w:rPr>
          <w:rFonts w:ascii="Times New Roman;Times;Serif" w:hAnsi="Times New Roman;Times;Serif"/>
          <w:b w:val="false"/>
          <w:i/>
          <w:caps w:val="false"/>
          <w:smallCaps w:val="false"/>
          <w:sz w:val="20"/>
        </w:rPr>
        <w:t>Going Concern</w:t>
      </w:r>
      <w:r>
        <w:rPr>
          <w:rFonts w:ascii="Times New Roman;Times;Serif" w:hAnsi="Times New Roman;Times;Serif"/>
          <w:b w:val="false"/>
          <w:i w:val="false"/>
          <w:caps w:val="false"/>
          <w:smallCaps w:val="false"/>
          <w:sz w:val="20"/>
        </w:rPr>
        <w:t>, the Company’s management has evaluated whether there are conditions and events, considered in the aggregate, that raise substantial doubt about the Company’s ability to continue as a going concern within one year after the date the accompanying financial statements were issued. As of the issuance date of these financial statements, management expects that the Company’s existing cash of $603, plus $4,100 of additional cash received subsequent to December 31, 2023, from investments with significant stockholders, will be sufficient to fund the Company’s current operating plan for at least twelve months from the date of issuance of these financial statements. The financial statements do not include any adjustments that might be necessary if the Company is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assessment whether there is sufficient cash on hand, together with expected capital raises, to assure operations for a period of at least twelve months from the date these financial statements are issued, is based on conditions that are known and reasonably knowable to management, considering various scenarios, projections, and estimates and certain key assumptions. These assumptions include, among other factors, management’s ability to raise additional capital, and the expected timing and nature of the Company’s forecasted cash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has financed its operations through public and private sales of common stock, convertible debt instruments, credit lines from financial institutions, and cash generated from operations.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Trends –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U.S. economy continued to grow throughout 2023, the higher inflation, the actions by the Federal Reserve to address inflation, and rising energy prices create uncertainty about the future economic environment which will continue to evolve and may impact our business in future periods. The Company has experienced supply chain challenges, including increased lead times, as well as inflation of raw materials, logistics and labor costs due to availability constraints and high demand. Although the Company regularly monitors companies in our supply chain, and use alternative suppliers when necessary and available, supply chain constraints could cause a disruption in our ability to obtain raw materials required to manufacture our products and adversely affect our operations. The Company has experienced moderation in inflation and anticipates this to continue throughout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experienced moderation from the elevated freight costs experienced in 2022. The average cost of shipping and handling for year ended December 31, 2023, was $</w:t>
      </w:r>
      <w:bookmarkStart w:id="245" w:name="xdx_909_ecustom--CarryingCostPropertyAnd"/>
      <w:bookmarkEnd w:id="245"/>
      <w:r>
        <w:rPr>
          <w:rFonts w:ascii="Times New Roman;Times;Serif" w:hAnsi="Times New Roman;Times;Serif"/>
          <w:b w:val="false"/>
          <w:i w:val="false"/>
          <w:caps w:val="false"/>
          <w:smallCaps w:val="false"/>
          <w:sz w:val="20"/>
        </w:rPr>
        <w:t>3.07 per case, as compared to $</w:t>
      </w:r>
      <w:bookmarkStart w:id="246" w:name="xdx_900_ecustom--CarryingCostPropertyAnd"/>
      <w:bookmarkEnd w:id="246"/>
      <w:r>
        <w:rPr>
          <w:rFonts w:ascii="Times New Roman;Times;Serif" w:hAnsi="Times New Roman;Times;Serif"/>
          <w:b w:val="false"/>
          <w:i w:val="false"/>
          <w:caps w:val="false"/>
          <w:smallCaps w:val="false"/>
          <w:sz w:val="20"/>
        </w:rPr>
        <w:t>3.95 per case for the year ended December 31, 2022. Although the Company has experienced decreases in freight costs over the last three quarters, in the Company’s opinion there remains a volatile environment and the Company will continue to monitor pricing and availability in transportation. Mitigation plans have been implemented to manage this risk. The Company has been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Nasdaq Delisting and now trading on the OTCQX US Market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2021, the Company received a written notice from the Nasdaq Listing Qualifications staff of The Nasdaq Stock Market LLC (“Nasdaq”) that the bid price of the Company’s common stock had closed at less than $1 per share over the previous 30 consecutive business days and, as a result, did not comply with Listing Rule 5550(a)(2) (the “Bid Price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January 27, 2023, the Company achieved compliance with the Bid Price Rule after effecting a </w:t>
      </w:r>
      <w:bookmarkStart w:id="247" w:name="xdx_90E_eus-gaap--StockholdersEquityReve"/>
      <w:bookmarkEnd w:id="247"/>
      <w:r>
        <w:rPr>
          <w:rFonts w:ascii="Times New Roman;Times;Serif" w:hAnsi="Times New Roman;Times;Serif"/>
          <w:b w:val="false"/>
          <w:i w:val="false"/>
          <w:caps w:val="false"/>
          <w:smallCaps w:val="false"/>
          <w:sz w:val="20"/>
        </w:rPr>
        <w:t>1:50 reverse split (see Reverse Stock Split below). However, after evaluating options to achieve compliance with the Minimum Stockholders’ Equity Rule, the Company’s board of directors determined not to proceed with a dilutive capital raise. On February 14, 2023, the Company received a written notice that the Nasdaq’s Listing Qualifications staff has determined that the Company’s securities were to be delisted from Nasdaq, and trading in the Company’s common stock was suspended from the Nasdaq Capital Market on February 16, 2023. On February 16, 2023, the Company’s common stock began being quoted for trading on the OTCQX US Market, operated by OTC Markets, Inc. (“OTCQX”), and the Company continues to be a reporting company under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25, 2023, the Company effectuated a </w:t>
      </w:r>
      <w:bookmarkStart w:id="248" w:name="xdx_906_eus-gaap--StockholdersEquityReve"/>
      <w:bookmarkEnd w:id="248"/>
      <w:r>
        <w:rPr>
          <w:rFonts w:ascii="Times New Roman;Times;Serif" w:hAnsi="Times New Roman;Times;Serif"/>
          <w:b w:val="false"/>
          <w:i w:val="false"/>
          <w:caps w:val="false"/>
          <w:smallCaps w:val="false"/>
          <w:sz w:val="20"/>
        </w:rPr>
        <w:t>1-for-50 reverse stock split of its issued and outstanding shares of common stock, par value $</w:t>
      </w:r>
      <w:bookmarkStart w:id="249" w:name="xdx_909_eus-gaap--CommonStockParOrStated"/>
      <w:bookmarkEnd w:id="249"/>
      <w:r>
        <w:rPr>
          <w:rFonts w:ascii="Times New Roman;Times;Serif" w:hAnsi="Times New Roman;Times;Serif"/>
          <w:b w:val="false"/>
          <w:i w:val="false"/>
          <w:caps w:val="false"/>
          <w:smallCaps w:val="false"/>
          <w:sz w:val="20"/>
        </w:rPr>
        <w:t>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number of shares of common stock were not affected by the reverse stock split. No fractional shares were issued in connection with the reverse stock split, and there was no effect on total stockholders’ deficit. All common shares, stock options, stock warrants and per share amounts presented herein have been adjusted retroactively to reflect the reverse stock splits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0" w:name="xdx_803_eus-gaap--SignificantAccountingP"/>
      <w:bookmarkEnd w:id="250"/>
      <w:r>
        <w:rPr>
          <w:rFonts w:ascii="Times New Roman;Times;Serif" w:hAnsi="Times New Roman;Times;Serif"/>
          <w:b/>
          <w:i w:val="false"/>
          <w:caps w:val="false"/>
          <w:smallCaps w:val="false"/>
          <w:sz w:val="20"/>
        </w:rPr>
        <w:t xml:space="preserve">2. </w:t>
      </w:r>
      <w:bookmarkStart w:id="251" w:name="xdx_824_zmwwqsBACgDg"/>
      <w:bookmarkEnd w:id="251"/>
      <w:r>
        <w:rPr>
          <w:rFonts w:ascii="Times New Roman;Times;Serif" w:hAnsi="Times New Roman;Times;Serif"/>
          <w:b/>
          <w:i w:val="false"/>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2" w:name="xdx_863_zeUm25lCfW42"/>
      <w:bookmarkStart w:id="253" w:name="xdx_84B_eus-gaap--UseOfEstimates_znckPUL"/>
      <w:bookmarkEnd w:id="252"/>
      <w:bookmarkEnd w:id="253"/>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credit loss reserves for accounts receivable, assumptions used in valuing inventories at net realizable value, impairment testing of recorded long-term tangible and intangible assets, the realizability of deferred tax assets and the related valuation allowance, accruals for potential liabilities, assumptions made in valuing stock instruments issued for services, and assumptions used in the determination of the Company’s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4" w:name="xdx_866_zQ0LCeuBxmxf"/>
      <w:bookmarkStart w:id="255" w:name="xdx_84D_eus-gaap--TradeAndOtherAccountsR"/>
      <w:bookmarkEnd w:id="254"/>
      <w:bookmarkEnd w:id="255"/>
      <w:r>
        <w:rPr>
          <w:rFonts w:ascii="Times New Roman;Times;Serif" w:hAnsi="Times New Roman;Times;Serif"/>
          <w:b/>
          <w:i w:val="false"/>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are generally recorded at the invoiced amounts net of an allowance for credit losses, </w:t>
      </w:r>
      <w:r>
        <w:rPr>
          <w:rFonts w:ascii="Times New Roman;Times;Serif" w:hAnsi="Times New Roman;Times;Serif"/>
          <w:b w:val="false"/>
          <w:i w:val="false"/>
          <w:caps w:val="false"/>
          <w:smallCaps w:val="false"/>
          <w:sz w:val="20"/>
          <w:shd w:fill="FFFFFF" w:val="clear"/>
        </w:rPr>
        <w:t>which is an estimate of amounts that may not be collectible</w:t>
      </w:r>
      <w:r>
        <w:rPr>
          <w:rFonts w:ascii="Times New Roman;Times;Serif" w:hAnsi="Times New Roman;Times;Serif"/>
          <w:b w:val="false"/>
          <w:i w:val="false"/>
          <w:caps w:val="false"/>
          <w:smallCaps w:val="false"/>
          <w:sz w:val="20"/>
        </w:rPr>
        <w:t>. The Company evaluates the collectability of its trade accounts receivable based on a number of factors. In circumstances where the Company becomes aware of a specific customer’s inability to meet its financial obligations to the Company, a specific reserve for credit losses is estimated and recorded, which reduces the recognized receivable to the estimated amount the Company believes will ultimately be collected. In addition to specific customer identification of potential credit losses, credit losses are recorded based on the Company’s historical losses and an overall assessment of past due trade accounts receivable outstanding. A</w:t>
      </w:r>
      <w:r>
        <w:rPr>
          <w:rFonts w:ascii="Times New Roman;Times;Serif" w:hAnsi="Times New Roman;Times;Serif"/>
          <w:b w:val="false"/>
          <w:i w:val="false"/>
          <w:caps w:val="false"/>
          <w:smallCaps w:val="false"/>
          <w:sz w:val="20"/>
          <w:shd w:fill="FFFFFF" w:val="clear"/>
        </w:rPr>
        <w:t>s of December 31, 2023 and December 31, 2022, the allowance for credit losses was $</w:t>
      </w:r>
      <w:bookmarkStart w:id="256" w:name="xdx_90D_eus-gaap--AllowanceForDoubtfulAc"/>
      <w:bookmarkEnd w:id="256"/>
      <w:r>
        <w:rPr>
          <w:rFonts w:ascii="Times New Roman;Times;Serif" w:hAnsi="Times New Roman;Times;Serif"/>
          <w:b w:val="false"/>
          <w:i w:val="false"/>
          <w:caps w:val="false"/>
          <w:smallCaps w:val="false"/>
          <w:sz w:val="20"/>
          <w:shd w:fill="FFFFFF" w:val="clear"/>
        </w:rPr>
        <w:t>860 and $</w:t>
      </w:r>
      <w:bookmarkStart w:id="257" w:name="xdx_906_eus-gaap--AllowanceForDoubtfulAc"/>
      <w:bookmarkEnd w:id="257"/>
      <w:r>
        <w:rPr>
          <w:rFonts w:ascii="Times New Roman;Times;Serif" w:hAnsi="Times New Roman;Times;Serif"/>
          <w:b w:val="false"/>
          <w:i w:val="false"/>
          <w:caps w:val="false"/>
          <w:smallCaps w:val="false"/>
          <w:sz w:val="20"/>
          <w:shd w:fill="FFFFFF" w:val="clear"/>
        </w:rPr>
        <w:t>252, respectively.</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8" w:name="xdx_867_zyUttWcXJRJb"/>
      <w:bookmarkStart w:id="259" w:name="xdx_845_eus-gaap--InventoryPolicyTextBlo"/>
      <w:bookmarkEnd w:id="258"/>
      <w:bookmarkEnd w:id="259"/>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stated at the lower of cost or net realizable value, with cost determined on a first-in, first-out (“FIFO”) basis. The Company regularly reviews inventory quantities on hand and record a provision for excess and obsolete inventory based primarily on our estimated forecast of product demand and our ability to sell the product(s) concerned. Demand for our products can fluctuate significantly. Factors that could affect demand for our products include unanticipated changes in consumer preferences, general market conditions or other factors, which may result in cancellations of advance orders or a reduction in the rate of reorders placed by customers. Additionally, our management’s estimates of future product demand may be inaccurate, which could result in an understated or overstated provision required for excess and obsolete inventory. At December 31, 2023, and 2022, inventory has been reduced by cumulative write-downs for inventory aggregating $</w:t>
      </w:r>
      <w:bookmarkStart w:id="260" w:name="xdx_90E_eus-gaap--InventoryWriteDown_pn3"/>
      <w:bookmarkEnd w:id="260"/>
      <w:r>
        <w:rPr>
          <w:rFonts w:ascii="Times New Roman;Times;Serif" w:hAnsi="Times New Roman;Times;Serif"/>
          <w:b w:val="false"/>
          <w:i w:val="false"/>
          <w:caps w:val="false"/>
          <w:smallCaps w:val="false"/>
          <w:sz w:val="20"/>
        </w:rPr>
        <w:t>1,434 and $</w:t>
      </w:r>
      <w:bookmarkStart w:id="261" w:name="xdx_904_eus-gaap--InventoryWriteDown_pn3"/>
      <w:bookmarkEnd w:id="261"/>
      <w:r>
        <w:rPr>
          <w:rFonts w:ascii="Times New Roman;Times;Serif" w:hAnsi="Times New Roman;Times;Serif"/>
          <w:b w:val="false"/>
          <w:i w:val="false"/>
          <w:caps w:val="false"/>
          <w:smallCaps w:val="false"/>
          <w:sz w:val="20"/>
        </w:rPr>
        <w:t>479,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2" w:name="xdx_868_zdVUmquTtb32"/>
      <w:bookmarkStart w:id="263" w:name="xdx_84D_eus-gaap--PropertyPlantAndEquipm"/>
      <w:bookmarkEnd w:id="262"/>
      <w:bookmarkEnd w:id="263"/>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Expenditures for major renewals and improvements that extend the useful lives of property and equipment or increase production capacity are capitalized, and expenditures for repairs and maintenance are charged to expense as incurred. Depreciation is calculated using accelerated and straight-line methods over the estimated useful lives of the assets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4" w:name="xdx_8BF_zU6HXHWlDpt7"/>
      <w:bookmarkStart w:id="265" w:name="xdx_895_ecustom--ScheduleOfEstimatedUsef"/>
      <w:bookmarkEnd w:id="264"/>
      <w:bookmarkEnd w:id="265"/>
      <w:r>
        <w:rPr>
          <w:rFonts w:ascii="Times New Roman;Times;Serif" w:hAnsi="Times New Roman;Times;Serif"/>
          <w:b w:val="false"/>
          <w:i w:val="false"/>
          <w:caps w:val="false"/>
          <w:smallCaps w:val="false"/>
          <w:sz w:val="20"/>
        </w:rPr>
        <w:t>Schedule of Estimated Useful Lives of Property and Equipment and Related Depreciation</w:t>
      </w:r>
    </w:p>
    <w:tbl>
      <w:tblPr>
        <w:tblW w:w="4585" w:type="dxa"/>
        <w:jc w:val="left"/>
        <w:tblInd w:w="0" w:type="dxa"/>
        <w:tblLayout w:type="fixed"/>
        <w:tblCellMar>
          <w:top w:w="0" w:type="dxa"/>
          <w:left w:w="0" w:type="dxa"/>
          <w:bottom w:w="28" w:type="dxa"/>
          <w:right w:w="0" w:type="dxa"/>
        </w:tblCellMar>
      </w:tblPr>
      <w:tblGrid>
        <w:gridCol w:w="2690"/>
        <w:gridCol w:w="60"/>
        <w:gridCol w:w="1835"/>
      </w:tblGrid>
      <w:tr>
        <w:trPr/>
        <w:tc>
          <w:tcPr>
            <w:tcW w:w="2690" w:type="dxa"/>
            <w:tcBorders>
              <w:bottom w:val="single" w:sz="12"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Type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35" w:type="dxa"/>
            <w:tcBorders>
              <w:bottom w:val="single" w:sz="12"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Years of Depreciation </w:t>
            </w:r>
          </w:p>
        </w:tc>
      </w:tr>
      <w:tr>
        <w:trPr/>
        <w:tc>
          <w:tcPr>
            <w:tcW w:w="26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hardware and software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66" w:name="xdx_90D_eus-gaap--PropertyPlantAndEquipm"/>
            <w:bookmarkEnd w:id="266"/>
            <w:r>
              <w:rPr>
                <w:rFonts w:ascii="Times New Roman;Times;Serif" w:hAnsi="Times New Roman;Times;Serif"/>
                <w:b w:val="false"/>
                <w:i w:val="false"/>
                <w:caps w:val="false"/>
                <w:smallCaps w:val="false"/>
                <w:sz w:val="20"/>
              </w:rPr>
              <w:t>3-</w:t>
            </w:r>
            <w:bookmarkStart w:id="267" w:name="xdx_90D_eus-gaap--PropertyPlantAndEquipm"/>
            <w:bookmarkEnd w:id="267"/>
            <w:r>
              <w:rPr>
                <w:rFonts w:ascii="Times New Roman;Times;Serif" w:hAnsi="Times New Roman;Times;Serif"/>
                <w:b w:val="false"/>
                <w:i w:val="false"/>
                <w:caps w:val="false"/>
                <w:smallCaps w:val="false"/>
                <w:sz w:val="20"/>
              </w:rPr>
              <w:t>5 years</w:t>
            </w:r>
          </w:p>
        </w:tc>
      </w:tr>
      <w:tr>
        <w:trPr/>
        <w:tc>
          <w:tcPr>
            <w:tcW w:w="26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Machinery and equipment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68" w:name="xdx_90B_eus-gaap--PropertyPlantAndEquipm"/>
            <w:bookmarkEnd w:id="268"/>
            <w:r>
              <w:rPr>
                <w:rFonts w:ascii="Times New Roman;Times;Serif" w:hAnsi="Times New Roman;Times;Serif"/>
                <w:b w:val="false"/>
                <w:i w:val="false"/>
                <w:caps w:val="false"/>
                <w:smallCaps w:val="false"/>
                <w:sz w:val="20"/>
              </w:rPr>
              <w:t>5 years</w:t>
            </w:r>
          </w:p>
        </w:tc>
      </w:tr>
    </w:tbl>
    <w:p>
      <w:pPr>
        <w:pStyle w:val="TextBody"/>
        <w:bidi w:val="0"/>
        <w:spacing w:before="0" w:after="0"/>
        <w:ind w:left="0" w:right="0" w:hanging="0"/>
        <w:jc w:val="both"/>
        <w:rPr>
          <w:caps w:val="false"/>
          <w:smallCaps w:val="false"/>
        </w:rPr>
      </w:pPr>
      <w:bookmarkStart w:id="269" w:name="xdx_8A6_z5LFjfV6fjgh"/>
      <w:bookmarkEnd w:id="2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assesses the carrying value of property and equipment whenever events or changes in circumstances indicate that the carrying value may not be recoverable. If there is an indication of impairment, management prepares an estimate of future cash flows expected to result from the use of the asset and its eventual disposition. If these cash flows are less than the carrying amount of the asset, an impairment loss is recognized to write down the asset to its estimated fair value. For the years ended December 31, 2023 and 2022, the Company determined there were </w:t>
      </w:r>
      <w:bookmarkStart w:id="270" w:name="xdx_909_eus-gaap--AssetImpairmentCharges"/>
      <w:bookmarkStart w:id="271" w:name="xdx_904_eus-gaap--AssetImpairmentCharges"/>
      <w:bookmarkEnd w:id="270"/>
      <w:bookmarkEnd w:id="271"/>
      <w:r>
        <w:rPr>
          <w:rFonts w:ascii="Times New Roman;Times;Serif" w:hAnsi="Times New Roman;Times;Serif"/>
          <w:b w:val="false"/>
          <w:i w:val="false"/>
          <w:caps w:val="false"/>
          <w:smallCaps w:val="false"/>
          <w:sz w:val="20"/>
        </w:rPr>
        <w:t>no indicators of impairment of its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2" w:name="xdx_863_zfxvoQ352gli"/>
      <w:bookmarkStart w:id="273" w:name="xdx_841_eus-gaap--GoodwillAndIntangibleA"/>
      <w:bookmarkEnd w:id="272"/>
      <w:bookmarkEnd w:id="273"/>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comprised of indefinite-lived brand names acquired, so classified because we anticipate that these brand names will contribute cash flows to the Company perpetually. Indefinite-lived intangible assets are not amortized but are assessed for impairment annually, or more frequently if events or circumstances indicate that assets might be impaired and evaluated annually to determine whether the indefinite useful life is appropriate. As part of our impairment test, we first assess qualitative factors to determine whether it is more likely than not the asset is impaired. If further testing is necessary, we compare the estimated fair value of our asset with its book value. If the carrying amount of the asset exceeds its fair value, as determined by its discounted cash flows, an impairment loss is recognized in an amount equal to that excess. For the years ended December 31, 2023 and 2022, the Company determined there was </w:t>
      </w:r>
      <w:bookmarkStart w:id="274" w:name="xdx_90F_eus-gaap--ImpairmentOfIntangible"/>
      <w:bookmarkStart w:id="275" w:name="xdx_901_eus-gaap--ImpairmentOfIntangible"/>
      <w:bookmarkEnd w:id="274"/>
      <w:bookmarkEnd w:id="275"/>
      <w:r>
        <w:rPr>
          <w:rFonts w:ascii="Times New Roman;Times;Serif" w:hAnsi="Times New Roman;Times;Serif"/>
          <w:b w:val="false"/>
          <w:i w:val="false"/>
          <w:caps w:val="false"/>
          <w:smallCaps w:val="false"/>
          <w:sz w:val="20"/>
        </w:rPr>
        <w:t>no impairment of its indefinite-lived brand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6" w:name="xdx_869_zgttITagNoZ6"/>
      <w:bookmarkStart w:id="277" w:name="xdx_846_eus-gaap--RevenueFromContractWit"/>
      <w:bookmarkEnd w:id="276"/>
      <w:bookmarkEnd w:id="277"/>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Revenue and costs of sales are recognized when control of the products transfers to our customer, which generally occurs upon 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 All of the Company’s products are offered for sale as finished goods only, and there are no performance obligations required post-shipment for customers to derive the expected value from them.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allow for returns, except for damaged products when the damage occurred pre-fulfilment.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8" w:name="xdx_864_zWb7GJJlT1M8"/>
      <w:bookmarkStart w:id="279" w:name="xdx_84E_eus-gaap--CostOfSalesPolicyTextB"/>
      <w:bookmarkEnd w:id="278"/>
      <w:bookmarkEnd w:id="279"/>
      <w:r>
        <w:rPr>
          <w:rFonts w:ascii="Times New Roman;Times;Serif" w:hAnsi="Times New Roman;Times;Serif"/>
          <w:b/>
          <w:i w:val="false"/>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is comprised of the costs of raw materials and packaging utilized in the manufacture of products, co-packing fees, repacking fees, in-bound freight charges, as well as certain internal transfer costs. Additionally, cost of goods sold includes direct production costs in excess of charges allocated to finished goods in production. Charges for labor and overhead allocated to finished goods are determined on a market cost basis, which may be lower than the actual costs incurred. Plant costs in excess of production allocations are expensed in the period incurred rather than added to the cost of finished goods produced. Expenses not related to the production of our products are classified as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0" w:name="xdx_86D_zCKN16BJuMB1"/>
      <w:bookmarkStart w:id="281" w:name="xdx_846_ecustom--DeliveryAndHandlingExpe"/>
      <w:bookmarkEnd w:id="280"/>
      <w:bookmarkEnd w:id="281"/>
      <w:r>
        <w:rPr>
          <w:rFonts w:ascii="Times New Roman;Times;Serif" w:hAnsi="Times New Roman;Times;Serif"/>
          <w:b/>
          <w:i w:val="false"/>
          <w:caps w:val="false"/>
          <w:smallCaps w:val="false"/>
          <w:sz w:val="20"/>
        </w:rPr>
        <w:t>Delivery and Handling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costs are comprised of purchasing and receiving, inspection, warehousing, transfer freight, and other costs associated with product distribution after manufacture and are included as part of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2" w:name="xdx_86C_zcMjvv2KhbSk"/>
      <w:bookmarkStart w:id="283" w:name="xdx_84D_eus-gaap--AdvertisingCostsPolicy"/>
      <w:bookmarkEnd w:id="282"/>
      <w:bookmarkEnd w:id="283"/>
      <w:r>
        <w:rPr>
          <w:rFonts w:ascii="Times New Roman;Times;Serif" w:hAnsi="Times New Roman;Times;Serif"/>
          <w:b/>
          <w:i w:val="false"/>
          <w:caps w:val="false"/>
          <w:smallCaps w:val="false"/>
          <w:sz w:val="20"/>
        </w:rPr>
        <w:t>Advertising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and are included in selling and marketing expense. Advertising costs aggregated $</w:t>
      </w:r>
      <w:bookmarkStart w:id="284" w:name="xdx_909_eus-gaap--AdvertisingExpense_pn3"/>
      <w:bookmarkEnd w:id="284"/>
      <w:r>
        <w:rPr>
          <w:rFonts w:ascii="Times New Roman;Times;Serif" w:hAnsi="Times New Roman;Times;Serif"/>
          <w:b w:val="false"/>
          <w:i w:val="false"/>
          <w:caps w:val="false"/>
          <w:smallCaps w:val="false"/>
          <w:sz w:val="20"/>
        </w:rPr>
        <w:t>24 and $</w:t>
      </w:r>
      <w:bookmarkStart w:id="285" w:name="xdx_90E_eus-gaap--AdvertisingExpense_pn3"/>
      <w:bookmarkEnd w:id="285"/>
      <w:r>
        <w:rPr>
          <w:rFonts w:ascii="Times New Roman;Times;Serif" w:hAnsi="Times New Roman;Times;Serif"/>
          <w:b w:val="false"/>
          <w:i w:val="false"/>
          <w:caps w:val="false"/>
          <w:smallCaps w:val="false"/>
          <w:sz w:val="20"/>
        </w:rPr>
        <w:t>668 for the years ended December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6" w:name="xdx_864_z0PNUj9m3dY"/>
      <w:bookmarkStart w:id="287" w:name="xdx_84B_eus-gaap--ShareBasedCompensation"/>
      <w:bookmarkEnd w:id="286"/>
      <w:bookmarkEnd w:id="287"/>
      <w:r>
        <w:rPr>
          <w:rFonts w:ascii="Times New Roman;Times;Serif" w:hAnsi="Times New Roman;Times;Serif"/>
          <w:b/>
          <w:i w:val="false"/>
          <w:caps w:val="false"/>
          <w:smallCaps w:val="false"/>
          <w:sz w:val="20"/>
        </w:rPr>
        <w:t>Stock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8" w:name="xdx_860_z3Avlm4c75Tg"/>
      <w:bookmarkStart w:id="289" w:name="xdx_84E_eus-gaap--IncomeTaxPolicyTextBlo"/>
      <w:bookmarkEnd w:id="288"/>
      <w:bookmarkEnd w:id="289"/>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an asset and liability approach for accounting and reporting for income taxes that allows recognition and measurement of deferred tax assets based upon the likelihood of realization of tax benefits in future years. Under the asset and liability approach, deferred taxes are provided for the net tax effects of temporary differences between the carrying amounts of assets and liabilities for financial reporting purposes and the amounts used for income tax purposes. A valuation allowance is provided for deferred tax assets if it is more likely than not these items will either expire before the Company is able to realize their benefits, or that future deductibility is uncertain. The Company’s policy is to recognize interest and/or penalties related to income tax matters in income tax expense.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0" w:name="xdx_86B_zK7cVYkga1J8"/>
      <w:bookmarkStart w:id="291" w:name="xdx_84F_eus-gaap--EarningsPerSharePolicy"/>
      <w:bookmarkEnd w:id="290"/>
      <w:bookmarkEnd w:id="291"/>
      <w:r>
        <w:rPr>
          <w:rFonts w:ascii="Times New Roman;Times;Serif" w:hAnsi="Times New Roman;Times;Serif"/>
          <w:b/>
          <w:i w:val="false"/>
          <w:caps w:val="false"/>
          <w:smallCaps w:val="false"/>
          <w:sz w:val="20"/>
        </w:rPr>
        <w:t>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is computed by dividing the net income (loss) applicable to common stockholders by the weighted average number of shares of common stock outstanding during the year.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and 2022, the calculations of basic and diluted loss per share are the same because potential dilutive securities would have had an anti-dilutive effect. The potentially dilutive securities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2" w:name="xdx_8BC_zFpouhSzWYEh"/>
      <w:bookmarkStart w:id="293" w:name="xdx_893_eus-gaap--ScheduleOfAntidilutive"/>
      <w:bookmarkEnd w:id="292"/>
      <w:bookmarkEnd w:id="293"/>
      <w:r>
        <w:rPr>
          <w:rFonts w:ascii="Times New Roman;Times;Serif" w:hAnsi="Times New Roman;Times;Serif"/>
          <w:b w:val="false"/>
          <w:i w:val="false"/>
          <w:caps w:val="false"/>
          <w:smallCaps w:val="false"/>
          <w:sz w:val="20"/>
        </w:rPr>
        <w:t>Schedule of Potentially Dilutive Securities</w:t>
      </w:r>
    </w:p>
    <w:tbl>
      <w:tblPr>
        <w:tblW w:w="10205" w:type="dxa"/>
        <w:jc w:val="left"/>
        <w:tblInd w:w="0" w:type="dxa"/>
        <w:tblLayout w:type="fixed"/>
        <w:tblCellMar>
          <w:top w:w="0" w:type="dxa"/>
          <w:left w:w="0" w:type="dxa"/>
          <w:bottom w:w="0" w:type="dxa"/>
          <w:right w:w="0" w:type="dxa"/>
        </w:tblCellMar>
      </w:tblPr>
      <w:tblGrid>
        <w:gridCol w:w="6118"/>
        <w:gridCol w:w="60"/>
        <w:gridCol w:w="108"/>
        <w:gridCol w:w="1806"/>
        <w:gridCol w:w="60"/>
        <w:gridCol w:w="60"/>
        <w:gridCol w:w="108"/>
        <w:gridCol w:w="1806"/>
        <w:gridCol w:w="79"/>
      </w:tblGrid>
      <w:tr>
        <w:trPr/>
        <w:tc>
          <w:tcPr>
            <w:tcW w:w="61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4" w:name="xdx_492_20230101__20231231_zWW6G8hwRsF3"/>
            <w:bookmarkEnd w:id="294"/>
          </w:p>
        </w:tc>
        <w:tc>
          <w:tcPr>
            <w:tcW w:w="19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5" w:name="xdx_492_20220101__20221231_zFoO9BEC1ekg"/>
            <w:bookmarkEnd w:id="295"/>
          </w:p>
        </w:tc>
        <w:tc>
          <w:tcPr>
            <w:tcW w:w="19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79" w:type="dxa"/>
            <w:tcBorders/>
            <w:vAlign w:val="center"/>
          </w:tcPr>
          <w:p>
            <w:pPr>
              <w:pStyle w:val="TableContents"/>
              <w:bidi w:val="0"/>
              <w:spacing w:before="0" w:after="283"/>
              <w:jc w:val="left"/>
              <w:rPr/>
            </w:pPr>
            <w:r>
              <w:rPr/>
              <w:t> </w:t>
            </w:r>
            <w:bookmarkStart w:id="296" w:name="xdx_403_eus-gaap--AntidilutiveSecurities"/>
            <w:bookmarkEnd w:id="296"/>
          </w:p>
        </w:tc>
      </w:tr>
      <w:tr>
        <w:trPr/>
        <w:tc>
          <w:tcPr>
            <w:tcW w:w="6118"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806" w:type="dxa"/>
            <w:tcBorders/>
            <w:shd w:fill="CCEEFF" w:val="clear"/>
            <w:vAlign w:val="center"/>
          </w:tcPr>
          <w:p>
            <w:pPr>
              <w:pStyle w:val="TableContents"/>
              <w:bidi w:val="0"/>
              <w:spacing w:before="0" w:after="283"/>
              <w:jc w:val="right"/>
              <w:rPr/>
            </w:pPr>
            <w:r>
              <w:rPr/>
              <w:t>549,292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806" w:type="dxa"/>
            <w:tcBorders/>
            <w:shd w:fill="CCEEFF" w:val="clear"/>
            <w:vAlign w:val="center"/>
          </w:tcPr>
          <w:p>
            <w:pPr>
              <w:pStyle w:val="TableContents"/>
              <w:bidi w:val="0"/>
              <w:spacing w:before="0" w:after="283"/>
              <w:jc w:val="right"/>
              <w:rPr/>
            </w:pPr>
            <w:r>
              <w:rPr/>
              <w:t>235,946</w:t>
            </w:r>
          </w:p>
        </w:tc>
        <w:tc>
          <w:tcPr>
            <w:tcW w:w="79" w:type="dxa"/>
            <w:tcBorders/>
            <w:shd w:fill="CCEEFF" w:val="clear"/>
            <w:vAlign w:val="center"/>
          </w:tcPr>
          <w:p>
            <w:pPr>
              <w:pStyle w:val="TableContents"/>
              <w:bidi w:val="0"/>
              <w:spacing w:before="0" w:after="283"/>
              <w:jc w:val="left"/>
              <w:rPr/>
            </w:pPr>
            <w:r>
              <w:rPr/>
              <w:t> </w:t>
            </w:r>
            <w:bookmarkStart w:id="297" w:name="xdx_403_eus-gaap--AntidilutiveSecurities"/>
            <w:bookmarkEnd w:id="297"/>
          </w:p>
        </w:tc>
      </w:tr>
      <w:tr>
        <w:trPr/>
        <w:tc>
          <w:tcPr>
            <w:tcW w:w="6118" w:type="dxa"/>
            <w:tcBorders/>
            <w:shd w:fill="FFFFFF" w:val="clear"/>
            <w:vAlign w:val="center"/>
          </w:tcPr>
          <w:p>
            <w:pPr>
              <w:pStyle w:val="TableContents"/>
              <w:bidi w:val="0"/>
              <w:spacing w:before="0" w:after="283"/>
              <w:jc w:val="left"/>
              <w:rPr/>
            </w:pPr>
            <w:r>
              <w:rPr/>
              <w:t>Common stock equivalent of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806" w:type="dxa"/>
            <w:tcBorders/>
            <w:shd w:fill="FFFFFF" w:val="clear"/>
            <w:vAlign w:val="center"/>
          </w:tcPr>
          <w:p>
            <w:pPr>
              <w:pStyle w:val="TableContents"/>
              <w:bidi w:val="0"/>
              <w:spacing w:before="0" w:after="283"/>
              <w:jc w:val="right"/>
              <w:rPr/>
            </w:pPr>
            <w:r>
              <w:rPr/>
              <w:t>753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806" w:type="dxa"/>
            <w:tcBorders/>
            <w:shd w:fill="FFFFFF" w:val="clear"/>
            <w:vAlign w:val="center"/>
          </w:tcPr>
          <w:p>
            <w:pPr>
              <w:pStyle w:val="TableContents"/>
              <w:bidi w:val="0"/>
              <w:spacing w:before="0" w:after="283"/>
              <w:jc w:val="right"/>
              <w:rPr/>
            </w:pPr>
            <w:r>
              <w:rPr/>
              <w:t>753</w:t>
            </w:r>
          </w:p>
        </w:tc>
        <w:tc>
          <w:tcPr>
            <w:tcW w:w="79" w:type="dxa"/>
            <w:tcBorders/>
            <w:shd w:fill="FFFFFF" w:val="clear"/>
            <w:vAlign w:val="center"/>
          </w:tcPr>
          <w:p>
            <w:pPr>
              <w:pStyle w:val="TableContents"/>
              <w:bidi w:val="0"/>
              <w:spacing w:before="0" w:after="283"/>
              <w:jc w:val="left"/>
              <w:rPr/>
            </w:pPr>
            <w:r>
              <w:rPr/>
              <w:t> </w:t>
            </w:r>
            <w:bookmarkStart w:id="298" w:name="xdx_406_eus-gaap--AntidilutiveSecurities"/>
            <w:bookmarkEnd w:id="298"/>
          </w:p>
        </w:tc>
      </w:tr>
      <w:tr>
        <w:trPr/>
        <w:tc>
          <w:tcPr>
            <w:tcW w:w="6118" w:type="dxa"/>
            <w:tcBorders/>
            <w:shd w:fill="CCEEFF" w:val="clear"/>
            <w:vAlign w:val="center"/>
          </w:tcPr>
          <w:p>
            <w:pPr>
              <w:pStyle w:val="TableContents"/>
              <w:bidi w:val="0"/>
              <w:spacing w:before="0" w:after="283"/>
              <w:jc w:val="left"/>
              <w:rPr/>
            </w:pPr>
            <w:r>
              <w:rPr/>
              <w:t>Convertible note payable</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806" w:type="dxa"/>
            <w:tcBorders/>
            <w:shd w:fill="CCEEFF" w:val="clear"/>
            <w:vAlign w:val="center"/>
          </w:tcPr>
          <w:p>
            <w:pPr>
              <w:pStyle w:val="TableContents"/>
              <w:bidi w:val="0"/>
              <w:spacing w:before="0" w:after="283"/>
              <w:jc w:val="right"/>
              <w:rPr/>
            </w:pPr>
            <w:r>
              <w:rPr/>
              <w:t>1,514,055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806" w:type="dxa"/>
            <w:tcBorders/>
            <w:shd w:fill="CCEEFF" w:val="clear"/>
            <w:vAlign w:val="center"/>
          </w:tcPr>
          <w:p>
            <w:pPr>
              <w:pStyle w:val="TableContents"/>
              <w:bidi w:val="0"/>
              <w:spacing w:before="0" w:after="283"/>
              <w:jc w:val="right"/>
              <w:rPr/>
            </w:pPr>
            <w:r>
              <w:rPr/>
              <w:t>955,363</w:t>
            </w:r>
          </w:p>
        </w:tc>
        <w:tc>
          <w:tcPr>
            <w:tcW w:w="79" w:type="dxa"/>
            <w:tcBorders/>
            <w:shd w:fill="CCEEFF" w:val="clear"/>
            <w:vAlign w:val="center"/>
          </w:tcPr>
          <w:p>
            <w:pPr>
              <w:pStyle w:val="TableContents"/>
              <w:bidi w:val="0"/>
              <w:spacing w:before="0" w:after="283"/>
              <w:jc w:val="left"/>
              <w:rPr/>
            </w:pPr>
            <w:r>
              <w:rPr/>
              <w:t> </w:t>
            </w:r>
            <w:bookmarkStart w:id="299" w:name="xdx_403_eus-gaap--AntidilutiveSecurities"/>
            <w:bookmarkEnd w:id="299"/>
          </w:p>
        </w:tc>
      </w:tr>
      <w:tr>
        <w:trPr/>
        <w:tc>
          <w:tcPr>
            <w:tcW w:w="6118" w:type="dxa"/>
            <w:tcBorders/>
            <w:shd w:fill="FFFFFF" w:val="clear"/>
            <w:vAlign w:val="center"/>
          </w:tcPr>
          <w:p>
            <w:pPr>
              <w:pStyle w:val="TableContents"/>
              <w:bidi w:val="0"/>
              <w:spacing w:before="0" w:after="283"/>
              <w:jc w:val="left"/>
              <w:rPr/>
            </w:pPr>
            <w:r>
              <w:rPr/>
              <w:t>Unvested restricted common stock</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80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806" w:type="dxa"/>
            <w:tcBorders/>
            <w:shd w:fill="FFFFFF" w:val="clear"/>
            <w:vAlign w:val="center"/>
          </w:tcPr>
          <w:p>
            <w:pPr>
              <w:pStyle w:val="TableContents"/>
              <w:bidi w:val="0"/>
              <w:spacing w:before="0" w:after="283"/>
              <w:jc w:val="right"/>
              <w:rPr/>
            </w:pPr>
            <w:r>
              <w:rPr/>
              <w:t>1,460</w:t>
            </w:r>
          </w:p>
        </w:tc>
        <w:tc>
          <w:tcPr>
            <w:tcW w:w="79" w:type="dxa"/>
            <w:tcBorders/>
            <w:shd w:fill="FFFFFF" w:val="clear"/>
            <w:vAlign w:val="center"/>
          </w:tcPr>
          <w:p>
            <w:pPr>
              <w:pStyle w:val="TableContents"/>
              <w:bidi w:val="0"/>
              <w:spacing w:before="0" w:after="283"/>
              <w:jc w:val="left"/>
              <w:rPr/>
            </w:pPr>
            <w:r>
              <w:rPr/>
              <w:t> </w:t>
            </w:r>
            <w:bookmarkStart w:id="300" w:name="xdx_409_eus-gaap--AntidilutiveSecurities"/>
            <w:bookmarkEnd w:id="300"/>
          </w:p>
        </w:tc>
      </w:tr>
      <w:tr>
        <w:trPr/>
        <w:tc>
          <w:tcPr>
            <w:tcW w:w="6118" w:type="dxa"/>
            <w:tcBorders/>
            <w:shd w:fill="CCEEFF" w:val="clear"/>
            <w:vAlign w:val="center"/>
          </w:tcPr>
          <w:p>
            <w:pPr>
              <w:pStyle w:val="TableContents"/>
              <w:bidi w:val="0"/>
              <w:spacing w:before="0" w:after="283"/>
              <w:jc w:val="left"/>
              <w:rPr/>
            </w:pPr>
            <w:r>
              <w:rPr/>
              <w:t>Options</w:t>
            </w:r>
          </w:p>
        </w:tc>
        <w:tc>
          <w:tcPr>
            <w:tcW w:w="60" w:type="dxa"/>
            <w:tcBorders/>
            <w:shd w:fill="CCEEFF" w:val="cle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06" w:type="dxa"/>
            <w:tcBorders>
              <w:bottom w:val="single" w:sz="12" w:space="0" w:color="000000"/>
            </w:tcBorders>
            <w:shd w:fill="CCEEFF" w:val="clear"/>
            <w:tcMar>
              <w:bottom w:w="28" w:type="dxa"/>
            </w:tcMar>
            <w:vAlign w:val="center"/>
          </w:tcPr>
          <w:p>
            <w:pPr>
              <w:pStyle w:val="TableContents"/>
              <w:bidi w:val="0"/>
              <w:spacing w:before="0" w:after="283"/>
              <w:jc w:val="right"/>
              <w:rPr/>
            </w:pPr>
            <w:r>
              <w:rPr/>
              <w:t>145,012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06" w:type="dxa"/>
            <w:tcBorders>
              <w:bottom w:val="single" w:sz="12" w:space="0" w:color="000000"/>
            </w:tcBorders>
            <w:shd w:fill="CCEEFF" w:val="clear"/>
            <w:tcMar>
              <w:bottom w:w="28" w:type="dxa"/>
            </w:tcMar>
            <w:vAlign w:val="center"/>
          </w:tcPr>
          <w:p>
            <w:pPr>
              <w:pStyle w:val="TableContents"/>
              <w:bidi w:val="0"/>
              <w:spacing w:before="0" w:after="283"/>
              <w:jc w:val="right"/>
              <w:rPr/>
            </w:pPr>
            <w:r>
              <w:rPr/>
              <w:t>164,423</w:t>
            </w:r>
          </w:p>
        </w:tc>
        <w:tc>
          <w:tcPr>
            <w:tcW w:w="79" w:type="dxa"/>
            <w:tcBorders/>
            <w:shd w:fill="CCEEFF" w:val="clear"/>
            <w:vAlign w:val="center"/>
          </w:tcPr>
          <w:p>
            <w:pPr>
              <w:pStyle w:val="TableContents"/>
              <w:bidi w:val="0"/>
              <w:spacing w:before="0" w:after="283"/>
              <w:jc w:val="left"/>
              <w:rPr/>
            </w:pPr>
            <w:r>
              <w:rPr/>
              <w:t> </w:t>
            </w:r>
            <w:bookmarkStart w:id="301" w:name="xdx_409_eus-gaap--AntidilutiveSecurities"/>
            <w:bookmarkEnd w:id="301"/>
          </w:p>
        </w:tc>
      </w:tr>
      <w:tr>
        <w:trPr/>
        <w:tc>
          <w:tcPr>
            <w:tcW w:w="6118"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06" w:type="dxa"/>
            <w:tcBorders>
              <w:bottom w:val="double" w:sz="6" w:space="0" w:color="000000"/>
            </w:tcBorders>
            <w:shd w:fill="FFFFFF" w:val="clear"/>
            <w:tcMar>
              <w:bottom w:w="28" w:type="dxa"/>
            </w:tcMar>
            <w:vAlign w:val="center"/>
          </w:tcPr>
          <w:p>
            <w:pPr>
              <w:pStyle w:val="TableContents"/>
              <w:bidi w:val="0"/>
              <w:spacing w:before="0" w:after="283"/>
              <w:jc w:val="right"/>
              <w:rPr/>
            </w:pPr>
            <w:r>
              <w:rPr/>
              <w:t>2,209,112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06" w:type="dxa"/>
            <w:tcBorders>
              <w:bottom w:val="double" w:sz="6" w:space="0" w:color="000000"/>
            </w:tcBorders>
            <w:shd w:fill="FFFFFF" w:val="clear"/>
            <w:tcMar>
              <w:bottom w:w="28" w:type="dxa"/>
            </w:tcMar>
            <w:vAlign w:val="center"/>
          </w:tcPr>
          <w:p>
            <w:pPr>
              <w:pStyle w:val="TableContents"/>
              <w:bidi w:val="0"/>
              <w:spacing w:before="0" w:after="283"/>
              <w:jc w:val="right"/>
              <w:rPr/>
            </w:pPr>
            <w:r>
              <w:rPr/>
              <w:t>1,357,945</w:t>
            </w:r>
          </w:p>
        </w:tc>
        <w:tc>
          <w:tcPr>
            <w:tcW w:w="79" w:type="dxa"/>
            <w:tcBorders/>
            <w:shd w:fill="FFFFFF" w:val="clear"/>
            <w:vAlign w:val="center"/>
          </w:tcPr>
          <w:p>
            <w:pPr>
              <w:pStyle w:val="TableContents"/>
              <w:bidi w:val="0"/>
              <w:spacing w:before="0" w:after="283"/>
              <w:jc w:val="left"/>
              <w:rPr/>
            </w:pPr>
            <w:r>
              <w:rPr/>
              <w:t> </w:t>
            </w:r>
            <w:bookmarkStart w:id="302" w:name="xdx_407_eus-gaap--AntidilutiveSecurities"/>
            <w:bookmarkEnd w:id="302"/>
          </w:p>
        </w:tc>
      </w:tr>
      <w:tr>
        <w:trPr/>
        <w:tc>
          <w:tcPr>
            <w:tcW w:w="6118" w:type="dxa"/>
            <w:tcBorders/>
            <w:shd w:fill="FFFFFF" w:val="clear"/>
            <w:vAlign w:val="center"/>
          </w:tcPr>
          <w:p>
            <w:pPr>
              <w:pStyle w:val="TableContents"/>
              <w:bidi w:val="0"/>
              <w:spacing w:before="0" w:after="283"/>
              <w:jc w:val="left"/>
              <w:rPr/>
            </w:pPr>
            <w:r>
              <w:rPr/>
              <w:t>Anti-dilutive Securities</w:t>
            </w:r>
          </w:p>
        </w:tc>
        <w:tc>
          <w:tcPr>
            <w:tcW w:w="60" w:type="dxa"/>
            <w:tcBorders/>
            <w:shd w:fill="FFFFFF" w:val="clear"/>
            <w:vAlign w:val="center"/>
          </w:tcPr>
          <w:p>
            <w:pPr>
              <w:pStyle w:val="TableContents"/>
              <w:bidi w:val="0"/>
              <w:spacing w:before="0" w:after="283"/>
              <w:jc w:val="left"/>
              <w:rPr/>
            </w:pPr>
            <w:r>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06" w:type="dxa"/>
            <w:tcBorders>
              <w:bottom w:val="double" w:sz="6" w:space="0" w:color="000000"/>
            </w:tcBorders>
            <w:shd w:fill="FFFFFF" w:val="clear"/>
            <w:tcMar>
              <w:bottom w:w="28" w:type="dxa"/>
            </w:tcMar>
            <w:vAlign w:val="center"/>
          </w:tcPr>
          <w:p>
            <w:pPr>
              <w:pStyle w:val="TableContents"/>
              <w:bidi w:val="0"/>
              <w:spacing w:before="0" w:after="283"/>
              <w:jc w:val="right"/>
              <w:rPr/>
            </w:pPr>
            <w:r>
              <w:rPr/>
              <w:t>2,209,112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06" w:type="dxa"/>
            <w:tcBorders>
              <w:bottom w:val="double" w:sz="6" w:space="0" w:color="000000"/>
            </w:tcBorders>
            <w:shd w:fill="FFFFFF" w:val="clear"/>
            <w:tcMar>
              <w:bottom w:w="28" w:type="dxa"/>
            </w:tcMar>
            <w:vAlign w:val="center"/>
          </w:tcPr>
          <w:p>
            <w:pPr>
              <w:pStyle w:val="TableContents"/>
              <w:bidi w:val="0"/>
              <w:spacing w:before="0" w:after="283"/>
              <w:jc w:val="right"/>
              <w:rPr/>
            </w:pPr>
            <w:r>
              <w:rPr/>
              <w:t>1,357,945</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03" w:name="xdx_8A7_z5xQ0WicY8ck"/>
      <w:bookmarkEnd w:id="30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4" w:name="xdx_90E_eus-gaap--ConvertiblePreferredSt"/>
      <w:bookmarkEnd w:id="304"/>
      <w:r>
        <w:rPr>
          <w:rFonts w:ascii="Times New Roman;Times;Serif" w:hAnsi="Times New Roman;Times;Serif"/>
          <w:b w:val="false"/>
          <w:i w:val="false"/>
          <w:caps w:val="false"/>
          <w:smallCaps w:val="false"/>
          <w:sz w:val="20"/>
        </w:rPr>
        <w:t>The Series A Convertible Preferred Stock is convertible into Common shares at the rate of 1:0.08.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5" w:name="xdx_867_zLJxWi0KGPR2"/>
      <w:bookmarkStart w:id="306" w:name="xdx_845_eus-gaap--FairValueOfFinancialIn"/>
      <w:bookmarkEnd w:id="305"/>
      <w:bookmarkEnd w:id="306"/>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Accounting Standards Codification Section 820 defines the following levels of subjectivity associated with the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or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2—Inputs, other than the quoted prices in active markets, that are observable either directly or indirectly.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3—Unobservable inputs in which there is little or no market data for the asset or liability which requires the Company to develop its own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 carrying amounts of certain financial instruments, including cash and cash equivalents, accounts receivable, short-term bank loans, accounts payable, notes payable and other payables, approximate their fair values because of the short term nature of such instruments. The carrying values of capital lease obligations and long-term financing obligations approximate their fair values because interest rates on these obligations are based on prevailing market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7" w:name="xdx_862_zBepGPIfDjV"/>
      <w:bookmarkStart w:id="308" w:name="xdx_847_eus-gaap--SegmentReportingPolicy"/>
      <w:bookmarkEnd w:id="307"/>
      <w:bookmarkEnd w:id="308"/>
      <w:r>
        <w:rPr>
          <w:rFonts w:ascii="Times New Roman;Times;Serif" w:hAnsi="Times New Roman;Times;Serif"/>
          <w:b/>
          <w:i w:val="false"/>
          <w:caps w:val="false"/>
          <w:smallCaps w:val="false"/>
          <w:sz w:val="20"/>
        </w:rPr>
        <w:t>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280, Segment Reporting, operating segments are defined as components of an enterprise where discrete financial information is available that is evaluated regularly by the chief operating decision maker (“CODM”), in deciding how to allocate resources and in assessing performance. The Company has one component. Therefore, the Company’s Chief Executive Officer, who is also the CODM, makes decisions and manages the Company’s operations as a single operating segment for the manufacture and distribution of its products.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9" w:name="xdx_86E_zqHJFyG0W4O9"/>
      <w:bookmarkStart w:id="310" w:name="xdx_849_eus-gaap--ConcentrationRiskCredi"/>
      <w:bookmarkEnd w:id="309"/>
      <w:bookmarkEnd w:id="310"/>
      <w:r>
        <w:rPr>
          <w:rFonts w:ascii="Times New Roman;Times;Serif" w:hAnsi="Times New Roman;Times;Serif"/>
          <w:b/>
          <w:i w:val="false"/>
          <w:caps w:val="false"/>
          <w:smallCaps w:val="false"/>
          <w:sz w:val="20"/>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balances on deposit with banks are guaranteed by the Federal Deposit Insurance Corporation (FDIC) up to $</w:t>
      </w:r>
      <w:bookmarkStart w:id="311" w:name="xdx_901_eus-gaap--CashFDICInsuredAmount_"/>
      <w:bookmarkEnd w:id="311"/>
      <w:r>
        <w:rPr>
          <w:rFonts w:ascii="Times New Roman;Times;Serif" w:hAnsi="Times New Roman;Times;Serif"/>
          <w:b w:val="false"/>
          <w:i w:val="false"/>
          <w:caps w:val="false"/>
          <w:smallCaps w:val="false"/>
          <w:sz w:val="20"/>
        </w:rPr>
        <w:t>250. Generally, the Company’s policy is to minimize borrowing costs by immediately applying cash receipts to borrowings against its credit facility. From time to time, however, the Company may be exposed to risk for the amounts of funds held in bank accounts in excess of the FDIC limit. To minimize the risk, the Company’s policy is to maintain cash balances with high quality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sales.</w:t>
      </w:r>
      <w:r>
        <w:rPr>
          <w:rFonts w:ascii="Times New Roman;Times;Serif" w:hAnsi="Times New Roman;Times;Serif"/>
          <w:b w:val="false"/>
          <w:i w:val="false"/>
          <w:caps w:val="false"/>
          <w:smallCaps w:val="false"/>
          <w:sz w:val="20"/>
        </w:rPr>
        <w:t xml:space="preserve"> During the year ended December 31, 2023, the Company’s largest two customers accounted for </w:t>
      </w:r>
      <w:bookmarkStart w:id="312" w:name="xdx_90F_eus-gaap--ConcentrationRiskPerce"/>
      <w:bookmarkEnd w:id="312"/>
      <w:r>
        <w:rPr>
          <w:rFonts w:ascii="Times New Roman;Times;Serif" w:hAnsi="Times New Roman;Times;Serif"/>
          <w:b w:val="false"/>
          <w:i w:val="false"/>
          <w:caps w:val="false"/>
          <w:smallCaps w:val="false"/>
          <w:sz w:val="20"/>
        </w:rPr>
        <w:t xml:space="preserve">24% and </w:t>
      </w:r>
      <w:bookmarkStart w:id="313" w:name="xdx_901_eus-gaap--ConcentrationRiskPerce"/>
      <w:bookmarkEnd w:id="313"/>
      <w:r>
        <w:rPr>
          <w:rFonts w:ascii="Times New Roman;Times;Serif" w:hAnsi="Times New Roman;Times;Serif"/>
          <w:b w:val="false"/>
          <w:i w:val="false"/>
          <w:caps w:val="false"/>
          <w:smallCaps w:val="false"/>
          <w:sz w:val="20"/>
        </w:rPr>
        <w:t xml:space="preserve">15% of gross sales, respectively. During the year ended December 31, 2022, the Company’s largest two customers accounted for </w:t>
      </w:r>
      <w:bookmarkStart w:id="314" w:name="xdx_901_eus-gaap--ConcentrationRiskPerce"/>
      <w:bookmarkEnd w:id="314"/>
      <w:r>
        <w:rPr>
          <w:rFonts w:ascii="Times New Roman;Times;Serif" w:hAnsi="Times New Roman;Times;Serif"/>
          <w:b w:val="false"/>
          <w:i w:val="false"/>
          <w:caps w:val="false"/>
          <w:smallCaps w:val="false"/>
          <w:sz w:val="20"/>
        </w:rPr>
        <w:t xml:space="preserve">17% and </w:t>
      </w:r>
      <w:bookmarkStart w:id="315" w:name="xdx_90F_eus-gaap--ConcentrationRiskPerce"/>
      <w:bookmarkEnd w:id="315"/>
      <w:r>
        <w:rPr>
          <w:rFonts w:ascii="Times New Roman;Times;Serif" w:hAnsi="Times New Roman;Times;Serif"/>
          <w:b w:val="false"/>
          <w:i w:val="false"/>
          <w:caps w:val="false"/>
          <w:smallCaps w:val="false"/>
          <w:sz w:val="20"/>
        </w:rPr>
        <w:t>16% of gross sales, respectively. For the years ending December 31, 2023 or 2022, no other customer accounted for more than 10%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receivable.</w:t>
      </w:r>
      <w:r>
        <w:rPr>
          <w:rFonts w:ascii="Times New Roman;Times;Serif" w:hAnsi="Times New Roman;Times;Serif"/>
          <w:b w:val="false"/>
          <w:i w:val="false"/>
          <w:caps w:val="false"/>
          <w:smallCaps w:val="false"/>
          <w:sz w:val="20"/>
        </w:rPr>
        <w:t xml:space="preserve"> As of December 31, 2023, the Company had accounts receivable from three customers which comprised </w:t>
      </w:r>
      <w:bookmarkStart w:id="316" w:name="xdx_907_eus-gaap--ConcentrationRiskPerce"/>
      <w:bookmarkEnd w:id="316"/>
      <w:r>
        <w:rPr>
          <w:rFonts w:ascii="Times New Roman;Times;Serif" w:hAnsi="Times New Roman;Times;Serif"/>
          <w:b w:val="false"/>
          <w:i w:val="false"/>
          <w:caps w:val="false"/>
          <w:smallCaps w:val="false"/>
          <w:sz w:val="20"/>
        </w:rPr>
        <w:t xml:space="preserve">24%, </w:t>
      </w:r>
      <w:bookmarkStart w:id="317" w:name="xdx_909_eus-gaap--ConcentrationRiskPerce"/>
      <w:bookmarkEnd w:id="317"/>
      <w:r>
        <w:rPr>
          <w:rFonts w:ascii="Times New Roman;Times;Serif" w:hAnsi="Times New Roman;Times;Serif"/>
          <w:b w:val="false"/>
          <w:i w:val="false"/>
          <w:caps w:val="false"/>
          <w:smallCaps w:val="false"/>
          <w:sz w:val="20"/>
        </w:rPr>
        <w:t xml:space="preserve">15% and </w:t>
      </w:r>
      <w:bookmarkStart w:id="318" w:name="xdx_905_eus-gaap--ConcentrationRiskPerce"/>
      <w:bookmarkEnd w:id="318"/>
      <w:r>
        <w:rPr>
          <w:rFonts w:ascii="Times New Roman;Times;Serif" w:hAnsi="Times New Roman;Times;Serif"/>
          <w:b w:val="false"/>
          <w:i w:val="false"/>
          <w:caps w:val="false"/>
          <w:smallCaps w:val="false"/>
          <w:sz w:val="20"/>
        </w:rPr>
        <w:t xml:space="preserve">11% of its gross accounts receivable, respectively. As of December 31, 2022, the Company had accounts receivable from two customers which comprised </w:t>
      </w:r>
      <w:bookmarkStart w:id="319" w:name="xdx_907_eus-gaap--ConcentrationRiskPerce"/>
      <w:bookmarkEnd w:id="319"/>
      <w:r>
        <w:rPr>
          <w:rFonts w:ascii="Times New Roman;Times;Serif" w:hAnsi="Times New Roman;Times;Serif"/>
          <w:b w:val="false"/>
          <w:i w:val="false"/>
          <w:caps w:val="false"/>
          <w:smallCaps w:val="false"/>
          <w:sz w:val="20"/>
        </w:rPr>
        <w:t xml:space="preserve">19% and </w:t>
      </w:r>
      <w:bookmarkStart w:id="320" w:name="xdx_90F_eus-gaap--ConcentrationRiskPerce"/>
      <w:bookmarkEnd w:id="320"/>
      <w:r>
        <w:rPr>
          <w:rFonts w:ascii="Times New Roman;Times;Serif" w:hAnsi="Times New Roman;Times;Serif"/>
          <w:b w:val="false"/>
          <w:i w:val="false"/>
          <w:caps w:val="false"/>
          <w:smallCaps w:val="false"/>
          <w:sz w:val="20"/>
        </w:rPr>
        <w:t>11% of its gross accounts receivable, respectively. At December 31, 2023 or 2022, no other customers accounted for more than 10% of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Company utilizes co-packers to produce 100% of its products.</w:t>
      </w:r>
      <w:r>
        <w:rPr>
          <w:rFonts w:ascii="Times New Roman;Times;Serif" w:hAnsi="Times New Roman;Times;Serif"/>
          <w:b w:val="false"/>
          <w:i w:val="false"/>
          <w:caps w:val="false"/>
          <w:smallCaps w:val="false"/>
          <w:sz w:val="20"/>
        </w:rPr>
        <w:t xml:space="preserve"> During the year ended December 31, 2023 and the year ended December 31, 2022, the Company utilized six separate co-packers for most its production and bottling of beverage products in the United States. The Company has long-standing relationships with two different co-packers, and a third co-packing agreement with California Custom Beverage LLC (“CCB”), a former related party (see Note 13). Although there are other packers, a change in co-packers may cause a delay in the production process, which could ultimately affect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Purchases from vendors.</w:t>
      </w:r>
      <w:r>
        <w:rPr>
          <w:rFonts w:ascii="Times New Roman;Times;Serif" w:hAnsi="Times New Roman;Times;Serif"/>
          <w:b w:val="false"/>
          <w:i w:val="false"/>
          <w:caps w:val="false"/>
          <w:smallCaps w:val="false"/>
          <w:sz w:val="20"/>
        </w:rPr>
        <w:t xml:space="preserve"> During the year ended December 31, 2023, the Company’s largest vendor accounted for approximately </w:t>
      </w:r>
      <w:bookmarkStart w:id="321" w:name="xdx_90C_eus-gaap--ConcentrationRiskPerce"/>
      <w:bookmarkEnd w:id="321"/>
      <w:r>
        <w:rPr>
          <w:rFonts w:ascii="Times New Roman;Times;Serif" w:hAnsi="Times New Roman;Times;Serif"/>
          <w:b w:val="false"/>
          <w:i w:val="false"/>
          <w:caps w:val="false"/>
          <w:smallCaps w:val="false"/>
          <w:sz w:val="20"/>
        </w:rPr>
        <w:t xml:space="preserve">12% of all purchases. During the year ended December 31, 2022, the Company’s largest vendor accounted for approximately </w:t>
      </w:r>
      <w:bookmarkStart w:id="322" w:name="xdx_90B_eus-gaap--ConcentrationRiskPerce"/>
      <w:bookmarkEnd w:id="322"/>
      <w:r>
        <w:rPr>
          <w:rFonts w:ascii="Times New Roman;Times;Serif" w:hAnsi="Times New Roman;Times;Serif"/>
          <w:b w:val="false"/>
          <w:i w:val="false"/>
          <w:caps w:val="false"/>
          <w:smallCaps w:val="false"/>
          <w:sz w:val="20"/>
        </w:rPr>
        <w:t>12% of all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payable.</w:t>
      </w:r>
      <w:r>
        <w:rPr>
          <w:rFonts w:ascii="Times New Roman;Times;Serif" w:hAnsi="Times New Roman;Times;Serif"/>
          <w:b w:val="false"/>
          <w:i w:val="false"/>
          <w:caps w:val="false"/>
          <w:smallCaps w:val="false"/>
          <w:sz w:val="20"/>
        </w:rPr>
        <w:t xml:space="preserve"> As of December 31, 2023, two vendors accounted for </w:t>
      </w:r>
      <w:bookmarkStart w:id="323" w:name="xdx_90C_eus-gaap--ConcentrationRiskPerce"/>
      <w:bookmarkEnd w:id="323"/>
      <w:r>
        <w:rPr>
          <w:rFonts w:ascii="Times New Roman;Times;Serif" w:hAnsi="Times New Roman;Times;Serif"/>
          <w:b w:val="false"/>
          <w:i w:val="false"/>
          <w:caps w:val="false"/>
          <w:smallCaps w:val="false"/>
          <w:sz w:val="20"/>
        </w:rPr>
        <w:t xml:space="preserve">10% and </w:t>
      </w:r>
      <w:bookmarkStart w:id="324" w:name="xdx_901_eus-gaap--ConcentrationRiskPerce"/>
      <w:bookmarkEnd w:id="324"/>
      <w:r>
        <w:rPr>
          <w:rFonts w:ascii="Times New Roman;Times;Serif" w:hAnsi="Times New Roman;Times;Serif"/>
          <w:b w:val="false"/>
          <w:i w:val="false"/>
          <w:caps w:val="false"/>
          <w:smallCaps w:val="false"/>
          <w:sz w:val="20"/>
        </w:rPr>
        <w:t xml:space="preserve">10% of total accounts payable, respectively. As of December 31, 2022, no vendor accounted for more than </w:t>
      </w:r>
      <w:bookmarkStart w:id="325" w:name="xdx_903_eus-gaap--ConcentrationRiskPerce"/>
      <w:bookmarkEnd w:id="325"/>
      <w:r>
        <w:rPr>
          <w:rFonts w:ascii="Times New Roman;Times;Serif" w:hAnsi="Times New Roman;Times;Serif"/>
          <w:b w:val="false"/>
          <w:i w:val="false"/>
          <w:caps w:val="false"/>
          <w:smallCaps w:val="false"/>
          <w:sz w:val="20"/>
        </w:rPr>
        <w:t>10% of the total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6" w:name="xdx_86A_zGUTAVMLkR56"/>
      <w:bookmarkStart w:id="327" w:name="xdx_84A_eus-gaap--NewAccountingPronounce"/>
      <w:bookmarkEnd w:id="326"/>
      <w:bookmarkEnd w:id="327"/>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w:t>
      </w:r>
      <w:r>
        <w:rPr>
          <w:rFonts w:ascii="Times New Roman;Times;Serif" w:hAnsi="Times New Roman;Times;Serif"/>
          <w:b w:val="false"/>
          <w:i/>
          <w:caps w:val="false"/>
          <w:smallCaps w:val="false"/>
          <w:sz w:val="20"/>
        </w:rPr>
        <w:t>Segment Reporting (Topic 280): Improvements to Reportable Segment Disclosure</w:t>
      </w:r>
      <w:r>
        <w:rPr>
          <w:rFonts w:ascii="Times New Roman;Times;Serif" w:hAnsi="Times New Roman;Times;Serif"/>
          <w:b w:val="false"/>
          <w:i w:val="false"/>
          <w:caps w:val="false"/>
          <w:smallCaps w:val="false"/>
          <w:sz w:val="20"/>
        </w:rPr>
        <w:t xml:space="preserve">,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including the significant segment expense disclosures. This standard will be effective for the Company on January 1, 2024 and interim periods beginning in fiscal year 2025, with early adoption permitted. The updates required by this standard should be applied retrospectively to all periods presented in the financial statements. The Company does not expect this standard to have a material impact on its results of operations, financial position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2022, the Financial Accounting Standards Board (FASB) issued Accounting Standards Update (ASU) 2022-04, </w:t>
      </w:r>
      <w:r>
        <w:rPr>
          <w:rFonts w:ascii="Times New Roman;Times;Serif" w:hAnsi="Times New Roman;Times;Serif"/>
          <w:b w:val="false"/>
          <w:i/>
          <w:caps w:val="false"/>
          <w:smallCaps w:val="false"/>
          <w:sz w:val="20"/>
        </w:rPr>
        <w:t>Liabilities—Supplier Finance Programs (Subtopic 405-50): Disclosure of Supplier Finance Program Obligations</w:t>
      </w:r>
      <w:r>
        <w:rPr>
          <w:rFonts w:ascii="Times New Roman;Times;Serif" w:hAnsi="Times New Roman;Times;Serif"/>
          <w:b w:val="false"/>
          <w:i w:val="false"/>
          <w:caps w:val="false"/>
          <w:smallCaps w:val="false"/>
          <w:sz w:val="20"/>
        </w:rPr>
        <w:t>. The ASU requires buyers to disclose information about their supplier finance programs. Interim and annual requirements include the disclosure of outstanding amounts under the obligations as of the end of the reporting period, and annual requirements include a roll-forward of those obligations for the annual reporting period, as well as a description of payment and other key terms of the programs. This update is effective for annual periods beginning after December 15, 2022, and interim periods within those fiscal years, except for the requirement to disclose roll-forward information, which is effective for fiscal years beginning after December 15, 2023. The Company adopted ASU 2022-04 on January 1, 2023, and there was no material impact on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the FASB issued ASU 2021-04 “Earnings Per Share (Topic 260), Debt—Modifications and Extinguishments (Subtopic 470-50), Compensation— Stock Compensation (Topic 718), and Derivatives and Hedging—Contracts in Entity’s Own Equity (Subtopic 815- 40) Issuer’s Accounting for Certain Modifications or Exchanges of Freestanding Equity-Classified Written Call Options” (“ASU 2021-04”). ASU 2021-04 provides guidance as to how an issuer should account for a modification of the terms or conditions or an exchange of a freestanding equity-classified written call option (i.e., a warrant) that remains equity classified after modification or exchange as an exchange of the original instrument for a new instrument. An issuer should measure the effect of a modification or exchange as the difference between the fair value of the modified or exchanged warrant and the fair value of that warrant immediately before modification or exchange and then apply a recognition model that comprises four categories of transactions and the corresponding accounting treatment for each category (equity issuance, debt origination, debt modification, and modifications unrelated to equity issuance and debt origination or modification). ASU 2021-04 is effective for all entities for fiscal years beginning after December 15, 2021, including interim periods within those fiscal years. An entity should apply the guidance provided in ASU 2021-04 prospectively to modifications or exchanges occurring on or after the effective date. The Company adopted ASU 2021-04 effective January 1, 2022. The adoption of ASU 2021-04 did not have any impact on the Company’s financial statement presentation or disclosures.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2016, the FASB issued ASU 2016-13, </w:t>
      </w:r>
      <w:r>
        <w:rPr>
          <w:rFonts w:ascii="Times New Roman;Times;Serif" w:hAnsi="Times New Roman;Times;Serif"/>
          <w:b w:val="false"/>
          <w:i/>
          <w:caps w:val="false"/>
          <w:smallCaps w:val="false"/>
          <w:sz w:val="20"/>
        </w:rPr>
        <w:t>Measurement of Credit Losses on Financial Instruments</w:t>
      </w:r>
      <w:r>
        <w:rPr>
          <w:rFonts w:ascii="Times New Roman;Times;Serif" w:hAnsi="Times New Roman;Times;Serif"/>
          <w:b w:val="false"/>
          <w:i w:val="false"/>
          <w:caps w:val="false"/>
          <w:smallCaps w:val="false"/>
          <w:sz w:val="20"/>
        </w:rPr>
        <w:t>. ASU 2016-13 requires entities to use a forward-looking approach based on current expected credit losses (“CECL”) to estimate credit losses on certain types of financial instruments, including trade receivables. This may result in the earlier recognition of allowances for losses. The Company adopted this standard effective January 1, 2023 and there was no material impact of adopting this standard on the Company’s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pStyle w:val="TextBody"/>
        <w:bidi w:val="0"/>
        <w:spacing w:before="0" w:after="0"/>
        <w:ind w:left="0" w:right="0" w:hanging="0"/>
        <w:jc w:val="both"/>
        <w:rPr>
          <w:caps w:val="false"/>
          <w:smallCaps w:val="false"/>
        </w:rPr>
      </w:pPr>
      <w:bookmarkStart w:id="328" w:name="xdx_853_zhdc8hbYPMOd"/>
      <w:bookmarkEnd w:id="32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9" w:name="xdx_80C_eus-gaap--InventoryDisclosureTex"/>
      <w:bookmarkEnd w:id="329"/>
      <w:r>
        <w:rPr>
          <w:rFonts w:ascii="Times New Roman;Times;Serif" w:hAnsi="Times New Roman;Times;Serif"/>
          <w:b/>
          <w:i w:val="false"/>
          <w:caps w:val="false"/>
          <w:smallCaps w:val="false"/>
          <w:sz w:val="20"/>
        </w:rPr>
        <w:t xml:space="preserve">3. </w:t>
      </w:r>
      <w:bookmarkStart w:id="330" w:name="xdx_82F_zlSK4aFFjzLl"/>
      <w:bookmarkEnd w:id="330"/>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1" w:name="xdx_89A_eus-gaap--ScheduleOfInventoryCur"/>
      <w:bookmarkEnd w:id="331"/>
      <w:r>
        <w:rPr>
          <w:rFonts w:ascii="Times New Roman;Times;Serif" w:hAnsi="Times New Roman;Times;Serif"/>
          <w:b w:val="false"/>
          <w:i w:val="false"/>
          <w:caps w:val="false"/>
          <w:smallCaps w:val="false"/>
          <w:sz w:val="20"/>
        </w:rPr>
        <w:t>Inventory consisted of the following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32" w:name="xdx_8BC_z5sBy8LIiq25"/>
      <w:bookmarkEnd w:id="332"/>
      <w:r>
        <w:rPr>
          <w:rFonts w:ascii="Times New Roman;Times;Serif" w:hAnsi="Times New Roman;Times;Serif"/>
          <w:b w:val="false"/>
          <w:i w:val="false"/>
          <w:caps w:val="false"/>
          <w:smallCaps w:val="false"/>
          <w:sz w:val="20"/>
        </w:rPr>
        <w:t>Schedule of Inventory</w:t>
      </w:r>
    </w:p>
    <w:tbl>
      <w:tblPr>
        <w:tblW w:w="6988" w:type="dxa"/>
        <w:jc w:val="left"/>
        <w:tblInd w:w="0" w:type="dxa"/>
        <w:tblLayout w:type="fixed"/>
        <w:tblCellMar>
          <w:top w:w="0" w:type="dxa"/>
          <w:left w:w="0" w:type="dxa"/>
          <w:bottom w:w="0" w:type="dxa"/>
          <w:right w:w="0" w:type="dxa"/>
        </w:tblCellMar>
      </w:tblPr>
      <w:tblGrid>
        <w:gridCol w:w="2825"/>
        <w:gridCol w:w="60"/>
        <w:gridCol w:w="333"/>
        <w:gridCol w:w="1621"/>
        <w:gridCol w:w="60"/>
        <w:gridCol w:w="60"/>
        <w:gridCol w:w="333"/>
        <w:gridCol w:w="1621"/>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3" w:name="xdx_497_20231231_zOep12PIDLZd"/>
            <w:bookmarkEnd w:id="333"/>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4" w:name="xdx_496_20221231_zD3qXQcXwD78"/>
            <w:bookmarkEnd w:id="334"/>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75" w:type="dxa"/>
            <w:tcBorders/>
            <w:vAlign w:val="center"/>
          </w:tcPr>
          <w:p>
            <w:pPr>
              <w:pStyle w:val="TableContents"/>
              <w:bidi w:val="0"/>
              <w:spacing w:before="0" w:after="283"/>
              <w:jc w:val="left"/>
              <w:rPr/>
            </w:pPr>
            <w:r>
              <w:rPr/>
              <w:t> </w:t>
            </w:r>
            <w:bookmarkStart w:id="335" w:name="xdx_405_eus-gaap--InventoryRawMaterials_"/>
            <w:bookmarkEnd w:id="335"/>
          </w:p>
        </w:tc>
      </w:tr>
      <w:tr>
        <w:trPr/>
        <w:tc>
          <w:tcPr>
            <w:tcW w:w="2825" w:type="dxa"/>
            <w:tcBorders/>
            <w:shd w:fill="CCEEFF" w:val="clear"/>
            <w:vAlign w:val="center"/>
          </w:tcPr>
          <w:p>
            <w:pPr>
              <w:pStyle w:val="TableContents"/>
              <w:bidi w:val="0"/>
              <w:spacing w:before="0" w:after="283"/>
              <w:jc w:val="left"/>
              <w:rPr/>
            </w:pPr>
            <w:r>
              <w:rPr/>
              <w:t>Raw materials and packaging</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1" w:type="dxa"/>
            <w:tcBorders/>
            <w:shd w:fill="CCEEFF" w:val="clear"/>
            <w:vAlign w:val="center"/>
          </w:tcPr>
          <w:p>
            <w:pPr>
              <w:pStyle w:val="TableContents"/>
              <w:bidi w:val="0"/>
              <w:spacing w:before="0" w:after="283"/>
              <w:jc w:val="right"/>
              <w:rPr/>
            </w:pPr>
            <w:r>
              <w:rPr/>
              <w:t>6,445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1" w:type="dxa"/>
            <w:tcBorders/>
            <w:shd w:fill="CCEEFF" w:val="clear"/>
            <w:vAlign w:val="center"/>
          </w:tcPr>
          <w:p>
            <w:pPr>
              <w:pStyle w:val="TableContents"/>
              <w:bidi w:val="0"/>
              <w:spacing w:before="0" w:after="283"/>
              <w:jc w:val="right"/>
              <w:rPr/>
            </w:pPr>
            <w:r>
              <w:rPr/>
              <w:t>8,526</w:t>
            </w:r>
          </w:p>
        </w:tc>
        <w:tc>
          <w:tcPr>
            <w:tcW w:w="75" w:type="dxa"/>
            <w:tcBorders/>
            <w:shd w:fill="CCEEFF" w:val="clear"/>
            <w:vAlign w:val="center"/>
          </w:tcPr>
          <w:p>
            <w:pPr>
              <w:pStyle w:val="TableContents"/>
              <w:bidi w:val="0"/>
              <w:spacing w:before="0" w:after="283"/>
              <w:jc w:val="left"/>
              <w:rPr/>
            </w:pPr>
            <w:r>
              <w:rPr/>
              <w:t> </w:t>
            </w:r>
            <w:bookmarkStart w:id="336" w:name="xdx_401_eus-gaap--InventoryFinishedGoods"/>
            <w:bookmarkEnd w:id="336"/>
          </w:p>
        </w:tc>
      </w:tr>
      <w:tr>
        <w:trPr/>
        <w:tc>
          <w:tcPr>
            <w:tcW w:w="2825" w:type="dxa"/>
            <w:tcBorders/>
            <w:shd w:fill="FFFFFF" w:val="clear"/>
            <w:vAlign w:val="center"/>
          </w:tcPr>
          <w:p>
            <w:pPr>
              <w:pStyle w:val="TableContents"/>
              <w:bidi w:val="0"/>
              <w:spacing w:before="0" w:after="283"/>
              <w:jc w:val="left"/>
              <w:rPr/>
            </w:pPr>
            <w:r>
              <w:rPr/>
              <w:t>Finished products</w:t>
            </w:r>
          </w:p>
        </w:tc>
        <w:tc>
          <w:tcPr>
            <w:tcW w:w="60" w:type="dxa"/>
            <w:tcBorders/>
            <w:shd w:fill="FFFFFF" w:val="clear"/>
            <w:vAlign w:val="center"/>
          </w:tcPr>
          <w:p>
            <w:pPr>
              <w:pStyle w:val="TableContents"/>
              <w:bidi w:val="0"/>
              <w:spacing w:before="0" w:after="283"/>
              <w:jc w:val="left"/>
              <w:rPr/>
            </w:pPr>
            <w:r>
              <w:rPr/>
              <w:t> </w:t>
            </w:r>
          </w:p>
        </w:tc>
        <w:tc>
          <w:tcPr>
            <w:tcW w:w="3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21" w:type="dxa"/>
            <w:tcBorders>
              <w:bottom w:val="single" w:sz="12" w:space="0" w:color="000000"/>
            </w:tcBorders>
            <w:shd w:fill="FFFFFF" w:val="clear"/>
            <w:tcMar>
              <w:bottom w:w="28" w:type="dxa"/>
            </w:tcMar>
            <w:vAlign w:val="center"/>
          </w:tcPr>
          <w:p>
            <w:pPr>
              <w:pStyle w:val="TableContents"/>
              <w:bidi w:val="0"/>
              <w:spacing w:before="0" w:after="283"/>
              <w:jc w:val="right"/>
              <w:rPr/>
            </w:pPr>
            <w:r>
              <w:rPr/>
              <w:t>4,855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21" w:type="dxa"/>
            <w:tcBorders>
              <w:bottom w:val="single" w:sz="12" w:space="0" w:color="000000"/>
            </w:tcBorders>
            <w:shd w:fill="FFFFFF" w:val="clear"/>
            <w:tcMar>
              <w:bottom w:w="28" w:type="dxa"/>
            </w:tcMar>
            <w:vAlign w:val="center"/>
          </w:tcPr>
          <w:p>
            <w:pPr>
              <w:pStyle w:val="TableContents"/>
              <w:bidi w:val="0"/>
              <w:spacing w:before="0" w:after="283"/>
              <w:jc w:val="right"/>
              <w:rPr/>
            </w:pPr>
            <w:r>
              <w:rPr/>
              <w:t>7,649</w:t>
            </w:r>
          </w:p>
        </w:tc>
        <w:tc>
          <w:tcPr>
            <w:tcW w:w="75" w:type="dxa"/>
            <w:tcBorders/>
            <w:shd w:fill="FFFFFF" w:val="clear"/>
            <w:vAlign w:val="center"/>
          </w:tcPr>
          <w:p>
            <w:pPr>
              <w:pStyle w:val="TableContents"/>
              <w:bidi w:val="0"/>
              <w:spacing w:before="0" w:after="283"/>
              <w:jc w:val="left"/>
              <w:rPr/>
            </w:pPr>
            <w:r>
              <w:rPr/>
              <w:t> </w:t>
            </w:r>
            <w:bookmarkStart w:id="337" w:name="xdx_403_eus-gaap--InventoryNet_iTI_pn3n3"/>
            <w:bookmarkEnd w:id="337"/>
          </w:p>
        </w:tc>
      </w:tr>
      <w:tr>
        <w:trPr/>
        <w:tc>
          <w:tcPr>
            <w:tcW w:w="28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21" w:type="dxa"/>
            <w:tcBorders>
              <w:bottom w:val="double" w:sz="6" w:space="0" w:color="000000"/>
            </w:tcBorders>
            <w:shd w:fill="CCEEFF" w:val="clear"/>
            <w:tcMar>
              <w:bottom w:w="28" w:type="dxa"/>
            </w:tcMar>
            <w:vAlign w:val="center"/>
          </w:tcPr>
          <w:p>
            <w:pPr>
              <w:pStyle w:val="TableContents"/>
              <w:bidi w:val="0"/>
              <w:spacing w:before="0" w:after="283"/>
              <w:jc w:val="right"/>
              <w:rPr/>
            </w:pPr>
            <w:r>
              <w:rPr/>
              <w:t>11,300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21" w:type="dxa"/>
            <w:tcBorders>
              <w:bottom w:val="double" w:sz="6" w:space="0" w:color="000000"/>
            </w:tcBorders>
            <w:shd w:fill="CCEEFF" w:val="clear"/>
            <w:tcMar>
              <w:bottom w:w="28" w:type="dxa"/>
            </w:tcMar>
            <w:vAlign w:val="center"/>
          </w:tcPr>
          <w:p>
            <w:pPr>
              <w:pStyle w:val="TableContents"/>
              <w:bidi w:val="0"/>
              <w:spacing w:before="0" w:after="283"/>
              <w:jc w:val="right"/>
              <w:rPr/>
            </w:pPr>
            <w:r>
              <w:rPr/>
              <w:t>16,175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38" w:name="xdx_8A5_zNDIkawZO7D7"/>
      <w:bookmarkEnd w:id="33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incurred inventory charges of totaling $</w:t>
      </w:r>
      <w:bookmarkStart w:id="339" w:name="xdx_90F_ecustom--InventoryWriteDownExclu"/>
      <w:bookmarkEnd w:id="339"/>
      <w:r>
        <w:rPr>
          <w:rFonts w:ascii="Times New Roman;Times;Serif" w:hAnsi="Times New Roman;Times;Serif"/>
          <w:b w:val="false"/>
          <w:i w:val="false"/>
          <w:caps w:val="false"/>
          <w:smallCaps w:val="false"/>
          <w:sz w:val="20"/>
        </w:rPr>
        <w:t>1,848, which represents $</w:t>
      </w:r>
      <w:bookmarkStart w:id="340" w:name="xdx_909_ecustom--ImpairmentOfInventory_p"/>
      <w:bookmarkEnd w:id="340"/>
      <w:r>
        <w:rPr>
          <w:rFonts w:ascii="Times New Roman;Times;Serif" w:hAnsi="Times New Roman;Times;Serif"/>
          <w:b w:val="false"/>
          <w:i w:val="false"/>
          <w:caps w:val="false"/>
          <w:smallCaps w:val="false"/>
          <w:sz w:val="20"/>
        </w:rPr>
        <w:t>1,452 impairment charge related to major packaging and formula changes and $</w:t>
      </w:r>
      <w:bookmarkStart w:id="341" w:name="xdx_908_ecustom--InventoryMarkDown_pn3n3"/>
      <w:bookmarkEnd w:id="341"/>
      <w:r>
        <w:rPr>
          <w:rFonts w:ascii="Times New Roman;Times;Serif" w:hAnsi="Times New Roman;Times;Serif"/>
          <w:b w:val="false"/>
          <w:i w:val="false"/>
          <w:caps w:val="false"/>
          <w:smallCaps w:val="false"/>
          <w:sz w:val="20"/>
        </w:rPr>
        <w:t>396 for the markdown of inventory related to exited categories. There were no such inventory charges during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2" w:name="xdx_804_eus-gaap--PropertyPlantAndEquipm"/>
      <w:bookmarkEnd w:id="342"/>
      <w:r>
        <w:rPr>
          <w:rFonts w:ascii="Times New Roman;Times;Serif" w:hAnsi="Times New Roman;Times;Serif"/>
          <w:b/>
          <w:i w:val="false"/>
          <w:caps w:val="false"/>
          <w:smallCaps w:val="false"/>
          <w:sz w:val="20"/>
        </w:rPr>
        <w:t xml:space="preserve">4. </w:t>
      </w:r>
      <w:bookmarkStart w:id="343" w:name="xdx_821_z93bLBGLVsm2"/>
      <w:bookmarkEnd w:id="343"/>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4" w:name="xdx_89D_eus-gaap--PropertyPlantAndEquipm"/>
      <w:bookmarkEnd w:id="344"/>
      <w:r>
        <w:rPr>
          <w:rFonts w:ascii="Times New Roman;Times;Serif" w:hAnsi="Times New Roman;Times;Serif"/>
          <w:b w:val="false"/>
          <w:i w:val="false"/>
          <w:caps w:val="false"/>
          <w:smallCaps w:val="false"/>
          <w:sz w:val="20"/>
        </w:rPr>
        <w:t>Property and equipment are comprised of the following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5" w:name="xdx_8BF_ztlxFKM0ocYj"/>
      <w:bookmarkEnd w:id="345"/>
      <w:r>
        <w:rPr>
          <w:rFonts w:ascii="Times New Roman;Times;Serif" w:hAnsi="Times New Roman;Times;Serif"/>
          <w:b w:val="false"/>
          <w:i w:val="false"/>
          <w:caps w:val="false"/>
          <w:smallCaps w:val="false"/>
          <w:sz w:val="20"/>
        </w:rPr>
        <w:t>Schedule of Property and Equipment</w:t>
      </w:r>
    </w:p>
    <w:tbl>
      <w:tblPr>
        <w:tblW w:w="8379" w:type="dxa"/>
        <w:jc w:val="left"/>
        <w:tblInd w:w="0" w:type="dxa"/>
        <w:tblLayout w:type="fixed"/>
        <w:tblCellMar>
          <w:top w:w="0" w:type="dxa"/>
          <w:left w:w="0" w:type="dxa"/>
          <w:bottom w:w="0" w:type="dxa"/>
          <w:right w:w="0" w:type="dxa"/>
        </w:tblCellMar>
      </w:tblPr>
      <w:tblGrid>
        <w:gridCol w:w="4145"/>
        <w:gridCol w:w="60"/>
        <w:gridCol w:w="352"/>
        <w:gridCol w:w="1602"/>
        <w:gridCol w:w="95"/>
        <w:gridCol w:w="60"/>
        <w:gridCol w:w="391"/>
        <w:gridCol w:w="1564"/>
        <w:gridCol w:w="11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6" w:name="xdx_49A_20231231_z8hSls2EBuVg"/>
            <w:bookmarkEnd w:id="346"/>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7" w:name="xdx_492_20221231_zN3IXk92LHG5"/>
            <w:bookmarkEnd w:id="347"/>
          </w:p>
        </w:tc>
        <w:tc>
          <w:tcPr>
            <w:tcW w:w="1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110" w:type="dxa"/>
            <w:tcBorders/>
            <w:vAlign w:val="center"/>
          </w:tcPr>
          <w:p>
            <w:pPr>
              <w:pStyle w:val="TableContents"/>
              <w:bidi w:val="0"/>
              <w:spacing w:before="0" w:after="283"/>
              <w:jc w:val="left"/>
              <w:rPr/>
            </w:pPr>
            <w:r>
              <w:rPr/>
              <w:t> </w:t>
            </w:r>
            <w:bookmarkStart w:id="348" w:name="xdx_406_eus-gaap--PropertyPlantAndEquipm"/>
            <w:bookmarkEnd w:id="348"/>
          </w:p>
        </w:tc>
      </w:tr>
      <w:tr>
        <w:trPr/>
        <w:tc>
          <w:tcPr>
            <w:tcW w:w="4145" w:type="dxa"/>
            <w:tcBorders/>
            <w:shd w:fill="CCEEFF" w:val="clear"/>
            <w:vAlign w:val="center"/>
          </w:tcPr>
          <w:p>
            <w:pPr>
              <w:pStyle w:val="TableContents"/>
              <w:bidi w:val="0"/>
              <w:spacing w:before="0" w:after="283"/>
              <w:jc w:val="left"/>
              <w:rPr/>
            </w:pPr>
            <w:r>
              <w:rPr/>
              <w:t>Right-of-use assets under operating leases</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602" w:type="dxa"/>
            <w:tcBorders/>
            <w:shd w:fill="CCEEFF" w:val="clear"/>
            <w:vAlign w:val="center"/>
          </w:tcPr>
          <w:p>
            <w:pPr>
              <w:pStyle w:val="TableContents"/>
              <w:bidi w:val="0"/>
              <w:spacing w:before="0" w:after="283"/>
              <w:jc w:val="right"/>
              <w:rPr/>
            </w:pPr>
            <w:r>
              <w:rPr/>
              <w:t>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724</w:t>
            </w:r>
          </w:p>
        </w:tc>
        <w:tc>
          <w:tcPr>
            <w:tcW w:w="110" w:type="dxa"/>
            <w:tcBorders/>
            <w:shd w:fill="CCEEFF" w:val="clear"/>
            <w:vAlign w:val="center"/>
          </w:tcPr>
          <w:p>
            <w:pPr>
              <w:pStyle w:val="TableContents"/>
              <w:bidi w:val="0"/>
              <w:spacing w:before="0" w:after="283"/>
              <w:jc w:val="left"/>
              <w:rPr/>
            </w:pPr>
            <w:r>
              <w:rPr/>
              <w:t> </w:t>
            </w:r>
            <w:bookmarkStart w:id="349" w:name="xdx_40C_eus-gaap--PropertyPlantAndEquipm"/>
            <w:bookmarkEnd w:id="349"/>
          </w:p>
        </w:tc>
      </w:tr>
      <w:tr>
        <w:trPr/>
        <w:tc>
          <w:tcPr>
            <w:tcW w:w="4145" w:type="dxa"/>
            <w:tcBorders/>
            <w:shd w:fill="FFFFFF" w:val="clear"/>
            <w:vAlign w:val="center"/>
          </w:tcPr>
          <w:p>
            <w:pPr>
              <w:pStyle w:val="TableContents"/>
              <w:bidi w:val="0"/>
              <w:spacing w:before="0" w:after="283"/>
              <w:jc w:val="left"/>
              <w:rPr/>
            </w:pPr>
            <w:r>
              <w:rPr/>
              <w:t>Computer hardware and software</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right"/>
              <w:rPr/>
            </w:pPr>
            <w:r>
              <w:rPr/>
              <w:t>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400</w:t>
            </w:r>
          </w:p>
        </w:tc>
        <w:tc>
          <w:tcPr>
            <w:tcW w:w="110" w:type="dxa"/>
            <w:tcBorders/>
            <w:shd w:fill="FFFFFF" w:val="clear"/>
            <w:vAlign w:val="center"/>
          </w:tcPr>
          <w:p>
            <w:pPr>
              <w:pStyle w:val="TableContents"/>
              <w:bidi w:val="0"/>
              <w:spacing w:before="0" w:after="283"/>
              <w:jc w:val="left"/>
              <w:rPr/>
            </w:pPr>
            <w:r>
              <w:rPr/>
              <w:t> </w:t>
            </w:r>
            <w:bookmarkStart w:id="350" w:name="xdx_407_eus-gaap--PropertyPlantAndEquipm"/>
            <w:bookmarkEnd w:id="350"/>
          </w:p>
        </w:tc>
      </w:tr>
      <w:tr>
        <w:trPr/>
        <w:tc>
          <w:tcPr>
            <w:tcW w:w="4145" w:type="dxa"/>
            <w:tcBorders/>
            <w:shd w:fill="CCEEFF" w:val="clear"/>
            <w:vAlign w:val="center"/>
          </w:tcPr>
          <w:p>
            <w:pPr>
              <w:pStyle w:val="TableContents"/>
              <w:bidi w:val="0"/>
              <w:spacing w:before="0" w:after="283"/>
              <w:jc w:val="left"/>
              <w:rPr/>
            </w:pPr>
            <w:r>
              <w:rPr/>
              <w:t>Machinery and equipment</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429</w:t>
            </w:r>
          </w:p>
        </w:tc>
        <w:tc>
          <w:tcPr>
            <w:tcW w:w="110" w:type="dxa"/>
            <w:tcBorders/>
            <w:shd w:fill="CCEEFF" w:val="clear"/>
            <w:vAlign w:val="center"/>
          </w:tcPr>
          <w:p>
            <w:pPr>
              <w:pStyle w:val="TableContents"/>
              <w:bidi w:val="0"/>
              <w:spacing w:before="0" w:after="283"/>
              <w:jc w:val="left"/>
              <w:rPr/>
            </w:pPr>
            <w:r>
              <w:rPr/>
              <w:t> </w:t>
            </w:r>
            <w:bookmarkStart w:id="351" w:name="xdx_406_eus-gaap--PropertyPlantAndEquipm"/>
            <w:bookmarkEnd w:id="351"/>
          </w:p>
        </w:tc>
      </w:tr>
      <w:tr>
        <w:trPr/>
        <w:tc>
          <w:tcPr>
            <w:tcW w:w="4145" w:type="dxa"/>
            <w:tcBorders/>
            <w:shd w:fill="FFFFFF" w:val="clear"/>
            <w:vAlign w:val="center"/>
          </w:tcPr>
          <w:p>
            <w:pPr>
              <w:pStyle w:val="TableContents"/>
              <w:bidi w:val="0"/>
              <w:spacing w:before="0" w:after="283"/>
              <w:jc w:val="left"/>
              <w:rPr/>
            </w:pPr>
            <w:r>
              <w:rPr/>
              <w:t>Construction in progress</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12" w:space="0" w:color="000000"/>
            </w:tcBorders>
            <w:shd w:fill="FFFFFF" w:val="clear"/>
            <w:tcMar>
              <w:bottom w:w="28" w:type="dxa"/>
            </w:tcMar>
            <w:vAlign w:val="center"/>
          </w:tcPr>
          <w:p>
            <w:pPr>
              <w:pStyle w:val="TableContents"/>
              <w:bidi w:val="0"/>
              <w:spacing w:before="0" w:after="283"/>
              <w:jc w:val="right"/>
              <w:rPr/>
            </w:pPr>
            <w:r>
              <w:rPr/>
              <w:t>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52" w:name="xdx_404_eus-gaap--PropertyPlantAndEquipm"/>
            <w:bookmarkEnd w:id="352"/>
          </w:p>
        </w:tc>
      </w:tr>
      <w:tr>
        <w:trPr/>
        <w:tc>
          <w:tcPr>
            <w:tcW w:w="4145" w:type="dxa"/>
            <w:tcBorders/>
            <w:shd w:fill="CCEEFF" w:val="clear"/>
            <w:vAlign w:val="center"/>
          </w:tcPr>
          <w:p>
            <w:pPr>
              <w:pStyle w:val="TableContents"/>
              <w:bidi w:val="0"/>
              <w:spacing w:before="0" w:after="283"/>
              <w:jc w:val="left"/>
              <w:rPr/>
            </w:pPr>
            <w:r>
              <w:rPr/>
              <w:t>Total cost</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1,561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1,553</w:t>
            </w:r>
          </w:p>
        </w:tc>
        <w:tc>
          <w:tcPr>
            <w:tcW w:w="110" w:type="dxa"/>
            <w:tcBorders/>
            <w:shd w:fill="CCEEFF" w:val="clear"/>
            <w:vAlign w:val="center"/>
          </w:tcPr>
          <w:p>
            <w:pPr>
              <w:pStyle w:val="TableContents"/>
              <w:bidi w:val="0"/>
              <w:spacing w:before="0" w:after="283"/>
              <w:jc w:val="left"/>
              <w:rPr/>
            </w:pPr>
            <w:r>
              <w:rPr/>
              <w:t> </w:t>
            </w:r>
            <w:bookmarkStart w:id="353" w:name="xdx_40A_eus-gaap--AccumulatedDepreciatio"/>
            <w:bookmarkEnd w:id="353"/>
          </w:p>
        </w:tc>
      </w:tr>
      <w:tr>
        <w:trPr/>
        <w:tc>
          <w:tcPr>
            <w:tcW w:w="4145" w:type="dxa"/>
            <w:tcBorders/>
            <w:shd w:fill="FFFFFF" w:val="clear"/>
            <w:vAlign w:val="center"/>
          </w:tcPr>
          <w:p>
            <w:pPr>
              <w:pStyle w:val="TableContents"/>
              <w:bidi w:val="0"/>
              <w:spacing w:before="0" w:after="283"/>
              <w:jc w:val="left"/>
              <w:rPr/>
            </w:pPr>
            <w:r>
              <w:rPr/>
              <w:t>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12" w:space="0" w:color="000000"/>
            </w:tcBorders>
            <w:shd w:fill="FFFFFF" w:val="clear"/>
            <w:tcMar>
              <w:bottom w:w="28" w:type="dxa"/>
            </w:tcMar>
            <w:vAlign w:val="center"/>
          </w:tcPr>
          <w:p>
            <w:pPr>
              <w:pStyle w:val="TableContents"/>
              <w:bidi w:val="0"/>
              <w:spacing w:before="0" w:after="283"/>
              <w:jc w:val="right"/>
              <w:rPr/>
            </w:pPr>
            <w:r>
              <w:rPr/>
              <w:t>(1,068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12" w:space="0" w:color="000000"/>
            </w:tcBorders>
            <w:shd w:fill="FFFFFF" w:val="clear"/>
            <w:tcMar>
              <w:bottom w:w="28" w:type="dxa"/>
            </w:tcMar>
            <w:vAlign w:val="center"/>
          </w:tcPr>
          <w:p>
            <w:pPr>
              <w:pStyle w:val="TableContents"/>
              <w:bidi w:val="0"/>
              <w:spacing w:before="0" w:after="283"/>
              <w:jc w:val="right"/>
              <w:rPr/>
            </w:pPr>
            <w:r>
              <w:rPr/>
              <w:t>(787</w:t>
            </w:r>
          </w:p>
        </w:tc>
        <w:tc>
          <w:tcPr>
            <w:tcW w:w="110" w:type="dxa"/>
            <w:tcBorders/>
            <w:shd w:fill="FFFFFF" w:val="clear"/>
            <w:vAlign w:val="center"/>
          </w:tcPr>
          <w:p>
            <w:pPr>
              <w:pStyle w:val="TableContents"/>
              <w:bidi w:val="0"/>
              <w:spacing w:before="0" w:after="283"/>
              <w:jc w:val="left"/>
              <w:rPr/>
            </w:pPr>
            <w:r>
              <w:rPr/>
              <w:t>)</w:t>
            </w:r>
            <w:bookmarkStart w:id="354" w:name="xdx_408_eus-gaap--PropertyPlantAndEquipm"/>
            <w:bookmarkEnd w:id="354"/>
          </w:p>
        </w:tc>
      </w:tr>
      <w:tr>
        <w:trPr/>
        <w:tc>
          <w:tcPr>
            <w:tcW w:w="4145" w:type="dxa"/>
            <w:tcBorders/>
            <w:shd w:fill="CCEEFF" w:val="clear"/>
            <w:vAlign w:val="center"/>
          </w:tcPr>
          <w:p>
            <w:pPr>
              <w:pStyle w:val="TableContents"/>
              <w:bidi w:val="0"/>
              <w:spacing w:before="0" w:after="283"/>
              <w:jc w:val="left"/>
              <w:rPr/>
            </w:pPr>
            <w:r>
              <w:rPr/>
              <w:t>Net book value</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02" w:type="dxa"/>
            <w:tcBorders>
              <w:bottom w:val="double" w:sz="6" w:space="0" w:color="000000"/>
            </w:tcBorders>
            <w:shd w:fill="CCEEFF" w:val="clear"/>
            <w:tcMar>
              <w:bottom w:w="28" w:type="dxa"/>
            </w:tcMar>
            <w:vAlign w:val="center"/>
          </w:tcPr>
          <w:p>
            <w:pPr>
              <w:pStyle w:val="TableContents"/>
              <w:bidi w:val="0"/>
              <w:spacing w:before="0" w:after="283"/>
              <w:jc w:val="right"/>
              <w:rPr/>
            </w:pPr>
            <w:r>
              <w:rPr/>
              <w:t>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bidi w:val="0"/>
              <w:spacing w:before="0" w:after="283"/>
              <w:jc w:val="right"/>
              <w:rPr/>
            </w:pPr>
            <w:r>
              <w:rPr/>
              <w:t>766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5" w:name="xdx_8A1_zS2sJHJfclzk"/>
      <w:bookmarkEnd w:id="35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years ended December 31, 2023, and 2022 was $</w:t>
      </w:r>
      <w:bookmarkStart w:id="356" w:name="xdx_90F_eus-gaap--Depreciation_pn3n3_c20"/>
      <w:bookmarkEnd w:id="356"/>
      <w:r>
        <w:rPr>
          <w:rFonts w:ascii="Times New Roman;Times;Serif" w:hAnsi="Times New Roman;Times;Serif"/>
          <w:b w:val="false"/>
          <w:i w:val="false"/>
          <w:caps w:val="false"/>
          <w:smallCaps w:val="false"/>
          <w:sz w:val="20"/>
        </w:rPr>
        <w:t>142 and $</w:t>
      </w:r>
      <w:bookmarkStart w:id="357" w:name="xdx_905_eus-gaap--Depreciation_pn3n3_c20"/>
      <w:bookmarkEnd w:id="357"/>
      <w:r>
        <w:rPr>
          <w:rFonts w:ascii="Times New Roman;Times;Serif" w:hAnsi="Times New Roman;Times;Serif"/>
          <w:b w:val="false"/>
          <w:i w:val="false"/>
          <w:caps w:val="false"/>
          <w:smallCaps w:val="false"/>
          <w:sz w:val="20"/>
        </w:rPr>
        <w:t>108, respectively, and amortization of right-of-use assets for the years ended December 31, 2023, and 2022 as $</w:t>
      </w:r>
      <w:bookmarkStart w:id="358" w:name="xdx_90D_eus-gaap--OperatingLeaseRightOfU"/>
      <w:bookmarkEnd w:id="358"/>
      <w:r>
        <w:rPr>
          <w:rFonts w:ascii="Times New Roman;Times;Serif" w:hAnsi="Times New Roman;Times;Serif"/>
          <w:b w:val="false"/>
          <w:i w:val="false"/>
          <w:caps w:val="false"/>
          <w:smallCaps w:val="false"/>
          <w:sz w:val="20"/>
        </w:rPr>
        <w:t>139 and $</w:t>
      </w:r>
      <w:bookmarkStart w:id="359" w:name="xdx_90C_eus-gaap--OperatingLeaseRightOfU"/>
      <w:bookmarkEnd w:id="359"/>
      <w:r>
        <w:rPr>
          <w:rFonts w:ascii="Times New Roman;Times;Serif" w:hAnsi="Times New Roman;Times;Serif"/>
          <w:b w:val="false"/>
          <w:i w:val="false"/>
          <w:caps w:val="false"/>
          <w:smallCaps w:val="false"/>
          <w:sz w:val="20"/>
        </w:rPr>
        <w:t>117,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disposed of its equipment costing $</w:t>
      </w:r>
      <w:bookmarkStart w:id="360" w:name="xdx_90A_eus-gaap--PropertyPlantAndEquipm"/>
      <w:bookmarkEnd w:id="360"/>
      <w:r>
        <w:rPr>
          <w:rFonts w:ascii="Times New Roman;Times;Serif" w:hAnsi="Times New Roman;Times;Serif"/>
          <w:b w:val="false"/>
          <w:i w:val="false"/>
          <w:caps w:val="false"/>
          <w:smallCaps w:val="false"/>
          <w:sz w:val="20"/>
        </w:rPr>
        <w:t>77 and recorded a loss on disposal of $</w:t>
      </w:r>
      <w:bookmarkStart w:id="361" w:name="xdx_906_eus-gaap--GainLossOnDispositionO"/>
      <w:bookmarkEnd w:id="361"/>
      <w:r>
        <w:rPr>
          <w:rFonts w:ascii="Times New Roman;Times;Serif" w:hAnsi="Times New Roman;Times;Serif"/>
          <w:b w:val="false"/>
          <w:i w:val="false"/>
          <w:caps w:val="false"/>
          <w:smallCaps w:val="false"/>
          <w:sz w:val="2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2" w:name="xdx_80A_eus-gaap--IntangibleAssetsDisclo"/>
      <w:bookmarkEnd w:id="362"/>
      <w:r>
        <w:rPr>
          <w:rFonts w:ascii="Times New Roman;Times;Serif" w:hAnsi="Times New Roman;Times;Serif"/>
          <w:b/>
          <w:i w:val="false"/>
          <w:caps w:val="false"/>
          <w:smallCaps w:val="false"/>
          <w:sz w:val="20"/>
        </w:rPr>
        <w:t xml:space="preserve">5. </w:t>
      </w:r>
      <w:bookmarkStart w:id="363" w:name="xdx_820_z5ui3kvhdn8c"/>
      <w:bookmarkEnd w:id="363"/>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4" w:name="xdx_896_eus-gaap--ScheduleOfIndefiniteLi"/>
      <w:bookmarkEnd w:id="364"/>
      <w:r>
        <w:rPr>
          <w:rFonts w:ascii="Times New Roman;Times;Serif" w:hAnsi="Times New Roman;Times;Serif"/>
          <w:b w:val="false"/>
          <w:i w:val="false"/>
          <w:caps w:val="false"/>
          <w:smallCaps w:val="false"/>
          <w:sz w:val="20"/>
        </w:rPr>
        <w:t>Intangible assets consisted of the following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5" w:name="xdx_8B8_zfTm3JkpVYLk"/>
      <w:bookmarkEnd w:id="365"/>
      <w:r>
        <w:rPr>
          <w:rFonts w:ascii="Times New Roman;Times;Serif" w:hAnsi="Times New Roman;Times;Serif"/>
          <w:b w:val="false"/>
          <w:i w:val="false"/>
          <w:caps w:val="false"/>
          <w:smallCaps w:val="false"/>
          <w:sz w:val="20"/>
        </w:rPr>
        <w:t>Summary of Intangible Assets</w:t>
      </w:r>
    </w:p>
    <w:tbl>
      <w:tblPr>
        <w:tblW w:w="5443" w:type="dxa"/>
        <w:jc w:val="left"/>
        <w:tblInd w:w="0" w:type="dxa"/>
        <w:tblLayout w:type="fixed"/>
        <w:tblCellMar>
          <w:top w:w="0" w:type="dxa"/>
          <w:left w:w="0" w:type="dxa"/>
          <w:bottom w:w="0" w:type="dxa"/>
          <w:right w:w="0" w:type="dxa"/>
        </w:tblCellMar>
      </w:tblPr>
      <w:tblGrid>
        <w:gridCol w:w="1280"/>
        <w:gridCol w:w="60"/>
        <w:gridCol w:w="526"/>
        <w:gridCol w:w="1428"/>
        <w:gridCol w:w="60"/>
        <w:gridCol w:w="60"/>
        <w:gridCol w:w="526"/>
        <w:gridCol w:w="1428"/>
        <w:gridCol w:w="75"/>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6" w:name="xdx_494_20231231_z9xIvhCx9dE4"/>
            <w:bookmarkEnd w:id="366"/>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7" w:name="xdx_497_20221231_zypMHydCNGkf"/>
            <w:bookmarkEnd w:id="367"/>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75" w:type="dxa"/>
            <w:tcBorders/>
            <w:vAlign w:val="center"/>
          </w:tcPr>
          <w:p>
            <w:pPr>
              <w:pStyle w:val="TableContents"/>
              <w:bidi w:val="0"/>
              <w:spacing w:before="0" w:after="283"/>
              <w:jc w:val="left"/>
              <w:rPr/>
            </w:pPr>
            <w:r>
              <w:rPr/>
              <w:t> </w:t>
            </w:r>
            <w:bookmarkStart w:id="368" w:name="xdx_403_eus-gaap--IndefiniteLivedTradeNa"/>
            <w:bookmarkEnd w:id="368"/>
          </w:p>
        </w:tc>
      </w:tr>
      <w:tr>
        <w:trPr/>
        <w:tc>
          <w:tcPr>
            <w:tcW w:w="1280" w:type="dxa"/>
            <w:tcBorders/>
            <w:shd w:fill="CCEEFF" w:val="clear"/>
            <w:vAlign w:val="center"/>
          </w:tcPr>
          <w:p>
            <w:pPr>
              <w:pStyle w:val="TableContents"/>
              <w:bidi w:val="0"/>
              <w:spacing w:before="0" w:after="283"/>
              <w:jc w:val="left"/>
              <w:rPr/>
            </w:pPr>
            <w:r>
              <w:rPr/>
              <w:t>Brand names</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1428" w:type="dxa"/>
            <w:tcBorders/>
            <w:shd w:fill="CCEEFF" w:val="clear"/>
            <w:vAlign w:val="center"/>
          </w:tcPr>
          <w:p>
            <w:pPr>
              <w:pStyle w:val="TableContents"/>
              <w:bidi w:val="0"/>
              <w:spacing w:before="0" w:after="283"/>
              <w:jc w:val="right"/>
              <w:rPr/>
            </w:pPr>
            <w:r>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1428" w:type="dxa"/>
            <w:tcBorders/>
            <w:shd w:fill="CCEEFF" w:val="clear"/>
            <w:vAlign w:val="center"/>
          </w:tcPr>
          <w:p>
            <w:pPr>
              <w:pStyle w:val="TableContents"/>
              <w:bidi w:val="0"/>
              <w:spacing w:before="0" w:after="283"/>
              <w:jc w:val="right"/>
              <w:rPr/>
            </w:pPr>
            <w:r>
              <w:rPr/>
              <w:t>576</w:t>
            </w:r>
          </w:p>
        </w:tc>
        <w:tc>
          <w:tcPr>
            <w:tcW w:w="75" w:type="dxa"/>
            <w:tcBorders/>
            <w:shd w:fill="CCEEFF" w:val="clear"/>
            <w:vAlign w:val="center"/>
          </w:tcPr>
          <w:p>
            <w:pPr>
              <w:pStyle w:val="TableContents"/>
              <w:bidi w:val="0"/>
              <w:spacing w:before="0" w:after="283"/>
              <w:jc w:val="left"/>
              <w:rPr/>
            </w:pPr>
            <w:r>
              <w:rPr/>
              <w:t> </w:t>
            </w:r>
            <w:bookmarkStart w:id="369" w:name="xdx_407_eus-gaap--IndefiniteLivedTradema"/>
            <w:bookmarkEnd w:id="369"/>
          </w:p>
        </w:tc>
      </w:tr>
      <w:tr>
        <w:trPr/>
        <w:tc>
          <w:tcPr>
            <w:tcW w:w="1280" w:type="dxa"/>
            <w:tcBorders/>
            <w:shd w:fill="FFFFFF" w:val="clear"/>
            <w:vAlign w:val="center"/>
          </w:tcPr>
          <w:p>
            <w:pPr>
              <w:pStyle w:val="TableContents"/>
              <w:bidi w:val="0"/>
              <w:spacing w:before="0" w:after="283"/>
              <w:jc w:val="left"/>
              <w:rPr/>
            </w:pPr>
            <w:r>
              <w:rPr/>
              <w:t>Trademarks</w:t>
            </w:r>
          </w:p>
        </w:tc>
        <w:tc>
          <w:tcPr>
            <w:tcW w:w="60" w:type="dxa"/>
            <w:tcBorders/>
            <w:shd w:fill="FFFFFF" w:val="clear"/>
            <w:vAlign w:val="center"/>
          </w:tcPr>
          <w:p>
            <w:pPr>
              <w:pStyle w:val="TableContents"/>
              <w:bidi w:val="0"/>
              <w:spacing w:before="0" w:after="283"/>
              <w:jc w:val="left"/>
              <w:rPr/>
            </w:pPr>
            <w:r>
              <w:rPr/>
              <w:t> </w:t>
            </w:r>
          </w:p>
        </w:tc>
        <w:tc>
          <w:tcPr>
            <w:tcW w:w="5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12" w:space="0" w:color="000000"/>
            </w:tcBorders>
            <w:shd w:fill="FFFFFF" w:val="clear"/>
            <w:tcMar>
              <w:bottom w:w="28" w:type="dxa"/>
            </w:tcMar>
            <w:vAlign w:val="center"/>
          </w:tcPr>
          <w:p>
            <w:pPr>
              <w:pStyle w:val="TableContents"/>
              <w:bidi w:val="0"/>
              <w:spacing w:before="0" w:after="283"/>
              <w:jc w:val="right"/>
              <w:rPr/>
            </w:pPr>
            <w:r>
              <w:rPr/>
              <w:t>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12" w:space="0" w:color="000000"/>
            </w:tcBorders>
            <w:shd w:fill="FFFFFF" w:val="clear"/>
            <w:tcMar>
              <w:bottom w:w="28" w:type="dxa"/>
            </w:tcMar>
            <w:vAlign w:val="center"/>
          </w:tcPr>
          <w:p>
            <w:pPr>
              <w:pStyle w:val="TableContents"/>
              <w:bidi w:val="0"/>
              <w:spacing w:before="0" w:after="283"/>
              <w:jc w:val="right"/>
              <w:rPr/>
            </w:pPr>
            <w:r>
              <w:rPr/>
              <w:t>50</w:t>
            </w:r>
          </w:p>
        </w:tc>
        <w:tc>
          <w:tcPr>
            <w:tcW w:w="75" w:type="dxa"/>
            <w:tcBorders/>
            <w:shd w:fill="FFFFFF" w:val="clear"/>
            <w:vAlign w:val="center"/>
          </w:tcPr>
          <w:p>
            <w:pPr>
              <w:pStyle w:val="TableContents"/>
              <w:bidi w:val="0"/>
              <w:spacing w:before="0" w:after="283"/>
              <w:jc w:val="left"/>
              <w:rPr/>
            </w:pPr>
            <w:r>
              <w:rPr/>
              <w:t> </w:t>
            </w:r>
            <w:bookmarkStart w:id="370" w:name="xdx_402_eus-gaap--IndefiniteLivedIntangi"/>
            <w:bookmarkEnd w:id="370"/>
          </w:p>
        </w:tc>
      </w:tr>
      <w:tr>
        <w:trPr/>
        <w:tc>
          <w:tcPr>
            <w:tcW w:w="12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jc w:val="right"/>
              <w:rPr/>
            </w:pPr>
            <w:r>
              <w:rPr/>
              <w:t>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jc w:val="right"/>
              <w:rPr/>
            </w:pPr>
            <w:r>
              <w:rPr/>
              <w:t>626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1" w:name="xdx_8A9_zK9yQocgiEt"/>
      <w:bookmarkEnd w:id="37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comprised of brand names acquired, specifically Virgil’s, and costs related to trademarks. They have been assigned an indefinite life, as we currently anticipate that they will contribute cash flows to the Company perpetually. These indefinite-lived intangible assets are not amortized but are assessed for impairment annually and evaluated annually to determine whether the indefinite useful life remains appropriate. We first assess qualitative factors to determine whether it is more likely than not that the asset is impaired. If further testing is necessary, we compare the estimated fair value of our asset with its book value. If the carrying amount of the asset exceeds its fair value, as determined by the discounted cash flows expected to be generated by the asset, an impairment loss is recognized in an amount equal to that excess. Based on management’s assessment, there were no indications of impairment at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and 2022, the Company capitalized costs of $</w:t>
      </w:r>
      <w:bookmarkStart w:id="372" w:name="xdx_90B_ecustom--CapitalizedCostsOfIntan"/>
      <w:bookmarkEnd w:id="372"/>
      <w:r>
        <w:rPr>
          <w:rFonts w:ascii="Times New Roman;Times;Serif" w:hAnsi="Times New Roman;Times;Serif"/>
          <w:b w:val="false"/>
          <w:i w:val="false"/>
          <w:caps w:val="false"/>
          <w:smallCaps w:val="false"/>
          <w:sz w:val="20"/>
        </w:rPr>
        <w:t>3 and $</w:t>
      </w:r>
      <w:bookmarkStart w:id="373" w:name="xdx_90A_ecustom--CapitalizedCostsOfIntan"/>
      <w:bookmarkEnd w:id="373"/>
      <w:r>
        <w:rPr>
          <w:rFonts w:ascii="Times New Roman;Times;Serif" w:hAnsi="Times New Roman;Times;Serif"/>
          <w:b w:val="false"/>
          <w:i w:val="false"/>
          <w:caps w:val="false"/>
          <w:smallCaps w:val="false"/>
          <w:sz w:val="20"/>
        </w:rPr>
        <w:t>2, respectively, pertaining to legal and other fees incurred in applying for international trademarks for Reeds and Virgil’s brands.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4" w:name="xdx_80A_ecustom--LineOfCreditDisclosureT"/>
      <w:bookmarkEnd w:id="374"/>
      <w:r>
        <w:rPr>
          <w:rFonts w:ascii="Times New Roman;Times;Serif" w:hAnsi="Times New Roman;Times;Serif"/>
          <w:b/>
          <w:i w:val="false"/>
          <w:caps w:val="false"/>
          <w:smallCaps w:val="false"/>
          <w:sz w:val="20"/>
        </w:rPr>
        <w:t xml:space="preserve">6. </w:t>
      </w:r>
      <w:bookmarkStart w:id="375" w:name="xdx_824_zfS57lsAJgJ8"/>
      <w:bookmarkEnd w:id="375"/>
      <w:r>
        <w:rPr>
          <w:rFonts w:ascii="Times New Roman;Times;Serif" w:hAnsi="Times New Roman;Times;Serif"/>
          <w:b/>
          <w:i w:val="false"/>
          <w:caps w:val="false"/>
          <w:smallCaps w:val="false"/>
          <w:sz w:val="20"/>
        </w:rPr>
        <w:t>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6" w:name="xdx_89F_eus-gaap--ScheduleOfLineOfCredit"/>
      <w:bookmarkEnd w:id="376"/>
      <w:r>
        <w:rPr>
          <w:rFonts w:ascii="Times New Roman;Times;Serif" w:hAnsi="Times New Roman;Times;Serif"/>
          <w:b w:val="false"/>
          <w:i w:val="false"/>
          <w:caps w:val="false"/>
          <w:smallCaps w:val="false"/>
          <w:sz w:val="20"/>
        </w:rPr>
        <w:t>The Company’s credit facility consisted of the following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7" w:name="xdx_8B1_z2g79uwwAB43"/>
      <w:bookmarkEnd w:id="377"/>
      <w:r>
        <w:rPr>
          <w:rFonts w:ascii="Times New Roman;Times;Serif" w:hAnsi="Times New Roman;Times;Serif"/>
          <w:b w:val="false"/>
          <w:i w:val="false"/>
          <w:caps w:val="false"/>
          <w:smallCaps w:val="false"/>
          <w:sz w:val="20"/>
        </w:rPr>
        <w:t>Schedule of Amount Outstanding Under Credit Facilities</w:t>
      </w:r>
    </w:p>
    <w:tbl>
      <w:tblPr>
        <w:tblW w:w="6609" w:type="dxa"/>
        <w:jc w:val="left"/>
        <w:tblInd w:w="0" w:type="dxa"/>
        <w:tblLayout w:type="fixed"/>
        <w:tblCellMar>
          <w:top w:w="0" w:type="dxa"/>
          <w:left w:w="0" w:type="dxa"/>
          <w:bottom w:w="0" w:type="dxa"/>
          <w:right w:w="0" w:type="dxa"/>
        </w:tblCellMar>
      </w:tblPr>
      <w:tblGrid>
        <w:gridCol w:w="3935"/>
        <w:gridCol w:w="60"/>
        <w:gridCol w:w="235"/>
        <w:gridCol w:w="940"/>
        <w:gridCol w:w="95"/>
        <w:gridCol w:w="60"/>
        <w:gridCol w:w="200"/>
        <w:gridCol w:w="974"/>
        <w:gridCol w:w="11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1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Line of credit – Alterna Capital Solutions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bookmarkStart w:id="378" w:name="xdx_983_eus-gaap--LinesOfCreditCurrent_i"/>
            <w:bookmarkEnd w:id="378"/>
          </w:p>
        </w:tc>
        <w:tc>
          <w:tcPr>
            <w:tcW w:w="940" w:type="dxa"/>
            <w:tcBorders/>
            <w:shd w:fill="CCEEFF" w:val="clear"/>
            <w:vAlign w:val="center"/>
          </w:tcPr>
          <w:p>
            <w:pPr>
              <w:pStyle w:val="TableContents"/>
              <w:bidi w:val="0"/>
              <w:spacing w:before="0" w:after="283"/>
              <w:jc w:val="right"/>
              <w:rPr/>
            </w:pPr>
            <w:r>
              <w:rPr/>
              <w:t>9,959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bookmarkStart w:id="379" w:name="xdx_984_eus-gaap--LinesOfCreditCurrent_i"/>
            <w:bookmarkEnd w:id="379"/>
          </w:p>
        </w:tc>
        <w:tc>
          <w:tcPr>
            <w:tcW w:w="974" w:type="dxa"/>
            <w:tcBorders/>
            <w:shd w:fill="CCEEFF" w:val="clear"/>
            <w:vAlign w:val="center"/>
          </w:tcPr>
          <w:p>
            <w:pPr>
              <w:pStyle w:val="TableContents"/>
              <w:bidi w:val="0"/>
              <w:spacing w:before="0" w:after="283"/>
              <w:jc w:val="right"/>
              <w:rPr/>
            </w:pPr>
            <w:r>
              <w:rPr/>
              <w:t>11,337</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Less: capitalized financing costs</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80" w:name="xdx_989_eus-gaap--DeferredFinanceCostsCu"/>
            <w:bookmarkEnd w:id="380"/>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(201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81" w:name="xdx_98F_eus-gaap--DeferredFinanceCostsCu"/>
            <w:bookmarkEnd w:id="381"/>
          </w:p>
        </w:tc>
        <w:tc>
          <w:tcPr>
            <w:tcW w:w="974" w:type="dxa"/>
            <w:tcBorders>
              <w:bottom w:val="single" w:sz="12" w:space="0" w:color="000000"/>
            </w:tcBorders>
            <w:shd w:fill="FFFFFF" w:val="clear"/>
            <w:tcMar>
              <w:bottom w:w="28" w:type="dxa"/>
            </w:tcMar>
            <w:vAlign w:val="center"/>
          </w:tcPr>
          <w:p>
            <w:pPr>
              <w:pStyle w:val="TableContents"/>
              <w:bidi w:val="0"/>
              <w:spacing w:before="0" w:after="283"/>
              <w:jc w:val="right"/>
              <w:rPr/>
            </w:pPr>
            <w:r>
              <w:rPr/>
              <w:t>(363</w:t>
            </w:r>
          </w:p>
        </w:tc>
        <w:tc>
          <w:tcPr>
            <w:tcW w:w="110" w:type="dxa"/>
            <w:tcBorders/>
            <w:shd w:fill="FFFFFF" w:val="clear"/>
            <w:vAlign w:val="center"/>
          </w:tcPr>
          <w:p>
            <w:pPr>
              <w:pStyle w:val="TableContents"/>
              <w:bidi w:val="0"/>
              <w:spacing w:before="0" w:after="283"/>
              <w:jc w:val="left"/>
              <w:rPr/>
            </w:pPr>
            <w:r>
              <w:rPr/>
              <w:t>)</w:t>
            </w:r>
          </w:p>
        </w:tc>
      </w:tr>
      <w:tr>
        <w:trPr/>
        <w:tc>
          <w:tcPr>
            <w:tcW w:w="393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82" w:name="xdx_98B_eus-gaap--LinesOfCreditCurrent_i"/>
            <w:bookmarkEnd w:id="382"/>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pPr>
            <w:r>
              <w:rPr/>
              <w:t>9,758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83" w:name="xdx_98F_eus-gaap--LinesOfCreditCurrent_i"/>
            <w:bookmarkEnd w:id="383"/>
          </w:p>
        </w:tc>
        <w:tc>
          <w:tcPr>
            <w:tcW w:w="974" w:type="dxa"/>
            <w:tcBorders>
              <w:bottom w:val="double" w:sz="6" w:space="0" w:color="000000"/>
            </w:tcBorders>
            <w:shd w:fill="CCEEFF" w:val="clear"/>
            <w:tcMar>
              <w:bottom w:w="28" w:type="dxa"/>
            </w:tcMar>
            <w:vAlign w:val="center"/>
          </w:tcPr>
          <w:p>
            <w:pPr>
              <w:pStyle w:val="TableContents"/>
              <w:bidi w:val="0"/>
              <w:spacing w:before="0" w:after="283"/>
              <w:jc w:val="right"/>
              <w:rPr/>
            </w:pPr>
            <w:r>
              <w:rPr/>
              <w:t>10,974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4" w:name="xdx_8A7_zstppLBUPpxg"/>
      <w:bookmarkEnd w:id="38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2022, the Company entered into a financing agreement for a line of credit with Alterna Capital Solutions (“ACS”) The ACS line of credit is for a term of </w:t>
      </w:r>
      <w:bookmarkStart w:id="385" w:name="xdx_905_eus-gaap--DebtInstrumentTerm_dtY"/>
      <w:bookmarkEnd w:id="385"/>
      <w:r>
        <w:rPr>
          <w:rFonts w:ascii="Times New Roman;Times;Serif" w:hAnsi="Times New Roman;Times;Serif"/>
          <w:b w:val="false"/>
          <w:i w:val="false"/>
          <w:caps w:val="false"/>
          <w:smallCaps w:val="false"/>
          <w:sz w:val="20"/>
        </w:rPr>
        <w:t>3 years, provides for borrowings of up to $</w:t>
      </w:r>
      <w:bookmarkStart w:id="386" w:name="xdx_907_eus-gaap--LineOfCreditFacilityMa"/>
      <w:bookmarkEnd w:id="386"/>
      <w:r>
        <w:rPr>
          <w:rFonts w:ascii="Times New Roman;Times;Serif" w:hAnsi="Times New Roman;Times;Serif"/>
          <w:b w:val="false"/>
          <w:i w:val="false"/>
          <w:caps w:val="false"/>
          <w:smallCaps w:val="false"/>
          <w:sz w:val="20"/>
        </w:rPr>
        <w:t>13,000, and is secured by eligible accounts receivable and inventory, and are subject to a collateral sharing agreement with Whitebox, another secured lender (see Note 7). An over advance rider provides for up to $</w:t>
      </w:r>
      <w:bookmarkStart w:id="387" w:name="xdx_90E_eus-gaap--LineOfCreditFacilityMa"/>
      <w:bookmarkEnd w:id="387"/>
      <w:r>
        <w:rPr>
          <w:rFonts w:ascii="Times New Roman;Times;Serif" w:hAnsi="Times New Roman;Times;Serif"/>
          <w:b w:val="false"/>
          <w:i w:val="false"/>
          <w:caps w:val="false"/>
          <w:smallCaps w:val="false"/>
          <w:sz w:val="20"/>
        </w:rPr>
        <w:t>400 of additional borrowing above the collateralized base (the “Over Advance”) up to a total borrowing of $</w:t>
      </w:r>
      <w:bookmarkStart w:id="388" w:name="xdx_90A_eus-gaap--LineOfCreditFacilityMa"/>
      <w:bookmarkEnd w:id="388"/>
      <w:r>
        <w:rPr>
          <w:rFonts w:ascii="Times New Roman;Times;Serif" w:hAnsi="Times New Roman;Times;Serif"/>
          <w:b w:val="false"/>
          <w:i w:val="false"/>
          <w:caps w:val="false"/>
          <w:smallCaps w:val="false"/>
          <w:sz w:val="20"/>
        </w:rPr>
        <w:t>13,000. As of December 2023, the remaining availability under the line of credit was $</w:t>
      </w:r>
      <w:bookmarkStart w:id="389" w:name="xdx_90E_eus-gaap--LineOfCreditFacilityCu"/>
      <w:bookmarkEnd w:id="389"/>
      <w:r>
        <w:rPr>
          <w:rFonts w:ascii="Times New Roman;Times;Serif" w:hAnsi="Times New Roman;Times;Serif"/>
          <w:b w:val="false"/>
          <w:i w:val="false"/>
          <w:caps w:val="false"/>
          <w:smallCaps w:val="false"/>
          <w:sz w:val="20"/>
        </w:rPr>
        <w:t>23 of current availability, and $</w:t>
      </w:r>
      <w:bookmarkStart w:id="390" w:name="xdx_90E_eus-gaap--LineOfCreditFacilityMa"/>
      <w:bookmarkEnd w:id="390"/>
      <w:r>
        <w:rPr>
          <w:rFonts w:ascii="Times New Roman;Times;Serif" w:hAnsi="Times New Roman;Times;Serif"/>
          <w:b w:val="false"/>
          <w:i w:val="false"/>
          <w:caps w:val="false"/>
          <w:smallCaps w:val="false"/>
          <w:sz w:val="20"/>
        </w:rPr>
        <w:t>3,041 of borrowing capacity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1" w:name="xdx_906_eus-gaap--LineOfCreditFacilityIn"/>
      <w:bookmarkEnd w:id="391"/>
      <w:r>
        <w:rPr>
          <w:rFonts w:ascii="Times New Roman;Times;Serif" w:hAnsi="Times New Roman;Times;Serif"/>
          <w:b w:val="false"/>
          <w:i w:val="false"/>
          <w:caps w:val="false"/>
          <w:smallCaps w:val="false"/>
          <w:sz w:val="20"/>
        </w:rPr>
        <w:t>Borrowings based on receivables bears an interest of prime plus 4.75% but not less than 8.0% (13.25% at December 31, 2023 and 12.25% at December 31, 2022). Borrowings based on inventory bears an interest of prime plus 5.25% but not less than 8.5% (13.90 % at December, 31, 2023 and 12.90% at December 31, 2022). The additional over advance rider bears a rate of prime plus 12.75%, but not less than 16.00% (18.00% at December 31, 2023 and 18.00% at December 31, 2022). Additionally, the line of credit is subject to monthly monitoring fee of $1 with a minimum usage requirement on the credit facility. A loan balance of less than $</w:t>
      </w:r>
      <w:bookmarkStart w:id="392" w:name="xdx_904_eus-gaap--LineOfCredit_iI_pn3n3_"/>
      <w:bookmarkEnd w:id="392"/>
      <w:r>
        <w:rPr>
          <w:rFonts w:ascii="Times New Roman;Times;Serif" w:hAnsi="Times New Roman;Times;Serif"/>
          <w:b w:val="false"/>
          <w:i w:val="false"/>
          <w:caps w:val="false"/>
          <w:smallCaps w:val="false"/>
          <w:sz w:val="20"/>
        </w:rPr>
        <w:t>1,500 will bear interest at a rate in line with account receivables advances plus the monthly monitoring fee of $</w:t>
      </w:r>
      <w:bookmarkStart w:id="393" w:name="xdx_905_ecustom--LineOfCreditMonitoringF"/>
      <w:bookmarkEnd w:id="393"/>
      <w:r>
        <w:rPr>
          <w:rFonts w:ascii="Times New Roman;Times;Serif" w:hAnsi="Times New Roman;Times;Serif"/>
          <w:b w:val="false"/>
          <w:i w:val="false"/>
          <w:caps w:val="false"/>
          <w:smallCaps w:val="false"/>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w:t>
      </w:r>
      <w:bookmarkStart w:id="394" w:name="xdx_90E_eus-gaap--DirectOperatingCosts_p"/>
      <w:bookmarkEnd w:id="394"/>
      <w:r>
        <w:rPr>
          <w:rFonts w:ascii="Times New Roman;Times;Serif" w:hAnsi="Times New Roman;Times;Serif"/>
          <w:b w:val="false"/>
          <w:i w:val="false"/>
          <w:caps w:val="false"/>
          <w:smallCaps w:val="false"/>
          <w:sz w:val="20"/>
        </w:rPr>
        <w:t xml:space="preserve">483 of direct costs of the transaction, consisting primarily of broker, bank and legal fees. These costs have been capitalized and are being amortized over the </w:t>
      </w:r>
      <w:bookmarkStart w:id="395" w:name="xdx_903_ecustom--AmortizationOfLineOfCre"/>
      <w:bookmarkEnd w:id="395"/>
      <w:r>
        <w:rPr>
          <w:rFonts w:ascii="Times New Roman;Times;Serif" w:hAnsi="Times New Roman;Times;Serif"/>
          <w:b w:val="false"/>
          <w:i w:val="false"/>
          <w:caps w:val="false"/>
          <w:smallCaps w:val="false"/>
          <w:sz w:val="20"/>
        </w:rPr>
        <w:t>3-year life of the ACS agreement. The unamortized debt discount balance was $</w:t>
      </w:r>
      <w:bookmarkStart w:id="396" w:name="xdx_90C_eus-gaap--DebtInstrumentUnamorti"/>
      <w:bookmarkEnd w:id="396"/>
      <w:r>
        <w:rPr>
          <w:rFonts w:ascii="Times New Roman;Times;Serif" w:hAnsi="Times New Roman;Times;Serif"/>
          <w:b w:val="false"/>
          <w:i w:val="false"/>
          <w:caps w:val="false"/>
          <w:smallCaps w:val="false"/>
          <w:sz w:val="20"/>
        </w:rPr>
        <w:t>363 at December 31, 2022. For the year ended December 31, 2023, amortization of debt discount was $</w:t>
      </w:r>
      <w:bookmarkStart w:id="397" w:name="xdx_901_eus-gaap--AmortizationOfDebtDisc"/>
      <w:bookmarkEnd w:id="397"/>
      <w:r>
        <w:rPr>
          <w:rFonts w:ascii="Times New Roman;Times;Serif" w:hAnsi="Times New Roman;Times;Serif"/>
          <w:b w:val="false"/>
          <w:i w:val="false"/>
          <w:caps w:val="false"/>
          <w:smallCaps w:val="false"/>
          <w:sz w:val="20"/>
        </w:rPr>
        <w:t>162, and as of December 31, 2023, the remaining unamortized debt discount balance is $</w:t>
      </w:r>
      <w:bookmarkStart w:id="398" w:name="xdx_907_eus-gaap--DebtInstrumentUnamorti"/>
      <w:bookmarkEnd w:id="398"/>
      <w:r>
        <w:rPr>
          <w:rFonts w:ascii="Times New Roman;Times;Serif" w:hAnsi="Times New Roman;Times;Serif"/>
          <w:b w:val="false"/>
          <w:i w:val="false"/>
          <w:caps w:val="false"/>
          <w:smallCaps w:val="false"/>
          <w:sz w:val="20"/>
        </w:rPr>
        <w:t>201.</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9" w:name="xdx_80B_eus-gaap--DebtDisclosureTextBloc"/>
      <w:bookmarkEnd w:id="399"/>
      <w:r>
        <w:rPr>
          <w:rFonts w:ascii="Times New Roman;Times;Serif" w:hAnsi="Times New Roman;Times;Serif"/>
          <w:b/>
          <w:i w:val="false"/>
          <w:caps w:val="false"/>
          <w:smallCaps w:val="false"/>
          <w:sz w:val="20"/>
        </w:rPr>
        <w:t xml:space="preserve">7. </w:t>
      </w:r>
      <w:bookmarkStart w:id="400" w:name="xdx_821_z2VGdqGi9X99"/>
      <w:bookmarkEnd w:id="400"/>
      <w:r>
        <w:rPr>
          <w:rFonts w:ascii="Times New Roman;Times;Serif" w:hAnsi="Times New Roman;Times;Serif"/>
          <w:b/>
          <w:i w:val="false"/>
          <w:caps w:val="false"/>
          <w:smallCaps w:val="false"/>
          <w:sz w:val="20"/>
        </w:rPr>
        <w:t>Secured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1" w:name="xdx_89B_eus-gaap--ScheduleOfDebtTableTex"/>
      <w:bookmarkEnd w:id="401"/>
      <w:r>
        <w:rPr>
          <w:rFonts w:ascii="Times New Roman;Times;Serif" w:hAnsi="Times New Roman;Times;Serif"/>
          <w:b w:val="false"/>
          <w:i w:val="false"/>
          <w:caps w:val="false"/>
          <w:smallCaps w:val="false"/>
          <w:sz w:val="20"/>
        </w:rPr>
        <w:t>Amounts outstanding under secured convertible notes payable are as follows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2" w:name="xdx_8B0_zBZSlNktjdTa"/>
      <w:bookmarkEnd w:id="402"/>
      <w:r>
        <w:rPr>
          <w:rFonts w:ascii="Times New Roman;Times;Serif" w:hAnsi="Times New Roman;Times;Serif"/>
          <w:b w:val="false"/>
          <w:i w:val="false"/>
          <w:caps w:val="false"/>
          <w:smallCaps w:val="false"/>
          <w:sz w:val="20"/>
        </w:rPr>
        <w:t>Schedule of Secured Convertible Notes Payable</w:t>
      </w:r>
    </w:p>
    <w:tbl>
      <w:tblPr>
        <w:tblW w:w="8828" w:type="dxa"/>
        <w:jc w:val="left"/>
        <w:tblInd w:w="0" w:type="dxa"/>
        <w:tblLayout w:type="fixed"/>
        <w:tblCellMar>
          <w:top w:w="0" w:type="dxa"/>
          <w:left w:w="0" w:type="dxa"/>
          <w:bottom w:w="0" w:type="dxa"/>
          <w:right w:w="0" w:type="dxa"/>
        </w:tblCellMar>
      </w:tblPr>
      <w:tblGrid>
        <w:gridCol w:w="6155"/>
        <w:gridCol w:w="60"/>
        <w:gridCol w:w="200"/>
        <w:gridCol w:w="974"/>
        <w:gridCol w:w="95"/>
        <w:gridCol w:w="60"/>
        <w:gridCol w:w="200"/>
        <w:gridCol w:w="974"/>
        <w:gridCol w:w="110"/>
      </w:tblGrid>
      <w:tr>
        <w:trPr/>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3" w:name="xdx_495_20231231__us-gaap--DebtInstrumen"/>
            <w:bookmarkEnd w:id="403"/>
          </w:p>
        </w:tc>
        <w:tc>
          <w:tcPr>
            <w:tcW w:w="117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4" w:name="xdx_491_20221231__us-gaap--DebtInstrumen"/>
            <w:bookmarkEnd w:id="404"/>
          </w:p>
        </w:tc>
        <w:tc>
          <w:tcPr>
            <w:tcW w:w="117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10" w:type="dxa"/>
            <w:tcBorders/>
            <w:vAlign w:val="center"/>
          </w:tcPr>
          <w:p>
            <w:pPr>
              <w:pStyle w:val="TableContents"/>
              <w:bidi w:val="0"/>
              <w:spacing w:before="0" w:after="283"/>
              <w:jc w:val="left"/>
              <w:rPr/>
            </w:pPr>
            <w:r>
              <w:rPr/>
              <w:t> </w:t>
            </w:r>
            <w:bookmarkStart w:id="405" w:name="xdx_402_eus-gaap--SecuredDebt_iI_pn3n3_m"/>
            <w:bookmarkEnd w:id="405"/>
          </w:p>
        </w:tc>
      </w:tr>
      <w:tr>
        <w:trPr/>
        <w:tc>
          <w:tcPr>
            <w:tcW w:w="6155" w:type="dxa"/>
            <w:tcBorders/>
            <w:shd w:fill="CCEEFF" w:val="clear"/>
            <w:vAlign w:val="center"/>
          </w:tcPr>
          <w:p>
            <w:pPr>
              <w:pStyle w:val="TableContents"/>
              <w:bidi w:val="0"/>
              <w:spacing w:before="0" w:after="283"/>
              <w:jc w:val="left"/>
              <w:rPr/>
            </w:pPr>
            <w:r>
              <w:rPr/>
              <w:t>Secured Convertible Note Payable</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4" w:type="dxa"/>
            <w:tcBorders/>
            <w:shd w:fill="CCEEFF" w:val="clear"/>
            <w:vAlign w:val="center"/>
          </w:tcPr>
          <w:p>
            <w:pPr>
              <w:pStyle w:val="TableContents"/>
              <w:bidi w:val="0"/>
              <w:spacing w:before="0" w:after="283"/>
              <w:jc w:val="right"/>
              <w:rPr/>
            </w:pPr>
            <w:r>
              <w:rPr/>
              <w:t>14,300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4" w:type="dxa"/>
            <w:tcBorders/>
            <w:shd w:fill="CCEEFF" w:val="clear"/>
            <w:vAlign w:val="center"/>
          </w:tcPr>
          <w:p>
            <w:pPr>
              <w:pStyle w:val="TableContents"/>
              <w:bidi w:val="0"/>
              <w:spacing w:before="0" w:after="283"/>
              <w:jc w:val="right"/>
              <w:rPr/>
            </w:pPr>
            <w:r>
              <w:rPr/>
              <w:t>10,450</w:t>
            </w:r>
          </w:p>
        </w:tc>
        <w:tc>
          <w:tcPr>
            <w:tcW w:w="110" w:type="dxa"/>
            <w:tcBorders/>
            <w:shd w:fill="CCEEFF" w:val="clear"/>
            <w:vAlign w:val="center"/>
          </w:tcPr>
          <w:p>
            <w:pPr>
              <w:pStyle w:val="TableContents"/>
              <w:bidi w:val="0"/>
              <w:spacing w:before="0" w:after="283"/>
              <w:jc w:val="left"/>
              <w:rPr/>
            </w:pPr>
            <w:r>
              <w:rPr/>
              <w:t> </w:t>
            </w:r>
            <w:bookmarkStart w:id="406" w:name="xdx_40D_eus-gaap--InterestPayableCurrent"/>
            <w:bookmarkEnd w:id="406"/>
          </w:p>
        </w:tc>
      </w:tr>
      <w:tr>
        <w:trPr/>
        <w:tc>
          <w:tcPr>
            <w:tcW w:w="6155" w:type="dxa"/>
            <w:tcBorders/>
            <w:shd w:fill="FFFFFF" w:val="clear"/>
            <w:vAlign w:val="center"/>
          </w:tcPr>
          <w:p>
            <w:pPr>
              <w:pStyle w:val="TableContents"/>
              <w:bidi w:val="0"/>
              <w:spacing w:before="0" w:after="283"/>
              <w:jc w:val="left"/>
              <w:rPr/>
            </w:pPr>
            <w:r>
              <w:rPr/>
              <w:t>Accrued interest (includes excess ABL fees of $</w:t>
            </w:r>
            <w:bookmarkStart w:id="407" w:name="xdx_90A_eus-gaap--DebtInstrumentFeeAmoun"/>
            <w:bookmarkEnd w:id="407"/>
            <w:r>
              <w:rPr/>
              <w:t>2,176 and $</w:t>
            </w:r>
            <w:bookmarkStart w:id="408" w:name="xdx_90B_eus-gaap--DebtInstrumentFeeAmoun"/>
            <w:bookmarkEnd w:id="408"/>
            <w:r>
              <w:rPr/>
              <w:t>648)</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3,883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1,052</w:t>
            </w:r>
          </w:p>
        </w:tc>
        <w:tc>
          <w:tcPr>
            <w:tcW w:w="110" w:type="dxa"/>
            <w:tcBorders/>
            <w:shd w:fill="FFFFFF" w:val="clear"/>
            <w:vAlign w:val="center"/>
          </w:tcPr>
          <w:p>
            <w:pPr>
              <w:pStyle w:val="TableContents"/>
              <w:bidi w:val="0"/>
              <w:spacing w:before="0" w:after="283"/>
              <w:jc w:val="left"/>
              <w:rPr/>
            </w:pPr>
            <w:r>
              <w:rPr/>
              <w:t> </w:t>
            </w:r>
            <w:bookmarkStart w:id="409" w:name="xdx_404_eus-gaap--DeferredFinanceCostsNe"/>
            <w:bookmarkEnd w:id="409"/>
          </w:p>
        </w:tc>
      </w:tr>
      <w:tr>
        <w:trPr/>
        <w:tc>
          <w:tcPr>
            <w:tcW w:w="6155" w:type="dxa"/>
            <w:tcBorders/>
            <w:shd w:fill="CCEEFF" w:val="clear"/>
            <w:vAlign w:val="center"/>
          </w:tcPr>
          <w:p>
            <w:pPr>
              <w:pStyle w:val="TableContents"/>
              <w:bidi w:val="0"/>
              <w:spacing w:before="0" w:after="283"/>
              <w:jc w:val="left"/>
              <w:rPr/>
            </w:pPr>
            <w:r>
              <w:rPr/>
              <w:t>Capitalized financing costs</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(572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(976</w:t>
            </w:r>
          </w:p>
        </w:tc>
        <w:tc>
          <w:tcPr>
            <w:tcW w:w="110" w:type="dxa"/>
            <w:tcBorders/>
            <w:shd w:fill="CCEEFF" w:val="clear"/>
            <w:vAlign w:val="center"/>
          </w:tcPr>
          <w:p>
            <w:pPr>
              <w:pStyle w:val="TableContents"/>
              <w:bidi w:val="0"/>
              <w:spacing w:before="0" w:after="283"/>
              <w:jc w:val="left"/>
              <w:rPr/>
            </w:pPr>
            <w:r>
              <w:rPr/>
              <w:t>)</w:t>
            </w:r>
            <w:bookmarkStart w:id="410" w:name="xdx_402_eus-gaap--ConvertibleDebt_iTI_pn"/>
            <w:bookmarkEnd w:id="410"/>
          </w:p>
        </w:tc>
      </w:tr>
      <w:tr>
        <w:trPr/>
        <w:tc>
          <w:tcPr>
            <w:tcW w:w="615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974" w:type="dxa"/>
            <w:tcBorders/>
            <w:shd w:fill="FFFFFF" w:val="clear"/>
            <w:vAlign w:val="center"/>
          </w:tcPr>
          <w:p>
            <w:pPr>
              <w:pStyle w:val="TableContents"/>
              <w:bidi w:val="0"/>
              <w:spacing w:before="0" w:after="283"/>
              <w:jc w:val="right"/>
              <w:rPr/>
            </w:pPr>
            <w:r>
              <w:rPr/>
              <w:t>17,611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974" w:type="dxa"/>
            <w:tcBorders/>
            <w:shd w:fill="FFFFFF" w:val="clear"/>
            <w:vAlign w:val="center"/>
          </w:tcPr>
          <w:p>
            <w:pPr>
              <w:pStyle w:val="TableContents"/>
              <w:bidi w:val="0"/>
              <w:spacing w:before="0" w:after="283"/>
              <w:jc w:val="right"/>
              <w:rPr/>
            </w:pPr>
            <w:r>
              <w:rPr/>
              <w:t>10,526</w:t>
            </w:r>
          </w:p>
        </w:tc>
        <w:tc>
          <w:tcPr>
            <w:tcW w:w="110" w:type="dxa"/>
            <w:tcBorders/>
            <w:shd w:fill="FFFFFF" w:val="clear"/>
            <w:vAlign w:val="center"/>
          </w:tcPr>
          <w:p>
            <w:pPr>
              <w:pStyle w:val="TableContents"/>
              <w:bidi w:val="0"/>
              <w:spacing w:before="0" w:after="283"/>
              <w:jc w:val="left"/>
              <w:rPr/>
            </w:pPr>
            <w:r>
              <w:rPr/>
              <w:t> </w:t>
            </w:r>
            <w:bookmarkStart w:id="411" w:name="xdx_404_eus-gaap--ConvertibleDebtCurrent"/>
            <w:bookmarkEnd w:id="411"/>
          </w:p>
        </w:tc>
      </w:tr>
      <w:tr>
        <w:trPr/>
        <w:tc>
          <w:tcPr>
            <w:tcW w:w="6155" w:type="dxa"/>
            <w:tcBorders/>
            <w:shd w:fill="CCEEFF" w:val="clear"/>
            <w:vAlign w:val="center"/>
          </w:tcPr>
          <w:p>
            <w:pPr>
              <w:pStyle w:val="TableContents"/>
              <w:bidi w:val="0"/>
              <w:spacing w:before="0" w:after="283"/>
              <w:jc w:val="left"/>
              <w:rPr/>
            </w:pPr>
            <w:r>
              <w:rPr/>
              <w:t>Current portion</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(6,737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(2,434</w:t>
            </w:r>
          </w:p>
        </w:tc>
        <w:tc>
          <w:tcPr>
            <w:tcW w:w="110" w:type="dxa"/>
            <w:tcBorders/>
            <w:shd w:fill="CCEEFF" w:val="clear"/>
            <w:vAlign w:val="center"/>
          </w:tcPr>
          <w:p>
            <w:pPr>
              <w:pStyle w:val="TableContents"/>
              <w:bidi w:val="0"/>
              <w:spacing w:before="0" w:after="283"/>
              <w:jc w:val="left"/>
              <w:rPr/>
            </w:pPr>
            <w:r>
              <w:rPr/>
              <w:t>)</w:t>
            </w:r>
            <w:bookmarkStart w:id="412" w:name="xdx_400_eus-gaap--ConvertibleDebtNoncurr"/>
            <w:bookmarkEnd w:id="412"/>
          </w:p>
        </w:tc>
      </w:tr>
      <w:tr>
        <w:trPr/>
        <w:tc>
          <w:tcPr>
            <w:tcW w:w="6155" w:type="dxa"/>
            <w:tcBorders/>
            <w:shd w:fill="FFFFFF" w:val="clear"/>
            <w:vAlign w:val="center"/>
          </w:tcPr>
          <w:p>
            <w:pPr>
              <w:pStyle w:val="TableContents"/>
              <w:bidi w:val="0"/>
              <w:spacing w:before="0" w:after="283"/>
              <w:jc w:val="left"/>
              <w:rPr/>
            </w:pPr>
            <w:r>
              <w:rPr/>
              <w:t>Long term portion due through May, 2025</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4" w:type="dxa"/>
            <w:tcBorders>
              <w:bottom w:val="double" w:sz="6" w:space="0" w:color="000000"/>
            </w:tcBorders>
            <w:shd w:fill="FFFFFF" w:val="clear"/>
            <w:tcMar>
              <w:bottom w:w="28" w:type="dxa"/>
            </w:tcMar>
            <w:vAlign w:val="center"/>
          </w:tcPr>
          <w:p>
            <w:pPr>
              <w:pStyle w:val="TableContents"/>
              <w:bidi w:val="0"/>
              <w:spacing w:before="0" w:after="283"/>
              <w:jc w:val="right"/>
              <w:rPr/>
            </w:pPr>
            <w:r>
              <w:rPr/>
              <w:t>10,874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4" w:type="dxa"/>
            <w:tcBorders>
              <w:bottom w:val="double" w:sz="6" w:space="0" w:color="000000"/>
            </w:tcBorders>
            <w:shd w:fill="FFFFFF" w:val="clear"/>
            <w:tcMar>
              <w:bottom w:w="28" w:type="dxa"/>
            </w:tcMar>
            <w:vAlign w:val="center"/>
          </w:tcPr>
          <w:p>
            <w:pPr>
              <w:pStyle w:val="TableContents"/>
              <w:bidi w:val="0"/>
              <w:spacing w:before="0" w:after="283"/>
              <w:jc w:val="right"/>
              <w:rPr/>
            </w:pPr>
            <w:r>
              <w:rPr/>
              <w:t>8,092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3" w:name="xdx_8AD_zuHffIJdYrY8"/>
      <w:bookmarkEnd w:id="413"/>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2022, the Company issued $</w:t>
      </w:r>
      <w:bookmarkStart w:id="414" w:name="xdx_90D_eus-gaap--SecuredDebt_iI_pn3n3_c"/>
      <w:bookmarkEnd w:id="414"/>
      <w:r>
        <w:rPr>
          <w:rFonts w:ascii="Times New Roman;Times;Serif" w:hAnsi="Times New Roman;Times;Serif"/>
          <w:b w:val="false"/>
          <w:i w:val="false"/>
          <w:caps w:val="false"/>
          <w:smallCaps w:val="false"/>
          <w:sz w:val="20"/>
        </w:rPr>
        <w:t xml:space="preserve">11,250 of convertible notes payable (the “Original Notes”) to entities affiliated with Whitebox Advisors, LLC (collectively, “Whitebox”). </w:t>
      </w:r>
      <w:bookmarkStart w:id="415" w:name="xdx_902_eus-gaap--DebtInstrumentInterest"/>
      <w:bookmarkEnd w:id="415"/>
      <w:r>
        <w:rPr>
          <w:rFonts w:ascii="Times New Roman;Times;Serif" w:hAnsi="Times New Roman;Times;Serif"/>
          <w:b w:val="false"/>
          <w:i w:val="false"/>
          <w:caps w:val="false"/>
          <w:smallCaps w:val="false"/>
          <w:sz w:val="20"/>
        </w:rPr>
        <w:t xml:space="preserve">The Original Notes bear interest at 10% per annum (with 5% per annum payable in cash and 5% per annum payable in kind (“PIK”) by adding such PIK interest to the principal amount of the notes), are secured by substantially all of the Company’s assets (including all of its intellectual property) and are subject to a collateral sharing agreement with ACS, the Company’s existing secured lender (see Note 6). The Original Notes mature on </w:t>
      </w:r>
      <w:bookmarkStart w:id="416" w:name="xdx_90E_eus-gaap--DebtInstrumentMaturity"/>
      <w:bookmarkEnd w:id="416"/>
      <w:r>
        <w:rPr>
          <w:rFonts w:ascii="Times New Roman;Times;Serif" w:hAnsi="Times New Roman;Times;Serif"/>
          <w:b w:val="false"/>
          <w:i w:val="false"/>
          <w:caps w:val="false"/>
          <w:smallCaps w:val="false"/>
          <w:sz w:val="20"/>
        </w:rPr>
        <w:t>May 9, 2025. In September 2022, the Company issued an additional $</w:t>
      </w:r>
      <w:bookmarkStart w:id="417" w:name="xdx_90A_eus-gaap--SecuredDebt_iI_pn3n3_c"/>
      <w:bookmarkEnd w:id="417"/>
      <w:r>
        <w:rPr>
          <w:rFonts w:ascii="Times New Roman;Times;Serif" w:hAnsi="Times New Roman;Times;Serif"/>
          <w:b w:val="false"/>
          <w:i w:val="false"/>
          <w:caps w:val="false"/>
          <w:smallCaps w:val="false"/>
          <w:sz w:val="20"/>
        </w:rPr>
        <w:t xml:space="preserve">2,500 of convertible notes payable (the “Option Notes”) to Whitebox. The Option Notes were due May 9, 2025, and were repaid in full in November 2022. The Original Notes together with the Option Notes are collectively referred to as the “Notes”. Upon conversion or early payment, holders of the Notes are entitled to receive an interest make-whole payment, as defined, equal to the sum of the remaining scheduled payments of interest on the Notes that would be due at maturity, payable, at the Company’s option, in cash or in shares of common stock. </w:t>
      </w:r>
      <w:r>
        <w:rPr>
          <w:rFonts w:ascii="Times New Roman;Times;Serif" w:hAnsi="Times New Roman;Times;Serif"/>
          <w:b w:val="false"/>
          <w:i w:val="false"/>
          <w:caps w:val="false"/>
          <w:smallCaps w:val="false"/>
          <w:sz w:val="20"/>
          <w:shd w:fill="FFFFFF" w:val="clear"/>
        </w:rPr>
        <w:t xml:space="preserve">Effective August 11, 2022, the Notes were amended to add a </w:t>
      </w:r>
      <w:bookmarkStart w:id="418" w:name="xdx_904_eus-gaap--LineOfCreditFacilityUn"/>
      <w:bookmarkEnd w:id="418"/>
      <w:r>
        <w:rPr>
          <w:rFonts w:ascii="Times New Roman;Times;Serif" w:hAnsi="Times New Roman;Times;Serif"/>
          <w:b w:val="false"/>
          <w:i w:val="false"/>
          <w:caps w:val="false"/>
          <w:smallCaps w:val="false"/>
          <w:sz w:val="20"/>
          <w:shd w:fill="FFFFFF" w:val="clear"/>
        </w:rPr>
        <w:t>10% fee for the amount that the Company’s line of credit with ACS (see Note 6) exceeds $</w:t>
      </w:r>
      <w:bookmarkStart w:id="419" w:name="xdx_905_eus-gaap--ProceedsFromLinesOfCre"/>
      <w:bookmarkEnd w:id="419"/>
      <w:r>
        <w:rPr>
          <w:rFonts w:ascii="Times New Roman;Times;Serif" w:hAnsi="Times New Roman;Times;Serif"/>
          <w:b w:val="false"/>
          <w:i w:val="false"/>
          <w:caps w:val="false"/>
          <w:smallCaps w:val="false"/>
          <w:sz w:val="20"/>
          <w:shd w:fill="FFFFFF" w:val="clear"/>
        </w:rPr>
        <w:t>6,000, as defined (the “Excess ABL Amount”). Effective June 30, 2023, the Excess ABL Amount was amended to $</w:t>
      </w:r>
      <w:bookmarkStart w:id="420" w:name="xdx_904_eus-gaap--DebtIssuanceCostsLineO"/>
      <w:bookmarkEnd w:id="420"/>
      <w:r>
        <w:rPr>
          <w:rFonts w:ascii="Times New Roman;Times;Serif" w:hAnsi="Times New Roman;Times;Serif"/>
          <w:b w:val="false"/>
          <w:i w:val="false"/>
          <w:caps w:val="false"/>
          <w:smallCaps w:val="false"/>
          <w:sz w:val="20"/>
          <w:shd w:fill="FFFFFF" w:val="clear"/>
        </w:rPr>
        <w:t>7,500.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Notes and Option Notes have an amortization feature which requires the Company to make monthly payments of principal of $</w:t>
      </w:r>
      <w:bookmarkStart w:id="421" w:name="xdx_90B_eus-gaap--DebtInstrumentPeriodic"/>
      <w:bookmarkEnd w:id="421"/>
      <w:r>
        <w:rPr>
          <w:rFonts w:ascii="Times New Roman;Times;Serif" w:hAnsi="Times New Roman;Times;Serif"/>
          <w:b w:val="false"/>
          <w:i w:val="false"/>
          <w:caps w:val="false"/>
          <w:smallCaps w:val="false"/>
          <w:sz w:val="20"/>
        </w:rPr>
        <w:t xml:space="preserve">200 plus accrued interest, payable in cash or in shares of the Company’s common stock at the option of the Company, based on </w:t>
      </w:r>
      <w:bookmarkStart w:id="422" w:name="xdx_906_eus-gaap--DebtInstrumentConverti"/>
      <w:bookmarkEnd w:id="422"/>
      <w:r>
        <w:rPr>
          <w:rFonts w:ascii="Times New Roman;Times;Serif" w:hAnsi="Times New Roman;Times;Serif"/>
          <w:b w:val="false"/>
          <w:i w:val="false"/>
          <w:caps w:val="false"/>
          <w:smallCaps w:val="false"/>
          <w:sz w:val="20"/>
        </w:rPr>
        <w:t>90% of the average prices of the Company’s common stock, as defined. During 2022, the Company made monthly amortization principal payments aggregating $</w:t>
      </w:r>
      <w:bookmarkStart w:id="423" w:name="xdx_90A_eus-gaap--RepaymentsOfSecuredDeb"/>
      <w:bookmarkEnd w:id="423"/>
      <w:r>
        <w:rPr>
          <w:rFonts w:ascii="Times New Roman;Times;Serif" w:hAnsi="Times New Roman;Times;Serif"/>
          <w:b w:val="false"/>
          <w:i w:val="false"/>
          <w:caps w:val="false"/>
          <w:smallCaps w:val="false"/>
          <w:sz w:val="20"/>
        </w:rPr>
        <w:t>800, made up of $</w:t>
      </w:r>
      <w:bookmarkStart w:id="424" w:name="xdx_90B_eus-gaap--Cash_iI_pn3n3_c2022123"/>
      <w:bookmarkEnd w:id="424"/>
      <w:r>
        <w:rPr>
          <w:rFonts w:ascii="Times New Roman;Times;Serif" w:hAnsi="Times New Roman;Times;Serif"/>
          <w:b w:val="false"/>
          <w:i w:val="false"/>
          <w:caps w:val="false"/>
          <w:smallCaps w:val="false"/>
          <w:sz w:val="20"/>
        </w:rPr>
        <w:t xml:space="preserve">600 in cash, and the issuance of </w:t>
      </w:r>
      <w:bookmarkStart w:id="425" w:name="xdx_907_eus-gaap--StockIssuedDuringPerio"/>
      <w:bookmarkEnd w:id="425"/>
      <w:r>
        <w:rPr>
          <w:rFonts w:ascii="Times New Roman;Times;Serif" w:hAnsi="Times New Roman;Times;Serif"/>
          <w:b w:val="false"/>
          <w:i w:val="false"/>
          <w:caps w:val="false"/>
          <w:smallCaps w:val="false"/>
          <w:sz w:val="20"/>
        </w:rPr>
        <w:t>32,362 shares of common stock valued at $</w:t>
      </w:r>
      <w:bookmarkStart w:id="426" w:name="xdx_909_eus-gaap--CommonStockValue_iI_pn"/>
      <w:bookmarkEnd w:id="426"/>
      <w:r>
        <w:rPr>
          <w:rFonts w:ascii="Times New Roman;Times;Serif" w:hAnsi="Times New Roman;Times;Serif"/>
          <w:b w:val="false"/>
          <w:i w:val="false"/>
          <w:caps w:val="false"/>
          <w:smallCaps w:val="false"/>
          <w:sz w:val="20"/>
        </w:rPr>
        <w:t>200. At December 31, 2022, the principal balance of the Notes was $</w:t>
      </w:r>
      <w:bookmarkStart w:id="427" w:name="xdx_900_eus-gaap--DebtInstrumentFaceAmou"/>
      <w:bookmarkEnd w:id="427"/>
      <w:r>
        <w:rPr>
          <w:rFonts w:ascii="Times New Roman;Times;Serif" w:hAnsi="Times New Roman;Times;Serif"/>
          <w:b w:val="false"/>
          <w:i w:val="false"/>
          <w:caps w:val="false"/>
          <w:smallCaps w:val="false"/>
          <w:sz w:val="20"/>
        </w:rPr>
        <w:t>10,450.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and May 2023, the Company issued an aggregate of $</w:t>
      </w:r>
      <w:bookmarkStart w:id="428" w:name="xdx_905_eus-gaap--ConvertibleNotesPayabl"/>
      <w:bookmarkEnd w:id="428"/>
      <w:r>
        <w:rPr>
          <w:rFonts w:ascii="Times New Roman;Times;Serif" w:hAnsi="Times New Roman;Times;Serif"/>
          <w:b w:val="false"/>
          <w:i w:val="false"/>
          <w:caps w:val="false"/>
          <w:smallCaps w:val="false"/>
          <w:sz w:val="20"/>
        </w:rPr>
        <w:t>4,050 of additional Option Notes to Whitebox that substantially have the same terms as the Original Notes, except the Option Notes issued in 2023 do not require any amortization payments, bear interest at 10% payable in cash, and were initially due four months after issuance and extended to November 28, 2023. The Company and Whitebox have tentatively agreed to extend the due date of the 2023 Option Notes to approximately April 30, 2024 (see Note 15). During 2023, Whitebox waived the requirement for the Company to pay the December 2022 to October 2023 monthly amortization payments on the Original Notes. The November 2023 amortization payment of $</w:t>
      </w:r>
      <w:bookmarkStart w:id="429" w:name="xdx_909_eus-gaap--DebtInstrumentFaceAmou"/>
      <w:bookmarkEnd w:id="429"/>
      <w:r>
        <w:rPr>
          <w:rFonts w:ascii="Times New Roman;Times;Serif" w:hAnsi="Times New Roman;Times;Serif"/>
          <w:b w:val="false"/>
          <w:i w:val="false"/>
          <w:caps w:val="false"/>
          <w:smallCaps w:val="false"/>
          <w:sz w:val="20"/>
        </w:rPr>
        <w:t>200 principal was paid, and the amortization payment for December 2023 was waived subsequent to December 31, 2023 (see Note 15). At December 31, 2023, the principal balance of the Notes was $14,300.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recorded interest of $</w:t>
      </w:r>
      <w:bookmarkStart w:id="430" w:name="xdx_908_eus-gaap--InterestExpense_pn3n3_"/>
      <w:bookmarkEnd w:id="430"/>
      <w:r>
        <w:rPr>
          <w:rFonts w:ascii="Times New Roman;Times;Serif" w:hAnsi="Times New Roman;Times;Serif"/>
          <w:b w:val="false"/>
          <w:i w:val="false"/>
          <w:caps w:val="false"/>
          <w:smallCaps w:val="false"/>
          <w:sz w:val="20"/>
        </w:rPr>
        <w:t>3,023, made up of $</w:t>
      </w:r>
      <w:bookmarkStart w:id="431" w:name="xdx_908_eus-gaap--InterestExpenseDebt_pn"/>
      <w:bookmarkEnd w:id="431"/>
      <w:r>
        <w:rPr>
          <w:rFonts w:ascii="Times New Roman;Times;Serif" w:hAnsi="Times New Roman;Times;Serif"/>
          <w:b w:val="false"/>
          <w:i w:val="false"/>
          <w:caps w:val="false"/>
          <w:smallCaps w:val="false"/>
          <w:sz w:val="20"/>
        </w:rPr>
        <w:t>800 of interest on the Notes, $</w:t>
      </w:r>
      <w:bookmarkStart w:id="432" w:name="xdx_90A_eus-gaap--DebtInstrumentPeriodic"/>
      <w:bookmarkEnd w:id="432"/>
      <w:r>
        <w:rPr>
          <w:rFonts w:ascii="Times New Roman;Times;Serif" w:hAnsi="Times New Roman;Times;Serif"/>
          <w:b w:val="false"/>
          <w:i w:val="false"/>
          <w:caps w:val="false"/>
          <w:smallCaps w:val="false"/>
          <w:sz w:val="20"/>
        </w:rPr>
        <w:t>489 related to make whole interest on the 2022 Option Notes repaid November 2022, and $</w:t>
      </w:r>
      <w:bookmarkStart w:id="433" w:name="xdx_90E_eus-gaap--PaymentsForFees_pn3n3_"/>
      <w:bookmarkEnd w:id="433"/>
      <w:r>
        <w:rPr>
          <w:rFonts w:ascii="Times New Roman;Times;Serif" w:hAnsi="Times New Roman;Times;Serif"/>
          <w:b w:val="false"/>
          <w:i w:val="false"/>
          <w:caps w:val="false"/>
          <w:smallCaps w:val="false"/>
          <w:sz w:val="20"/>
        </w:rPr>
        <w:t>1,734 related to the Excess ABL Amount fee. During 2022, the Company made interest payments of $</w:t>
      </w:r>
      <w:bookmarkStart w:id="434" w:name="xdx_907_eus-gaap--DebtInstrumentPeriodic"/>
      <w:bookmarkEnd w:id="434"/>
      <w:r>
        <w:rPr>
          <w:rFonts w:ascii="Times New Roman;Times;Serif" w:hAnsi="Times New Roman;Times;Serif"/>
          <w:b w:val="false"/>
          <w:i w:val="false"/>
          <w:caps w:val="false"/>
          <w:smallCaps w:val="false"/>
          <w:sz w:val="20"/>
        </w:rPr>
        <w:t xml:space="preserve">1,892, including the issuance of </w:t>
      </w:r>
      <w:bookmarkStart w:id="435" w:name="xdx_909_eus-gaap--StockIssuedDuringPerio"/>
      <w:bookmarkEnd w:id="435"/>
      <w:r>
        <w:rPr>
          <w:rFonts w:ascii="Times New Roman;Times;Serif" w:hAnsi="Times New Roman;Times;Serif"/>
          <w:b w:val="false"/>
          <w:i w:val="false"/>
          <w:caps w:val="false"/>
          <w:smallCaps w:val="false"/>
          <w:sz w:val="20"/>
        </w:rPr>
        <w:t>229,871 shares of common stock valued at $</w:t>
      </w:r>
      <w:bookmarkStart w:id="436" w:name="xdx_90C_eus-gaap--StockIssuedDuringPerio"/>
      <w:bookmarkEnd w:id="436"/>
      <w:r>
        <w:rPr>
          <w:rFonts w:ascii="Times New Roman;Times;Serif" w:hAnsi="Times New Roman;Times;Serif"/>
          <w:b w:val="false"/>
          <w:i w:val="false"/>
          <w:caps w:val="false"/>
          <w:smallCaps w:val="false"/>
          <w:sz w:val="20"/>
        </w:rPr>
        <w:t>1,261, and at December 31, 2022, the balance of accrued interest was $</w:t>
      </w:r>
      <w:bookmarkStart w:id="437" w:name="xdx_90E_eus-gaap--InterestPayableCurrent"/>
      <w:bookmarkEnd w:id="437"/>
      <w:r>
        <w:rPr>
          <w:rFonts w:ascii="Times New Roman;Times;Serif" w:hAnsi="Times New Roman;Times;Serif"/>
          <w:b w:val="false"/>
          <w:i w:val="false"/>
          <w:caps w:val="false"/>
          <w:smallCaps w:val="false"/>
          <w:sz w:val="20"/>
        </w:rPr>
        <w:t>1,052.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Company recorded interest of $</w:t>
      </w:r>
      <w:bookmarkStart w:id="438" w:name="xdx_905_eus-gaap--InterestExpenseDebt_pn"/>
      <w:bookmarkEnd w:id="438"/>
      <w:r>
        <w:rPr>
          <w:rFonts w:ascii="Times New Roman;Times;Serif" w:hAnsi="Times New Roman;Times;Serif"/>
          <w:b w:val="false"/>
          <w:i w:val="false"/>
          <w:caps w:val="false"/>
          <w:smallCaps w:val="false"/>
          <w:sz w:val="20"/>
        </w:rPr>
        <w:t>3,604, made up of $</w:t>
      </w:r>
      <w:bookmarkStart w:id="439" w:name="xdx_902_ecustom--InterestOnConvertibleNo"/>
      <w:bookmarkEnd w:id="439"/>
      <w:r>
        <w:rPr>
          <w:rFonts w:ascii="Times New Roman;Times;Serif" w:hAnsi="Times New Roman;Times;Serif"/>
          <w:b w:val="false"/>
          <w:i w:val="false"/>
          <w:caps w:val="false"/>
          <w:smallCaps w:val="false"/>
          <w:sz w:val="20"/>
        </w:rPr>
        <w:t>1,428 of interest on the Notes, and $</w:t>
      </w:r>
      <w:bookmarkStart w:id="440" w:name="xdx_90D_ecustom--ExcessOfAssetBaseLoanFe"/>
      <w:bookmarkEnd w:id="440"/>
      <w:r>
        <w:rPr>
          <w:rFonts w:ascii="Times New Roman;Times;Serif" w:hAnsi="Times New Roman;Times;Serif"/>
          <w:b w:val="false"/>
          <w:i w:val="false"/>
          <w:caps w:val="false"/>
          <w:smallCaps w:val="false"/>
          <w:sz w:val="20"/>
        </w:rPr>
        <w:t>2,176 related to the Excess ABL Amount fees. In addition, during 2023, accrued interest of $</w:t>
      </w:r>
      <w:bookmarkStart w:id="441" w:name="xdx_90F_ecustom--AccruedInterestPaid_pn3"/>
      <w:bookmarkEnd w:id="441"/>
      <w:r>
        <w:rPr>
          <w:rFonts w:ascii="Times New Roman;Times;Serif" w:hAnsi="Times New Roman;Times;Serif"/>
          <w:b w:val="false"/>
          <w:i w:val="false"/>
          <w:caps w:val="false"/>
          <w:smallCaps w:val="false"/>
          <w:sz w:val="20"/>
        </w:rPr>
        <w:t>773 was paid. At December 31, 2023, the balance of accrued interest was $</w:t>
      </w:r>
      <w:bookmarkStart w:id="442" w:name="xdx_901_eus-gaap--InterestPayableCurrent"/>
      <w:bookmarkEnd w:id="442"/>
      <w:r>
        <w:rPr>
          <w:rFonts w:ascii="Times New Roman;Times;Serif" w:hAnsi="Times New Roman;Times;Serif"/>
          <w:b w:val="false"/>
          <w:i w:val="false"/>
          <w:caps w:val="false"/>
          <w:smallCaps w:val="false"/>
          <w:sz w:val="20"/>
        </w:rPr>
        <w:t>3,883.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Debt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incurred $</w:t>
      </w:r>
      <w:bookmarkStart w:id="443" w:name="xdx_908_eus-gaap--DeferredFinanceCostsNe"/>
      <w:bookmarkEnd w:id="443"/>
      <w:r>
        <w:rPr>
          <w:rFonts w:ascii="Times New Roman;Times;Serif" w:hAnsi="Times New Roman;Times;Serif"/>
          <w:b w:val="false"/>
          <w:i w:val="false"/>
          <w:caps w:val="false"/>
          <w:smallCaps w:val="false"/>
          <w:sz w:val="20"/>
        </w:rPr>
        <w:t xml:space="preserve">1,320 of direct costs of the Notes transactions, consisting primarily of placement agent fees and other offering expenses. These costs were capitalized and are being amortized over the </w:t>
      </w:r>
      <w:bookmarkStart w:id="444" w:name="xdx_902_ecustom--AmortizationOfLineOfCre"/>
      <w:bookmarkEnd w:id="444"/>
      <w:r>
        <w:rPr>
          <w:rFonts w:ascii="Times New Roman;Times;Serif" w:hAnsi="Times New Roman;Times;Serif"/>
          <w:b w:val="false"/>
          <w:i w:val="false"/>
          <w:caps w:val="false"/>
          <w:smallCaps w:val="false"/>
          <w:sz w:val="20"/>
        </w:rPr>
        <w:t>3-year life of the Notes. For the year ended December 31, 2022, amortization of debt discount was $</w:t>
      </w:r>
      <w:bookmarkStart w:id="445" w:name="xdx_901_eus-gaap--AmortizationOfDebtDisc"/>
      <w:bookmarkEnd w:id="445"/>
      <w:r>
        <w:rPr>
          <w:rFonts w:ascii="Times New Roman;Times;Serif" w:hAnsi="Times New Roman;Times;Serif"/>
          <w:b w:val="false"/>
          <w:i w:val="false"/>
          <w:caps w:val="false"/>
          <w:smallCaps w:val="false"/>
          <w:sz w:val="20"/>
        </w:rPr>
        <w:t>344, and as of December 31, 2022, the remaining unamortized debt discount balance is $</w:t>
      </w:r>
      <w:bookmarkStart w:id="446" w:name="xdx_907_eus-gaap--DebtInstrumentUnamorti"/>
      <w:bookmarkEnd w:id="446"/>
      <w:r>
        <w:rPr>
          <w:rFonts w:ascii="Times New Roman;Times;Serif" w:hAnsi="Times New Roman;Times;Serif"/>
          <w:b w:val="false"/>
          <w:i w:val="false"/>
          <w:caps w:val="false"/>
          <w:smallCaps w:val="false"/>
          <w:sz w:val="20"/>
        </w:rPr>
        <w:t>976.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incurred $</w:t>
      </w:r>
      <w:bookmarkStart w:id="447" w:name="xdx_90C_eus-gaap--DeferredFinanceCostsNe"/>
      <w:bookmarkEnd w:id="447"/>
      <w:r>
        <w:rPr>
          <w:rFonts w:ascii="Times New Roman;Times;Serif" w:hAnsi="Times New Roman;Times;Serif"/>
          <w:b w:val="false"/>
          <w:i w:val="false"/>
          <w:caps w:val="false"/>
          <w:smallCaps w:val="false"/>
          <w:sz w:val="20"/>
        </w:rPr>
        <w:t xml:space="preserve">299 of direct costs of issuing the 2023 Option Notes and issued </w:t>
      </w:r>
      <w:bookmarkStart w:id="448" w:name="xdx_90A_eus-gaap--StockIssuedDuringPerio"/>
      <w:bookmarkEnd w:id="448"/>
      <w:r>
        <w:rPr>
          <w:rFonts w:ascii="Times New Roman;Times;Serif" w:hAnsi="Times New Roman;Times;Serif"/>
          <w:b w:val="false"/>
          <w:i w:val="false"/>
          <w:caps w:val="false"/>
          <w:smallCaps w:val="false"/>
          <w:sz w:val="20"/>
        </w:rPr>
        <w:t>82,438 shares of the Company’s common stock valued at $</w:t>
      </w:r>
      <w:bookmarkStart w:id="449" w:name="xdx_90C_eus-gaap--StockIssuedDuringPerio"/>
      <w:bookmarkEnd w:id="449"/>
      <w:r>
        <w:rPr>
          <w:rFonts w:ascii="Times New Roman;Times;Serif" w:hAnsi="Times New Roman;Times;Serif"/>
          <w:b w:val="false"/>
          <w:i w:val="false"/>
          <w:caps w:val="false"/>
          <w:smallCaps w:val="false"/>
          <w:sz w:val="20"/>
        </w:rPr>
        <w:t>273 as inducement for the aforementioned waiver. These costs have been capitalized and are being amortized over the shorter of the remaining term of the Notes or waiver period. For the year ended December 31, 2023, amortization of debt discount was $</w:t>
      </w:r>
      <w:bookmarkStart w:id="450" w:name="xdx_906_eus-gaap--AmortizationOfDebtDisc"/>
      <w:bookmarkEnd w:id="450"/>
      <w:r>
        <w:rPr>
          <w:rFonts w:ascii="Times New Roman;Times;Serif" w:hAnsi="Times New Roman;Times;Serif"/>
          <w:b w:val="false"/>
          <w:i w:val="false"/>
          <w:caps w:val="false"/>
          <w:smallCaps w:val="false"/>
          <w:sz w:val="20"/>
        </w:rPr>
        <w:t>976, and as of December 31, 2023, the remaining unamortized debt discount balance is $</w:t>
      </w:r>
      <w:bookmarkStart w:id="451" w:name="xdx_902_eus-gaap--DebtInstrumentUnamorti"/>
      <w:bookmarkEnd w:id="451"/>
      <w:r>
        <w:rPr>
          <w:rFonts w:ascii="Times New Roman;Times;Serif" w:hAnsi="Times New Roman;Times;Serif"/>
          <w:b w:val="false"/>
          <w:i w:val="false"/>
          <w:caps w:val="false"/>
          <w:smallCaps w:val="false"/>
          <w:sz w:val="20"/>
        </w:rPr>
        <w:t>572.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experiences a fundamental change, as defined, such as a change of control, or the sale or disposition of all or substantially all of the Company’s asset, the holders of the Notes have the right to require the Company to repurchase the notes for cash at a repurchase price equal to </w:t>
      </w:r>
      <w:bookmarkStart w:id="452" w:name="xdx_90D_ecustom--RepurchasePricePercenta"/>
      <w:bookmarkEnd w:id="452"/>
      <w:r>
        <w:rPr>
          <w:rFonts w:ascii="Times New Roman;Times;Serif" w:hAnsi="Times New Roman;Times;Serif"/>
          <w:b w:val="false"/>
          <w:i w:val="false"/>
          <w:caps w:val="false"/>
          <w:smallCaps w:val="false"/>
          <w:sz w:val="20"/>
        </w:rPr>
        <w:t>110% (amended from 100%) of the principal amount, plus accrued interest, and among other amendments.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2023, </w:t>
      </w:r>
      <w:bookmarkStart w:id="453" w:name="xdx_905_eus-gaap--DebtConversionConverte"/>
      <w:bookmarkEnd w:id="453"/>
      <w:r>
        <w:rPr>
          <w:rFonts w:ascii="Times New Roman;Times;Serif" w:hAnsi="Times New Roman;Times;Serif"/>
          <w:b w:val="false"/>
          <w:i w:val="false"/>
          <w:caps w:val="false"/>
          <w:smallCaps w:val="false"/>
          <w:sz w:val="20"/>
        </w:rPr>
        <w:t>the Original Notes and 2023 Option Notes are convertible at an initial conversion rate of 0.0831 shares of the Company’s common stock per one dollar of principal converted, or approximately $12.04 per share, subject to customary anti-dilution adjustments. In addition, if certain corporate events occur that constitute a make-whole fundamental change as defined, then the note holders are, under certain circumstances, are entitled to an increase in the conversion rate, limited to 0.12155 shares of Common Stock per one dollar of principal, or approximately $8.23 per share. Subsequent to December 31, 2023, the conversion rate of the Notes was amended (see Note 15).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2023, the Notes, including accrued interest, are convertible into </w:t>
      </w:r>
      <w:bookmarkStart w:id="454" w:name="xdx_909_eus-gaap--DebtConversionConverte"/>
      <w:bookmarkEnd w:id="454"/>
      <w:r>
        <w:rPr>
          <w:rFonts w:ascii="Times New Roman;Times;Serif" w:hAnsi="Times New Roman;Times;Serif"/>
          <w:b w:val="false"/>
          <w:i w:val="false"/>
          <w:caps w:val="false"/>
          <w:smallCaps w:val="false"/>
          <w:sz w:val="20"/>
        </w:rPr>
        <w:t>1,514,055 shares of the Company’s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settle conversions and make amortization payments and interest make-whole payments using shares of the Company’s common stock is subject to certain limitations set forth in the Notes. A holder may not convert or be issued shares of common stock to the extent such conversion or issuance would cause such holder, together with its affiliates and attribution parties and any group of which it is a member, to beneficially own a number of shares of common stock which would exceed 9.9% of the Company’s then outstanding common stock following such conversion or issuance.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registration rights agreement with Whitebox dated May 9, 2023 pursuant to which the Company registered for resale by holders all shares potentially issuable upon conversion of, or in satisfaction of amortization or interest make-whole payments with respect to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while the Company has been successful negotiating waivers and amendments under the Notes to extend various due dates and defer certain payments of interest and principal that were not paid when due, it may not be able to continue to do so in the future. If the Company is unable to service or repay the Notes and accrued interest at maturity and is otherwise unable to extend the maturity dates or refinance these obligations, the Company may default. A default would trigger acceleration under the Notes, and it is unlikely that the Company would have sufficient funds to make these payments. Upon a default, the holders of the Notes have the right to exercise their remedies to collect, including foreclosing on our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5" w:name="xdx_804_eus-gaap--LesseeOperatingLeasesT"/>
      <w:bookmarkEnd w:id="455"/>
      <w:r>
        <w:rPr>
          <w:rFonts w:ascii="Times New Roman;Times;Serif" w:hAnsi="Times New Roman;Times;Serif"/>
          <w:b/>
          <w:i w:val="false"/>
          <w:caps w:val="false"/>
          <w:smallCaps w:val="false"/>
          <w:sz w:val="20"/>
        </w:rPr>
        <w:t xml:space="preserve">8. </w:t>
      </w:r>
      <w:bookmarkStart w:id="456" w:name="xdx_820_zfgkHC6ezPjj"/>
      <w:bookmarkEnd w:id="456"/>
      <w:r>
        <w:rPr>
          <w:rFonts w:ascii="Times New Roman;Times;Serif" w:hAnsi="Times New Roman;Times;Serif"/>
          <w:b/>
          <w:i w:val="false"/>
          <w:caps w:val="false"/>
          <w:smallCaps w:val="false"/>
          <w:sz w:val="20"/>
        </w:rPr>
        <w:t>Leases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 estimated present value of unpaid lease payments over the lease term. The Company leases its headquarters office, and certain office equipment and automobiles. Leases with an initial term of 12 months or less are not included on the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and 2022, lease costs totaled $</w:t>
      </w:r>
      <w:bookmarkStart w:id="457" w:name="xdx_906_eus-gaap--LeaseCost_pn3n3_c20230"/>
      <w:bookmarkEnd w:id="457"/>
      <w:r>
        <w:rPr>
          <w:rFonts w:ascii="Times New Roman;Times;Serif" w:hAnsi="Times New Roman;Times;Serif"/>
          <w:b w:val="false"/>
          <w:i w:val="false"/>
          <w:caps w:val="false"/>
          <w:smallCaps w:val="false"/>
          <w:sz w:val="20"/>
        </w:rPr>
        <w:t>178 and $</w:t>
      </w:r>
      <w:bookmarkStart w:id="458" w:name="xdx_900_eus-gaap--LeaseCost_pn3n3_c20220"/>
      <w:bookmarkEnd w:id="458"/>
      <w:r>
        <w:rPr>
          <w:rFonts w:ascii="Times New Roman;Times;Serif" w:hAnsi="Times New Roman;Times;Serif"/>
          <w:b w:val="false"/>
          <w:i w:val="false"/>
          <w:caps w:val="false"/>
          <w:smallCaps w:val="false"/>
          <w:sz w:val="20"/>
        </w:rPr>
        <w:t>178,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operating lease liabilities totaled $</w:t>
      </w:r>
      <w:bookmarkStart w:id="459" w:name="xdx_904_eus-gaap--OperatingLeaseLiabilit"/>
      <w:bookmarkEnd w:id="459"/>
      <w:r>
        <w:rPr>
          <w:rFonts w:ascii="Times New Roman;Times;Serif" w:hAnsi="Times New Roman;Times;Serif"/>
          <w:b w:val="false"/>
          <w:i w:val="false"/>
          <w:caps w:val="false"/>
          <w:smallCaps w:val="false"/>
          <w:sz w:val="20"/>
        </w:rPr>
        <w:t>394. During the year ended December 31, 2023, the Company made payments of $</w:t>
      </w:r>
      <w:bookmarkStart w:id="460" w:name="xdx_903_eus-gaap--OperatingLeasePayments"/>
      <w:bookmarkEnd w:id="460"/>
      <w:r>
        <w:rPr>
          <w:rFonts w:ascii="Times New Roman;Times;Serif" w:hAnsi="Times New Roman;Times;Serif"/>
          <w:b w:val="false"/>
          <w:i w:val="false"/>
          <w:caps w:val="false"/>
          <w:smallCaps w:val="false"/>
          <w:sz w:val="20"/>
        </w:rPr>
        <w:t>187 towards its operating lease liability. As of December 31, 2023, operating lease liabilities totaled $</w:t>
      </w:r>
      <w:bookmarkStart w:id="461" w:name="xdx_906_eus-gaap--OperatingLeaseLiabilit"/>
      <w:bookmarkEnd w:id="461"/>
      <w:r>
        <w:rPr>
          <w:rFonts w:ascii="Times New Roman;Times;Serif" w:hAnsi="Times New Roman;Times;Serif"/>
          <w:b w:val="false"/>
          <w:i w:val="false"/>
          <w:caps w:val="false"/>
          <w:smallCaps w:val="false"/>
          <w:sz w:val="20"/>
        </w:rPr>
        <w:t>207.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2023, the weighted average remaining lease terms for an operating lease are </w:t>
      </w:r>
      <w:bookmarkStart w:id="462" w:name="xdx_90C_eus-gaap--OperatingLeaseWeighted"/>
      <w:bookmarkEnd w:id="462"/>
      <w:r>
        <w:rPr>
          <w:rFonts w:ascii="Times New Roman;Times;Serif" w:hAnsi="Times New Roman;Times;Serif"/>
          <w:b w:val="false"/>
          <w:i w:val="false"/>
          <w:caps w:val="false"/>
          <w:smallCaps w:val="false"/>
          <w:sz w:val="20"/>
        </w:rPr>
        <w:t xml:space="preserve">1.00 years. As of December 31, 2023, the weighted average discount rate for operating lease is </w:t>
      </w:r>
      <w:bookmarkStart w:id="463" w:name="xdx_901_eus-gaap--OperatingLeaseWeighted"/>
      <w:bookmarkEnd w:id="463"/>
      <w:r>
        <w:rPr>
          <w:rFonts w:ascii="Times New Roman;Times;Serif" w:hAnsi="Times New Roman;Times;Serif"/>
          <w:b w:val="false"/>
          <w:i w:val="false"/>
          <w:caps w:val="false"/>
          <w:smallCaps w:val="false"/>
          <w:sz w:val="20"/>
        </w:rPr>
        <w:t>12.60%.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4" w:name="xdx_89C_eus-gaap--LesseeOperatingLeaseLi"/>
      <w:bookmarkEnd w:id="464"/>
      <w:r>
        <w:rPr>
          <w:rFonts w:ascii="Times New Roman;Times;Serif" w:hAnsi="Times New Roman;Times;Serif"/>
          <w:b w:val="false"/>
          <w:i w:val="false"/>
          <w:caps w:val="false"/>
          <w:smallCaps w:val="false"/>
          <w:sz w:val="20"/>
        </w:rPr>
        <w:t>Future minimum lease payments under the leases are as follows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5" w:name="xdx_8B6_zwjWwFUMZ3Sl"/>
      <w:bookmarkEnd w:id="465"/>
      <w:r>
        <w:rPr>
          <w:rFonts w:ascii="Times New Roman;Times;Serif" w:hAnsi="Times New Roman;Times;Serif"/>
          <w:b w:val="false"/>
          <w:i w:val="false"/>
          <w:caps w:val="false"/>
          <w:smallCaps w:val="false"/>
          <w:sz w:val="20"/>
        </w:rPr>
        <w:t>Schedule of Future Minimum Lease Payments Under Leases</w:t>
      </w:r>
    </w:p>
    <w:tbl>
      <w:tblPr>
        <w:tblW w:w="5460" w:type="dxa"/>
        <w:jc w:val="left"/>
        <w:tblInd w:w="0" w:type="dxa"/>
        <w:tblLayout w:type="fixed"/>
        <w:tblCellMar>
          <w:top w:w="0" w:type="dxa"/>
          <w:left w:w="0" w:type="dxa"/>
          <w:bottom w:w="28" w:type="dxa"/>
          <w:right w:w="0" w:type="dxa"/>
        </w:tblCellMar>
      </w:tblPr>
      <w:tblGrid>
        <w:gridCol w:w="4340"/>
        <w:gridCol w:w="60"/>
        <w:gridCol w:w="223"/>
        <w:gridCol w:w="727"/>
        <w:gridCol w:w="110"/>
      </w:tblGrid>
      <w:tr>
        <w:trPr/>
        <w:tc>
          <w:tcPr>
            <w:tcW w:w="4340" w:type="dxa"/>
            <w:tcBorders>
              <w:bottom w:val="single" w:sz="12" w:space="0" w:color="000000"/>
            </w:tcBorders>
            <w:vAlign w:val="center"/>
          </w:tcPr>
          <w:p>
            <w:pPr>
              <w:pStyle w:val="TableContents"/>
              <w:bidi w:val="0"/>
              <w:spacing w:before="0" w:after="283"/>
              <w:jc w:val="left"/>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bookmarkStart w:id="466" w:name="xdx_495_20231231_zWtqBWL1ca63"/>
            <w:bookmarkEnd w:id="466"/>
          </w:p>
        </w:tc>
        <w:tc>
          <w:tcPr>
            <w:tcW w:w="950" w:type="dxa"/>
            <w:gridSpan w:val="2"/>
            <w:tcBorders>
              <w:bottom w:val="single" w:sz="12" w:space="0" w:color="000000"/>
            </w:tcBorders>
            <w:vAlign w:val="center"/>
          </w:tcPr>
          <w:p>
            <w:pPr>
              <w:pStyle w:val="TableContents"/>
              <w:bidi w:val="0"/>
              <w:spacing w:before="0" w:after="283"/>
              <w:jc w:val="center"/>
              <w:rPr>
                <w:b/>
              </w:rPr>
            </w:pPr>
            <w:r>
              <w:rPr>
                <w:b/>
              </w:rPr>
              <w:t>Amounts</w:t>
            </w:r>
          </w:p>
        </w:tc>
        <w:tc>
          <w:tcPr>
            <w:tcW w:w="110" w:type="dxa"/>
            <w:tcBorders/>
            <w:tcMar>
              <w:bottom w:w="0" w:type="dxa"/>
            </w:tcMar>
            <w:vAlign w:val="center"/>
          </w:tcPr>
          <w:p>
            <w:pPr>
              <w:pStyle w:val="TableContents"/>
              <w:bidi w:val="0"/>
              <w:spacing w:before="0" w:after="283"/>
              <w:jc w:val="left"/>
              <w:rPr/>
            </w:pPr>
            <w:r>
              <w:rPr/>
              <w:t> </w:t>
            </w:r>
            <w:bookmarkStart w:id="467" w:name="xdx_40E_eus-gaap--LesseeOperatingLeaseLi"/>
            <w:bookmarkEnd w:id="467"/>
          </w:p>
        </w:tc>
      </w:tr>
      <w:tr>
        <w:trPr/>
        <w:tc>
          <w:tcPr>
            <w:tcW w:w="4340" w:type="dxa"/>
            <w:tcBorders/>
            <w:shd w:fill="CCEEFF" w:val="clear"/>
            <w:tcMar>
              <w:bottom w:w="0" w:type="dxa"/>
            </w:tcMar>
            <w:vAlign w:val="center"/>
          </w:tcPr>
          <w:p>
            <w:pPr>
              <w:pStyle w:val="TableContents"/>
              <w:bidi w:val="0"/>
              <w:spacing w:before="0" w:after="283"/>
              <w:jc w:val="lef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727" w:type="dxa"/>
            <w:tcBorders/>
            <w:shd w:fill="CCEEFF" w:val="clear"/>
            <w:tcMar>
              <w:bottom w:w="0" w:type="dxa"/>
            </w:tcMar>
            <w:vAlign w:val="center"/>
          </w:tcPr>
          <w:p>
            <w:pPr>
              <w:pStyle w:val="TableContents"/>
              <w:bidi w:val="0"/>
              <w:spacing w:before="0" w:after="283"/>
              <w:jc w:val="right"/>
              <w:rPr/>
            </w:pPr>
            <w:r>
              <w:rPr/>
              <w:t>221</w:t>
            </w:r>
          </w:p>
        </w:tc>
        <w:tc>
          <w:tcPr>
            <w:tcW w:w="110" w:type="dxa"/>
            <w:tcBorders/>
            <w:shd w:fill="CCEEFF" w:val="clear"/>
            <w:tcMar>
              <w:bottom w:w="0" w:type="dxa"/>
            </w:tcMar>
            <w:vAlign w:val="center"/>
          </w:tcPr>
          <w:p>
            <w:pPr>
              <w:pStyle w:val="TableContents"/>
              <w:bidi w:val="0"/>
              <w:spacing w:before="0" w:after="283"/>
              <w:jc w:val="left"/>
              <w:rPr/>
            </w:pPr>
            <w:r>
              <w:rPr/>
              <w:t> </w:t>
            </w:r>
            <w:bookmarkStart w:id="468" w:name="xdx_408_eus-gaap--LesseeOperatingLeaseLi"/>
            <w:bookmarkEnd w:id="468"/>
          </w:p>
        </w:tc>
      </w:tr>
      <w:tr>
        <w:trPr/>
        <w:tc>
          <w:tcPr>
            <w:tcW w:w="4340" w:type="dxa"/>
            <w:tcBorders/>
            <w:shd w:fill="FFFFFF" w:val="clear"/>
            <w:tcMar>
              <w:bottom w:w="0" w:type="dxa"/>
            </w:tcMar>
            <w:vAlign w:val="center"/>
          </w:tcPr>
          <w:p>
            <w:pPr>
              <w:pStyle w:val="TableContents"/>
              <w:bidi w:val="0"/>
              <w:spacing w:before="0" w:after="283"/>
              <w:jc w:val="left"/>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FFFFFF" w:val="clear"/>
            <w:vAlign w:val="center"/>
          </w:tcPr>
          <w:p>
            <w:pPr>
              <w:pStyle w:val="TableContents"/>
              <w:bidi w:val="0"/>
              <w:spacing w:before="0" w:after="283"/>
              <w:jc w:val="left"/>
              <w:rPr/>
            </w:pPr>
            <w:r>
              <w:rPr/>
              <w:t> </w:t>
            </w:r>
          </w:p>
        </w:tc>
        <w:tc>
          <w:tcPr>
            <w:tcW w:w="727" w:type="dxa"/>
            <w:tcBorders>
              <w:bottom w:val="single" w:sz="12"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469" w:name="xdx_407_eus-gaap--LesseeOperatingLeaseLi"/>
            <w:bookmarkEnd w:id="469"/>
          </w:p>
        </w:tc>
      </w:tr>
      <w:tr>
        <w:trPr/>
        <w:tc>
          <w:tcPr>
            <w:tcW w:w="4340" w:type="dxa"/>
            <w:tcBorders/>
            <w:shd w:fill="CCEEFF" w:val="clear"/>
            <w:tcMar>
              <w:bottom w:w="0" w:type="dxa"/>
            </w:tcMar>
            <w:vAlign w:val="center"/>
          </w:tcPr>
          <w:p>
            <w:pPr>
              <w:pStyle w:val="TableContents"/>
              <w:bidi w:val="0"/>
              <w:spacing w:before="0" w:after="283"/>
              <w:jc w:val="left"/>
              <w:rPr/>
            </w:pPr>
            <w:r>
              <w:rPr/>
              <w:t>Total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right"/>
              <w:rPr/>
            </w:pPr>
            <w:r>
              <w:rPr/>
              <w:t>221</w:t>
            </w:r>
          </w:p>
        </w:tc>
        <w:tc>
          <w:tcPr>
            <w:tcW w:w="110" w:type="dxa"/>
            <w:tcBorders/>
            <w:shd w:fill="CCEEFF" w:val="clear"/>
            <w:tcMar>
              <w:bottom w:w="0" w:type="dxa"/>
            </w:tcMar>
            <w:vAlign w:val="center"/>
          </w:tcPr>
          <w:p>
            <w:pPr>
              <w:pStyle w:val="TableContents"/>
              <w:bidi w:val="0"/>
              <w:spacing w:before="0" w:after="283"/>
              <w:jc w:val="left"/>
              <w:rPr/>
            </w:pPr>
            <w:r>
              <w:rPr/>
              <w:t> </w:t>
            </w:r>
            <w:bookmarkStart w:id="470" w:name="xdx_407_eus-gaap--LesseeOperatingLeaseLi"/>
            <w:bookmarkEnd w:id="470"/>
          </w:p>
        </w:tc>
      </w:tr>
      <w:tr>
        <w:trPr/>
        <w:tc>
          <w:tcPr>
            <w:tcW w:w="4340" w:type="dxa"/>
            <w:tcBorders/>
            <w:shd w:fill="FFFFFF" w:val="clear"/>
            <w:tcMar>
              <w:bottom w:w="0" w:type="dxa"/>
            </w:tcMar>
            <w:vAlign w:val="center"/>
          </w:tcPr>
          <w:p>
            <w:pPr>
              <w:pStyle w:val="TableContents"/>
              <w:bidi w:val="0"/>
              <w:spacing w:before="0" w:after="283"/>
              <w:jc w:val="left"/>
              <w:rPr/>
            </w:pPr>
            <w:r>
              <w:rPr/>
              <w:t>Less: Amount representing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FFFFFF" w:val="clear"/>
            <w:vAlign w:val="center"/>
          </w:tcPr>
          <w:p>
            <w:pPr>
              <w:pStyle w:val="TableContents"/>
              <w:bidi w:val="0"/>
              <w:spacing w:before="0" w:after="283"/>
              <w:jc w:val="left"/>
              <w:rPr/>
            </w:pPr>
            <w:r>
              <w:rPr/>
              <w:t> </w:t>
            </w:r>
          </w:p>
        </w:tc>
        <w:tc>
          <w:tcPr>
            <w:tcW w:w="727" w:type="dxa"/>
            <w:tcBorders>
              <w:bottom w:val="single" w:sz="12" w:space="0" w:color="000000"/>
            </w:tcBorders>
            <w:shd w:fill="FFFFFF" w:val="clear"/>
            <w:vAlign w:val="center"/>
          </w:tcPr>
          <w:p>
            <w:pPr>
              <w:pStyle w:val="TableContents"/>
              <w:bidi w:val="0"/>
              <w:spacing w:before="0" w:after="283"/>
              <w:jc w:val="right"/>
              <w:rPr/>
            </w:pPr>
            <w:r>
              <w:rPr/>
              <w:t>(14</w:t>
            </w:r>
          </w:p>
        </w:tc>
        <w:tc>
          <w:tcPr>
            <w:tcW w:w="110" w:type="dxa"/>
            <w:tcBorders/>
            <w:shd w:fill="FFFFFF" w:val="clear"/>
            <w:tcMar>
              <w:bottom w:w="0" w:type="dxa"/>
            </w:tcMar>
            <w:vAlign w:val="center"/>
          </w:tcPr>
          <w:p>
            <w:pPr>
              <w:pStyle w:val="TableContents"/>
              <w:bidi w:val="0"/>
              <w:spacing w:before="0" w:after="283"/>
              <w:jc w:val="left"/>
              <w:rPr/>
            </w:pPr>
            <w:r>
              <w:rPr/>
              <w:t>)</w:t>
            </w:r>
            <w:bookmarkStart w:id="471" w:name="xdx_404_eus-gaap--OperatingLeaseLiabilit"/>
            <w:bookmarkEnd w:id="471"/>
          </w:p>
        </w:tc>
      </w:tr>
      <w:tr>
        <w:trPr/>
        <w:tc>
          <w:tcPr>
            <w:tcW w:w="4340" w:type="dxa"/>
            <w:tcBorders/>
            <w:shd w:fill="CCEEFF" w:val="clear"/>
            <w:tcMar>
              <w:bottom w:w="0" w:type="dxa"/>
            </w:tcMar>
            <w:vAlign w:val="center"/>
          </w:tcPr>
          <w:p>
            <w:pPr>
              <w:pStyle w:val="TableContents"/>
              <w:bidi w:val="0"/>
              <w:spacing w:before="0" w:after="283"/>
              <w:jc w:val="left"/>
              <w:rPr/>
            </w:pPr>
            <w:r>
              <w:rPr/>
              <w:t>Present value of net minimum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right"/>
              <w:rPr/>
            </w:pPr>
            <w:r>
              <w:rPr/>
              <w:t>207</w:t>
            </w:r>
          </w:p>
        </w:tc>
        <w:tc>
          <w:tcPr>
            <w:tcW w:w="110" w:type="dxa"/>
            <w:tcBorders/>
            <w:shd w:fill="CCEEFF" w:val="clear"/>
            <w:tcMar>
              <w:bottom w:w="0" w:type="dxa"/>
            </w:tcMar>
            <w:vAlign w:val="center"/>
          </w:tcPr>
          <w:p>
            <w:pPr>
              <w:pStyle w:val="TableContents"/>
              <w:bidi w:val="0"/>
              <w:spacing w:before="0" w:after="283"/>
              <w:jc w:val="left"/>
              <w:rPr/>
            </w:pPr>
            <w:r>
              <w:rPr/>
              <w:t> </w:t>
            </w:r>
            <w:bookmarkStart w:id="472" w:name="xdx_40E_eus-gaap--OperatingLeaseLiabilit"/>
            <w:bookmarkEnd w:id="472"/>
          </w:p>
        </w:tc>
      </w:tr>
      <w:tr>
        <w:trPr/>
        <w:tc>
          <w:tcPr>
            <w:tcW w:w="4340" w:type="dxa"/>
            <w:tcBorders/>
            <w:shd w:fill="FFFFFF" w:val="clear"/>
            <w:tcMar>
              <w:bottom w:w="0" w:type="dxa"/>
            </w:tcMar>
            <w:vAlign w:val="center"/>
          </w:tcPr>
          <w:p>
            <w:pPr>
              <w:pStyle w:val="TableContents"/>
              <w:bidi w:val="0"/>
              <w:spacing w:before="0" w:after="283"/>
              <w:jc w:val="left"/>
              <w:rPr/>
            </w:pPr>
            <w:r>
              <w:rPr/>
              <w:t>Less: Current portion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FFFFFF" w:val="clear"/>
            <w:vAlign w:val="center"/>
          </w:tcPr>
          <w:p>
            <w:pPr>
              <w:pStyle w:val="TableContents"/>
              <w:bidi w:val="0"/>
              <w:spacing w:before="0" w:after="283"/>
              <w:jc w:val="left"/>
              <w:rPr/>
            </w:pPr>
            <w:r>
              <w:rPr/>
              <w:t> </w:t>
            </w:r>
          </w:p>
        </w:tc>
        <w:tc>
          <w:tcPr>
            <w:tcW w:w="727" w:type="dxa"/>
            <w:tcBorders>
              <w:bottom w:val="single" w:sz="12" w:space="0" w:color="000000"/>
            </w:tcBorders>
            <w:shd w:fill="FFFFFF" w:val="clear"/>
            <w:vAlign w:val="center"/>
          </w:tcPr>
          <w:p>
            <w:pPr>
              <w:pStyle w:val="TableContents"/>
              <w:bidi w:val="0"/>
              <w:spacing w:before="0" w:after="283"/>
              <w:jc w:val="right"/>
              <w:rPr/>
            </w:pPr>
            <w:r>
              <w:rPr/>
              <w:t>(207</w:t>
            </w:r>
          </w:p>
        </w:tc>
        <w:tc>
          <w:tcPr>
            <w:tcW w:w="110" w:type="dxa"/>
            <w:tcBorders/>
            <w:shd w:fill="FFFFFF" w:val="clear"/>
            <w:tcMar>
              <w:bottom w:w="0" w:type="dxa"/>
            </w:tcMar>
            <w:vAlign w:val="center"/>
          </w:tcPr>
          <w:p>
            <w:pPr>
              <w:pStyle w:val="TableContents"/>
              <w:bidi w:val="0"/>
              <w:spacing w:before="0" w:after="283"/>
              <w:jc w:val="left"/>
              <w:rPr/>
            </w:pPr>
            <w:r>
              <w:rPr/>
              <w:t>)</w:t>
            </w:r>
            <w:bookmarkStart w:id="473" w:name="xdx_408_eus-gaap--OperatingLeaseLiabilit"/>
            <w:bookmarkEnd w:id="473"/>
          </w:p>
        </w:tc>
      </w:tr>
      <w:tr>
        <w:trPr/>
        <w:tc>
          <w:tcPr>
            <w:tcW w:w="4340" w:type="dxa"/>
            <w:tcBorders/>
            <w:shd w:fill="CCEEFF" w:val="clear"/>
            <w:tcMar>
              <w:bottom w:w="0" w:type="dxa"/>
            </w:tcMar>
            <w:vAlign w:val="center"/>
          </w:tcPr>
          <w:p>
            <w:pPr>
              <w:pStyle w:val="TableContents"/>
              <w:bidi w:val="0"/>
              <w:spacing w:before="0" w:after="283"/>
              <w:jc w:val="left"/>
              <w:rPr/>
            </w:pPr>
            <w:r>
              <w:rPr/>
              <w:t>Non-current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double" w:sz="6" w:space="0" w:color="000000"/>
            </w:tcBorders>
            <w:shd w:fill="CCEEFF" w:val="clear"/>
            <w:vAlign w:val="center"/>
          </w:tcPr>
          <w:p>
            <w:pPr>
              <w:pStyle w:val="TableContents"/>
              <w:bidi w:val="0"/>
              <w:spacing w:before="0" w:after="283"/>
              <w:jc w:val="left"/>
              <w:rPr/>
            </w:pPr>
            <w:r>
              <w:rPr/>
              <w:t>$</w:t>
            </w:r>
          </w:p>
        </w:tc>
        <w:tc>
          <w:tcPr>
            <w:tcW w:w="727" w:type="dxa"/>
            <w:tcBorders>
              <w:bottom w:val="double" w:sz="6"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4" w:name="xdx_8AC_zYQ0OhFCieYe"/>
      <w:bookmarkEnd w:id="47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5" w:name="xdx_80E_eus-gaap--StockholdersEquityNote"/>
      <w:bookmarkEnd w:id="475"/>
      <w:r>
        <w:rPr>
          <w:rFonts w:ascii="Times New Roman;Times;Serif" w:hAnsi="Times New Roman;Times;Serif"/>
          <w:b/>
          <w:i w:val="false"/>
          <w:caps w:val="false"/>
          <w:smallCaps w:val="false"/>
          <w:sz w:val="20"/>
        </w:rPr>
        <w:t xml:space="preserve">9. </w:t>
      </w:r>
      <w:bookmarkStart w:id="476" w:name="xdx_82F_zcJGkobR5vF2"/>
      <w:bookmarkEnd w:id="476"/>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Series 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Convertible Preferred Stock (the “Preferred Stock”) consists of $</w:t>
      </w:r>
      <w:bookmarkStart w:id="477" w:name="xdx_903_eus-gaap--PreferredStockParOrSta"/>
      <w:bookmarkEnd w:id="477"/>
      <w:r>
        <w:rPr>
          <w:rFonts w:ascii="Times New Roman;Times;Serif" w:hAnsi="Times New Roman;Times;Serif"/>
          <w:b w:val="false"/>
          <w:i w:val="false"/>
          <w:caps w:val="false"/>
          <w:smallCaps w:val="false"/>
          <w:sz w:val="20"/>
        </w:rPr>
        <w:t xml:space="preserve">10 par value, </w:t>
      </w:r>
      <w:bookmarkStart w:id="478" w:name="xdx_900_eus-gaap--PreferredStockDividend"/>
      <w:bookmarkEnd w:id="478"/>
      <w:r>
        <w:rPr>
          <w:rFonts w:ascii="Times New Roman;Times;Serif" w:hAnsi="Times New Roman;Times;Serif"/>
          <w:b w:val="false"/>
          <w:i w:val="false"/>
          <w:caps w:val="false"/>
          <w:smallCaps w:val="false"/>
          <w:sz w:val="20"/>
        </w:rPr>
        <w:t>5% non-cumulative, non-voting, participating preferred stock, with a liquidation preference of $</w:t>
      </w:r>
      <w:bookmarkStart w:id="479" w:name="xdx_905_eus-gaap--PreferredStockLiquidat"/>
      <w:bookmarkEnd w:id="479"/>
      <w:r>
        <w:rPr>
          <w:rFonts w:ascii="Times New Roman;Times;Serif" w:hAnsi="Times New Roman;Times;Serif"/>
          <w:b w:val="false"/>
          <w:i w:val="false"/>
          <w:caps w:val="false"/>
          <w:smallCaps w:val="false"/>
          <w:sz w:val="20"/>
        </w:rPr>
        <w:t xml:space="preserve">10.00 per share. </w:t>
      </w:r>
      <w:bookmarkStart w:id="480" w:name="xdx_907_eus-gaap--PreferredStockSharesAu"/>
      <w:bookmarkEnd w:id="480"/>
      <w:r>
        <w:rPr>
          <w:rFonts w:ascii="Times New Roman;Times;Serif" w:hAnsi="Times New Roman;Times;Serif"/>
          <w:b w:val="false"/>
          <w:i w:val="false"/>
          <w:caps w:val="false"/>
          <w:smallCaps w:val="false"/>
          <w:sz w:val="20"/>
        </w:rPr>
        <w:t xml:space="preserve">500,000 shares are authorized. As of December 31, 2023, and 2022, there were </w:t>
      </w:r>
      <w:bookmarkStart w:id="481" w:name="xdx_90F_eus-gaap--PreferredStockSharesOu"/>
      <w:bookmarkStart w:id="482" w:name="xdx_90E_eus-gaap--PreferredStockSharesOu"/>
      <w:bookmarkEnd w:id="481"/>
      <w:bookmarkEnd w:id="482"/>
      <w:r>
        <w:rPr>
          <w:rFonts w:ascii="Times New Roman;Times;Serif" w:hAnsi="Times New Roman;Times;Serif"/>
          <w:b w:val="false"/>
          <w:i w:val="false"/>
          <w:caps w:val="false"/>
          <w:smallCaps w:val="false"/>
          <w:sz w:val="20"/>
        </w:rPr>
        <w:t xml:space="preserve">9,411 shares outstanding. </w:t>
      </w:r>
      <w:bookmarkStart w:id="483" w:name="xdx_90C_eus-gaap--PreferredStockConversi"/>
      <w:bookmarkEnd w:id="483"/>
      <w:r>
        <w:rPr>
          <w:rFonts w:ascii="Times New Roman;Times;Serif" w:hAnsi="Times New Roman;Times;Serif"/>
          <w:b w:val="false"/>
          <w:i w:val="false"/>
          <w:caps w:val="false"/>
          <w:smallCaps w:val="false"/>
          <w:sz w:val="20"/>
        </w:rPr>
        <w:t>Each share of Preferred Stock can be converted into 0.08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Dividends are payable at the rate of </w:t>
      </w:r>
      <w:bookmarkStart w:id="484" w:name="xdx_901_ecustom--DividendsPayableRate_pi"/>
      <w:bookmarkEnd w:id="484"/>
      <w:r>
        <w:rPr>
          <w:rFonts w:ascii="Times New Roman;Times;Serif" w:hAnsi="Times New Roman;Times;Serif"/>
          <w:b w:val="false"/>
          <w:i w:val="false"/>
          <w:caps w:val="false"/>
          <w:smallCaps w:val="false"/>
          <w:sz w:val="20"/>
        </w:rPr>
        <w:t>5% annually, pro-rata and non-cumulative. The dividend can be paid in cash or, at the discretion of our board of directors, in shares of common stock based on its then fair market value. The Company cannot declare or pay any dividend on shares of our common stock until the holders of the Preferred Stock have received their annual dividend. In addition, the holders of the Preferred Stock are entitled to receive pro rata distributions of dividends on an “as converted” basis with the holders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 up of the Company, or if there is a change of control event as defined, the holders of the Preferred Stock are entitled to receive, prior to distributions to the holders of common stock, $</w:t>
      </w:r>
      <w:bookmarkStart w:id="485" w:name="xdx_908_eus-gaap--SharesIssuedPricePerSh"/>
      <w:bookmarkEnd w:id="485"/>
      <w:r>
        <w:rPr>
          <w:rFonts w:ascii="Times New Roman;Times;Serif" w:hAnsi="Times New Roman;Times;Serif"/>
          <w:b w:val="false"/>
          <w:i w:val="false"/>
          <w:caps w:val="false"/>
          <w:smallCaps w:val="false"/>
          <w:sz w:val="20"/>
        </w:rPr>
        <w:t>10.00 per share plus all accrued and unpaid dividends. Thereafter, all remaining assets are distributed pro rata among all security holders. Since June 30, 2008, the Company has the right, but not the obligation, to redeem all or any portion of the Preferred Stock at $</w:t>
      </w:r>
      <w:bookmarkStart w:id="486" w:name="xdx_903_eus-gaap--SharesIssuedPricePerSh"/>
      <w:bookmarkEnd w:id="486"/>
      <w:r>
        <w:rPr>
          <w:rFonts w:ascii="Times New Roman;Times;Serif" w:hAnsi="Times New Roman;Times;Serif"/>
          <w:b w:val="false"/>
          <w:i w:val="false"/>
          <w:caps w:val="false"/>
          <w:smallCaps w:val="false"/>
          <w:sz w:val="20"/>
        </w:rPr>
        <w:t>10.00 per share, the original issue price, plus all accrued and unpaid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may be converted at any time, at the option of the holder, into </w:t>
      </w:r>
      <w:bookmarkStart w:id="487" w:name="xdx_904_eus-gaap--ConversionOfStockShare"/>
      <w:bookmarkEnd w:id="487"/>
      <w:r>
        <w:rPr>
          <w:rFonts w:ascii="Times New Roman;Times;Serif" w:hAnsi="Times New Roman;Times;Serif"/>
          <w:b w:val="false"/>
          <w:i w:val="false"/>
          <w:caps w:val="false"/>
          <w:smallCaps w:val="false"/>
          <w:sz w:val="20"/>
        </w:rPr>
        <w:t>0.08 shares of common stock, subject to adjustment in the event of stock splits, reverse stock splits, stock dividends, recapitalization, reclassification, and similar transactions. The Company is obligated to reserve authorized but unissued shares of common stock sufficient to affect the conversion of all outstanding shares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by law, the holders of the Preferred Stock do not have the right to vote on any matters, including the election of directors. However, so long as any shares of Preferred Stock are outstanding, the Company shall not, without the approval of a majority of the preferred stockholders, authorize or issue any equity security having a preference over the Preferred Stock with respect to dividends, liquidation, redemption or voting, including any other security convertible into or exercisable for any senior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and 2022, the Company accrued dividends on the Preferred Stock of $</w:t>
      </w:r>
      <w:bookmarkStart w:id="488" w:name="xdx_909_eus-gaap--DividendsPreferredStoc"/>
      <w:bookmarkStart w:id="489" w:name="xdx_90C_eus-gaap--DividendsPreferredStoc"/>
      <w:bookmarkEnd w:id="488"/>
      <w:bookmarkEnd w:id="489"/>
      <w:r>
        <w:rPr>
          <w:rFonts w:ascii="Times New Roman;Times;Serif" w:hAnsi="Times New Roman;Times;Serif"/>
          <w:b w:val="false"/>
          <w:i w:val="false"/>
          <w:caps w:val="false"/>
          <w:smallCaps w:val="false"/>
          <w:sz w:val="20"/>
        </w:rPr>
        <w:t>5 and is included in accrued expenses in the accompanying balance sheets. No shares of Series A preferred stock were converted into common stock in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2023, there were </w:t>
      </w:r>
      <w:bookmarkStart w:id="490" w:name="xdx_906_eus-gaap--CommonStockSharesAutho"/>
      <w:bookmarkEnd w:id="490"/>
      <w:r>
        <w:rPr>
          <w:rFonts w:ascii="Times New Roman;Times;Serif" w:hAnsi="Times New Roman;Times;Serif"/>
          <w:b w:val="false"/>
          <w:i w:val="false"/>
          <w:caps w:val="false"/>
          <w:smallCaps w:val="false"/>
          <w:sz w:val="20"/>
        </w:rPr>
        <w:t xml:space="preserve">180,000,000 shares authorized, and </w:t>
      </w:r>
      <w:bookmarkStart w:id="491" w:name="xdx_900_eus-gaap--CommonStockSharesOutst"/>
      <w:bookmarkEnd w:id="491"/>
      <w:r>
        <w:rPr>
          <w:rFonts w:ascii="Times New Roman;Times;Serif" w:hAnsi="Times New Roman;Times;Serif"/>
          <w:b w:val="false"/>
          <w:i w:val="false"/>
          <w:caps w:val="false"/>
          <w:smallCaps w:val="false"/>
          <w:sz w:val="20"/>
        </w:rPr>
        <w:t xml:space="preserve">4,187,291 shares of common stock outstanding. As of December 31, 2022, there were </w:t>
      </w:r>
      <w:bookmarkStart w:id="492" w:name="xdx_908_eus-gaap--CommonStockSharesAutho"/>
      <w:bookmarkEnd w:id="492"/>
      <w:r>
        <w:rPr>
          <w:rFonts w:ascii="Times New Roman;Times;Serif" w:hAnsi="Times New Roman;Times;Serif"/>
          <w:b w:val="false"/>
          <w:i w:val="false"/>
          <w:caps w:val="false"/>
          <w:smallCaps w:val="false"/>
          <w:sz w:val="20"/>
        </w:rPr>
        <w:t xml:space="preserve">180,000,000 shares authorized, and </w:t>
      </w:r>
      <w:bookmarkStart w:id="493" w:name="xdx_909_eus-gaap--CommonStockSharesOutst"/>
      <w:bookmarkEnd w:id="493"/>
      <w:r>
        <w:rPr>
          <w:rFonts w:ascii="Times New Roman;Times;Serif" w:hAnsi="Times New Roman;Times;Serif"/>
          <w:b w:val="false"/>
          <w:i w:val="false"/>
          <w:caps w:val="false"/>
          <w:smallCaps w:val="false"/>
          <w:sz w:val="20"/>
        </w:rPr>
        <w:t>2,519,485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25, 2023, the Company entered into a Securities Purchase Agreement with D&amp;D Source of Life Holding Ltd., as the lead investor, and certain of Reed’s affiliates pursuant to which the investors agreed to purchase an aggregate of </w:t>
      </w:r>
      <w:bookmarkStart w:id="494" w:name="xdx_907_eus-gaap--StockIssuedDuringPerio"/>
      <w:bookmarkEnd w:id="494"/>
      <w:r>
        <w:rPr>
          <w:rFonts w:ascii="Times New Roman;Times;Serif" w:hAnsi="Times New Roman;Times;Serif"/>
          <w:b w:val="false"/>
          <w:i w:val="false"/>
          <w:caps w:val="false"/>
          <w:smallCaps w:val="false"/>
          <w:sz w:val="20"/>
        </w:rPr>
        <w:t xml:space="preserve">1,566,732 shares of Reed’s common stock and warrants to purchase </w:t>
      </w:r>
      <w:bookmarkStart w:id="495" w:name="xdx_90A_eus-gaap--ClassOfWarrantOrRightN"/>
      <w:bookmarkEnd w:id="495"/>
      <w:r>
        <w:rPr>
          <w:rFonts w:ascii="Times New Roman;Times;Serif" w:hAnsi="Times New Roman;Times;Serif"/>
          <w:b w:val="false"/>
          <w:i w:val="false"/>
          <w:caps w:val="false"/>
          <w:smallCaps w:val="false"/>
          <w:sz w:val="20"/>
        </w:rPr>
        <w:t>313,346 shares of Common Stock. The purchase price was $</w:t>
      </w:r>
      <w:bookmarkStart w:id="496" w:name="xdx_90D_eus-gaap--SharePrice_iI_pid_c202"/>
      <w:bookmarkEnd w:id="496"/>
      <w:r>
        <w:rPr>
          <w:rFonts w:ascii="Times New Roman;Times;Serif" w:hAnsi="Times New Roman;Times;Serif"/>
          <w:b w:val="false"/>
          <w:i w:val="false"/>
          <w:caps w:val="false"/>
          <w:smallCaps w:val="false"/>
          <w:sz w:val="20"/>
        </w:rPr>
        <w:t>2.585 per share of Common Stock with the associated warrant. The net proceeds to the Company, after deducting offering expenses, was $</w:t>
      </w:r>
      <w:bookmarkStart w:id="497" w:name="xdx_90E_eus-gaap--ProceedsFromIssuanceOf"/>
      <w:bookmarkEnd w:id="497"/>
      <w:r>
        <w:rPr>
          <w:rFonts w:ascii="Times New Roman;Times;Serif" w:hAnsi="Times New Roman;Times;Serif"/>
          <w:b w:val="false"/>
          <w:i w:val="false"/>
          <w:caps w:val="false"/>
          <w:smallCaps w:val="false"/>
          <w:sz w:val="20"/>
        </w:rPr>
        <w:t>4,016. The warrants are exercisable for a term of three years at an exercise price of $</w:t>
      </w:r>
      <w:bookmarkStart w:id="498" w:name="xdx_90C_eus-gaap--ClassOfWarrantOrRightE"/>
      <w:bookmarkEnd w:id="498"/>
      <w:r>
        <w:rPr>
          <w:rFonts w:ascii="Times New Roman;Times;Serif" w:hAnsi="Times New Roman;Times;Serif"/>
          <w:b w:val="false"/>
          <w:i w:val="false"/>
          <w:caps w:val="false"/>
          <w:smallCaps w:val="false"/>
          <w:sz w:val="20"/>
        </w:rPr>
        <w:t>2.50 per share.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2023, in order to induce the lead investor to subscribe, the Company granted the lead investor certain preemptive rights and agreed to support the lead investor’s nomination of two board designees, one of which shall be an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10, 2022, the Company entered into a securities purchase agreement with certain institutional and accredited investors pursuant to which the investors agreed to purchase </w:t>
      </w:r>
      <w:bookmarkStart w:id="499" w:name="xdx_901_eus-gaap--StockIssuedDuringPerio"/>
      <w:bookmarkEnd w:id="499"/>
      <w:r>
        <w:rPr>
          <w:rFonts w:ascii="Times New Roman;Times;Serif" w:hAnsi="Times New Roman;Times;Serif"/>
          <w:b w:val="false"/>
          <w:i w:val="false"/>
          <w:caps w:val="false"/>
          <w:smallCaps w:val="false"/>
          <w:sz w:val="20"/>
        </w:rPr>
        <w:t xml:space="preserve">371,892 shares of the Company’s common stock and warrants to purchase </w:t>
      </w:r>
      <w:bookmarkStart w:id="500" w:name="xdx_90D_eus-gaap--ClassOfWarrantOrRightN"/>
      <w:bookmarkEnd w:id="500"/>
      <w:r>
        <w:rPr>
          <w:rFonts w:ascii="Times New Roman;Times;Serif" w:hAnsi="Times New Roman;Times;Serif"/>
          <w:b w:val="false"/>
          <w:i w:val="false"/>
          <w:caps w:val="false"/>
          <w:smallCaps w:val="false"/>
          <w:sz w:val="20"/>
        </w:rPr>
        <w:t xml:space="preserve">185,946 shares of common stock in a private placement (including </w:t>
      </w:r>
      <w:bookmarkStart w:id="501" w:name="xdx_901_eus-gaap--StockIssuedDuringPerio"/>
      <w:bookmarkEnd w:id="501"/>
      <w:r>
        <w:rPr>
          <w:rFonts w:ascii="Times New Roman;Times;Serif" w:hAnsi="Times New Roman;Times;Serif"/>
          <w:b w:val="false"/>
          <w:i w:val="false"/>
          <w:caps w:val="false"/>
          <w:smallCaps w:val="false"/>
          <w:sz w:val="20"/>
        </w:rPr>
        <w:t xml:space="preserve">64,963 shares of the Company’s common stock and warrants to purchase </w:t>
      </w:r>
      <w:bookmarkStart w:id="502" w:name="xdx_906_eus-gaap--ClassOfWarrantOrRightN"/>
      <w:bookmarkEnd w:id="502"/>
      <w:r>
        <w:rPr>
          <w:rFonts w:ascii="Times New Roman;Times;Serif" w:hAnsi="Times New Roman;Times;Serif"/>
          <w:b w:val="false"/>
          <w:i w:val="false"/>
          <w:caps w:val="false"/>
          <w:smallCaps w:val="false"/>
          <w:sz w:val="20"/>
        </w:rPr>
        <w:t>32,482 shares of common stock to investors who are officers and directors of the Company). The warrants have an exercise price of $</w:t>
      </w:r>
      <w:bookmarkStart w:id="503" w:name="xdx_903_eus-gaap--ClassOfWarrantOrRightE"/>
      <w:bookmarkEnd w:id="503"/>
      <w:r>
        <w:rPr>
          <w:rFonts w:ascii="Times New Roman;Times;Serif" w:hAnsi="Times New Roman;Times;Serif"/>
          <w:b w:val="false"/>
          <w:i w:val="false"/>
          <w:caps w:val="false"/>
          <w:smallCaps w:val="false"/>
          <w:sz w:val="20"/>
        </w:rPr>
        <w:t xml:space="preserve">14.39 per share for a period of </w:t>
      </w:r>
      <w:bookmarkStart w:id="504" w:name="xdx_90E_eus-gaap--WarrantsAndRightsOutst"/>
      <w:bookmarkEnd w:id="504"/>
      <w:r>
        <w:rPr>
          <w:rFonts w:ascii="Times New Roman;Times;Serif" w:hAnsi="Times New Roman;Times;Serif"/>
          <w:b w:val="false"/>
          <w:i w:val="false"/>
          <w:caps w:val="false"/>
          <w:smallCaps w:val="false"/>
          <w:sz w:val="20"/>
        </w:rPr>
        <w:t>five years commencing six months from the closing date of March 11, 2022. The purchase price per share of common stock and associated warrant was $</w:t>
      </w:r>
      <w:bookmarkStart w:id="505" w:name="xdx_907_eus-gaap--SharePrice_iI_pid_c202"/>
      <w:bookmarkEnd w:id="505"/>
      <w:r>
        <w:rPr>
          <w:rFonts w:ascii="Times New Roman;Times;Serif" w:hAnsi="Times New Roman;Times;Serif"/>
          <w:b w:val="false"/>
          <w:i w:val="false"/>
          <w:caps w:val="false"/>
          <w:smallCaps w:val="false"/>
          <w:sz w:val="20"/>
        </w:rPr>
        <w:t>14.00 for certain investors and was $</w:t>
      </w:r>
      <w:bookmarkStart w:id="506" w:name="xdx_907_eus-gaap--SharePrice_iI_pid_c202"/>
      <w:bookmarkEnd w:id="506"/>
      <w:r>
        <w:rPr>
          <w:rFonts w:ascii="Times New Roman;Times;Serif" w:hAnsi="Times New Roman;Times;Serif"/>
          <w:b w:val="false"/>
          <w:i w:val="false"/>
          <w:caps w:val="false"/>
          <w:smallCaps w:val="false"/>
          <w:sz w:val="20"/>
        </w:rPr>
        <w:t>17.51 for investors who are officers and directors of the Company in compliance with the rules of the Nasdaq Stock Market. The net proceeds to the Company, after deducting placement agent fees and other offering expenses, was approximately $</w:t>
      </w:r>
      <w:bookmarkStart w:id="507" w:name="xdx_908_eus-gaap--ProceedsFromIssuanceOf"/>
      <w:bookmarkEnd w:id="507"/>
      <w:r>
        <w:rPr>
          <w:rFonts w:ascii="Times New Roman;Times;Serif" w:hAnsi="Times New Roman;Times;Serif"/>
          <w:b w:val="false"/>
          <w:i w:val="false"/>
          <w:caps w:val="false"/>
          <w:smallCaps w:val="false"/>
          <w:sz w:val="20"/>
        </w:rPr>
        <w:t>5.0 million. The officers and directors of the Company purchased approximately $</w:t>
      </w:r>
      <w:bookmarkStart w:id="508" w:name="xdx_905_eus-gaap--SaleOfStockConsiderati"/>
      <w:bookmarkEnd w:id="508"/>
      <w:r>
        <w:rPr>
          <w:rFonts w:ascii="Times New Roman;Times;Serif" w:hAnsi="Times New Roman;Times;Serif"/>
          <w:b w:val="false"/>
          <w:i w:val="false"/>
          <w:caps w:val="false"/>
          <w:smallCaps w:val="false"/>
          <w:sz w:val="20"/>
        </w:rPr>
        <w:t>1.1 million of the securities in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2022, the Company issued </w:t>
      </w:r>
      <w:bookmarkStart w:id="509" w:name="xdx_906_eus-gaap--StockIssuedDuringPerio"/>
      <w:bookmarkEnd w:id="509"/>
      <w:r>
        <w:rPr>
          <w:rFonts w:ascii="Times New Roman;Times;Serif" w:hAnsi="Times New Roman;Times;Serif"/>
          <w:b w:val="false"/>
          <w:i w:val="false"/>
          <w:caps w:val="false"/>
          <w:smallCaps w:val="false"/>
          <w:sz w:val="20"/>
        </w:rPr>
        <w:t>2,000 shares of common stock valued at $</w:t>
      </w:r>
      <w:bookmarkStart w:id="510" w:name="xdx_909_eus-gaap--StockIssuedDuringPerio"/>
      <w:bookmarkEnd w:id="510"/>
      <w:r>
        <w:rPr>
          <w:rFonts w:ascii="Times New Roman;Times;Serif" w:hAnsi="Times New Roman;Times;Serif"/>
          <w:b w:val="false"/>
          <w:i w:val="false"/>
          <w:caps w:val="false"/>
          <w:smallCaps w:val="false"/>
          <w:sz w:val="20"/>
        </w:rPr>
        <w:t>37 to John J. Bello and Nancy E. Bello, as Co-Trustees of The John and Nancy Bello Revocable Living Trust as consideration for the $</w:t>
      </w:r>
      <w:bookmarkStart w:id="511" w:name="xdx_90E_ecustom--PledgeOfSecurities_pn3n"/>
      <w:bookmarkEnd w:id="511"/>
      <w:r>
        <w:rPr>
          <w:rFonts w:ascii="Times New Roman;Times;Serif" w:hAnsi="Times New Roman;Times;Serif"/>
          <w:b w:val="false"/>
          <w:i w:val="false"/>
          <w:caps w:val="false"/>
          <w:smallCaps w:val="false"/>
          <w:sz w:val="20"/>
        </w:rPr>
        <w:t xml:space="preserve">2,000 pledge of securities to Rosenthal (see Note 6). John J. Bello, current Chairman and former Interim Chief Executive Officer of Reed’s, is a related party, and greater than </w:t>
      </w:r>
      <w:bookmarkStart w:id="512" w:name="xdx_902_eus-gaap--EquityMethodInvestment"/>
      <w:bookmarkEnd w:id="512"/>
      <w:r>
        <w:rPr>
          <w:rFonts w:ascii="Times New Roman;Times;Serif" w:hAnsi="Times New Roman;Times;Serif"/>
          <w:b w:val="false"/>
          <w:i w:val="false"/>
          <w:caps w:val="false"/>
          <w:smallCaps w:val="false"/>
          <w:sz w:val="20"/>
        </w:rPr>
        <w:t>5% beneficial owner of Reed’s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Common stock repurchases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2023, the Company repurchased </w:t>
      </w:r>
      <w:bookmarkStart w:id="513" w:name="xdx_90D_eus-gaap--StockRepurchasedDuring"/>
      <w:bookmarkEnd w:id="513"/>
      <w:r>
        <w:rPr>
          <w:rFonts w:ascii="Times New Roman;Times;Serif" w:hAnsi="Times New Roman;Times;Serif"/>
          <w:b w:val="false"/>
          <w:i w:val="false"/>
          <w:caps w:val="false"/>
          <w:smallCaps w:val="false"/>
          <w:sz w:val="20"/>
        </w:rPr>
        <w:t>274 shares of common stock from an officer for $</w:t>
      </w:r>
      <w:bookmarkStart w:id="514" w:name="xdx_90D_eus-gaap--StockRepurchasedDuring"/>
      <w:bookmarkEnd w:id="514"/>
      <w:r>
        <w:rPr>
          <w:rFonts w:ascii="Times New Roman;Times;Serif" w:hAnsi="Times New Roman;Times;Serif"/>
          <w:b w:val="false"/>
          <w:i w:val="false"/>
          <w:caps w:val="false"/>
          <w:smallCaps w:val="false"/>
          <w:sz w:val="20"/>
        </w:rPr>
        <w:t>1 based on the market value of share on the date repurchased. The Company retired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2022, the Company repurchased </w:t>
      </w:r>
      <w:bookmarkStart w:id="515" w:name="xdx_905_eus-gaap--StockRepurchasedDuring"/>
      <w:bookmarkEnd w:id="515"/>
      <w:r>
        <w:rPr>
          <w:rFonts w:ascii="Times New Roman;Times;Serif" w:hAnsi="Times New Roman;Times;Serif"/>
          <w:b w:val="false"/>
          <w:i w:val="false"/>
          <w:caps w:val="false"/>
          <w:smallCaps w:val="false"/>
          <w:sz w:val="20"/>
        </w:rPr>
        <w:t>265 shares of common stock from an officer for $</w:t>
      </w:r>
      <w:bookmarkStart w:id="516" w:name="xdx_900_eus-gaap--StockRepurchasedDuring"/>
      <w:bookmarkEnd w:id="516"/>
      <w:r>
        <w:rPr>
          <w:rFonts w:ascii="Times New Roman;Times;Serif" w:hAnsi="Times New Roman;Times;Serif"/>
          <w:b w:val="false"/>
          <w:i w:val="false"/>
          <w:caps w:val="false"/>
          <w:smallCaps w:val="false"/>
          <w:sz w:val="20"/>
        </w:rPr>
        <w:t>2 based on the market value of share on the date repurchased. The Company retired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7" w:name="xdx_80F_eus-gaap--DisclosureOfCompensati"/>
      <w:bookmarkEnd w:id="517"/>
      <w:r>
        <w:rPr>
          <w:rFonts w:ascii="Times New Roman;Times;Serif" w:hAnsi="Times New Roman;Times;Serif"/>
          <w:b/>
          <w:i w:val="false"/>
          <w:caps w:val="false"/>
          <w:smallCaps w:val="false"/>
          <w:sz w:val="20"/>
        </w:rPr>
        <w:t xml:space="preserve">10. </w:t>
      </w:r>
      <w:bookmarkStart w:id="518" w:name="xdx_82A_zf7fsUpN5lw4"/>
      <w:bookmarkEnd w:id="518"/>
      <w:r>
        <w:rPr>
          <w:rFonts w:ascii="Times New Roman;Times;Serif" w:hAnsi="Times New Roman;Times;Serif"/>
          <w:b/>
          <w:i w:val="false"/>
          <w:caps w:val="false"/>
          <w:smallCaps w:val="false"/>
          <w:sz w:val="20"/>
        </w:rPr>
        <w:t>Share-Based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the ability to issue equity compensation, in order to incentivize performance by employees, directors, and consultants, is essential to the Company’s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21, 2020, the 2020 Equity Incentive Plan (the “2020 Plan”) was approved by our shareholders. The 2020 Plan provides for the issuance of up to </w:t>
      </w:r>
      <w:bookmarkStart w:id="519" w:name="xdx_904_eus-gaap--StockIssuedDuringPerio"/>
      <w:bookmarkEnd w:id="519"/>
      <w:r>
        <w:rPr>
          <w:rFonts w:ascii="Times New Roman;Times;Serif" w:hAnsi="Times New Roman;Times;Serif"/>
          <w:b w:val="false"/>
          <w:i w:val="false"/>
          <w:caps w:val="false"/>
          <w:smallCaps w:val="false"/>
          <w:sz w:val="20"/>
        </w:rPr>
        <w:t xml:space="preserve">300,000 shares. Options issued and forfeited under the 2020 plan contain an Evergreen provision and cannot be re-priced without shareholder approval. As of December 31, 2023, shares issuable under the 2020 Plan were </w:t>
      </w:r>
      <w:bookmarkStart w:id="520" w:name="xdx_90D_eus-gaap--CommonStockCapitalShar"/>
      <w:bookmarkEnd w:id="520"/>
      <w:r>
        <w:rPr>
          <w:rFonts w:ascii="Times New Roman;Times;Serif" w:hAnsi="Times New Roman;Times;Serif"/>
          <w:b w:val="false"/>
          <w:i w:val="false"/>
          <w:caps w:val="false"/>
          <w:smallCaps w:val="false"/>
          <w:sz w:val="20"/>
        </w:rPr>
        <w:t>189,213.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2020 Plan permits the grant of options and stock awards to our employees, directors and consultants. The options may constitute either “incentive stock options” within the meaning of Section 422 of the Internal Revenue Code or “non-qualified stock options”. The Plan is currently administered by the board of directors. </w:t>
      </w:r>
      <w:bookmarkStart w:id="521" w:name="xdx_908_eus-gaap--ShareBasedCompensation"/>
      <w:bookmarkEnd w:id="521"/>
      <w:r>
        <w:rPr>
          <w:rFonts w:ascii="Times New Roman;Times;Serif" w:hAnsi="Times New Roman;Times;Serif"/>
          <w:b w:val="false"/>
          <w:i w:val="false"/>
          <w:caps w:val="false"/>
          <w:smallCaps w:val="false"/>
          <w:sz w:val="20"/>
        </w:rPr>
        <w:t>The exercise price of an option granted under the plan cannot be less than 100% of the fair market value per share of common stock on the date of the grant of the option. Options may not be granted under the plan on or after the tenth anniversary of the adoption of the plan. Incentive stock options granted to a person owning more than 10% of the combined voting power of the common stock cannot be exercisable for more than five years. When an option is exercised, the purchase price of the underlying stock is received in cash, except that the plan administrator may permit the exercise price to be paid in any combination of cash, shares of stock having a fair market value equal to the exercise price, or as otherwise determined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Restricted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2" w:name="xdx_89A_eus-gaap--NonvestedRestrictedSto"/>
      <w:bookmarkEnd w:id="522"/>
      <w:r>
        <w:rPr>
          <w:rFonts w:ascii="Times New Roman;Times;Serif" w:hAnsi="Times New Roman;Times;Serif"/>
          <w:b w:val="false"/>
          <w:i w:val="false"/>
          <w:caps w:val="false"/>
          <w:smallCaps w:val="false"/>
          <w:sz w:val="20"/>
        </w:rPr>
        <w:t>The following table summarizes restricted stock activity during the years ended December 31,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3" w:name="xdx_8BE_zZsD1a46vFfe"/>
      <w:bookmarkEnd w:id="523"/>
      <w:r>
        <w:rPr>
          <w:rFonts w:ascii="Times New Roman;Times;Serif" w:hAnsi="Times New Roman;Times;Serif"/>
          <w:b w:val="false"/>
          <w:i w:val="false"/>
          <w:caps w:val="false"/>
          <w:smallCaps w:val="false"/>
          <w:sz w:val="20"/>
        </w:rPr>
        <w:t>Summary of Restricted Stock Activity</w:t>
      </w:r>
    </w:p>
    <w:tbl>
      <w:tblPr>
        <w:tblW w:w="7494" w:type="dxa"/>
        <w:jc w:val="left"/>
        <w:tblInd w:w="0" w:type="dxa"/>
        <w:tblLayout w:type="fixed"/>
        <w:tblCellMar>
          <w:top w:w="0" w:type="dxa"/>
          <w:left w:w="0" w:type="dxa"/>
          <w:bottom w:w="0" w:type="dxa"/>
          <w:right w:w="0" w:type="dxa"/>
        </w:tblCellMar>
      </w:tblPr>
      <w:tblGrid>
        <w:gridCol w:w="2795"/>
        <w:gridCol w:w="60"/>
        <w:gridCol w:w="83"/>
        <w:gridCol w:w="882"/>
        <w:gridCol w:w="95"/>
        <w:gridCol w:w="60"/>
        <w:gridCol w:w="72"/>
        <w:gridCol w:w="773"/>
        <w:gridCol w:w="95"/>
        <w:gridCol w:w="60"/>
        <w:gridCol w:w="261"/>
        <w:gridCol w:w="853"/>
        <w:gridCol w:w="95"/>
        <w:gridCol w:w="60"/>
        <w:gridCol w:w="235"/>
        <w:gridCol w:w="940"/>
        <w:gridCol w:w="7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Unvested</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Issuable</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br/>
              <w:t>at Date of</w:t>
              <w:br/>
              <w:t>Issuance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 xml:space="preserve">Average </w:t>
              <w:br/>
              <w:t>Grant Date</w:t>
              <w:br/>
              <w:t>Fair Value</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Balance, December 31, 2021</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bookmarkStart w:id="524" w:name="xdx_981_eus-gaap--SharebasedCompensation"/>
            <w:bookmarkEnd w:id="524"/>
          </w:p>
        </w:tc>
        <w:tc>
          <w:tcPr>
            <w:tcW w:w="882" w:type="dxa"/>
            <w:tcBorders/>
            <w:shd w:fill="CCEEFF" w:val="clear"/>
            <w:vAlign w:val="center"/>
          </w:tcPr>
          <w:p>
            <w:pPr>
              <w:pStyle w:val="TableContents"/>
              <w:bidi w:val="0"/>
              <w:spacing w:before="0" w:after="283"/>
              <w:jc w:val="right"/>
              <w:rPr/>
            </w:pPr>
            <w:r>
              <w:rPr/>
              <w:t>2,223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525" w:name="xdx_982_ecustom--SharebasedCompensationA"/>
            <w:bookmarkEnd w:id="525"/>
          </w:p>
        </w:tc>
        <w:tc>
          <w:tcPr>
            <w:tcW w:w="7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bookmarkStart w:id="526" w:name="xdx_984_ecustom--SharebasedCompensationA"/>
            <w:bookmarkEnd w:id="526"/>
          </w:p>
        </w:tc>
        <w:tc>
          <w:tcPr>
            <w:tcW w:w="853"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bookmarkStart w:id="527" w:name="xdx_984_eus-gaap--SharebasedCompensation"/>
            <w:bookmarkEnd w:id="527"/>
          </w:p>
        </w:tc>
        <w:tc>
          <w:tcPr>
            <w:tcW w:w="940" w:type="dxa"/>
            <w:tcBorders/>
            <w:shd w:fill="CCEEFF" w:val="clear"/>
            <w:vAlign w:val="center"/>
          </w:tcPr>
          <w:p>
            <w:pPr>
              <w:pStyle w:val="TableContents"/>
              <w:bidi w:val="0"/>
              <w:spacing w:before="0" w:after="283"/>
              <w:jc w:val="right"/>
              <w:rPr/>
            </w:pPr>
            <w:r>
              <w:rPr/>
              <w:t>44.75</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bookmarkStart w:id="528" w:name="xdx_98E_ecustom--ShareBasedCompensationA"/>
            <w:bookmarkEnd w:id="528"/>
          </w:p>
        </w:tc>
        <w:tc>
          <w:tcPr>
            <w:tcW w:w="882" w:type="dxa"/>
            <w:tcBorders/>
            <w:shd w:fill="FFFFFF" w:val="clear"/>
            <w:vAlign w:val="center"/>
          </w:tcPr>
          <w:p>
            <w:pPr>
              <w:pStyle w:val="TableContents"/>
              <w:bidi w:val="0"/>
              <w:spacing w:before="0" w:after="283"/>
              <w:jc w:val="right"/>
              <w:rPr/>
            </w:pPr>
            <w:r>
              <w:rPr/>
              <w:t>8,839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529" w:name="xdx_983_ecustom--ShareBasedCompensationA"/>
            <w:bookmarkEnd w:id="529"/>
          </w:p>
        </w:tc>
        <w:tc>
          <w:tcPr>
            <w:tcW w:w="7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bookmarkStart w:id="530" w:name="xdx_98B_ecustom--SharebasedCompensationA"/>
            <w:bookmarkEnd w:id="530"/>
          </w:p>
        </w:tc>
        <w:tc>
          <w:tcPr>
            <w:tcW w:w="853" w:type="dxa"/>
            <w:tcBorders/>
            <w:shd w:fill="FFFFFF" w:val="clear"/>
            <w:vAlign w:val="center"/>
          </w:tcPr>
          <w:p>
            <w:pPr>
              <w:pStyle w:val="TableContents"/>
              <w:bidi w:val="0"/>
              <w:spacing w:before="0" w:after="283"/>
              <w:jc w:val="right"/>
              <w:rPr/>
            </w:pPr>
            <w:r>
              <w:rPr/>
              <w:t>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bookmarkStart w:id="531" w:name="xdx_984_eus-gaap--ShareBasedCompensation"/>
            <w:bookmarkEnd w:id="531"/>
          </w:p>
        </w:tc>
        <w:tc>
          <w:tcPr>
            <w:tcW w:w="940" w:type="dxa"/>
            <w:tcBorders/>
            <w:shd w:fill="FFFFFF" w:val="clear"/>
            <w:vAlign w:val="center"/>
          </w:tcPr>
          <w:p>
            <w:pPr>
              <w:pStyle w:val="TableContents"/>
              <w:bidi w:val="0"/>
              <w:spacing w:before="0" w:after="283"/>
              <w:jc w:val="right"/>
              <w:rPr/>
            </w:pPr>
            <w:r>
              <w:rPr/>
              <w:t>17.68</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bookmarkStart w:id="532" w:name="xdx_982_eus-gaap--SharebasedCompensation"/>
            <w:bookmarkEnd w:id="532"/>
          </w:p>
        </w:tc>
        <w:tc>
          <w:tcPr>
            <w:tcW w:w="882" w:type="dxa"/>
            <w:tcBorders/>
            <w:shd w:fill="CCEEFF" w:val="clear"/>
            <w:vAlign w:val="center"/>
          </w:tcPr>
          <w:p>
            <w:pPr>
              <w:pStyle w:val="TableContents"/>
              <w:bidi w:val="0"/>
              <w:spacing w:before="0" w:after="283"/>
              <w:jc w:val="right"/>
              <w:rPr/>
            </w:pPr>
            <w:r>
              <w:rPr/>
              <w:t>(8,759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533" w:name="xdx_98B_ecustom--SharebasedCompensationA"/>
            <w:bookmarkEnd w:id="533"/>
          </w:p>
        </w:tc>
        <w:tc>
          <w:tcPr>
            <w:tcW w:w="773" w:type="dxa"/>
            <w:tcBorders/>
            <w:shd w:fill="CCEEFF" w:val="clear"/>
            <w:vAlign w:val="center"/>
          </w:tcPr>
          <w:p>
            <w:pPr>
              <w:pStyle w:val="TableContents"/>
              <w:bidi w:val="0"/>
              <w:spacing w:before="0" w:after="283"/>
              <w:jc w:val="right"/>
              <w:rPr/>
            </w:pPr>
            <w:r>
              <w:rPr/>
              <w:t>8,759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bookmarkStart w:id="534" w:name="xdx_98E_eus-gaap--SharebasedCompensation"/>
            <w:bookmarkEnd w:id="534"/>
          </w:p>
        </w:tc>
        <w:tc>
          <w:tcPr>
            <w:tcW w:w="85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bookmarkStart w:id="535" w:name="xdx_98A_eus-gaap--SharebasedCompensation"/>
            <w:bookmarkEnd w:id="535"/>
          </w:p>
        </w:tc>
        <w:tc>
          <w:tcPr>
            <w:tcW w:w="94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bookmarkStart w:id="536" w:name="xdx_98A_eus-gaap--SharebasedCompensation"/>
            <w:bookmarkEnd w:id="536"/>
          </w:p>
        </w:tc>
        <w:tc>
          <w:tcPr>
            <w:tcW w:w="882" w:type="dxa"/>
            <w:tcBorders/>
            <w:shd w:fill="FFFFFF" w:val="clear"/>
            <w:vAlign w:val="center"/>
          </w:tcPr>
          <w:p>
            <w:pPr>
              <w:pStyle w:val="TableContents"/>
              <w:bidi w:val="0"/>
              <w:spacing w:before="0" w:after="283"/>
              <w:jc w:val="right"/>
              <w:rPr/>
            </w:pPr>
            <w:r>
              <w:rPr/>
              <w:t>(803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537" w:name="xdx_980_ecustom--ShareBasedCompensationA"/>
            <w:bookmarkEnd w:id="537"/>
          </w:p>
        </w:tc>
        <w:tc>
          <w:tcPr>
            <w:tcW w:w="7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bookmarkStart w:id="538" w:name="xdx_981_ecustom--SharebasedCompensationA"/>
            <w:bookmarkEnd w:id="538"/>
          </w:p>
        </w:tc>
        <w:tc>
          <w:tcPr>
            <w:tcW w:w="853" w:type="dxa"/>
            <w:tcBorders/>
            <w:shd w:fill="FFFFFF" w:val="cle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bookmarkStart w:id="539" w:name="xdx_983_eus-gaap--SharebasedCompensation"/>
            <w:bookmarkEnd w:id="539"/>
          </w:p>
        </w:tc>
        <w:tc>
          <w:tcPr>
            <w:tcW w:w="940" w:type="dxa"/>
            <w:tcBorders/>
            <w:shd w:fill="FFFFFF" w:val="clear"/>
            <w:vAlign w:val="center"/>
          </w:tcPr>
          <w:p>
            <w:pPr>
              <w:pStyle w:val="TableContents"/>
              <w:bidi w:val="0"/>
              <w:spacing w:before="0" w:after="283"/>
              <w:jc w:val="right"/>
              <w:rPr/>
            </w:pPr>
            <w:r>
              <w:rPr/>
              <w:t>18.69</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Issued</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40" w:name="xdx_98A_eus-gaap--ShareBasedCompensation"/>
            <w:bookmarkEnd w:id="540"/>
          </w:p>
        </w:tc>
        <w:tc>
          <w:tcPr>
            <w:tcW w:w="88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41" w:name="xdx_989_ecustom--ShareBasedCompensationA"/>
            <w:bookmarkEnd w:id="541"/>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(8,759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42" w:name="xdx_986_ecustom--SharebasedCompensationA"/>
            <w:bookmarkEnd w:id="542"/>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(169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43" w:name="xdx_98B_ecustom--SharebasedCompensationA"/>
            <w:bookmarkEnd w:id="543"/>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Balance, December 31, 2022</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bookmarkStart w:id="544" w:name="xdx_98F_eus-gaap--SharebasedCompensation"/>
            <w:bookmarkEnd w:id="544"/>
          </w:p>
        </w:tc>
        <w:tc>
          <w:tcPr>
            <w:tcW w:w="882" w:type="dxa"/>
            <w:tcBorders/>
            <w:shd w:fill="FFFFFF" w:val="clear"/>
            <w:vAlign w:val="center"/>
          </w:tcPr>
          <w:p>
            <w:pPr>
              <w:pStyle w:val="TableContents"/>
              <w:bidi w:val="0"/>
              <w:spacing w:before="0" w:after="283"/>
              <w:jc w:val="right"/>
              <w:rPr/>
            </w:pPr>
            <w:r>
              <w:rPr/>
              <w:t>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545" w:name="xdx_98A_ecustom--SharebasedCompensationA"/>
            <w:bookmarkEnd w:id="545"/>
          </w:p>
        </w:tc>
        <w:tc>
          <w:tcPr>
            <w:tcW w:w="7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bookmarkStart w:id="546" w:name="xdx_98D_ecustom--SharebasedCompensationA"/>
            <w:bookmarkEnd w:id="546"/>
          </w:p>
        </w:tc>
        <w:tc>
          <w:tcPr>
            <w:tcW w:w="853" w:type="dxa"/>
            <w:tcBorders/>
            <w:shd w:fill="FFFFFF" w:val="cle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bookmarkStart w:id="547" w:name="xdx_989_eus-gaap--SharebasedCompensation"/>
            <w:bookmarkEnd w:id="547"/>
          </w:p>
        </w:tc>
        <w:tc>
          <w:tcPr>
            <w:tcW w:w="940" w:type="dxa"/>
            <w:tcBorders/>
            <w:shd w:fill="FFFFFF" w:val="clear"/>
            <w:vAlign w:val="center"/>
          </w:tcPr>
          <w:p>
            <w:pPr>
              <w:pStyle w:val="TableContents"/>
              <w:bidi w:val="0"/>
              <w:spacing w:before="0" w:after="283"/>
              <w:jc w:val="right"/>
              <w:rPr/>
            </w:pPr>
            <w:r>
              <w:rPr/>
              <w:t>44.75</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bookmarkStart w:id="548" w:name="xdx_98C_ecustom--ShareBasedCompensationA"/>
            <w:bookmarkEnd w:id="548"/>
          </w:p>
        </w:tc>
        <w:tc>
          <w:tcPr>
            <w:tcW w:w="8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549" w:name="xdx_98E_ecustom--ShareBasedCompensationA"/>
            <w:bookmarkEnd w:id="549"/>
          </w:p>
        </w:tc>
        <w:tc>
          <w:tcPr>
            <w:tcW w:w="7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bookmarkStart w:id="550" w:name="xdx_988_ecustom--SharebasedCompensationA"/>
            <w:bookmarkEnd w:id="550"/>
          </w:p>
        </w:tc>
        <w:tc>
          <w:tcPr>
            <w:tcW w:w="85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bookmarkStart w:id="551" w:name="xdx_989_eus-gaap--ShareBasedCompensation"/>
            <w:bookmarkEnd w:id="551"/>
          </w:p>
        </w:tc>
        <w:tc>
          <w:tcPr>
            <w:tcW w:w="94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bookmarkStart w:id="552" w:name="xdx_98F_eus-gaap--SharebasedCompensation"/>
            <w:bookmarkEnd w:id="552"/>
          </w:p>
        </w:tc>
        <w:tc>
          <w:tcPr>
            <w:tcW w:w="882" w:type="dxa"/>
            <w:tcBorders/>
            <w:shd w:fill="CCEEFF" w:val="clear"/>
            <w:vAlign w:val="center"/>
          </w:tcPr>
          <w:p>
            <w:pPr>
              <w:pStyle w:val="TableContents"/>
              <w:bidi w:val="0"/>
              <w:spacing w:before="0" w:after="283"/>
              <w:jc w:val="right"/>
              <w:rPr/>
            </w:pPr>
            <w:r>
              <w:rPr/>
              <w:t>(750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553" w:name="xdx_981_ecustom--SharebasedCompensationA"/>
            <w:bookmarkEnd w:id="553"/>
          </w:p>
        </w:tc>
        <w:tc>
          <w:tcPr>
            <w:tcW w:w="773" w:type="dxa"/>
            <w:tcBorders/>
            <w:shd w:fill="CCEEFF" w:val="clear"/>
            <w:vAlign w:val="center"/>
          </w:tcPr>
          <w:p>
            <w:pPr>
              <w:pStyle w:val="TableContents"/>
              <w:bidi w:val="0"/>
              <w:spacing w:before="0" w:after="283"/>
              <w:jc w:val="right"/>
              <w:rPr/>
            </w:pPr>
            <w:r>
              <w:rPr/>
              <w:t>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bookmarkStart w:id="554" w:name="xdx_989_eus-gaap--SharebasedCompensation"/>
            <w:bookmarkEnd w:id="554"/>
          </w:p>
        </w:tc>
        <w:tc>
          <w:tcPr>
            <w:tcW w:w="85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bookmarkStart w:id="555" w:name="xdx_988_eus-gaap--SharebasedCompensation"/>
            <w:bookmarkEnd w:id="555"/>
          </w:p>
        </w:tc>
        <w:tc>
          <w:tcPr>
            <w:tcW w:w="94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bookmarkStart w:id="556" w:name="xdx_980_eus-gaap--SharebasedCompensation"/>
            <w:bookmarkEnd w:id="556"/>
          </w:p>
        </w:tc>
        <w:tc>
          <w:tcPr>
            <w:tcW w:w="882" w:type="dxa"/>
            <w:tcBorders/>
            <w:shd w:fill="FFFFFF" w:val="clear"/>
            <w:vAlign w:val="center"/>
          </w:tcPr>
          <w:p>
            <w:pPr>
              <w:pStyle w:val="TableContents"/>
              <w:bidi w:val="0"/>
              <w:spacing w:before="0" w:after="283"/>
              <w:jc w:val="right"/>
              <w:rPr/>
            </w:pPr>
            <w:r>
              <w:rPr/>
              <w:t>(750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557" w:name="xdx_98C_ecustom--ShareBasedCompensationA"/>
            <w:bookmarkEnd w:id="557"/>
          </w:p>
        </w:tc>
        <w:tc>
          <w:tcPr>
            <w:tcW w:w="7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bookmarkStart w:id="558" w:name="xdx_98C_ecustom--SharebasedCompensationA"/>
            <w:bookmarkEnd w:id="558"/>
          </w:p>
        </w:tc>
        <w:tc>
          <w:tcPr>
            <w:tcW w:w="85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bookmarkStart w:id="559" w:name="xdx_986_eus-gaap--SharebasedCompensation"/>
            <w:bookmarkEnd w:id="559"/>
          </w:p>
        </w:tc>
        <w:tc>
          <w:tcPr>
            <w:tcW w:w="940" w:type="dxa"/>
            <w:tcBorders/>
            <w:shd w:fill="FFFFFF" w:val="clear"/>
            <w:vAlign w:val="center"/>
          </w:tcPr>
          <w:p>
            <w:pPr>
              <w:pStyle w:val="TableContents"/>
              <w:bidi w:val="0"/>
              <w:spacing w:before="0" w:after="283"/>
              <w:jc w:val="right"/>
              <w:rPr/>
            </w:pPr>
            <w:r>
              <w:rPr/>
              <w:t>18.69</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Issued</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60" w:name="xdx_98F_eus-gaap--ShareBasedCompensation"/>
            <w:bookmarkEnd w:id="560"/>
          </w:p>
        </w:tc>
        <w:tc>
          <w:tcPr>
            <w:tcW w:w="88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61" w:name="xdx_98A_ecustom--ShareBasedCompensationA"/>
            <w:bookmarkEnd w:id="561"/>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(750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62" w:name="xdx_983_ecustom--SharebasedCompensationA"/>
            <w:bookmarkEnd w:id="562"/>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63" w:name="xdx_987_ecustom--SharebasedCompensationA"/>
            <w:bookmarkEnd w:id="563"/>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Balance, December 31, 2023</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64" w:name="xdx_980_eus-gaap--SharebasedCompensation"/>
            <w:bookmarkEnd w:id="564"/>
          </w:p>
        </w:tc>
        <w:tc>
          <w:tcPr>
            <w:tcW w:w="88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65" w:name="xdx_986_ecustom--SharebasedCompensationA"/>
            <w:bookmarkEnd w:id="565"/>
          </w:p>
        </w:tc>
        <w:tc>
          <w:tcPr>
            <w:tcW w:w="77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66" w:name="xdx_986_ecustom--SharebasedCompensationA"/>
            <w:bookmarkEnd w:id="566"/>
          </w:p>
        </w:tc>
        <w:tc>
          <w:tcPr>
            <w:tcW w:w="85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67" w:name="xdx_983_eus-gaap--SharebasedCompensation"/>
            <w:bookmarkEnd w:id="567"/>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68" w:name="xdx_8AD_zgOOcfRxtTI3"/>
      <w:bookmarkEnd w:id="56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2022, the board of directors of Reed’s, pursuant to a joint recommendation from its governance and compensation committees, set the cash compensation of its non-employee directors at $</w:t>
      </w:r>
      <w:bookmarkStart w:id="569" w:name="xdx_907_eus-gaap--StockIssuedDuringPerio"/>
      <w:bookmarkEnd w:id="569"/>
      <w:r>
        <w:rPr>
          <w:rFonts w:ascii="Times New Roman;Times;Serif" w:hAnsi="Times New Roman;Times;Serif"/>
          <w:b w:val="false"/>
          <w:i w:val="false"/>
          <w:caps w:val="false"/>
          <w:smallCaps w:val="false"/>
          <w:sz w:val="20"/>
        </w:rPr>
        <w:t xml:space="preserve">50,000 for fiscal 2022, payable quarterly in accordance with the Company’s policies for non-employee director compensation. In addition, the Company granted </w:t>
      </w:r>
      <w:bookmarkStart w:id="570" w:name="xdx_90F_eus-gaap--StockIssuedDuringPerio"/>
      <w:bookmarkEnd w:id="570"/>
      <w:r>
        <w:rPr>
          <w:rFonts w:ascii="Times New Roman;Times;Serif" w:hAnsi="Times New Roman;Times;Serif"/>
          <w:b w:val="false"/>
          <w:i w:val="false"/>
          <w:caps w:val="false"/>
          <w:smallCaps w:val="false"/>
          <w:sz w:val="20"/>
        </w:rPr>
        <w:t xml:space="preserve">8,035 restricted stock awards to five non-employee directors. </w:t>
      </w:r>
      <w:bookmarkStart w:id="571" w:name="xdx_90E_eus-gaap--SharebasedCompensation"/>
      <w:bookmarkEnd w:id="571"/>
      <w:r>
        <w:rPr>
          <w:rFonts w:ascii="Times New Roman;Times;Serif" w:hAnsi="Times New Roman;Times;Serif"/>
          <w:b w:val="false"/>
          <w:i w:val="false"/>
          <w:caps w:val="false"/>
          <w:smallCaps w:val="false"/>
          <w:sz w:val="20"/>
        </w:rPr>
        <w:t>2,009 of these restricted stock awards vested on February 1, 2022, May 1, 2022, August 1, 2022, and November 1, 2022. The aggregate fair value of the stock awards was $</w:t>
      </w:r>
      <w:bookmarkStart w:id="572" w:name="xdx_905_ecustom--SharebasedCompensationA"/>
      <w:bookmarkEnd w:id="572"/>
      <w:r>
        <w:rPr>
          <w:rFonts w:ascii="Times New Roman;Times;Serif" w:hAnsi="Times New Roman;Times;Serif"/>
          <w:b w:val="false"/>
          <w:i w:val="false"/>
          <w:caps w:val="false"/>
          <w:smallCaps w:val="false"/>
          <w:sz w:val="20"/>
        </w:rPr>
        <w:t>150 based on the market price of our common stock price which was $</w:t>
      </w:r>
      <w:bookmarkStart w:id="573" w:name="xdx_901_eus-gaap--ShareBasedCompensation"/>
      <w:bookmarkEnd w:id="573"/>
      <w:r>
        <w:rPr>
          <w:rFonts w:ascii="Times New Roman;Times;Serif" w:hAnsi="Times New Roman;Times;Serif"/>
          <w:b w:val="false"/>
          <w:i w:val="false"/>
          <w:caps w:val="false"/>
          <w:smallCaps w:val="false"/>
          <w:sz w:val="20"/>
        </w:rPr>
        <w:t>16.00 per share on the date of grants and is amortized as shares vest.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restricted common stock vesting during the year ended December 31, 2023, and 2022 was $</w:t>
      </w:r>
      <w:bookmarkStart w:id="574" w:name="xdx_90F_eus-gaap--StockIssuedDuringPerio"/>
      <w:bookmarkEnd w:id="574"/>
      <w:r>
        <w:rPr>
          <w:rFonts w:ascii="Times New Roman;Times;Serif" w:hAnsi="Times New Roman;Times;Serif"/>
          <w:b w:val="false"/>
          <w:i w:val="false"/>
          <w:caps w:val="false"/>
          <w:smallCaps w:val="false"/>
          <w:sz w:val="20"/>
        </w:rPr>
        <w:t>3 and $</w:t>
      </w:r>
      <w:bookmarkStart w:id="575" w:name="xdx_906_eus-gaap--StockIssuedDuringPerio"/>
      <w:bookmarkEnd w:id="575"/>
      <w:r>
        <w:rPr>
          <w:rFonts w:ascii="Times New Roman;Times;Serif" w:hAnsi="Times New Roman;Times;Serif"/>
          <w:b w:val="false"/>
          <w:i w:val="false"/>
          <w:caps w:val="false"/>
          <w:smallCaps w:val="false"/>
          <w:sz w:val="20"/>
        </w:rPr>
        <w:t>158, respectively, and is included in general and administrative expenses in the accompanying statements of operations. As of December 31, 2023, the amount of unvested compensation related to issuances of restricted common stock was $</w:t>
      </w:r>
      <w:bookmarkStart w:id="576" w:name="xdx_90F_eus-gaap--EmployeeServiceShareBa"/>
      <w:bookmarkEnd w:id="576"/>
      <w:r>
        <w:rPr>
          <w:rFonts w:ascii="Times New Roman;Times;Serif" w:hAnsi="Times New Roman;Times;Serif"/>
          <w:b w:val="false"/>
          <w:i w:val="false"/>
          <w:caps w:val="false"/>
          <w:smallCaps w:val="false"/>
          <w:sz w:val="20"/>
        </w:rPr>
        <w:t>0. When calculating basic loss per share, these shares are included in weighted average common shares outstanding from the time they vest. When calculating diluted net income per share, these shares are included in weighted average common shares outstanding as of their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2023, the Company has issued stock options to purchase an aggregate of </w:t>
      </w:r>
      <w:bookmarkStart w:id="577" w:name="xdx_905_eus-gaap--ShareBasedCompensation"/>
      <w:bookmarkEnd w:id="577"/>
      <w:r>
        <w:rPr>
          <w:rFonts w:ascii="Times New Roman;Times;Serif" w:hAnsi="Times New Roman;Times;Serif"/>
          <w:b w:val="false"/>
          <w:i w:val="false"/>
          <w:caps w:val="false"/>
          <w:smallCaps w:val="false"/>
          <w:sz w:val="20"/>
        </w:rPr>
        <w:t>145,012 shares of common stock. The Company’s stock option activity during the years ended December 31, 2023, and 2022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78" w:name="xdx_8B8_zc3WaJPRoEhb"/>
      <w:bookmarkStart w:id="579" w:name="xdx_895_eus-gaap--ScheduleOfShareBasedCo"/>
      <w:bookmarkEnd w:id="578"/>
      <w:bookmarkEnd w:id="579"/>
      <w:r>
        <w:rPr>
          <w:rFonts w:ascii="Times New Roman;Times;Serif" w:hAnsi="Times New Roman;Times;Serif"/>
          <w:b w:val="false"/>
          <w:i w:val="false"/>
          <w:caps w:val="false"/>
          <w:smallCaps w:val="false"/>
          <w:sz w:val="20"/>
        </w:rPr>
        <w:t>Schedule of Stock Option Activity</w:t>
      </w:r>
    </w:p>
    <w:tbl>
      <w:tblPr>
        <w:tblW w:w="8759" w:type="dxa"/>
        <w:jc w:val="left"/>
        <w:tblInd w:w="0" w:type="dxa"/>
        <w:tblLayout w:type="fixed"/>
        <w:tblCellMar>
          <w:top w:w="0" w:type="dxa"/>
          <w:left w:w="0" w:type="dxa"/>
          <w:bottom w:w="0" w:type="dxa"/>
          <w:right w:w="0" w:type="dxa"/>
        </w:tblCellMar>
      </w:tblPr>
      <w:tblGrid>
        <w:gridCol w:w="3350"/>
        <w:gridCol w:w="60"/>
        <w:gridCol w:w="60"/>
        <w:gridCol w:w="800"/>
        <w:gridCol w:w="95"/>
        <w:gridCol w:w="60"/>
        <w:gridCol w:w="292"/>
        <w:gridCol w:w="1168"/>
        <w:gridCol w:w="60"/>
        <w:gridCol w:w="60"/>
        <w:gridCol w:w="178"/>
        <w:gridCol w:w="1311"/>
        <w:gridCol w:w="60"/>
        <w:gridCol w:w="60"/>
        <w:gridCol w:w="637"/>
        <w:gridCol w:w="433"/>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Terms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Intrinsic</w:t>
              <w:br/>
              <w:t>Value</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80" w:name="xdx_98F_eus-gaap--ShareBasedCompensation"/>
            <w:bookmarkEnd w:id="580"/>
          </w:p>
        </w:tc>
        <w:tc>
          <w:tcPr>
            <w:tcW w:w="800" w:type="dxa"/>
            <w:tcBorders/>
            <w:shd w:fill="CCEEFF" w:val="clear"/>
            <w:vAlign w:val="center"/>
          </w:tcPr>
          <w:p>
            <w:pPr>
              <w:pStyle w:val="TableContents"/>
              <w:bidi w:val="0"/>
              <w:spacing w:before="0" w:after="283"/>
              <w:jc w:val="right"/>
              <w:rPr/>
            </w:pPr>
            <w:r>
              <w:rPr/>
              <w:t>210,530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581" w:name="xdx_98A_eus-gaap--ShareBasedCompensation"/>
            <w:bookmarkEnd w:id="581"/>
          </w:p>
        </w:tc>
        <w:tc>
          <w:tcPr>
            <w:tcW w:w="1168" w:type="dxa"/>
            <w:tcBorders/>
            <w:shd w:fill="CCEEFF" w:val="clear"/>
            <w:vAlign w:val="center"/>
          </w:tcPr>
          <w:p>
            <w:pPr>
              <w:pStyle w:val="TableContents"/>
              <w:bidi w:val="0"/>
              <w:spacing w:before="0" w:after="283"/>
              <w:jc w:val="right"/>
              <w:rPr/>
            </w:pPr>
            <w:r>
              <w:rPr/>
              <w:t>56.07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bookmarkStart w:id="582" w:name="xdx_904_eus-gaap--SharebasedCompensation"/>
            <w:bookmarkEnd w:id="582"/>
            <w:r>
              <w:rPr/>
              <w:t>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w:t>
            </w:r>
            <w:bookmarkStart w:id="583" w:name="xdx_98E_eus-gaap--ShareBasedCompensation"/>
            <w:bookmarkEnd w:id="583"/>
          </w:p>
        </w:tc>
        <w:tc>
          <w:tcPr>
            <w:tcW w:w="43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84" w:name="xdx_98C_eus-gaap--ShareBasedCompensation"/>
            <w:bookmarkEnd w:id="584"/>
          </w:p>
        </w:tc>
        <w:tc>
          <w:tcPr>
            <w:tcW w:w="800" w:type="dxa"/>
            <w:tcBorders/>
            <w:shd w:fill="FFFFFF" w:val="clear"/>
            <w:vAlign w:val="center"/>
          </w:tcPr>
          <w:p>
            <w:pPr>
              <w:pStyle w:val="TableContents"/>
              <w:bidi w:val="0"/>
              <w:spacing w:before="0" w:after="283"/>
              <w:jc w:val="right"/>
              <w:rPr/>
            </w:pPr>
            <w:r>
              <w:rPr/>
              <w:t>14,696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bookmarkStart w:id="585" w:name="xdx_987_eus-gaap--ShareBasedCompensation"/>
            <w:bookmarkEnd w:id="585"/>
          </w:p>
        </w:tc>
        <w:tc>
          <w:tcPr>
            <w:tcW w:w="1168" w:type="dxa"/>
            <w:tcBorders/>
            <w:shd w:fill="FFFFFF" w:val="clear"/>
            <w:vAlign w:val="center"/>
          </w:tcPr>
          <w:p>
            <w:pPr>
              <w:pStyle w:val="TableContents"/>
              <w:bidi w:val="0"/>
              <w:spacing w:before="0" w:after="283"/>
              <w:jc w:val="right"/>
              <w:rPr/>
            </w:pPr>
            <w:r>
              <w:rPr/>
              <w:t>11.69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86" w:name="xdx_98E_eus-gaap--StockIssuedDuringPerio"/>
            <w:bookmarkEnd w:id="586"/>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bookmarkStart w:id="587" w:name="xdx_985_eus-gaap--ShareBasedCompensation"/>
            <w:bookmarkEnd w:id="587"/>
          </w:p>
        </w:tc>
        <w:tc>
          <w:tcPr>
            <w:tcW w:w="11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Unvested forfeited or expired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88" w:name="xdx_983_eus-gaap--ShareBasedCompensation"/>
            <w:bookmarkEnd w:id="588"/>
          </w:p>
        </w:tc>
        <w:tc>
          <w:tcPr>
            <w:tcW w:w="800" w:type="dxa"/>
            <w:tcBorders/>
            <w:shd w:fill="FFFFFF" w:val="clear"/>
            <w:vAlign w:val="center"/>
          </w:tcPr>
          <w:p>
            <w:pPr>
              <w:pStyle w:val="TableContents"/>
              <w:bidi w:val="0"/>
              <w:spacing w:before="0" w:after="283"/>
              <w:jc w:val="right"/>
              <w:rPr/>
            </w:pPr>
            <w:r>
              <w:rPr/>
              <w:t>(29,050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bookmarkStart w:id="589" w:name="xdx_988_eus-gaap--ShareBasedCompensation"/>
            <w:bookmarkEnd w:id="589"/>
          </w:p>
        </w:tc>
        <w:tc>
          <w:tcPr>
            <w:tcW w:w="1168" w:type="dxa"/>
            <w:tcBorders/>
            <w:shd w:fill="FFFFFF" w:val="clear"/>
            <w:vAlign w:val="center"/>
          </w:tcPr>
          <w:p>
            <w:pPr>
              <w:pStyle w:val="TableContents"/>
              <w:bidi w:val="0"/>
              <w:spacing w:before="0" w:after="283"/>
              <w:jc w:val="right"/>
              <w:rPr/>
            </w:pPr>
            <w:r>
              <w:rPr/>
              <w:t>58.62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Vested forfeited or 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90" w:name="xdx_98A_ecustom--ShareBasedCompensationA"/>
            <w:bookmarkEnd w:id="590"/>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(31,753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91" w:name="xdx_980_ecustom--ShareBasedCompensationA"/>
            <w:bookmarkEnd w:id="591"/>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48.90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Outstanding at December 31,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92" w:name="xdx_984_eus-gaap--ShareBasedCompensation"/>
            <w:bookmarkEnd w:id="592"/>
          </w:p>
        </w:tc>
        <w:tc>
          <w:tcPr>
            <w:tcW w:w="800" w:type="dxa"/>
            <w:tcBorders/>
            <w:shd w:fill="FFFFFF" w:val="clear"/>
            <w:vAlign w:val="center"/>
          </w:tcPr>
          <w:p>
            <w:pPr>
              <w:pStyle w:val="TableContents"/>
              <w:bidi w:val="0"/>
              <w:spacing w:before="0" w:after="283"/>
              <w:jc w:val="right"/>
              <w:rPr/>
            </w:pPr>
            <w:r>
              <w:rPr/>
              <w:t>164,423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593" w:name="xdx_984_eus-gaap--ShareBasedCompensation"/>
            <w:bookmarkEnd w:id="593"/>
          </w:p>
        </w:tc>
        <w:tc>
          <w:tcPr>
            <w:tcW w:w="1168" w:type="dxa"/>
            <w:tcBorders/>
            <w:shd w:fill="FFFFFF" w:val="clear"/>
            <w:vAlign w:val="center"/>
          </w:tcPr>
          <w:p>
            <w:pPr>
              <w:pStyle w:val="TableContents"/>
              <w:bidi w:val="0"/>
              <w:spacing w:before="0" w:after="283"/>
              <w:jc w:val="right"/>
              <w:rPr/>
            </w:pPr>
            <w:r>
              <w:rPr/>
              <w:t>48.90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bookmarkStart w:id="594" w:name="xdx_908_eus-gaap--SharebasedCompensation"/>
            <w:bookmarkEnd w:id="594"/>
            <w:r>
              <w:rPr/>
              <w:t>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w:t>
            </w:r>
            <w:bookmarkStart w:id="595" w:name="xdx_98A_eus-gaap--ShareBasedCompensation"/>
            <w:bookmarkEnd w:id="595"/>
          </w:p>
        </w:tc>
        <w:tc>
          <w:tcPr>
            <w:tcW w:w="43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96" w:name="xdx_984_eus-gaap--ShareBasedCompensation"/>
            <w:bookmarkEnd w:id="596"/>
          </w:p>
        </w:tc>
        <w:tc>
          <w:tcPr>
            <w:tcW w:w="800" w:type="dxa"/>
            <w:tcBorders/>
            <w:shd w:fill="CCEEFF" w:val="clear"/>
            <w:vAlign w:val="center"/>
          </w:tcPr>
          <w:p>
            <w:pPr>
              <w:pStyle w:val="TableContents"/>
              <w:bidi w:val="0"/>
              <w:spacing w:before="0" w:after="283"/>
              <w:jc w:val="right"/>
              <w:rPr/>
            </w:pPr>
            <w:r>
              <w:rPr/>
              <w:t>10,037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bookmarkStart w:id="597" w:name="xdx_98D_eus-gaap--ShareBasedCompensation"/>
            <w:bookmarkEnd w:id="597"/>
          </w:p>
        </w:tc>
        <w:tc>
          <w:tcPr>
            <w:tcW w:w="1168" w:type="dxa"/>
            <w:tcBorders/>
            <w:shd w:fill="CCEEFF" w:val="clear"/>
            <w:vAlign w:val="center"/>
          </w:tcPr>
          <w:p>
            <w:pPr>
              <w:pStyle w:val="TableContents"/>
              <w:bidi w:val="0"/>
              <w:spacing w:before="0" w:after="283"/>
              <w:jc w:val="right"/>
              <w:rPr/>
            </w:pPr>
            <w:r>
              <w:rPr/>
              <w:t>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98" w:name="xdx_98B_eus-gaap--StockIssuedDuringPerio"/>
            <w:bookmarkEnd w:id="598"/>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bookmarkStart w:id="599" w:name="xdx_98A_eus-gaap--ShareBasedCompensation"/>
            <w:bookmarkEnd w:id="599"/>
          </w:p>
        </w:tc>
        <w:tc>
          <w:tcPr>
            <w:tcW w:w="11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Unvested forfeited or expired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00" w:name="xdx_98C_eus-gaap--ShareBasedCompensation"/>
            <w:bookmarkEnd w:id="600"/>
          </w:p>
        </w:tc>
        <w:tc>
          <w:tcPr>
            <w:tcW w:w="800" w:type="dxa"/>
            <w:tcBorders/>
            <w:shd w:fill="CCEEFF" w:val="clear"/>
            <w:vAlign w:val="center"/>
          </w:tcPr>
          <w:p>
            <w:pPr>
              <w:pStyle w:val="TableContents"/>
              <w:bidi w:val="0"/>
              <w:spacing w:before="0" w:after="283"/>
              <w:jc w:val="right"/>
              <w:rPr/>
            </w:pPr>
            <w:r>
              <w:rPr/>
              <w:t>(10,497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bookmarkStart w:id="601" w:name="xdx_988_eus-gaap--ShareBasedCompensation"/>
            <w:bookmarkEnd w:id="601"/>
          </w:p>
        </w:tc>
        <w:tc>
          <w:tcPr>
            <w:tcW w:w="1168" w:type="dxa"/>
            <w:tcBorders/>
            <w:shd w:fill="CCEEFF" w:val="clear"/>
            <w:vAlign w:val="center"/>
          </w:tcPr>
          <w:p>
            <w:pPr>
              <w:pStyle w:val="TableContents"/>
              <w:bidi w:val="0"/>
              <w:spacing w:before="0" w:after="283"/>
              <w:jc w:val="right"/>
              <w:rPr/>
            </w:pPr>
            <w:r>
              <w:rPr/>
              <w:t>48.74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Vested forfeited or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02" w:name="xdx_984_ecustom--ShareBasedCompensationA"/>
            <w:bookmarkEnd w:id="602"/>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(18,951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03" w:name="xdx_987_ecustom--ShareBasedCompensationA"/>
            <w:bookmarkEnd w:id="603"/>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pPr>
            <w:r>
              <w:rPr/>
              <w:t>54.59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04" w:name="xdx_983_eus-gaap--ShareBasedCompensation"/>
            <w:bookmarkEnd w:id="604"/>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145,012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05" w:name="xdx_984_eus-gaap--ShareBasedCompensation"/>
            <w:bookmarkEnd w:id="605"/>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45.09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11"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06" w:name="xdx_905_eus-gaap--SharebasedCompensation"/>
            <w:bookmarkEnd w:id="606"/>
            <w:r>
              <w:rPr/>
              <w:t>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07" w:name="xdx_981_eus-gaap--ShareBasedCompensation"/>
            <w:bookmarkEnd w:id="607"/>
          </w:p>
        </w:tc>
        <w:tc>
          <w:tcPr>
            <w:tcW w:w="43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Exercisable at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08" w:name="xdx_980_eus-gaap--ShareBasedCompensation"/>
            <w:bookmarkEnd w:id="608"/>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92,917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09" w:name="xdx_982_eus-gaap--ShareBasedCompensation"/>
            <w:bookmarkEnd w:id="609"/>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52.63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1"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610" w:name="xdx_908_eus-gaap--SharebasedCompensation"/>
            <w:bookmarkEnd w:id="610"/>
            <w:r>
              <w:rPr/>
              <w:t>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11" w:name="xdx_98E_eus-gaap--SharebasedCompensation"/>
            <w:bookmarkEnd w:id="611"/>
          </w:p>
        </w:tc>
        <w:tc>
          <w:tcPr>
            <w:tcW w:w="43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12" w:name="xdx_8AE_z1ypfQxGev8j"/>
      <w:bookmarkEnd w:id="61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2023, the Company approved options exercisable into </w:t>
      </w:r>
      <w:bookmarkStart w:id="613" w:name="xdx_902_eus-gaap--StockIssuedDuringPerio"/>
      <w:bookmarkEnd w:id="613"/>
      <w:r>
        <w:rPr>
          <w:rFonts w:ascii="Times New Roman;Times;Serif" w:hAnsi="Times New Roman;Times;Serif"/>
          <w:b w:val="false"/>
          <w:i w:val="false"/>
          <w:caps w:val="false"/>
          <w:smallCaps w:val="false"/>
          <w:sz w:val="20"/>
        </w:rPr>
        <w:t xml:space="preserve">10,037 shares to be issued pursuant to Reed’s 2020 Equity Incentive Plan. </w:t>
      </w:r>
      <w:bookmarkStart w:id="614" w:name="xdx_902_eus-gaap--StockIssuedDuringPerio"/>
      <w:bookmarkEnd w:id="614"/>
      <w:r>
        <w:rPr>
          <w:rFonts w:ascii="Times New Roman;Times;Serif" w:hAnsi="Times New Roman;Times;Serif"/>
          <w:b w:val="false"/>
          <w:i w:val="false"/>
          <w:caps w:val="false"/>
          <w:smallCaps w:val="false"/>
          <w:sz w:val="20"/>
        </w:rPr>
        <w:t xml:space="preserve">10,037 options were issued to employees, </w:t>
      </w:r>
      <w:bookmarkStart w:id="615" w:name="xdx_905_eus-gaap--SharebasedCompensation"/>
      <w:bookmarkEnd w:id="615"/>
      <w:r>
        <w:rPr>
          <w:rFonts w:ascii="Times New Roman;Times;Serif" w:hAnsi="Times New Roman;Times;Serif"/>
          <w:b w:val="false"/>
          <w:i w:val="false"/>
          <w:caps w:val="false"/>
          <w:smallCaps w:val="false"/>
          <w:sz w:val="20"/>
        </w:rPr>
        <w:t xml:space="preserve">5,016 options vesting annually over a </w:t>
      </w:r>
      <w:bookmarkStart w:id="616" w:name="xdx_906_eus-gaap--ShareBasedCompensation"/>
      <w:bookmarkEnd w:id="616"/>
      <w:r>
        <w:rPr>
          <w:rFonts w:ascii="Times New Roman;Times;Serif" w:hAnsi="Times New Roman;Times;Serif"/>
          <w:b w:val="false"/>
          <w:i w:val="false"/>
          <w:caps w:val="false"/>
          <w:smallCaps w:val="false"/>
          <w:sz w:val="20"/>
        </w:rPr>
        <w:t xml:space="preserve">four-year vesting period, and </w:t>
      </w:r>
      <w:bookmarkStart w:id="617" w:name="xdx_908_eus-gaap--SharebasedCompensation"/>
      <w:bookmarkEnd w:id="617"/>
      <w:r>
        <w:rPr>
          <w:rFonts w:ascii="Times New Roman;Times;Serif" w:hAnsi="Times New Roman;Times;Serif"/>
          <w:b w:val="false"/>
          <w:i w:val="false"/>
          <w:caps w:val="false"/>
          <w:smallCaps w:val="false"/>
          <w:sz w:val="20"/>
        </w:rPr>
        <w:t>5,021 options vesting based on performance criteria to be established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are exercisable at a price of $</w:t>
      </w:r>
      <w:bookmarkStart w:id="618" w:name="xdx_906_eus-gaap--ShareBasedCompensation"/>
      <w:bookmarkEnd w:id="618"/>
      <w:r>
        <w:rPr>
          <w:rFonts w:ascii="Times New Roman;Times;Serif" w:hAnsi="Times New Roman;Times;Serif"/>
          <w:b w:val="false"/>
          <w:i w:val="false"/>
          <w:caps w:val="false"/>
          <w:smallCaps w:val="false"/>
          <w:sz w:val="20"/>
        </w:rPr>
        <w:t xml:space="preserve">4.50 per share and expire in </w:t>
      </w:r>
      <w:bookmarkStart w:id="619" w:name="xdx_903_eus-gaap--SharebasedCompensation"/>
      <w:bookmarkEnd w:id="619"/>
      <w:r>
        <w:rPr>
          <w:rFonts w:ascii="Times New Roman;Times;Serif" w:hAnsi="Times New Roman;Times;Serif"/>
          <w:b w:val="false"/>
          <w:i w:val="false"/>
          <w:caps w:val="false"/>
          <w:smallCaps w:val="false"/>
          <w:sz w:val="20"/>
        </w:rPr>
        <w:t>ten years. The total fair value of these options at grant date was approximately $</w:t>
      </w:r>
      <w:bookmarkStart w:id="620" w:name="xdx_908_eus-gaap--SharebasedCompensation"/>
      <w:bookmarkEnd w:id="620"/>
      <w:r>
        <w:rPr>
          <w:rFonts w:ascii="Times New Roman;Times;Serif" w:hAnsi="Times New Roman;Times;Serif"/>
          <w:b w:val="false"/>
          <w:i w:val="false"/>
          <w:caps w:val="false"/>
          <w:smallCaps w:val="false"/>
          <w:sz w:val="20"/>
        </w:rPr>
        <w:t>32, which was determined using a Black-Scholes-Merton option pricing model with the following average assumption: stock price of $</w:t>
      </w:r>
      <w:bookmarkStart w:id="621" w:name="xdx_901_eus-gaap--SharePrice_iI_pid_c202"/>
      <w:bookmarkEnd w:id="621"/>
      <w:r>
        <w:rPr>
          <w:rFonts w:ascii="Times New Roman;Times;Serif" w:hAnsi="Times New Roman;Times;Serif"/>
          <w:b w:val="false"/>
          <w:i w:val="false"/>
          <w:caps w:val="false"/>
          <w:smallCaps w:val="false"/>
          <w:sz w:val="20"/>
        </w:rPr>
        <w:t xml:space="preserve">4.50 share, expected term of </w:t>
      </w:r>
      <w:bookmarkStart w:id="622" w:name="xdx_902_eus-gaap--SharebasedCompensation"/>
      <w:bookmarkEnd w:id="622"/>
      <w:r>
        <w:rPr>
          <w:rFonts w:ascii="Times New Roman;Times;Serif" w:hAnsi="Times New Roman;Times;Serif"/>
          <w:b w:val="false"/>
          <w:i w:val="false"/>
          <w:caps w:val="false"/>
          <w:smallCaps w:val="false"/>
          <w:sz w:val="20"/>
        </w:rPr>
        <w:t xml:space="preserve">six years, volatility of </w:t>
      </w:r>
      <w:bookmarkStart w:id="623" w:name="xdx_90D_eus-gaap--ShareBasedCompensation"/>
      <w:bookmarkEnd w:id="623"/>
      <w:r>
        <w:rPr>
          <w:rFonts w:ascii="Times New Roman;Times;Serif" w:hAnsi="Times New Roman;Times;Serif"/>
          <w:b w:val="false"/>
          <w:i w:val="false"/>
          <w:caps w:val="false"/>
          <w:smallCaps w:val="false"/>
          <w:sz w:val="20"/>
        </w:rPr>
        <w:t xml:space="preserve">82%, dividend rate of </w:t>
      </w:r>
      <w:bookmarkStart w:id="624" w:name="xdx_90B_eus-gaap--ShareBasedCompensation"/>
      <w:bookmarkEnd w:id="624"/>
      <w:r>
        <w:rPr>
          <w:rFonts w:ascii="Times New Roman;Times;Serif" w:hAnsi="Times New Roman;Times;Serif"/>
          <w:b w:val="false"/>
          <w:i w:val="false"/>
          <w:caps w:val="false"/>
          <w:smallCaps w:val="false"/>
          <w:sz w:val="20"/>
        </w:rPr>
        <w:t xml:space="preserve">0%, and weighted average risk-free interest rate of </w:t>
      </w:r>
      <w:bookmarkStart w:id="625" w:name="xdx_90D_eus-gaap--ShareBasedCompensation"/>
      <w:bookmarkEnd w:id="625"/>
      <w:r>
        <w:rPr>
          <w:rFonts w:ascii="Times New Roman;Times;Serif" w:hAnsi="Times New Roman;Times;Serif"/>
          <w:b w:val="false"/>
          <w:i w:val="false"/>
          <w:caps w:val="false"/>
          <w:smallCaps w:val="false"/>
          <w:sz w:val="20"/>
        </w:rPr>
        <w:t>3.59%.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2022, the Company approved options exercisable into </w:t>
      </w:r>
      <w:bookmarkStart w:id="626" w:name="xdx_903_eus-gaap--StockIssuedDuringPerio"/>
      <w:bookmarkEnd w:id="626"/>
      <w:r>
        <w:rPr>
          <w:rFonts w:ascii="Times New Roman;Times;Serif" w:hAnsi="Times New Roman;Times;Serif"/>
          <w:b w:val="false"/>
          <w:i w:val="false"/>
          <w:caps w:val="false"/>
          <w:smallCaps w:val="false"/>
          <w:sz w:val="20"/>
        </w:rPr>
        <w:t xml:space="preserve">14,696 shares to be issued pursuant to Reed’s 2020 Equity Incentive Plan. </w:t>
      </w:r>
      <w:bookmarkStart w:id="627" w:name="xdx_90F_eus-gaap--StockIssuedDuringPerio"/>
      <w:bookmarkEnd w:id="627"/>
      <w:r>
        <w:rPr>
          <w:rFonts w:ascii="Times New Roman;Times;Serif" w:hAnsi="Times New Roman;Times;Serif"/>
          <w:b w:val="false"/>
          <w:i w:val="false"/>
          <w:caps w:val="false"/>
          <w:smallCaps w:val="false"/>
          <w:sz w:val="20"/>
        </w:rPr>
        <w:t xml:space="preserve">14,696 options were issued to employees, </w:t>
      </w:r>
      <w:bookmarkStart w:id="628" w:name="xdx_902_eus-gaap--SharebasedCompensation"/>
      <w:bookmarkEnd w:id="628"/>
      <w:r>
        <w:rPr>
          <w:rFonts w:ascii="Times New Roman;Times;Serif" w:hAnsi="Times New Roman;Times;Serif"/>
          <w:b w:val="false"/>
          <w:i w:val="false"/>
          <w:caps w:val="false"/>
          <w:smallCaps w:val="false"/>
          <w:sz w:val="20"/>
        </w:rPr>
        <w:t xml:space="preserve">7,348 options vesting annually over a </w:t>
      </w:r>
      <w:bookmarkStart w:id="629" w:name="xdx_908_eus-gaap--ShareBasedCompensation"/>
      <w:bookmarkEnd w:id="629"/>
      <w:r>
        <w:rPr>
          <w:rFonts w:ascii="Times New Roman;Times;Serif" w:hAnsi="Times New Roman;Times;Serif"/>
          <w:b w:val="false"/>
          <w:i w:val="false"/>
          <w:caps w:val="false"/>
          <w:smallCaps w:val="false"/>
          <w:sz w:val="20"/>
        </w:rPr>
        <w:t xml:space="preserve">four-year vesting period, and </w:t>
      </w:r>
      <w:bookmarkStart w:id="630" w:name="xdx_901_eus-gaap--SharebasedCompensation"/>
      <w:bookmarkEnd w:id="630"/>
      <w:r>
        <w:rPr>
          <w:rFonts w:ascii="Times New Roman;Times;Serif" w:hAnsi="Times New Roman;Times;Serif"/>
          <w:b w:val="false"/>
          <w:i w:val="false"/>
          <w:caps w:val="false"/>
          <w:smallCaps w:val="false"/>
          <w:sz w:val="20"/>
        </w:rPr>
        <w:t>7,348 options vesting based on performance criteria to be established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are exercisable at a price of $</w:t>
      </w:r>
      <w:bookmarkStart w:id="631" w:name="xdx_905_eus-gaap--ShareBasedCompensation"/>
      <w:bookmarkEnd w:id="631"/>
      <w:r>
        <w:rPr>
          <w:rFonts w:ascii="Times New Roman;Times;Serif" w:hAnsi="Times New Roman;Times;Serif"/>
          <w:b w:val="false"/>
          <w:i w:val="false"/>
          <w:caps w:val="false"/>
          <w:smallCaps w:val="false"/>
          <w:sz w:val="20"/>
        </w:rPr>
        <w:t xml:space="preserve">11.69 per share and expire in </w:t>
      </w:r>
      <w:bookmarkStart w:id="632" w:name="xdx_90C_eus-gaap--SharebasedCompensation"/>
      <w:bookmarkEnd w:id="632"/>
      <w:r>
        <w:rPr>
          <w:rFonts w:ascii="Times New Roman;Times;Serif" w:hAnsi="Times New Roman;Times;Serif"/>
          <w:b w:val="false"/>
          <w:i w:val="false"/>
          <w:caps w:val="false"/>
          <w:smallCaps w:val="false"/>
          <w:sz w:val="20"/>
        </w:rPr>
        <w:t>ten years. The total fair value of these options at grant date was approximately $</w:t>
      </w:r>
      <w:bookmarkStart w:id="633" w:name="xdx_907_eus-gaap--SharebasedCompensation"/>
      <w:bookmarkEnd w:id="633"/>
      <w:r>
        <w:rPr>
          <w:rFonts w:ascii="Times New Roman;Times;Serif" w:hAnsi="Times New Roman;Times;Serif"/>
          <w:b w:val="false"/>
          <w:i w:val="false"/>
          <w:caps w:val="false"/>
          <w:smallCaps w:val="false"/>
          <w:sz w:val="20"/>
        </w:rPr>
        <w:t>122, which was determined using a Black-Scholes-Merton option pricing model with the following average assumption: stock price of $</w:t>
      </w:r>
      <w:bookmarkStart w:id="634" w:name="xdx_904_eus-gaap--SharePrice_iI_pid_c202"/>
      <w:bookmarkEnd w:id="634"/>
      <w:r>
        <w:rPr>
          <w:rFonts w:ascii="Times New Roman;Times;Serif" w:hAnsi="Times New Roman;Times;Serif"/>
          <w:b w:val="false"/>
          <w:i w:val="false"/>
          <w:caps w:val="false"/>
          <w:smallCaps w:val="false"/>
          <w:sz w:val="20"/>
        </w:rPr>
        <w:t xml:space="preserve">11.69 share, expected term of </w:t>
      </w:r>
      <w:bookmarkStart w:id="635" w:name="xdx_90D_eus-gaap--SharebasedCompensation"/>
      <w:bookmarkEnd w:id="635"/>
      <w:r>
        <w:rPr>
          <w:rFonts w:ascii="Times New Roman;Times;Serif" w:hAnsi="Times New Roman;Times;Serif"/>
          <w:b w:val="false"/>
          <w:i w:val="false"/>
          <w:caps w:val="false"/>
          <w:smallCaps w:val="false"/>
          <w:sz w:val="20"/>
        </w:rPr>
        <w:t xml:space="preserve">six years, volatility of </w:t>
      </w:r>
      <w:bookmarkStart w:id="636" w:name="xdx_90F_eus-gaap--ShareBasedCompensation"/>
      <w:bookmarkEnd w:id="636"/>
      <w:r>
        <w:rPr>
          <w:rFonts w:ascii="Times New Roman;Times;Serif" w:hAnsi="Times New Roman;Times;Serif"/>
          <w:b w:val="false"/>
          <w:i w:val="false"/>
          <w:caps w:val="false"/>
          <w:smallCaps w:val="false"/>
          <w:sz w:val="20"/>
        </w:rPr>
        <w:t xml:space="preserve">82%, dividend rate of </w:t>
      </w:r>
      <w:bookmarkStart w:id="637" w:name="xdx_906_eus-gaap--ShareBasedCompensation"/>
      <w:bookmarkEnd w:id="637"/>
      <w:r>
        <w:rPr>
          <w:rFonts w:ascii="Times New Roman;Times;Serif" w:hAnsi="Times New Roman;Times;Serif"/>
          <w:b w:val="false"/>
          <w:i w:val="false"/>
          <w:caps w:val="false"/>
          <w:smallCaps w:val="false"/>
          <w:sz w:val="20"/>
        </w:rPr>
        <w:t xml:space="preserve">0%, and weighted average risk-free interest rate of </w:t>
      </w:r>
      <w:bookmarkStart w:id="638" w:name="xdx_901_eus-gaap--ShareBasedCompensation"/>
      <w:bookmarkEnd w:id="638"/>
      <w:r>
        <w:rPr>
          <w:rFonts w:ascii="Times New Roman;Times;Serif" w:hAnsi="Times New Roman;Times;Serif"/>
          <w:b w:val="false"/>
          <w:i w:val="false"/>
          <w:caps w:val="false"/>
          <w:smallCaps w:val="false"/>
          <w:sz w:val="20"/>
        </w:rPr>
        <w:t>2.89%.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and 2022, the Company recognized $</w:t>
      </w:r>
      <w:bookmarkStart w:id="639" w:name="xdx_90B_eus-gaap--SharebasedCompensation"/>
      <w:bookmarkEnd w:id="639"/>
      <w:r>
        <w:rPr>
          <w:rFonts w:ascii="Times New Roman;Times;Serif" w:hAnsi="Times New Roman;Times;Serif"/>
          <w:b w:val="false"/>
          <w:i w:val="false"/>
          <w:caps w:val="false"/>
          <w:smallCaps w:val="false"/>
          <w:sz w:val="20"/>
        </w:rPr>
        <w:t>490 and $</w:t>
      </w:r>
      <w:bookmarkStart w:id="640" w:name="xdx_904_eus-gaap--SharebasedCompensation"/>
      <w:bookmarkEnd w:id="640"/>
      <w:r>
        <w:rPr>
          <w:rFonts w:ascii="Times New Roman;Times;Serif" w:hAnsi="Times New Roman;Times;Serif"/>
          <w:b w:val="false"/>
          <w:i w:val="false"/>
          <w:caps w:val="false"/>
          <w:smallCaps w:val="false"/>
          <w:sz w:val="20"/>
        </w:rPr>
        <w:t>701 of compensation expense relating to vested stock options. As of December 31, 2023, the aggregate amount of unvested compensation related to stock options was approximately $</w:t>
      </w:r>
      <w:bookmarkStart w:id="641" w:name="xdx_909_eus-gaap--EmployeeServiceShareBa"/>
      <w:bookmarkEnd w:id="641"/>
      <w:r>
        <w:rPr>
          <w:rFonts w:ascii="Times New Roman;Times;Serif" w:hAnsi="Times New Roman;Times;Serif"/>
          <w:b w:val="false"/>
          <w:i w:val="false"/>
          <w:caps w:val="false"/>
          <w:smallCaps w:val="false"/>
          <w:sz w:val="20"/>
        </w:rPr>
        <w:t>443 which will be recognized as an expense as the options vest in future periods through March 28,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outstanding and exercisable options have no intrinsic value. The aggregate intrinsic value was calculated as the difference between the closing market price as of December 31, 2023, which was $</w:t>
      </w:r>
      <w:bookmarkStart w:id="642" w:name="xdx_903_eus-gaap--SharePrice_iI_pid_c202"/>
      <w:bookmarkEnd w:id="642"/>
      <w:r>
        <w:rPr>
          <w:rFonts w:ascii="Times New Roman;Times;Serif" w:hAnsi="Times New Roman;Times;Serif"/>
          <w:b w:val="false"/>
          <w:i w:val="false"/>
          <w:caps w:val="false"/>
          <w:smallCaps w:val="false"/>
          <w:sz w:val="20"/>
        </w:rPr>
        <w:t>1.60, and the exercise price of the outstanding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3" w:name="xdx_894_eus-gaap--ScheduleOfShareBasedCo"/>
      <w:bookmarkEnd w:id="643"/>
      <w:r>
        <w:rPr>
          <w:rFonts w:ascii="Times New Roman;Times;Serif" w:hAnsi="Times New Roman;Times;Serif"/>
          <w:b w:val="false"/>
          <w:i w:val="false"/>
          <w:caps w:val="false"/>
          <w:smallCaps w:val="false"/>
          <w:sz w:val="20"/>
        </w:rPr>
        <w:t>Additional information regarding options outstanding and exercisable as of December 31, 2023,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4" w:name="xdx_8BD_zNXF1qvTunab"/>
      <w:bookmarkEnd w:id="644"/>
      <w:r>
        <w:rPr>
          <w:rFonts w:ascii="Times New Roman;Times;Serif" w:hAnsi="Times New Roman;Times;Serif"/>
          <w:b w:val="false"/>
          <w:i w:val="false"/>
          <w:caps w:val="false"/>
          <w:smallCaps w:val="false"/>
          <w:sz w:val="20"/>
        </w:rPr>
        <w:t>Schedule of Information Regarding Stock Options</w:t>
      </w:r>
    </w:p>
    <w:tbl>
      <w:tblPr>
        <w:tblW w:w="8291" w:type="dxa"/>
        <w:jc w:val="left"/>
        <w:tblInd w:w="0" w:type="dxa"/>
        <w:tblLayout w:type="fixed"/>
        <w:tblCellMar>
          <w:top w:w="0" w:type="dxa"/>
          <w:left w:w="0" w:type="dxa"/>
          <w:bottom w:w="0" w:type="dxa"/>
          <w:right w:w="0" w:type="dxa"/>
        </w:tblCellMar>
      </w:tblPr>
      <w:tblGrid>
        <w:gridCol w:w="191"/>
        <w:gridCol w:w="74"/>
        <w:gridCol w:w="2048"/>
        <w:gridCol w:w="60"/>
        <w:gridCol w:w="81"/>
        <w:gridCol w:w="1094"/>
        <w:gridCol w:w="60"/>
        <w:gridCol w:w="60"/>
        <w:gridCol w:w="159"/>
        <w:gridCol w:w="776"/>
        <w:gridCol w:w="60"/>
        <w:gridCol w:w="60"/>
        <w:gridCol w:w="133"/>
        <w:gridCol w:w="982"/>
        <w:gridCol w:w="60"/>
        <w:gridCol w:w="60"/>
        <w:gridCol w:w="90"/>
        <w:gridCol w:w="1025"/>
        <w:gridCol w:w="73"/>
        <w:gridCol w:w="73"/>
        <w:gridCol w:w="170"/>
        <w:gridCol w:w="827"/>
        <w:gridCol w:w="75"/>
      </w:tblGrid>
      <w:tr>
        <w:trPr/>
        <w:tc>
          <w:tcPr>
            <w:tcW w:w="2313"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6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Options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Options Exercisable</w:t>
            </w:r>
          </w:p>
        </w:tc>
        <w:tc>
          <w:tcPr>
            <w:tcW w:w="75" w:type="dxa"/>
            <w:tcBorders/>
            <w:vAlign w:val="center"/>
          </w:tcPr>
          <w:p>
            <w:pPr>
              <w:pStyle w:val="TableContents"/>
              <w:bidi w:val="0"/>
              <w:spacing w:before="0" w:after="283"/>
              <w:jc w:val="left"/>
              <w:rPr/>
            </w:pPr>
            <w:r>
              <w:rPr/>
              <w:t> </w:t>
            </w:r>
          </w:p>
        </w:tc>
      </w:tr>
      <w:tr>
        <w:trPr/>
        <w:tc>
          <w:tcPr>
            <w:tcW w:w="2313" w:type="dxa"/>
            <w:gridSpan w:val="3"/>
            <w:tcBorders>
              <w:bottom w:val="single" w:sz="12" w:space="0" w:color="000000"/>
            </w:tcBorders>
            <w:tcMar>
              <w:bottom w:w="28" w:type="dxa"/>
            </w:tcMar>
            <w:vAlign w:val="center"/>
          </w:tcPr>
          <w:p>
            <w:pPr>
              <w:pStyle w:val="TableContents"/>
              <w:bidi w:val="0"/>
              <w:spacing w:before="0" w:after="283"/>
              <w:jc w:val="center"/>
              <w:rPr/>
            </w:pPr>
            <w:r>
              <w:rPr/>
              <w:t>Range of Exercise Price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pPr>
            <w:r>
              <w:rPr/>
              <w:t>Number of</w:t>
              <w:br/>
              <w:t>Shares</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Remaining</w:t>
              <w:br/>
              <w:t>Contractual</w:t>
              <w:br/>
              <w:t>Life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pPr>
            <w:r>
              <w:rPr/>
              <w:t>Number of</w:t>
              <w:br/>
              <w:t>Shares</w:t>
              <w:br/>
              <w:t>Exercisable</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Exercise</w:t>
              <w:br/>
              <w:t>Price</w:t>
            </w:r>
          </w:p>
        </w:tc>
        <w:tc>
          <w:tcPr>
            <w:tcW w:w="75" w:type="dxa"/>
            <w:tcBorders/>
            <w:vAlign w:val="center"/>
          </w:tcPr>
          <w:p>
            <w:pPr>
              <w:pStyle w:val="TableContents"/>
              <w:bidi w:val="0"/>
              <w:spacing w:before="0" w:after="283"/>
              <w:jc w:val="left"/>
              <w:rPr/>
            </w:pPr>
            <w:r>
              <w:rPr/>
              <w:t> </w:t>
            </w:r>
          </w:p>
        </w:tc>
      </w:tr>
      <w:tr>
        <w:trPr/>
        <w:tc>
          <w:tcPr>
            <w:tcW w:w="191"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2048" w:type="dxa"/>
            <w:tcBorders/>
            <w:shd w:fill="CCEEFF" w:val="clear"/>
            <w:vAlign w:val="center"/>
          </w:tcPr>
          <w:p>
            <w:pPr>
              <w:pStyle w:val="TableContents"/>
              <w:bidi w:val="0"/>
              <w:spacing w:before="0" w:after="283"/>
              <w:jc w:val="right"/>
              <w:rPr/>
            </w:pPr>
            <w:bookmarkStart w:id="645" w:name="xdx_902_eus-gaap--ShareBasedCompensation"/>
            <w:bookmarkEnd w:id="645"/>
            <w:r>
              <w:rPr/>
              <w:t>4.00 - $</w:t>
            </w:r>
            <w:bookmarkStart w:id="646" w:name="xdx_90B_eus-gaap--ShareBasedCompensation"/>
            <w:bookmarkEnd w:id="646"/>
            <w:r>
              <w:rPr/>
              <w:t>12.00</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647" w:name="xdx_981_eus-gaap--ShareBasedCompensation"/>
            <w:bookmarkEnd w:id="647"/>
          </w:p>
        </w:tc>
        <w:tc>
          <w:tcPr>
            <w:tcW w:w="1094" w:type="dxa"/>
            <w:tcBorders/>
            <w:shd w:fill="CCEEFF" w:val="clear"/>
            <w:vAlign w:val="center"/>
          </w:tcPr>
          <w:p>
            <w:pPr>
              <w:pStyle w:val="TableContents"/>
              <w:bidi w:val="0"/>
              <w:spacing w:before="0" w:after="283"/>
              <w:jc w:val="right"/>
              <w:rPr/>
            </w:pPr>
            <w:r>
              <w:rPr/>
              <w:t>23,532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bookmarkStart w:id="648" w:name="xdx_980_eus-gaap--SharebasedCompensation"/>
            <w:bookmarkEnd w:id="648"/>
          </w:p>
        </w:tc>
        <w:tc>
          <w:tcPr>
            <w:tcW w:w="776" w:type="dxa"/>
            <w:tcBorders/>
            <w:shd w:fill="CCEEFF" w:val="clear"/>
            <w:vAlign w:val="center"/>
          </w:tcPr>
          <w:p>
            <w:pPr>
              <w:pStyle w:val="TableContents"/>
              <w:bidi w:val="0"/>
              <w:spacing w:before="0" w:after="283"/>
              <w:jc w:val="right"/>
              <w:rPr/>
            </w:pPr>
            <w:r>
              <w:rPr/>
              <w:t>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bookmarkStart w:id="649" w:name="xdx_900_eus-gaap--SharebasedCompensation"/>
            <w:bookmarkEnd w:id="649"/>
            <w:r>
              <w:rPr/>
              <w:t>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bookmarkStart w:id="650" w:name="xdx_980_eus-gaap--ShareBasedCompensation"/>
            <w:bookmarkEnd w:id="650"/>
          </w:p>
        </w:tc>
        <w:tc>
          <w:tcPr>
            <w:tcW w:w="1025" w:type="dxa"/>
            <w:tcBorders/>
            <w:shd w:fill="CCEEFF" w:val="clear"/>
            <w:vAlign w:val="center"/>
          </w:tcPr>
          <w:p>
            <w:pPr>
              <w:pStyle w:val="TableContents"/>
              <w:bidi w:val="0"/>
              <w:spacing w:before="0" w:after="283"/>
              <w:jc w:val="right"/>
              <w:rPr/>
            </w:pPr>
            <w:r>
              <w:rPr/>
              <w:t>3,369</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bookmarkStart w:id="651" w:name="xdx_98C_eus-gaap--SharebasedCompensation"/>
            <w:bookmarkEnd w:id="651"/>
          </w:p>
        </w:tc>
        <w:tc>
          <w:tcPr>
            <w:tcW w:w="827" w:type="dxa"/>
            <w:tcBorders/>
            <w:shd w:fill="CCEEFF" w:val="clear"/>
            <w:vAlign w:val="center"/>
          </w:tcPr>
          <w:p>
            <w:pPr>
              <w:pStyle w:val="TableContents"/>
              <w:bidi w:val="0"/>
              <w:spacing w:before="0" w:after="283"/>
              <w:jc w:val="right"/>
              <w:rPr/>
            </w:pPr>
            <w:r>
              <w:rPr/>
              <w:t>11.09</w:t>
            </w:r>
          </w:p>
        </w:tc>
        <w:tc>
          <w:tcPr>
            <w:tcW w:w="75" w:type="dxa"/>
            <w:tcBorders/>
            <w:shd w:fill="CCEEFF" w:val="clear"/>
            <w:vAlign w:val="center"/>
          </w:tcPr>
          <w:p>
            <w:pPr>
              <w:pStyle w:val="TableContents"/>
              <w:bidi w:val="0"/>
              <w:spacing w:before="0" w:after="283"/>
              <w:jc w:val="left"/>
              <w:rPr/>
            </w:pPr>
            <w:r>
              <w:rPr/>
              <w:t> </w:t>
            </w:r>
          </w:p>
        </w:tc>
      </w:tr>
      <w:tr>
        <w:trPr/>
        <w:tc>
          <w:tcPr>
            <w:tcW w:w="191"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2048" w:type="dxa"/>
            <w:tcBorders/>
            <w:shd w:fill="FFFFFF" w:val="clear"/>
            <w:vAlign w:val="center"/>
          </w:tcPr>
          <w:p>
            <w:pPr>
              <w:pStyle w:val="TableContents"/>
              <w:bidi w:val="0"/>
              <w:spacing w:before="0" w:after="283"/>
              <w:jc w:val="right"/>
              <w:rPr/>
            </w:pPr>
            <w:bookmarkStart w:id="652" w:name="xdx_906_eus-gaap--ShareBasedCompensation"/>
            <w:bookmarkEnd w:id="652"/>
            <w:r>
              <w:rPr/>
              <w:t>25.00 - $</w:t>
            </w:r>
            <w:bookmarkStart w:id="653" w:name="xdx_90B_eus-gaap--ShareBasedCompensation"/>
            <w:bookmarkEnd w:id="653"/>
            <w:r>
              <w:rPr/>
              <w:t>37.50</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654" w:name="xdx_98A_eus-gaap--ShareBasedCompensation"/>
            <w:bookmarkEnd w:id="654"/>
          </w:p>
        </w:tc>
        <w:tc>
          <w:tcPr>
            <w:tcW w:w="1094" w:type="dxa"/>
            <w:tcBorders/>
            <w:shd w:fill="FFFFFF" w:val="clear"/>
            <w:vAlign w:val="center"/>
          </w:tcPr>
          <w:p>
            <w:pPr>
              <w:pStyle w:val="TableContents"/>
              <w:bidi w:val="0"/>
              <w:spacing w:before="0" w:after="283"/>
              <w:jc w:val="right"/>
              <w:rPr/>
            </w:pPr>
            <w:r>
              <w:rPr/>
              <w:t>20,352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bookmarkStart w:id="655" w:name="xdx_987_eus-gaap--SharebasedCompensation"/>
            <w:bookmarkEnd w:id="655"/>
          </w:p>
        </w:tc>
        <w:tc>
          <w:tcPr>
            <w:tcW w:w="776" w:type="dxa"/>
            <w:tcBorders/>
            <w:shd w:fill="FFFFFF" w:val="clear"/>
            <w:vAlign w:val="center"/>
          </w:tcPr>
          <w:p>
            <w:pPr>
              <w:pStyle w:val="TableContents"/>
              <w:bidi w:val="0"/>
              <w:spacing w:before="0" w:after="283"/>
              <w:jc w:val="right"/>
              <w:rPr/>
            </w:pPr>
            <w:r>
              <w:rPr/>
              <w:t>29.38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bookmarkStart w:id="656" w:name="xdx_900_eus-gaap--SharebasedCompensation"/>
            <w:bookmarkEnd w:id="656"/>
            <w:r>
              <w:rPr/>
              <w:t>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bookmarkStart w:id="657" w:name="xdx_987_eus-gaap--ShareBasedCompensation"/>
            <w:bookmarkEnd w:id="657"/>
          </w:p>
        </w:tc>
        <w:tc>
          <w:tcPr>
            <w:tcW w:w="1025" w:type="dxa"/>
            <w:tcBorders/>
            <w:shd w:fill="FFFFFF" w:val="clear"/>
            <w:vAlign w:val="center"/>
          </w:tcPr>
          <w:p>
            <w:pPr>
              <w:pStyle w:val="TableContents"/>
              <w:bidi w:val="0"/>
              <w:spacing w:before="0" w:after="283"/>
              <w:jc w:val="right"/>
              <w:rPr/>
            </w:pPr>
            <w:r>
              <w:rPr/>
              <w:t>18,102</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bookmarkStart w:id="658" w:name="xdx_98F_eus-gaap--SharebasedCompensation"/>
            <w:bookmarkEnd w:id="658"/>
          </w:p>
        </w:tc>
        <w:tc>
          <w:tcPr>
            <w:tcW w:w="827" w:type="dxa"/>
            <w:tcBorders/>
            <w:shd w:fill="FFFFFF" w:val="clear"/>
            <w:vAlign w:val="center"/>
          </w:tcPr>
          <w:p>
            <w:pPr>
              <w:pStyle w:val="TableContents"/>
              <w:bidi w:val="0"/>
              <w:spacing w:before="0" w:after="283"/>
              <w:jc w:val="right"/>
              <w:rPr/>
            </w:pPr>
            <w:r>
              <w:rPr/>
              <w:t>28.68</w:t>
            </w:r>
          </w:p>
        </w:tc>
        <w:tc>
          <w:tcPr>
            <w:tcW w:w="75" w:type="dxa"/>
            <w:tcBorders/>
            <w:shd w:fill="FFFFFF" w:val="clear"/>
            <w:vAlign w:val="center"/>
          </w:tcPr>
          <w:p>
            <w:pPr>
              <w:pStyle w:val="TableContents"/>
              <w:bidi w:val="0"/>
              <w:spacing w:before="0" w:after="283"/>
              <w:jc w:val="left"/>
              <w:rPr/>
            </w:pPr>
            <w:r>
              <w:rPr/>
              <w:t> </w:t>
            </w:r>
          </w:p>
        </w:tc>
      </w:tr>
      <w:tr>
        <w:trPr/>
        <w:tc>
          <w:tcPr>
            <w:tcW w:w="191"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2048" w:type="dxa"/>
            <w:tcBorders/>
            <w:shd w:fill="CCEEFF" w:val="clear"/>
            <w:vAlign w:val="center"/>
          </w:tcPr>
          <w:p>
            <w:pPr>
              <w:pStyle w:val="TableContents"/>
              <w:bidi w:val="0"/>
              <w:spacing w:before="0" w:after="283"/>
              <w:jc w:val="right"/>
              <w:rPr/>
            </w:pPr>
            <w:bookmarkStart w:id="659" w:name="xdx_90F_eus-gaap--ShareBasedCompensation"/>
            <w:bookmarkEnd w:id="659"/>
            <w:r>
              <w:rPr/>
              <w:t>44.00 - $</w:t>
            </w:r>
            <w:bookmarkStart w:id="660" w:name="xdx_908_eus-gaap--ShareBasedCompensation"/>
            <w:bookmarkEnd w:id="660"/>
            <w:r>
              <w:rPr/>
              <w:t>66.00</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661" w:name="xdx_98E_eus-gaap--ShareBasedCompensation"/>
            <w:bookmarkEnd w:id="661"/>
          </w:p>
        </w:tc>
        <w:tc>
          <w:tcPr>
            <w:tcW w:w="1094" w:type="dxa"/>
            <w:tcBorders/>
            <w:shd w:fill="CCEEFF" w:val="clear"/>
            <w:vAlign w:val="center"/>
          </w:tcPr>
          <w:p>
            <w:pPr>
              <w:pStyle w:val="TableContents"/>
              <w:bidi w:val="0"/>
              <w:spacing w:before="0" w:after="283"/>
              <w:jc w:val="right"/>
              <w:rPr/>
            </w:pPr>
            <w:r>
              <w:rPr/>
              <w:t>85,157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bookmarkStart w:id="662" w:name="xdx_98A_eus-gaap--SharebasedCompensation"/>
            <w:bookmarkEnd w:id="662"/>
          </w:p>
        </w:tc>
        <w:tc>
          <w:tcPr>
            <w:tcW w:w="776" w:type="dxa"/>
            <w:tcBorders/>
            <w:shd w:fill="CCEEFF" w:val="clear"/>
            <w:vAlign w:val="center"/>
          </w:tcPr>
          <w:p>
            <w:pPr>
              <w:pStyle w:val="TableContents"/>
              <w:bidi w:val="0"/>
              <w:spacing w:before="0" w:after="283"/>
              <w:jc w:val="right"/>
              <w:rPr/>
            </w:pPr>
            <w:r>
              <w:rPr/>
              <w:t>49.18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bookmarkStart w:id="663" w:name="xdx_908_eus-gaap--SharebasedCompensation"/>
            <w:bookmarkEnd w:id="663"/>
            <w:r>
              <w:rPr/>
              <w:t>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bookmarkStart w:id="664" w:name="xdx_98F_eus-gaap--ShareBasedCompensation"/>
            <w:bookmarkEnd w:id="664"/>
          </w:p>
        </w:tc>
        <w:tc>
          <w:tcPr>
            <w:tcW w:w="1025" w:type="dxa"/>
            <w:tcBorders/>
            <w:shd w:fill="CCEEFF" w:val="clear"/>
            <w:vAlign w:val="center"/>
          </w:tcPr>
          <w:p>
            <w:pPr>
              <w:pStyle w:val="TableContents"/>
              <w:bidi w:val="0"/>
              <w:spacing w:before="0" w:after="283"/>
              <w:jc w:val="right"/>
              <w:rPr/>
            </w:pPr>
            <w:r>
              <w:rPr/>
              <w:t>55,475</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bookmarkStart w:id="665" w:name="xdx_983_eus-gaap--SharebasedCompensation"/>
            <w:bookmarkEnd w:id="665"/>
          </w:p>
        </w:tc>
        <w:tc>
          <w:tcPr>
            <w:tcW w:w="827" w:type="dxa"/>
            <w:tcBorders/>
            <w:shd w:fill="CCEEFF" w:val="clear"/>
            <w:vAlign w:val="center"/>
          </w:tcPr>
          <w:p>
            <w:pPr>
              <w:pStyle w:val="TableContents"/>
              <w:bidi w:val="0"/>
              <w:spacing w:before="0" w:after="283"/>
              <w:jc w:val="right"/>
              <w:rPr/>
            </w:pPr>
            <w:r>
              <w:rPr/>
              <w:t>48.64</w:t>
            </w:r>
          </w:p>
        </w:tc>
        <w:tc>
          <w:tcPr>
            <w:tcW w:w="75" w:type="dxa"/>
            <w:tcBorders/>
            <w:shd w:fill="CCEEFF" w:val="clear"/>
            <w:vAlign w:val="center"/>
          </w:tcPr>
          <w:p>
            <w:pPr>
              <w:pStyle w:val="TableContents"/>
              <w:bidi w:val="0"/>
              <w:spacing w:before="0" w:after="283"/>
              <w:jc w:val="left"/>
              <w:rPr/>
            </w:pPr>
            <w:r>
              <w:rPr/>
              <w:t> </w:t>
            </w:r>
          </w:p>
        </w:tc>
      </w:tr>
      <w:tr>
        <w:trPr/>
        <w:tc>
          <w:tcPr>
            <w:tcW w:w="191"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2048" w:type="dxa"/>
            <w:tcBorders/>
            <w:shd w:fill="FFFFFF" w:val="clear"/>
            <w:vAlign w:val="center"/>
          </w:tcPr>
          <w:p>
            <w:pPr>
              <w:pStyle w:val="TableContents"/>
              <w:bidi w:val="0"/>
              <w:spacing w:before="0" w:after="283"/>
              <w:jc w:val="right"/>
              <w:rPr/>
            </w:pPr>
            <w:bookmarkStart w:id="666" w:name="xdx_90C_eus-gaap--ShareBasedCompensation"/>
            <w:bookmarkEnd w:id="666"/>
            <w:r>
              <w:rPr/>
              <w:t>88.00 - $</w:t>
            </w:r>
            <w:bookmarkStart w:id="667" w:name="xdx_902_eus-gaap--ShareBasedCompensation"/>
            <w:bookmarkEnd w:id="667"/>
            <w:r>
              <w:rPr/>
              <w:t>120.00</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668" w:name="xdx_98D_eus-gaap--ShareBasedCompensation"/>
            <w:bookmarkEnd w:id="668"/>
          </w:p>
        </w:tc>
        <w:tc>
          <w:tcPr>
            <w:tcW w:w="1094" w:type="dxa"/>
            <w:tcBorders/>
            <w:shd w:fill="FFFFFF" w:val="clear"/>
            <w:vAlign w:val="center"/>
          </w:tcPr>
          <w:p>
            <w:pPr>
              <w:pStyle w:val="TableContents"/>
              <w:bidi w:val="0"/>
              <w:spacing w:before="0" w:after="283"/>
              <w:jc w:val="right"/>
              <w:rPr/>
            </w:pPr>
            <w:r>
              <w:rPr/>
              <w:t>11,803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bookmarkStart w:id="669" w:name="xdx_981_eus-gaap--SharebasedCompensation"/>
            <w:bookmarkEnd w:id="669"/>
          </w:p>
        </w:tc>
        <w:tc>
          <w:tcPr>
            <w:tcW w:w="776" w:type="dxa"/>
            <w:tcBorders/>
            <w:shd w:fill="FFFFFF" w:val="clear"/>
            <w:vAlign w:val="center"/>
          </w:tcPr>
          <w:p>
            <w:pPr>
              <w:pStyle w:val="TableContents"/>
              <w:bidi w:val="0"/>
              <w:spacing w:before="0" w:after="283"/>
              <w:jc w:val="right"/>
              <w:rPr/>
            </w:pPr>
            <w:r>
              <w:rPr/>
              <w:t>85.88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bookmarkStart w:id="670" w:name="xdx_907_eus-gaap--SharebasedCompensation"/>
            <w:bookmarkEnd w:id="670"/>
            <w:r>
              <w:rPr/>
              <w:t>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bookmarkStart w:id="671" w:name="xdx_987_eus-gaap--ShareBasedCompensation"/>
            <w:bookmarkEnd w:id="671"/>
          </w:p>
        </w:tc>
        <w:tc>
          <w:tcPr>
            <w:tcW w:w="1025" w:type="dxa"/>
            <w:tcBorders/>
            <w:shd w:fill="FFFFFF" w:val="clear"/>
            <w:vAlign w:val="center"/>
          </w:tcPr>
          <w:p>
            <w:pPr>
              <w:pStyle w:val="TableContents"/>
              <w:bidi w:val="0"/>
              <w:spacing w:before="0" w:after="283"/>
              <w:jc w:val="right"/>
              <w:rPr/>
            </w:pPr>
            <w:r>
              <w:rPr/>
              <w:t>11,803</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bookmarkStart w:id="672" w:name="xdx_985_eus-gaap--SharebasedCompensation"/>
            <w:bookmarkEnd w:id="672"/>
          </w:p>
        </w:tc>
        <w:tc>
          <w:tcPr>
            <w:tcW w:w="827" w:type="dxa"/>
            <w:tcBorders/>
            <w:shd w:fill="FFFFFF" w:val="clear"/>
            <w:vAlign w:val="center"/>
          </w:tcPr>
          <w:p>
            <w:pPr>
              <w:pStyle w:val="TableContents"/>
              <w:bidi w:val="0"/>
              <w:spacing w:before="0" w:after="283"/>
              <w:jc w:val="right"/>
              <w:rPr/>
            </w:pPr>
            <w:r>
              <w:rPr/>
              <w:t>85.88</w:t>
            </w:r>
          </w:p>
        </w:tc>
        <w:tc>
          <w:tcPr>
            <w:tcW w:w="75" w:type="dxa"/>
            <w:tcBorders/>
            <w:shd w:fill="FFFFFF" w:val="clear"/>
            <w:vAlign w:val="center"/>
          </w:tcPr>
          <w:p>
            <w:pPr>
              <w:pStyle w:val="TableContents"/>
              <w:bidi w:val="0"/>
              <w:spacing w:before="0" w:after="283"/>
              <w:jc w:val="left"/>
              <w:rPr/>
            </w:pPr>
            <w:r>
              <w:rPr/>
              <w:t> </w:t>
            </w:r>
          </w:p>
        </w:tc>
      </w:tr>
      <w:tr>
        <w:trPr/>
        <w:tc>
          <w:tcPr>
            <w:tcW w:w="191"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2048" w:type="dxa"/>
            <w:tcBorders/>
            <w:shd w:fill="CCEEFF" w:val="clear"/>
            <w:vAlign w:val="center"/>
          </w:tcPr>
          <w:p>
            <w:pPr>
              <w:pStyle w:val="TableContents"/>
              <w:bidi w:val="0"/>
              <w:spacing w:before="0" w:after="283"/>
              <w:jc w:val="right"/>
              <w:rPr/>
            </w:pPr>
            <w:bookmarkStart w:id="673" w:name="xdx_90D_eus-gaap--ShareBasedCompensation"/>
            <w:bookmarkEnd w:id="673"/>
            <w:r>
              <w:rPr/>
              <w:t>122.00 - $</w:t>
            </w:r>
            <w:bookmarkStart w:id="674" w:name="xdx_90B_eus-gaap--ShareBasedCompensation"/>
            <w:bookmarkEnd w:id="674"/>
            <w:r>
              <w:rPr/>
              <w:t>183.00</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75" w:name="xdx_98C_eus-gaap--ShareBasedCompensation"/>
            <w:bookmarkEnd w:id="675"/>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4,168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76" w:name="xdx_98A_eus-gaap--SharebasedCompensation"/>
            <w:bookmarkEnd w:id="676"/>
          </w:p>
        </w:tc>
        <w:tc>
          <w:tcPr>
            <w:tcW w:w="776" w:type="dxa"/>
            <w:tcBorders>
              <w:bottom w:val="single" w:sz="12" w:space="0" w:color="000000"/>
            </w:tcBorders>
            <w:shd w:fill="CCEEFF" w:val="clear"/>
            <w:tcMar>
              <w:bottom w:w="28" w:type="dxa"/>
            </w:tcMar>
            <w:vAlign w:val="center"/>
          </w:tcPr>
          <w:p>
            <w:pPr>
              <w:pStyle w:val="TableContents"/>
              <w:bidi w:val="0"/>
              <w:spacing w:before="0" w:after="283"/>
              <w:jc w:val="right"/>
              <w:rPr/>
            </w:pPr>
            <w:r>
              <w:rPr/>
              <w:t>129.52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12" w:space="0" w:color="000000"/>
            </w:tcBorders>
            <w:shd w:fill="CCEEFF" w:val="clear"/>
            <w:tcMar>
              <w:bottom w:w="28" w:type="dxa"/>
            </w:tcMar>
            <w:vAlign w:val="center"/>
          </w:tcPr>
          <w:p>
            <w:pPr>
              <w:pStyle w:val="TableContents"/>
              <w:bidi w:val="0"/>
              <w:spacing w:before="0" w:after="283"/>
              <w:jc w:val="right"/>
              <w:rPr/>
            </w:pPr>
            <w:bookmarkStart w:id="677" w:name="xdx_901_eus-gaap--SharebasedCompensation"/>
            <w:bookmarkEnd w:id="677"/>
            <w:r>
              <w:rPr/>
              <w:t>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78" w:name="xdx_983_eus-gaap--ShareBasedCompensation"/>
            <w:bookmarkEnd w:id="678"/>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pPr>
            <w:r>
              <w:rPr/>
              <w:t>4,168</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79" w:name="xdx_982_eus-gaap--SharebasedCompensation"/>
            <w:bookmarkEnd w:id="679"/>
          </w:p>
        </w:tc>
        <w:tc>
          <w:tcPr>
            <w:tcW w:w="827" w:type="dxa"/>
            <w:tcBorders>
              <w:bottom w:val="single" w:sz="12" w:space="0" w:color="000000"/>
            </w:tcBorders>
            <w:shd w:fill="CCEEFF" w:val="clear"/>
            <w:tcMar>
              <w:bottom w:w="28" w:type="dxa"/>
            </w:tcMar>
            <w:vAlign w:val="center"/>
          </w:tcPr>
          <w:p>
            <w:pPr>
              <w:pStyle w:val="TableContents"/>
              <w:bidi w:val="0"/>
              <w:spacing w:before="0" w:after="283"/>
              <w:jc w:val="right"/>
              <w:rPr/>
            </w:pPr>
            <w:r>
              <w:rPr/>
              <w:t>129.52</w:t>
            </w:r>
          </w:p>
        </w:tc>
        <w:tc>
          <w:tcPr>
            <w:tcW w:w="75" w:type="dxa"/>
            <w:tcBorders/>
            <w:shd w:fill="CCEEFF" w:val="clear"/>
            <w:vAlign w:val="center"/>
          </w:tcPr>
          <w:p>
            <w:pPr>
              <w:pStyle w:val="TableContents"/>
              <w:bidi w:val="0"/>
              <w:spacing w:before="0" w:after="283"/>
              <w:jc w:val="left"/>
              <w:rPr/>
            </w:pPr>
            <w:r>
              <w:rPr/>
              <w:t> </w:t>
            </w:r>
          </w:p>
        </w:tc>
      </w:tr>
      <w:tr>
        <w:trPr/>
        <w:tc>
          <w:tcPr>
            <w:tcW w:w="191"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80" w:name="xdx_987_eus-gaap--ShareBasedCompensation"/>
            <w:bookmarkEnd w:id="680"/>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pPr>
            <w:r>
              <w:rPr/>
              <w:t>145,012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81" w:name="xdx_985_eus-gaap--SharebasedCompensation"/>
            <w:bookmarkEnd w:id="681"/>
          </w:p>
        </w:tc>
        <w:tc>
          <w:tcPr>
            <w:tcW w:w="776" w:type="dxa"/>
            <w:tcBorders>
              <w:bottom w:val="double" w:sz="6" w:space="0" w:color="000000"/>
            </w:tcBorders>
            <w:shd w:fill="FFFFFF" w:val="clear"/>
            <w:tcMar>
              <w:bottom w:w="28" w:type="dxa"/>
            </w:tcMar>
            <w:vAlign w:val="center"/>
          </w:tcPr>
          <w:p>
            <w:pPr>
              <w:pStyle w:val="TableContents"/>
              <w:bidi w:val="0"/>
              <w:spacing w:before="0" w:after="283"/>
              <w:jc w:val="right"/>
              <w:rPr/>
            </w:pPr>
            <w:r>
              <w:rPr/>
              <w:t>45.09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682" w:name="xdx_905_eus-gaap--SharebasedCompensation"/>
            <w:bookmarkEnd w:id="682"/>
            <w:r>
              <w:rPr/>
              <w:t>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83" w:name="xdx_983_eus-gaap--ShareBasedCompensation"/>
            <w:bookmarkEnd w:id="683"/>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pPr>
            <w:r>
              <w:rPr/>
              <w:t>92,917</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84" w:name="xdx_98C_eus-gaap--SharebasedCompensation"/>
            <w:bookmarkEnd w:id="684"/>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pPr>
            <w:r>
              <w:rPr/>
              <w:t>51.75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85" w:name="xdx_8A3_zOB5u3QoRyh1"/>
      <w:bookmarkEnd w:id="68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6" w:name="xdx_805_ecustom--StockWarrantsTextBlock_"/>
      <w:bookmarkEnd w:id="686"/>
      <w:r>
        <w:rPr>
          <w:rFonts w:ascii="Times New Roman;Times;Serif" w:hAnsi="Times New Roman;Times;Serif"/>
          <w:b/>
          <w:i w:val="false"/>
          <w:caps w:val="false"/>
          <w:smallCaps w:val="false"/>
          <w:sz w:val="20"/>
        </w:rPr>
        <w:t xml:space="preserve">11. </w:t>
      </w:r>
      <w:bookmarkStart w:id="687" w:name="xdx_824_zQFHyr8XXhTe"/>
      <w:bookmarkEnd w:id="687"/>
      <w:r>
        <w:rPr>
          <w:rFonts w:ascii="Times New Roman;Times;Serif" w:hAnsi="Times New Roman;Times;Serif"/>
          <w:b/>
          <w:i w:val="false"/>
          <w:caps w:val="false"/>
          <w:smallCaps w:val="false"/>
          <w:sz w:val="20"/>
        </w:rPr>
        <w:t>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8" w:name="xdx_897_ecustom--ScheduleOfNonOptionEqui"/>
      <w:bookmarkEnd w:id="688"/>
      <w:r>
        <w:rPr>
          <w:rFonts w:ascii="Times New Roman;Times;Serif" w:hAnsi="Times New Roman;Times;Serif"/>
          <w:b w:val="false"/>
          <w:i w:val="false"/>
          <w:caps w:val="false"/>
          <w:smallCaps w:val="false"/>
          <w:sz w:val="20"/>
        </w:rPr>
        <w:t xml:space="preserve">As of December 31, 2023, the Company has issued warrants to purchase an aggregate of </w:t>
      </w:r>
      <w:bookmarkStart w:id="689" w:name="xdx_907_eus-gaap--ShareBasedCompensation"/>
      <w:bookmarkEnd w:id="689"/>
      <w:r>
        <w:rPr>
          <w:rFonts w:ascii="Times New Roman;Times;Serif" w:hAnsi="Times New Roman;Times;Serif"/>
          <w:b w:val="false"/>
          <w:i w:val="false"/>
          <w:caps w:val="false"/>
          <w:smallCaps w:val="false"/>
          <w:sz w:val="20"/>
        </w:rPr>
        <w:t>313,346 shares of common stock. The Company’s warrant activity during the years ended December 31, 2023, and 2022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0" w:name="xdx_8B8_zHucZ7BM4tS2"/>
      <w:bookmarkEnd w:id="690"/>
      <w:r>
        <w:rPr>
          <w:rFonts w:ascii="Times New Roman;Times;Serif" w:hAnsi="Times New Roman;Times;Serif"/>
          <w:b w:val="false"/>
          <w:i w:val="false"/>
          <w:caps w:val="false"/>
          <w:smallCaps w:val="false"/>
          <w:sz w:val="20"/>
        </w:rPr>
        <w:t>Schedule of Warrant Activity</w:t>
      </w:r>
    </w:p>
    <w:tbl>
      <w:tblPr>
        <w:tblW w:w="10205" w:type="dxa"/>
        <w:jc w:val="left"/>
        <w:tblInd w:w="0" w:type="dxa"/>
        <w:tblLayout w:type="fixed"/>
        <w:tblCellMar>
          <w:top w:w="0" w:type="dxa"/>
          <w:left w:w="0" w:type="dxa"/>
          <w:bottom w:w="0" w:type="dxa"/>
          <w:right w:w="0" w:type="dxa"/>
        </w:tblCellMar>
      </w:tblPr>
      <w:tblGrid>
        <w:gridCol w:w="2105"/>
        <w:gridCol w:w="60"/>
        <w:gridCol w:w="60"/>
        <w:gridCol w:w="800"/>
        <w:gridCol w:w="95"/>
        <w:gridCol w:w="60"/>
        <w:gridCol w:w="271"/>
        <w:gridCol w:w="1086"/>
        <w:gridCol w:w="60"/>
        <w:gridCol w:w="60"/>
        <w:gridCol w:w="433"/>
        <w:gridCol w:w="3181"/>
        <w:gridCol w:w="60"/>
        <w:gridCol w:w="60"/>
        <w:gridCol w:w="1034"/>
        <w:gridCol w:w="702"/>
        <w:gridCol w:w="78"/>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 Remaining Contractual Terms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 Intrinsic Value</w:t>
            </w:r>
          </w:p>
        </w:tc>
        <w:tc>
          <w:tcPr>
            <w:tcW w:w="78"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6"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Outstanding at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91" w:name="xdx_985_eus-gaap--ShareBasedCompensation"/>
            <w:bookmarkEnd w:id="691"/>
          </w:p>
        </w:tc>
        <w:tc>
          <w:tcPr>
            <w:tcW w:w="800" w:type="dxa"/>
            <w:tcBorders/>
            <w:shd w:fill="CCEEFF" w:val="clear"/>
            <w:vAlign w:val="center"/>
          </w:tcPr>
          <w:p>
            <w:pPr>
              <w:pStyle w:val="TableContents"/>
              <w:bidi w:val="0"/>
              <w:spacing w:before="0" w:after="283"/>
              <w:jc w:val="right"/>
              <w:rPr/>
            </w:pPr>
            <w:r>
              <w:rPr/>
              <w:t>90,770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bookmarkStart w:id="692" w:name="xdx_98B_ecustom--ShareBasedCompensationA"/>
            <w:bookmarkEnd w:id="692"/>
          </w:p>
        </w:tc>
        <w:tc>
          <w:tcPr>
            <w:tcW w:w="1086" w:type="dxa"/>
            <w:tcBorders/>
            <w:shd w:fill="CCEEFF" w:val="clear"/>
            <w:vAlign w:val="center"/>
          </w:tcPr>
          <w:p>
            <w:pPr>
              <w:pStyle w:val="TableContents"/>
              <w:bidi w:val="0"/>
              <w:spacing w:before="0" w:after="283"/>
              <w:jc w:val="right"/>
              <w:rPr/>
            </w:pPr>
            <w:r>
              <w:rPr/>
              <w:t>51.00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3181" w:type="dxa"/>
            <w:tcBorders/>
            <w:shd w:fill="CCEEFF" w:val="clear"/>
            <w:vAlign w:val="center"/>
          </w:tcPr>
          <w:p>
            <w:pPr>
              <w:pStyle w:val="TableContents"/>
              <w:bidi w:val="0"/>
              <w:spacing w:before="0" w:after="283"/>
              <w:jc w:val="right"/>
              <w:rPr/>
            </w:pPr>
            <w:bookmarkStart w:id="693" w:name="xdx_906_ecustom--ShareBasedCompensationA"/>
            <w:bookmarkEnd w:id="693"/>
            <w:r>
              <w:rPr/>
              <w:t>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w:t>
            </w:r>
            <w:bookmarkStart w:id="694" w:name="xdx_98D_ecustom--ShareBasedCompensationA"/>
            <w:bookmarkEnd w:id="694"/>
          </w:p>
        </w:tc>
        <w:tc>
          <w:tcPr>
            <w:tcW w:w="702"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95" w:name="xdx_985_eus-gaap--ShareBasedCompensation"/>
            <w:bookmarkEnd w:id="695"/>
          </w:p>
        </w:tc>
        <w:tc>
          <w:tcPr>
            <w:tcW w:w="800" w:type="dxa"/>
            <w:tcBorders/>
            <w:shd w:fill="FFFFFF" w:val="clear"/>
            <w:vAlign w:val="center"/>
          </w:tcPr>
          <w:p>
            <w:pPr>
              <w:pStyle w:val="TableContents"/>
              <w:bidi w:val="0"/>
              <w:spacing w:before="0" w:after="283"/>
              <w:jc w:val="right"/>
              <w:rPr/>
            </w:pPr>
            <w:r>
              <w:rPr/>
              <w:t>185,946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bookmarkStart w:id="696" w:name="xdx_98B_ecustom--ShareBasedCompensationA"/>
            <w:bookmarkEnd w:id="696"/>
          </w:p>
        </w:tc>
        <w:tc>
          <w:tcPr>
            <w:tcW w:w="1086" w:type="dxa"/>
            <w:tcBorders/>
            <w:shd w:fill="FFFFFF" w:val="clear"/>
            <w:vAlign w:val="center"/>
          </w:tcPr>
          <w:p>
            <w:pPr>
              <w:pStyle w:val="TableContents"/>
              <w:bidi w:val="0"/>
              <w:spacing w:before="0" w:after="283"/>
              <w:jc w:val="right"/>
              <w:rPr/>
            </w:pPr>
            <w:r>
              <w:rPr/>
              <w:t>14.39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3181" w:type="dxa"/>
            <w:tcBorders/>
            <w:shd w:fill="FFFFFF" w:val="clear"/>
            <w:vAlign w:val="center"/>
          </w:tcPr>
          <w:p>
            <w:pPr>
              <w:pStyle w:val="TableContents"/>
              <w:bidi w:val="0"/>
              <w:spacing w:before="0" w:after="283"/>
              <w:jc w:val="right"/>
              <w:rPr/>
            </w:pPr>
            <w:bookmarkStart w:id="697" w:name="xdx_908_ecustom--ShareBasedCompensationA"/>
            <w:bookmarkEnd w:id="697"/>
            <w:r>
              <w:rPr/>
              <w:t>4.70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98" w:name="xdx_988_eus-gaap--ShareBasedCompensation"/>
            <w:bookmarkEnd w:id="698"/>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bookmarkStart w:id="699" w:name="xdx_98D_ecustom--ShareBasedCompensationA"/>
            <w:bookmarkEnd w:id="699"/>
          </w:p>
        </w:tc>
        <w:tc>
          <w:tcPr>
            <w:tcW w:w="108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31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Forfeited or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700" w:name="xdx_98C_eus-gaap--ShareBasedCompensation"/>
            <w:bookmarkEnd w:id="700"/>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(40,770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701" w:name="xdx_986_ecustom--ShareBasedCompensationA"/>
            <w:bookmarkEnd w:id="701"/>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pPr>
            <w:r>
              <w:rPr/>
              <w:t>80.97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18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Outstanding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02" w:name="xdx_987_eus-gaap--ShareBasedCompensation"/>
            <w:bookmarkEnd w:id="702"/>
          </w:p>
        </w:tc>
        <w:tc>
          <w:tcPr>
            <w:tcW w:w="800" w:type="dxa"/>
            <w:tcBorders/>
            <w:shd w:fill="CCEEFF" w:val="clear"/>
            <w:vAlign w:val="center"/>
          </w:tcPr>
          <w:p>
            <w:pPr>
              <w:pStyle w:val="TableContents"/>
              <w:bidi w:val="0"/>
              <w:spacing w:before="0" w:after="283"/>
              <w:jc w:val="right"/>
              <w:rPr/>
            </w:pPr>
            <w:r>
              <w:rPr/>
              <w:t>235,946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bookmarkStart w:id="703" w:name="xdx_981_ecustom--ShareBasedCompensationA"/>
            <w:bookmarkEnd w:id="703"/>
          </w:p>
        </w:tc>
        <w:tc>
          <w:tcPr>
            <w:tcW w:w="1086" w:type="dxa"/>
            <w:tcBorders/>
            <w:shd w:fill="CCEEFF" w:val="clear"/>
            <w:vAlign w:val="center"/>
          </w:tcPr>
          <w:p>
            <w:pPr>
              <w:pStyle w:val="TableContents"/>
              <w:bidi w:val="0"/>
              <w:spacing w:before="0" w:after="283"/>
              <w:jc w:val="right"/>
              <w:rPr/>
            </w:pPr>
            <w:r>
              <w:rPr/>
              <w:t>16.99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3181" w:type="dxa"/>
            <w:tcBorders/>
            <w:shd w:fill="CCEEFF" w:val="clear"/>
            <w:vAlign w:val="center"/>
          </w:tcPr>
          <w:p>
            <w:pPr>
              <w:pStyle w:val="TableContents"/>
              <w:bidi w:val="0"/>
              <w:spacing w:before="0" w:after="283"/>
              <w:jc w:val="right"/>
              <w:rPr/>
            </w:pPr>
            <w:bookmarkStart w:id="704" w:name="xdx_907_ecustom--ShareBasedCompensationA"/>
            <w:bookmarkEnd w:id="704"/>
            <w:r>
              <w:rPr/>
              <w:t>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w:t>
            </w:r>
            <w:bookmarkStart w:id="705" w:name="xdx_984_ecustom--ShareBasedCompensationA"/>
            <w:bookmarkEnd w:id="705"/>
          </w:p>
        </w:tc>
        <w:tc>
          <w:tcPr>
            <w:tcW w:w="702"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06" w:name="xdx_987_eus-gaap--ShareBasedCompensation"/>
            <w:bookmarkEnd w:id="706"/>
          </w:p>
        </w:tc>
        <w:tc>
          <w:tcPr>
            <w:tcW w:w="800" w:type="dxa"/>
            <w:tcBorders/>
            <w:shd w:fill="FFFFFF" w:val="clear"/>
            <w:vAlign w:val="center"/>
          </w:tcPr>
          <w:p>
            <w:pPr>
              <w:pStyle w:val="TableContents"/>
              <w:bidi w:val="0"/>
              <w:spacing w:before="0" w:after="283"/>
              <w:jc w:val="right"/>
              <w:rPr/>
            </w:pPr>
            <w:r>
              <w:rPr/>
              <w:t>313,346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bookmarkStart w:id="707" w:name="xdx_982_ecustom--ShareBasedCompensationA"/>
            <w:bookmarkEnd w:id="707"/>
          </w:p>
        </w:tc>
        <w:tc>
          <w:tcPr>
            <w:tcW w:w="1086" w:type="dxa"/>
            <w:tcBorders/>
            <w:shd w:fill="FFFFFF" w:val="clear"/>
            <w:vAlign w:val="center"/>
          </w:tcPr>
          <w:p>
            <w:pPr>
              <w:pStyle w:val="TableContents"/>
              <w:bidi w:val="0"/>
              <w:spacing w:before="0" w:after="283"/>
              <w:jc w:val="right"/>
              <w:rPr/>
            </w:pPr>
            <w:r>
              <w:rPr/>
              <w:t>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3181" w:type="dxa"/>
            <w:tcBorders/>
            <w:shd w:fill="FFFFFF" w:val="clear"/>
            <w:vAlign w:val="center"/>
          </w:tcPr>
          <w:p>
            <w:pPr>
              <w:pStyle w:val="TableContents"/>
              <w:bidi w:val="0"/>
              <w:spacing w:before="0" w:after="283"/>
              <w:jc w:val="right"/>
              <w:rPr/>
            </w:pPr>
            <w:bookmarkStart w:id="708" w:name="xdx_906_ecustom--ShareBasedCompensationA"/>
            <w:bookmarkEnd w:id="708"/>
            <w:r>
              <w:rPr/>
              <w:t>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09" w:name="xdx_98A_eus-gaap--ShareBasedCompensation"/>
            <w:bookmarkEnd w:id="709"/>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bookmarkStart w:id="710" w:name="xdx_98F_ecustom--ShareBasedCompensationA"/>
            <w:bookmarkEnd w:id="710"/>
          </w:p>
        </w:tc>
        <w:tc>
          <w:tcPr>
            <w:tcW w:w="108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31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Forfeited or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711" w:name="xdx_98C_eus-gaap--ShareBasedCompensation"/>
            <w:bookmarkEnd w:id="711"/>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712" w:name="xdx_983_ecustom--ShareBasedCompensationA"/>
            <w:bookmarkEnd w:id="712"/>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18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713" w:name="xdx_98F_eus-gaap--ShareBasedCompensation"/>
            <w:bookmarkEnd w:id="713"/>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549,292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714" w:name="xdx_981_ecustom--ShareBasedCompensationA"/>
            <w:bookmarkEnd w:id="714"/>
          </w:p>
        </w:tc>
        <w:tc>
          <w:tcPr>
            <w:tcW w:w="1086" w:type="dxa"/>
            <w:tcBorders>
              <w:bottom w:val="single" w:sz="12" w:space="0" w:color="000000"/>
            </w:tcBorders>
            <w:shd w:fill="CCEEFF" w:val="clear"/>
            <w:tcMar>
              <w:bottom w:w="28" w:type="dxa"/>
            </w:tcMar>
            <w:vAlign w:val="center"/>
          </w:tcPr>
          <w:p>
            <w:pPr>
              <w:pStyle w:val="TableContents"/>
              <w:bidi w:val="0"/>
              <w:spacing w:before="0" w:after="283"/>
              <w:jc w:val="right"/>
              <w:rPr/>
            </w:pPr>
            <w:r>
              <w:rPr/>
              <w:t>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181" w:type="dxa"/>
            <w:tcBorders>
              <w:bottom w:val="single" w:sz="12" w:space="0" w:color="000000"/>
            </w:tcBorders>
            <w:shd w:fill="CCEEFF" w:val="clear"/>
            <w:tcMar>
              <w:bottom w:w="28" w:type="dxa"/>
            </w:tcMar>
            <w:vAlign w:val="center"/>
          </w:tcPr>
          <w:p>
            <w:pPr>
              <w:pStyle w:val="TableContents"/>
              <w:bidi w:val="0"/>
              <w:spacing w:before="0" w:after="283"/>
              <w:jc w:val="right"/>
              <w:rPr/>
            </w:pPr>
            <w:bookmarkStart w:id="715" w:name="xdx_90F_ecustom--ShareBasedCompensationA"/>
            <w:bookmarkEnd w:id="715"/>
            <w:r>
              <w:rPr/>
              <w:t>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716" w:name="xdx_98F_ecustom--ShareBasedCompensationA"/>
            <w:bookmarkEnd w:id="716"/>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Exercisable at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17" w:name="xdx_982_ecustom--ShareBasedCompensationA"/>
            <w:bookmarkEnd w:id="717"/>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549,292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18" w:name="xdx_98B_ecustom--ShareBasedCompensationA"/>
            <w:bookmarkEnd w:id="718"/>
          </w:p>
        </w:tc>
        <w:tc>
          <w:tcPr>
            <w:tcW w:w="1086" w:type="dxa"/>
            <w:tcBorders>
              <w:bottom w:val="double" w:sz="6" w:space="0" w:color="000000"/>
            </w:tcBorders>
            <w:shd w:fill="FFFFFF" w:val="clear"/>
            <w:tcMar>
              <w:bottom w:w="28" w:type="dxa"/>
            </w:tcMar>
            <w:vAlign w:val="center"/>
          </w:tcPr>
          <w:p>
            <w:pPr>
              <w:pStyle w:val="TableContents"/>
              <w:bidi w:val="0"/>
              <w:spacing w:before="0" w:after="283"/>
              <w:jc w:val="right"/>
              <w:rPr/>
            </w:pPr>
            <w:r>
              <w:rPr/>
              <w:t>8.77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181"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19" w:name="xdx_902_ecustom--ShareBasedCompensationA"/>
            <w:bookmarkEnd w:id="719"/>
            <w:r>
              <w:rPr/>
              <w:t>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20" w:name="xdx_98B_ecustom--ShareBasedCompensationA"/>
            <w:bookmarkEnd w:id="720"/>
          </w:p>
        </w:tc>
        <w:tc>
          <w:tcPr>
            <w:tcW w:w="70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21" w:name="xdx_8A7_zuvC6NCIKMP3"/>
      <w:bookmarkEnd w:id="72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25, 2023, the Company entered into a Securities Purchase Agreement with D&amp;D Source of Life Holding Ltd., as the lead investor, and certain of Reed’s affiliates pursuant to which the investors agreed to purchase an aggregate of </w:t>
      </w:r>
      <w:bookmarkStart w:id="722" w:name="xdx_90A_eus-gaap--ConversionOfStockShare"/>
      <w:bookmarkEnd w:id="722"/>
      <w:r>
        <w:rPr>
          <w:rFonts w:ascii="Times New Roman;Times;Serif" w:hAnsi="Times New Roman;Times;Serif"/>
          <w:b w:val="false"/>
          <w:i w:val="false"/>
          <w:caps w:val="false"/>
          <w:smallCaps w:val="false"/>
          <w:sz w:val="20"/>
        </w:rPr>
        <w:t xml:space="preserve">1,566,732 shares of Reed’s common stock and warrants to purchase </w:t>
      </w:r>
      <w:bookmarkStart w:id="723" w:name="xdx_90B_eus-gaap--ShareBasedCompensation"/>
      <w:bookmarkEnd w:id="723"/>
      <w:r>
        <w:rPr>
          <w:rFonts w:ascii="Times New Roman;Times;Serif" w:hAnsi="Times New Roman;Times;Serif"/>
          <w:b w:val="false"/>
          <w:i w:val="false"/>
          <w:caps w:val="false"/>
          <w:smallCaps w:val="false"/>
          <w:sz w:val="20"/>
        </w:rPr>
        <w:t>313,346 shares of Common Stock. The purchase price per share of Common Stock and associated warrant was $</w:t>
      </w:r>
      <w:bookmarkStart w:id="724" w:name="xdx_90A_eus-gaap--SharePrice_iI_c2023052"/>
      <w:bookmarkEnd w:id="724"/>
      <w:r>
        <w:rPr>
          <w:rFonts w:ascii="Times New Roman;Times;Serif" w:hAnsi="Times New Roman;Times;Serif"/>
          <w:b w:val="false"/>
          <w:i w:val="false"/>
          <w:caps w:val="false"/>
          <w:smallCaps w:val="false"/>
          <w:sz w:val="20"/>
        </w:rPr>
        <w:t>2.585. The warrants are exercisable for a term of three years at a per share exercise price of $</w:t>
      </w:r>
      <w:bookmarkStart w:id="725" w:name="xdx_90A_eus-gaap--ClassOfWarrantOrRightE"/>
      <w:bookmarkEnd w:id="725"/>
      <w:r>
        <w:rPr>
          <w:rFonts w:ascii="Times New Roman;Times;Serif" w:hAnsi="Times New Roman;Times;Serif"/>
          <w:b w:val="false"/>
          <w:i w:val="false"/>
          <w:caps w:val="false"/>
          <w:smallCaps w:val="false"/>
          <w:sz w:val="20"/>
        </w:rPr>
        <w:t>2.50.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10, 2022, the Company entered into a securities purchase agreement with certain institutional and accredited investors pursuant to which the investors agreed to purchase </w:t>
      </w:r>
      <w:bookmarkStart w:id="726" w:name="xdx_902_eus-gaap--ConversionOfStockShare"/>
      <w:bookmarkEnd w:id="726"/>
      <w:r>
        <w:rPr>
          <w:rFonts w:ascii="Times New Roman;Times;Serif" w:hAnsi="Times New Roman;Times;Serif"/>
          <w:b w:val="false"/>
          <w:i w:val="false"/>
          <w:caps w:val="false"/>
          <w:smallCaps w:val="false"/>
          <w:sz w:val="20"/>
        </w:rPr>
        <w:t xml:space="preserve">371,892 shares of the Company’s common stock and warrants to purchase </w:t>
      </w:r>
      <w:bookmarkStart w:id="727" w:name="xdx_902_eus-gaap--ShareBasedCompensation"/>
      <w:bookmarkEnd w:id="727"/>
      <w:r>
        <w:rPr>
          <w:rFonts w:ascii="Times New Roman;Times;Serif" w:hAnsi="Times New Roman;Times;Serif"/>
          <w:b w:val="false"/>
          <w:i w:val="false"/>
          <w:caps w:val="false"/>
          <w:smallCaps w:val="false"/>
          <w:sz w:val="20"/>
        </w:rPr>
        <w:t>185,946 shares of common stock in a private placement. The warrants have an exercise price of $</w:t>
      </w:r>
      <w:bookmarkStart w:id="728" w:name="xdx_90C_eus-gaap--ClassOfWarrantOrRightE"/>
      <w:bookmarkEnd w:id="728"/>
      <w:r>
        <w:rPr>
          <w:rFonts w:ascii="Times New Roman;Times;Serif" w:hAnsi="Times New Roman;Times;Serif"/>
          <w:b w:val="false"/>
          <w:i w:val="false"/>
          <w:caps w:val="false"/>
          <w:smallCaps w:val="false"/>
          <w:sz w:val="20"/>
        </w:rPr>
        <w:t xml:space="preserve">14.39 per share for a period of </w:t>
      </w:r>
      <w:bookmarkStart w:id="729" w:name="xdx_90E_eus-gaap--WarrantsAndRightsOutst"/>
      <w:bookmarkEnd w:id="729"/>
      <w:r>
        <w:rPr>
          <w:rFonts w:ascii="Times New Roman;Times;Serif" w:hAnsi="Times New Roman;Times;Serif"/>
          <w:b w:val="false"/>
          <w:i w:val="false"/>
          <w:caps w:val="false"/>
          <w:smallCaps w:val="false"/>
          <w:sz w:val="20"/>
        </w:rPr>
        <w:t>five years commencing nine months from the closing date of March 11, 2022 (see Note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outstanding and exercisable warrants have no intrinsic value. The aggregate intrinsic value was calculated as the difference between the closing market price as of December 31, 2023, which was $</w:t>
      </w:r>
      <w:bookmarkStart w:id="730" w:name="xdx_907_eus-gaap--ClassOfWarrantOrRightE"/>
      <w:bookmarkEnd w:id="730"/>
      <w:r>
        <w:rPr>
          <w:rFonts w:ascii="Times New Roman;Times;Serif" w:hAnsi="Times New Roman;Times;Serif"/>
          <w:b w:val="false"/>
          <w:i w:val="false"/>
          <w:caps w:val="false"/>
          <w:smallCaps w:val="false"/>
          <w:sz w:val="20"/>
        </w:rPr>
        <w:t>1.60, and the exercise price of the Company’s warrants to purchase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31" w:name="xdx_899_ecustom--ScheduleOfShareBasedCom"/>
      <w:bookmarkEnd w:id="731"/>
      <w:r>
        <w:rPr>
          <w:rFonts w:ascii="Times New Roman;Times;Serif" w:hAnsi="Times New Roman;Times;Serif"/>
          <w:b w:val="false"/>
          <w:i w:val="false"/>
          <w:caps w:val="false"/>
          <w:smallCaps w:val="false"/>
          <w:sz w:val="20"/>
        </w:rPr>
        <w:t>Additional information regarding warrants outstanding and exercisable as of December 31, 2023,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32" w:name="xdx_8B2_zV09vTXrwntl"/>
      <w:bookmarkEnd w:id="732"/>
      <w:r>
        <w:rPr>
          <w:rFonts w:ascii="Times New Roman;Times;Serif" w:hAnsi="Times New Roman;Times;Serif"/>
          <w:b w:val="false"/>
          <w:i w:val="false"/>
          <w:caps w:val="false"/>
          <w:smallCaps w:val="false"/>
          <w:sz w:val="20"/>
        </w:rPr>
        <w:t>Schedule of Warrants Outstanding and Exercisable</w:t>
      </w:r>
    </w:p>
    <w:tbl>
      <w:tblPr>
        <w:tblW w:w="8391" w:type="dxa"/>
        <w:jc w:val="left"/>
        <w:tblInd w:w="0" w:type="dxa"/>
        <w:tblLayout w:type="fixed"/>
        <w:tblCellMar>
          <w:top w:w="0" w:type="dxa"/>
          <w:left w:w="0" w:type="dxa"/>
          <w:bottom w:w="0" w:type="dxa"/>
          <w:right w:w="0" w:type="dxa"/>
        </w:tblCellMar>
      </w:tblPr>
      <w:tblGrid>
        <w:gridCol w:w="220"/>
        <w:gridCol w:w="85"/>
        <w:gridCol w:w="2009"/>
        <w:gridCol w:w="60"/>
        <w:gridCol w:w="81"/>
        <w:gridCol w:w="1094"/>
        <w:gridCol w:w="64"/>
        <w:gridCol w:w="64"/>
        <w:gridCol w:w="225"/>
        <w:gridCol w:w="710"/>
        <w:gridCol w:w="64"/>
        <w:gridCol w:w="64"/>
        <w:gridCol w:w="133"/>
        <w:gridCol w:w="982"/>
        <w:gridCol w:w="60"/>
        <w:gridCol w:w="60"/>
        <w:gridCol w:w="86"/>
        <w:gridCol w:w="1148"/>
        <w:gridCol w:w="86"/>
        <w:gridCol w:w="86"/>
        <w:gridCol w:w="225"/>
        <w:gridCol w:w="710"/>
        <w:gridCol w:w="75"/>
      </w:tblGrid>
      <w:tr>
        <w:trPr/>
        <w:tc>
          <w:tcPr>
            <w:tcW w:w="2314"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8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Warrants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Warrants Exercisable</w:t>
            </w:r>
          </w:p>
        </w:tc>
        <w:tc>
          <w:tcPr>
            <w:tcW w:w="75" w:type="dxa"/>
            <w:tcBorders/>
            <w:vAlign w:val="center"/>
          </w:tcPr>
          <w:p>
            <w:pPr>
              <w:pStyle w:val="TableContents"/>
              <w:bidi w:val="0"/>
              <w:spacing w:before="0" w:after="283"/>
              <w:jc w:val="left"/>
              <w:rPr/>
            </w:pPr>
            <w:r>
              <w:rPr/>
              <w:t> </w:t>
            </w:r>
          </w:p>
        </w:tc>
      </w:tr>
      <w:tr>
        <w:trPr/>
        <w:tc>
          <w:tcPr>
            <w:tcW w:w="2314" w:type="dxa"/>
            <w:gridSpan w:val="3"/>
            <w:tcBorders>
              <w:bottom w:val="single" w:sz="12" w:space="0" w:color="000000"/>
            </w:tcBorders>
            <w:tcMar>
              <w:bottom w:w="28" w:type="dxa"/>
            </w:tcMar>
            <w:vAlign w:val="center"/>
          </w:tcPr>
          <w:p>
            <w:pPr>
              <w:pStyle w:val="TableContents"/>
              <w:bidi w:val="0"/>
              <w:spacing w:before="0" w:after="283"/>
              <w:jc w:val="center"/>
              <w:rPr/>
            </w:pPr>
            <w:r>
              <w:rPr/>
              <w:t>Range of Exercise Price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pPr>
            <w:r>
              <w:rPr/>
              <w:t>Number of</w:t>
              <w:br/>
              <w:t>Shares</w:t>
              <w:br/>
              <w:t>Outstanding</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Exercise</w:t>
              <w:br/>
              <w:t>Price</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Remaining</w:t>
              <w:br/>
              <w:t>Contractual</w:t>
              <w:br/>
              <w:t>Life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pPr>
            <w:r>
              <w:rPr/>
              <w:t>Number of</w:t>
              <w:br/>
              <w:t>Shares</w:t>
              <w:br/>
              <w:t>Exercisable</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Exercise</w:t>
              <w:br/>
              <w:t>Price</w:t>
            </w:r>
          </w:p>
        </w:tc>
        <w:tc>
          <w:tcPr>
            <w:tcW w:w="75" w:type="dxa"/>
            <w:tcBorders/>
            <w:vAlign w:val="center"/>
          </w:tcPr>
          <w:p>
            <w:pPr>
              <w:pStyle w:val="TableContents"/>
              <w:bidi w:val="0"/>
              <w:spacing w:before="0" w:after="283"/>
              <w:jc w:val="left"/>
              <w:rPr/>
            </w:pPr>
            <w:r>
              <w:rPr/>
              <w:t> </w:t>
            </w:r>
          </w:p>
        </w:tc>
      </w:tr>
      <w:tr>
        <w:trPr/>
        <w:tc>
          <w:tcPr>
            <w:tcW w:w="220"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2009" w:type="dxa"/>
            <w:tcBorders/>
            <w:shd w:fill="CCEEFF" w:val="clear"/>
            <w:vAlign w:val="center"/>
          </w:tcPr>
          <w:p>
            <w:pPr>
              <w:pStyle w:val="TableContents"/>
              <w:bidi w:val="0"/>
              <w:spacing w:before="0" w:after="283"/>
              <w:jc w:val="right"/>
              <w:rPr/>
            </w:pPr>
            <w:bookmarkStart w:id="733" w:name="xdx_90E_ecustom--ShareBasedCompensationA"/>
            <w:bookmarkEnd w:id="733"/>
            <w:r>
              <w:rPr/>
              <w:t>14.39 - $</w:t>
            </w:r>
            <w:bookmarkStart w:id="734" w:name="xdx_904_ecustom--ShareBasedCompensationA"/>
            <w:bookmarkEnd w:id="734"/>
            <w:r>
              <w:rPr/>
              <w:t>32.20</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735" w:name="xdx_982_eus-gaap--ShareBasedCompensation"/>
            <w:bookmarkEnd w:id="735"/>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549,292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736" w:name="xdx_98F_ecustom--ShareBasedCompensationA"/>
            <w:bookmarkEnd w:id="736"/>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8.77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12" w:space="0" w:color="000000"/>
            </w:tcBorders>
            <w:shd w:fill="CCEEFF" w:val="clear"/>
            <w:tcMar>
              <w:bottom w:w="28" w:type="dxa"/>
            </w:tcMar>
            <w:vAlign w:val="center"/>
          </w:tcPr>
          <w:p>
            <w:pPr>
              <w:pStyle w:val="TableContents"/>
              <w:bidi w:val="0"/>
              <w:spacing w:before="0" w:after="283"/>
              <w:jc w:val="right"/>
              <w:rPr/>
            </w:pPr>
            <w:bookmarkStart w:id="737" w:name="xdx_90F_ecustom--ShareBasedCompensationA"/>
            <w:bookmarkEnd w:id="737"/>
            <w:r>
              <w:rPr/>
              <w:t>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738" w:name="xdx_98F_ecustom--ShareBasedCompensationA"/>
            <w:bookmarkEnd w:id="738"/>
          </w:p>
        </w:tc>
        <w:tc>
          <w:tcPr>
            <w:tcW w:w="1148" w:type="dxa"/>
            <w:tcBorders>
              <w:bottom w:val="single" w:sz="12" w:space="0" w:color="000000"/>
            </w:tcBorders>
            <w:shd w:fill="CCEEFF" w:val="clear"/>
            <w:tcMar>
              <w:bottom w:w="28" w:type="dxa"/>
            </w:tcMar>
            <w:vAlign w:val="center"/>
          </w:tcPr>
          <w:p>
            <w:pPr>
              <w:pStyle w:val="TableContents"/>
              <w:bidi w:val="0"/>
              <w:spacing w:before="0" w:after="283"/>
              <w:jc w:val="right"/>
              <w:rPr/>
            </w:pPr>
            <w:r>
              <w:rPr/>
              <w:t>549,292</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739" w:name="xdx_981_ecustom--ShareBasedCompensationA"/>
            <w:bookmarkEnd w:id="739"/>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8.77</w:t>
            </w:r>
          </w:p>
        </w:tc>
        <w:tc>
          <w:tcPr>
            <w:tcW w:w="75" w:type="dxa"/>
            <w:tcBorders/>
            <w:shd w:fill="CCEEFF" w:val="clear"/>
            <w:vAlign w:val="center"/>
          </w:tcPr>
          <w:p>
            <w:pPr>
              <w:pStyle w:val="TableContents"/>
              <w:bidi w:val="0"/>
              <w:spacing w:before="0" w:after="283"/>
              <w:jc w:val="left"/>
              <w:rPr/>
            </w:pPr>
            <w:r>
              <w:rPr/>
              <w:t> </w:t>
            </w:r>
          </w:p>
        </w:tc>
      </w:tr>
      <w:tr>
        <w:trPr/>
        <w:tc>
          <w:tcPr>
            <w:tcW w:w="22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00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40" w:name="xdx_982_eus-gaap--ShareBasedCompensation"/>
            <w:bookmarkEnd w:id="740"/>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pPr>
            <w:r>
              <w:rPr/>
              <w:t>549,292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41" w:name="xdx_98C_ecustom--ShareBasedCompensationA"/>
            <w:bookmarkEnd w:id="741"/>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pPr>
            <w:r>
              <w:rPr/>
              <w:t>8.77</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42" w:name="xdx_907_ecustom--ShareBasedCompensationA"/>
            <w:bookmarkEnd w:id="742"/>
            <w:r>
              <w:rPr/>
              <w:t>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43" w:name="xdx_984_ecustom--ShareBasedCompensationA"/>
            <w:bookmarkEnd w:id="743"/>
          </w:p>
        </w:tc>
        <w:tc>
          <w:tcPr>
            <w:tcW w:w="1148" w:type="dxa"/>
            <w:tcBorders>
              <w:bottom w:val="double" w:sz="6" w:space="0" w:color="000000"/>
            </w:tcBorders>
            <w:shd w:fill="FFFFFF" w:val="clear"/>
            <w:tcMar>
              <w:bottom w:w="28" w:type="dxa"/>
            </w:tcMar>
            <w:vAlign w:val="center"/>
          </w:tcPr>
          <w:p>
            <w:pPr>
              <w:pStyle w:val="TableContents"/>
              <w:bidi w:val="0"/>
              <w:spacing w:before="0" w:after="283"/>
              <w:jc w:val="right"/>
              <w:rPr/>
            </w:pPr>
            <w:r>
              <w:rPr/>
              <w:t>549,292</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44" w:name="xdx_982_ecustom--ShareBasedCompensationA"/>
            <w:bookmarkEnd w:id="744"/>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pPr>
            <w:r>
              <w:rPr/>
              <w:t>8.77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45" w:name="xdx_8A4_zGxQin9bleK5"/>
      <w:bookmarkEnd w:id="74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6" w:name="xdx_80F_eus-gaap--IncomeTaxDisclosureTex"/>
      <w:bookmarkEnd w:id="746"/>
      <w:r>
        <w:rPr>
          <w:rFonts w:ascii="Times New Roman;Times;Serif" w:hAnsi="Times New Roman;Times;Serif"/>
          <w:b/>
          <w:i w:val="false"/>
          <w:caps w:val="false"/>
          <w:smallCaps w:val="false"/>
          <w:sz w:val="20"/>
        </w:rPr>
        <w:t xml:space="preserve">12. </w:t>
      </w:r>
      <w:bookmarkStart w:id="747" w:name="xdx_82B_zlE1gb7S1cs3"/>
      <w:bookmarkEnd w:id="747"/>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48" w:name="xdx_89E_eus-gaap--ScheduleOfEffectiveInc"/>
      <w:bookmarkEnd w:id="748"/>
      <w:r>
        <w:rPr>
          <w:rFonts w:ascii="Times New Roman;Times;Serif" w:hAnsi="Times New Roman;Times;Serif"/>
          <w:b w:val="false"/>
          <w:i w:val="false"/>
          <w:caps w:val="false"/>
          <w:smallCaps w:val="false"/>
          <w:sz w:val="20"/>
        </w:rPr>
        <w:t>For the years ended December 31, 2023 and 2022, a reconciliation of the effective income tax rate to the U.S. statutory rate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49" w:name="xdx_8B8_zGMwpsRHlhPf"/>
      <w:bookmarkEnd w:id="749"/>
      <w:r>
        <w:rPr>
          <w:rFonts w:ascii="Times New Roman;Times;Serif" w:hAnsi="Times New Roman;Times;Serif"/>
          <w:b w:val="false"/>
          <w:i w:val="false"/>
          <w:caps w:val="false"/>
          <w:smallCaps w:val="false"/>
          <w:sz w:val="20"/>
        </w:rPr>
        <w:t>Schedule of Reconciliation of Effective Income Tax Rate to U.S. Statutory Rate</w:t>
      </w:r>
    </w:p>
    <w:tbl>
      <w:tblPr>
        <w:tblW w:w="7598" w:type="dxa"/>
        <w:jc w:val="left"/>
        <w:tblInd w:w="0" w:type="dxa"/>
        <w:tblLayout w:type="fixed"/>
        <w:tblCellMar>
          <w:top w:w="0" w:type="dxa"/>
          <w:left w:w="0" w:type="dxa"/>
          <w:bottom w:w="0" w:type="dxa"/>
          <w:right w:w="0" w:type="dxa"/>
        </w:tblCellMar>
      </w:tblPr>
      <w:tblGrid>
        <w:gridCol w:w="2975"/>
        <w:gridCol w:w="60"/>
        <w:gridCol w:w="574"/>
        <w:gridCol w:w="1380"/>
        <w:gridCol w:w="290"/>
        <w:gridCol w:w="60"/>
        <w:gridCol w:w="574"/>
        <w:gridCol w:w="1380"/>
        <w:gridCol w:w="305"/>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50" w:name="xdx_490_20230101__20231231_zIXkyBiq6rCj"/>
            <w:bookmarkEnd w:id="750"/>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51" w:name="xdx_490_20220101__20221231_zaMSpZTCM5H6"/>
            <w:bookmarkEnd w:id="751"/>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305" w:type="dxa"/>
            <w:tcBorders/>
            <w:vAlign w:val="center"/>
          </w:tcPr>
          <w:p>
            <w:pPr>
              <w:pStyle w:val="TableContents"/>
              <w:bidi w:val="0"/>
              <w:spacing w:before="0" w:after="283"/>
              <w:jc w:val="left"/>
              <w:rPr/>
            </w:pPr>
            <w:r>
              <w:rPr/>
              <w:t> </w:t>
            </w:r>
            <w:bookmarkStart w:id="752" w:name="xdx_405_eus-gaap--EffectiveIncomeTaxRate"/>
            <w:bookmarkEnd w:id="752"/>
          </w:p>
        </w:tc>
      </w:tr>
      <w:tr>
        <w:trPr/>
        <w:tc>
          <w:tcPr>
            <w:tcW w:w="2975" w:type="dxa"/>
            <w:tcBorders/>
            <w:shd w:fill="CCEEFF" w:val="clear"/>
            <w:vAlign w:val="center"/>
          </w:tcPr>
          <w:p>
            <w:pPr>
              <w:pStyle w:val="TableContents"/>
              <w:bidi w:val="0"/>
              <w:spacing w:before="0" w:after="283"/>
              <w:jc w:val="left"/>
              <w:rPr/>
            </w:pPr>
            <w:r>
              <w:rPr/>
              <w:t>Federal statutory tax rate</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(21</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(21</w:t>
            </w:r>
          </w:p>
        </w:tc>
        <w:tc>
          <w:tcPr>
            <w:tcW w:w="305" w:type="dxa"/>
            <w:tcBorders/>
            <w:shd w:fill="CCEEFF" w:val="clear"/>
            <w:vAlign w:val="center"/>
          </w:tcPr>
          <w:p>
            <w:pPr>
              <w:pStyle w:val="TableContents"/>
              <w:bidi w:val="0"/>
              <w:spacing w:before="0" w:after="283"/>
              <w:jc w:val="left"/>
              <w:rPr/>
            </w:pPr>
            <w:r>
              <w:rPr/>
              <w:t>)%</w:t>
            </w:r>
            <w:bookmarkStart w:id="753" w:name="xdx_402_eus-gaap--EffectiveIncomeTaxRate"/>
            <w:bookmarkEnd w:id="753"/>
          </w:p>
        </w:tc>
      </w:tr>
      <w:tr>
        <w:trPr/>
        <w:tc>
          <w:tcPr>
            <w:tcW w:w="2975" w:type="dxa"/>
            <w:tcBorders/>
            <w:shd w:fill="FFFFFF" w:val="clear"/>
            <w:vAlign w:val="center"/>
          </w:tcPr>
          <w:p>
            <w:pPr>
              <w:pStyle w:val="TableContents"/>
              <w:bidi w:val="0"/>
              <w:spacing w:before="0" w:after="283"/>
              <w:jc w:val="left"/>
              <w:rPr/>
            </w:pPr>
            <w:r>
              <w:rPr/>
              <w:t>State rate, net of federal benefit</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305" w:type="dxa"/>
            <w:tcBorders/>
            <w:shd w:fill="FFFFFF" w:val="clear"/>
            <w:vAlign w:val="center"/>
          </w:tcPr>
          <w:p>
            <w:pPr>
              <w:pStyle w:val="TableContents"/>
              <w:bidi w:val="0"/>
              <w:spacing w:before="0" w:after="283"/>
              <w:jc w:val="left"/>
              <w:rPr/>
            </w:pPr>
            <w:r>
              <w:rPr/>
              <w:t>)%</w:t>
            </w:r>
            <w:bookmarkStart w:id="754" w:name="xdx_405_ecustom--EffectiveIncomeTaxRateR"/>
            <w:bookmarkEnd w:id="754"/>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Federal and state tax rate</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(26</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(26</w:t>
            </w:r>
          </w:p>
        </w:tc>
        <w:tc>
          <w:tcPr>
            <w:tcW w:w="305" w:type="dxa"/>
            <w:tcBorders/>
            <w:shd w:fill="CCEEFF" w:val="clear"/>
            <w:vAlign w:val="center"/>
          </w:tcPr>
          <w:p>
            <w:pPr>
              <w:pStyle w:val="TableContents"/>
              <w:bidi w:val="0"/>
              <w:spacing w:before="0" w:after="283"/>
              <w:jc w:val="left"/>
              <w:rPr/>
            </w:pPr>
            <w:r>
              <w:rPr/>
              <w:t>)%</w:t>
            </w:r>
            <w:bookmarkStart w:id="755" w:name="xdx_405_eus-gaap--EffectiveIncomeTaxRate"/>
            <w:bookmarkEnd w:id="755"/>
          </w:p>
        </w:tc>
      </w:tr>
      <w:tr>
        <w:trPr/>
        <w:tc>
          <w:tcPr>
            <w:tcW w:w="2975" w:type="dxa"/>
            <w:tcBorders/>
            <w:shd w:fill="FFFFFF" w:val="clear"/>
            <w:vAlign w:val="center"/>
          </w:tcPr>
          <w:p>
            <w:pPr>
              <w:pStyle w:val="TableContents"/>
              <w:bidi w:val="0"/>
              <w:spacing w:before="0" w:after="283"/>
              <w:jc w:val="left"/>
              <w:rPr/>
            </w:pPr>
            <w:r>
              <w:rPr/>
              <w:t>Effect of change in tax rate</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jc w:val="left"/>
              <w:rPr/>
            </w:pPr>
            <w:r>
              <w:rPr/>
              <w:t>%</w:t>
            </w:r>
            <w:bookmarkStart w:id="756" w:name="xdx_406_eus-gaap--EffectiveIncomeTaxRate"/>
            <w:bookmarkEnd w:id="756"/>
          </w:p>
        </w:tc>
      </w:tr>
      <w:tr>
        <w:trPr/>
        <w:tc>
          <w:tcPr>
            <w:tcW w:w="2975"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5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0" w:type="dxa"/>
            <w:tcBorders>
              <w:bottom w:val="single" w:sz="12" w:space="0" w:color="000000"/>
            </w:tcBorders>
            <w:shd w:fill="CCEEFF" w:val="clear"/>
            <w:tcMar>
              <w:bottom w:w="28" w:type="dxa"/>
            </w:tcMar>
            <w:vAlign w:val="center"/>
          </w:tcPr>
          <w:p>
            <w:pPr>
              <w:pStyle w:val="TableContents"/>
              <w:bidi w:val="0"/>
              <w:spacing w:before="0" w:after="283"/>
              <w:jc w:val="right"/>
              <w:rPr/>
            </w:pPr>
            <w:r>
              <w:rPr/>
              <w:t>26</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0" w:type="dxa"/>
            <w:tcBorders>
              <w:bottom w:val="single" w:sz="12" w:space="0" w:color="000000"/>
            </w:tcBorders>
            <w:shd w:fill="CCEEFF" w:val="clear"/>
            <w:tcMar>
              <w:bottom w:w="28" w:type="dxa"/>
            </w:tcMar>
            <w:vAlign w:val="center"/>
          </w:tcPr>
          <w:p>
            <w:pPr>
              <w:pStyle w:val="TableContents"/>
              <w:bidi w:val="0"/>
              <w:spacing w:before="0" w:after="283"/>
              <w:jc w:val="right"/>
              <w:rPr/>
            </w:pPr>
            <w:r>
              <w:rPr/>
              <w:t>26</w:t>
            </w:r>
          </w:p>
        </w:tc>
        <w:tc>
          <w:tcPr>
            <w:tcW w:w="305" w:type="dxa"/>
            <w:tcBorders/>
            <w:shd w:fill="CCEEFF" w:val="clear"/>
            <w:vAlign w:val="center"/>
          </w:tcPr>
          <w:p>
            <w:pPr>
              <w:pStyle w:val="TableContents"/>
              <w:bidi w:val="0"/>
              <w:spacing w:before="0" w:after="283"/>
              <w:jc w:val="left"/>
              <w:rPr/>
            </w:pPr>
            <w:r>
              <w:rPr/>
              <w:t>%</w:t>
            </w:r>
            <w:bookmarkStart w:id="757" w:name="xdx_40E_eus-gaap--EffectiveIncomeTaxRate"/>
            <w:bookmarkEnd w:id="757"/>
          </w:p>
        </w:tc>
      </w:tr>
      <w:tr>
        <w:trPr/>
        <w:tc>
          <w:tcPr>
            <w:tcW w:w="2975" w:type="dxa"/>
            <w:tcBorders/>
            <w:shd w:fill="FFFFFF" w:val="clear"/>
            <w:vAlign w:val="center"/>
          </w:tcPr>
          <w:p>
            <w:pPr>
              <w:pStyle w:val="TableContents"/>
              <w:bidi w:val="0"/>
              <w:spacing w:before="0" w:after="283"/>
              <w:jc w:val="left"/>
              <w:rPr/>
            </w:pPr>
            <w:r>
              <w:rPr/>
              <w:t>Effective tax rate</w:t>
            </w:r>
          </w:p>
        </w:tc>
        <w:tc>
          <w:tcPr>
            <w:tcW w:w="60" w:type="dxa"/>
            <w:tcBorders/>
            <w:shd w:fill="FFFFFF" w:val="cle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58" w:name="xdx_8A4_zBEv1OhP4eF7"/>
      <w:bookmarkEnd w:id="75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59" w:name="xdx_89B_eus-gaap--ScheduleOfDeferredTaxA"/>
      <w:bookmarkEnd w:id="759"/>
      <w:r>
        <w:rPr>
          <w:rFonts w:ascii="Times New Roman;Times;Serif" w:hAnsi="Times New Roman;Times;Serif"/>
          <w:b w:val="false"/>
          <w:i w:val="false"/>
          <w:caps w:val="false"/>
          <w:smallCaps w:val="false"/>
          <w:sz w:val="20"/>
        </w:rPr>
        <w:t>As of December 31, 2023 and 2022, significant components of the Company’s deferred tax assets and liabilities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60" w:name="xdx_8B6_zFoA6JRO2QXg"/>
      <w:bookmarkEnd w:id="760"/>
      <w:r>
        <w:rPr>
          <w:rFonts w:ascii="Times New Roman;Times;Serif" w:hAnsi="Times New Roman;Times;Serif"/>
          <w:b w:val="false"/>
          <w:i w:val="false"/>
          <w:caps w:val="false"/>
          <w:smallCaps w:val="false"/>
          <w:sz w:val="20"/>
        </w:rPr>
        <w:t>Schedule of Deferred Income Tax Assets</w:t>
      </w:r>
    </w:p>
    <w:tbl>
      <w:tblPr>
        <w:tblW w:w="7928" w:type="dxa"/>
        <w:jc w:val="left"/>
        <w:tblInd w:w="0" w:type="dxa"/>
        <w:tblLayout w:type="fixed"/>
        <w:tblCellMar>
          <w:top w:w="0" w:type="dxa"/>
          <w:left w:w="0" w:type="dxa"/>
          <w:bottom w:w="0" w:type="dxa"/>
          <w:right w:w="0" w:type="dxa"/>
        </w:tblCellMar>
      </w:tblPr>
      <w:tblGrid>
        <w:gridCol w:w="3695"/>
        <w:gridCol w:w="60"/>
        <w:gridCol w:w="305"/>
        <w:gridCol w:w="1649"/>
        <w:gridCol w:w="95"/>
        <w:gridCol w:w="60"/>
        <w:gridCol w:w="305"/>
        <w:gridCol w:w="1649"/>
        <w:gridCol w:w="110"/>
      </w:tblGrid>
      <w:tr>
        <w:trPr/>
        <w:tc>
          <w:tcPr>
            <w:tcW w:w="3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61" w:name="xdx_49F_20231231_zaXbF9UMH5k4"/>
            <w:bookmarkEnd w:id="761"/>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2" w:name="xdx_499_20221231_zNihPUbwgCf4"/>
            <w:bookmarkEnd w:id="762"/>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11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Deferred income tax asset: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63" w:name="xdx_40B_eus-gaap--DeferredTaxAssetsOpera"/>
            <w:bookmarkEnd w:id="763"/>
          </w:p>
        </w:tc>
      </w:tr>
      <w:tr>
        <w:trPr/>
        <w:tc>
          <w:tcPr>
            <w:tcW w:w="3695" w:type="dxa"/>
            <w:tcBorders/>
            <w:shd w:fill="FFFFFF" w:val="clear"/>
            <w:vAlign w:val="center"/>
          </w:tcPr>
          <w:p>
            <w:pPr>
              <w:pStyle w:val="TableContents"/>
              <w:bidi w:val="0"/>
              <w:spacing w:before="0" w:after="283"/>
              <w:jc w:val="left"/>
              <w:rPr/>
            </w:pPr>
            <w:r>
              <w:rPr/>
              <w:t>Net operating loss carryforwards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w:t>
            </w:r>
          </w:p>
        </w:tc>
        <w:tc>
          <w:tcPr>
            <w:tcW w:w="1649" w:type="dxa"/>
            <w:tcBorders/>
            <w:shd w:fill="FFFFFF" w:val="clear"/>
            <w:vAlign w:val="center"/>
          </w:tcPr>
          <w:p>
            <w:pPr>
              <w:pStyle w:val="TableContents"/>
              <w:bidi w:val="0"/>
              <w:spacing w:before="0" w:after="283"/>
              <w:jc w:val="right"/>
              <w:rPr/>
            </w:pPr>
            <w:r>
              <w:rPr/>
              <w:t>21,118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w:t>
            </w:r>
          </w:p>
        </w:tc>
        <w:tc>
          <w:tcPr>
            <w:tcW w:w="1649" w:type="dxa"/>
            <w:tcBorders/>
            <w:shd w:fill="FFFFFF" w:val="clear"/>
            <w:vAlign w:val="center"/>
          </w:tcPr>
          <w:p>
            <w:pPr>
              <w:pStyle w:val="TableContents"/>
              <w:bidi w:val="0"/>
              <w:spacing w:before="0" w:after="283"/>
              <w:jc w:val="right"/>
              <w:rPr/>
            </w:pPr>
            <w:r>
              <w:rPr/>
              <w:t>20,581</w:t>
            </w:r>
          </w:p>
        </w:tc>
        <w:tc>
          <w:tcPr>
            <w:tcW w:w="110" w:type="dxa"/>
            <w:tcBorders/>
            <w:shd w:fill="FFFFFF" w:val="clear"/>
            <w:vAlign w:val="center"/>
          </w:tcPr>
          <w:p>
            <w:pPr>
              <w:pStyle w:val="TableContents"/>
              <w:bidi w:val="0"/>
              <w:spacing w:before="0" w:after="283"/>
              <w:jc w:val="left"/>
              <w:rPr/>
            </w:pPr>
            <w:r>
              <w:rPr/>
              <w:t> </w:t>
            </w:r>
            <w:bookmarkStart w:id="764" w:name="xdx_40C_eus-gaap--DeferredTaxAssetsCapit"/>
            <w:bookmarkEnd w:id="764"/>
          </w:p>
        </w:tc>
      </w:tr>
      <w:tr>
        <w:trPr/>
        <w:tc>
          <w:tcPr>
            <w:tcW w:w="3695" w:type="dxa"/>
            <w:tcBorders/>
            <w:shd w:fill="CCEEFF" w:val="clear"/>
            <w:vAlign w:val="center"/>
          </w:tcPr>
          <w:p>
            <w:pPr>
              <w:pStyle w:val="TableContents"/>
              <w:bidi w:val="0"/>
              <w:spacing w:before="0" w:after="283"/>
              <w:jc w:val="left"/>
              <w:rPr/>
            </w:pPr>
            <w:r>
              <w:rPr/>
              <w:t>Disqualified corporate interest expense</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1,650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2,886</w:t>
            </w:r>
          </w:p>
        </w:tc>
        <w:tc>
          <w:tcPr>
            <w:tcW w:w="110" w:type="dxa"/>
            <w:tcBorders/>
            <w:shd w:fill="CCEEFF" w:val="clear"/>
            <w:vAlign w:val="center"/>
          </w:tcPr>
          <w:p>
            <w:pPr>
              <w:pStyle w:val="TableContents"/>
              <w:bidi w:val="0"/>
              <w:spacing w:before="0" w:after="283"/>
              <w:jc w:val="left"/>
              <w:rPr/>
            </w:pPr>
            <w:r>
              <w:rPr/>
              <w:t> </w:t>
            </w:r>
            <w:bookmarkStart w:id="765" w:name="xdx_405_eus-gaap--DeferredTaxAssetsTaxDe"/>
            <w:bookmarkEnd w:id="765"/>
          </w:p>
        </w:tc>
      </w:tr>
      <w:tr>
        <w:trPr/>
        <w:tc>
          <w:tcPr>
            <w:tcW w:w="369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1,989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2,118</w:t>
            </w:r>
          </w:p>
        </w:tc>
        <w:tc>
          <w:tcPr>
            <w:tcW w:w="110" w:type="dxa"/>
            <w:tcBorders/>
            <w:shd w:fill="FFFFFF" w:val="clear"/>
            <w:vAlign w:val="center"/>
          </w:tcPr>
          <w:p>
            <w:pPr>
              <w:pStyle w:val="TableContents"/>
              <w:bidi w:val="0"/>
              <w:spacing w:before="0" w:after="283"/>
              <w:jc w:val="left"/>
              <w:rPr/>
            </w:pPr>
            <w:r>
              <w:rPr/>
              <w:t> </w:t>
            </w:r>
            <w:bookmarkStart w:id="766" w:name="xdx_409_eus-gaap--DeferredTaxAssetsTaxDe"/>
            <w:bookmarkEnd w:id="766"/>
          </w:p>
        </w:tc>
      </w:tr>
      <w:tr>
        <w:trPr/>
        <w:tc>
          <w:tcPr>
            <w:tcW w:w="3695" w:type="dxa"/>
            <w:tcBorders/>
            <w:shd w:fill="CCEEFF" w:val="clear"/>
            <w:vAlign w:val="center"/>
          </w:tcPr>
          <w:p>
            <w:pPr>
              <w:pStyle w:val="TableContents"/>
              <w:bidi w:val="0"/>
              <w:spacing w:before="0" w:after="283"/>
              <w:jc w:val="left"/>
              <w:rPr/>
            </w:pPr>
            <w:r>
              <w:rPr/>
              <w:t>Accounts receivable allowances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225</w:t>
            </w:r>
          </w:p>
        </w:tc>
        <w:tc>
          <w:tcPr>
            <w:tcW w:w="110" w:type="dxa"/>
            <w:tcBorders/>
            <w:shd w:fill="CCEEFF" w:val="clear"/>
            <w:vAlign w:val="center"/>
          </w:tcPr>
          <w:p>
            <w:pPr>
              <w:pStyle w:val="TableContents"/>
              <w:bidi w:val="0"/>
              <w:spacing w:before="0" w:after="283"/>
              <w:jc w:val="left"/>
              <w:rPr/>
            </w:pPr>
            <w:r>
              <w:rPr/>
              <w:t> </w:t>
            </w:r>
            <w:bookmarkStart w:id="767" w:name="xdx_405_eus-gaap--DeferredTaxAssetsInven"/>
            <w:bookmarkEnd w:id="767"/>
          </w:p>
        </w:tc>
      </w:tr>
      <w:tr>
        <w:trPr/>
        <w:tc>
          <w:tcPr>
            <w:tcW w:w="3695" w:type="dxa"/>
            <w:tcBorders/>
            <w:shd w:fill="FFFFFF" w:val="clear"/>
            <w:vAlign w:val="center"/>
          </w:tcPr>
          <w:p>
            <w:pPr>
              <w:pStyle w:val="TableContents"/>
              <w:bidi w:val="0"/>
              <w:spacing w:before="0" w:after="283"/>
              <w:jc w:val="left"/>
              <w:rPr/>
            </w:pPr>
            <w:r>
              <w:rPr/>
              <w:t>Inventory reserves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375</w:t>
            </w:r>
          </w:p>
        </w:tc>
        <w:tc>
          <w:tcPr>
            <w:tcW w:w="110" w:type="dxa"/>
            <w:tcBorders/>
            <w:shd w:fill="FFFFFF" w:val="clear"/>
            <w:vAlign w:val="center"/>
          </w:tcPr>
          <w:p>
            <w:pPr>
              <w:pStyle w:val="TableContents"/>
              <w:bidi w:val="0"/>
              <w:spacing w:before="0" w:after="283"/>
              <w:jc w:val="left"/>
              <w:rPr/>
            </w:pPr>
            <w:r>
              <w:rPr/>
              <w:t> </w:t>
            </w:r>
            <w:bookmarkStart w:id="768" w:name="xdx_40E_ecustom--DeferredTaxAssetOperati"/>
            <w:bookmarkEnd w:id="768"/>
          </w:p>
        </w:tc>
      </w:tr>
      <w:tr>
        <w:trPr/>
        <w:tc>
          <w:tcPr>
            <w:tcW w:w="3695" w:type="dxa"/>
            <w:tcBorders/>
            <w:shd w:fill="CCEEFF" w:val="clear"/>
            <w:vAlign w:val="center"/>
          </w:tcPr>
          <w:p>
            <w:pPr>
              <w:pStyle w:val="TableContents"/>
              <w:bidi w:val="0"/>
              <w:spacing w:before="0" w:after="283"/>
              <w:jc w:val="left"/>
              <w:rPr/>
            </w:pPr>
            <w:r>
              <w:rPr/>
              <w:t>Operating Leasr liability</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54</w:t>
            </w:r>
          </w:p>
        </w:tc>
        <w:tc>
          <w:tcPr>
            <w:tcW w:w="110" w:type="dxa"/>
            <w:tcBorders/>
            <w:shd w:fill="CCEEFF" w:val="clear"/>
            <w:vAlign w:val="center"/>
          </w:tcPr>
          <w:p>
            <w:pPr>
              <w:pStyle w:val="TableContents"/>
              <w:bidi w:val="0"/>
              <w:spacing w:before="0" w:after="283"/>
              <w:jc w:val="left"/>
              <w:rPr/>
            </w:pPr>
            <w:r>
              <w:rPr/>
              <w:t> </w:t>
            </w:r>
            <w:bookmarkStart w:id="769" w:name="xdx_402_eus-gaap--DeferredTaxAssetsOther"/>
            <w:bookmarkEnd w:id="769"/>
          </w:p>
        </w:tc>
      </w:tr>
      <w:tr>
        <w:trPr/>
        <w:tc>
          <w:tcPr>
            <w:tcW w:w="369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(9</w:t>
            </w:r>
          </w:p>
        </w:tc>
        <w:tc>
          <w:tcPr>
            <w:tcW w:w="110" w:type="dxa"/>
            <w:tcBorders/>
            <w:shd w:fill="FFFFFF" w:val="clear"/>
            <w:vAlign w:val="center"/>
          </w:tcPr>
          <w:p>
            <w:pPr>
              <w:pStyle w:val="TableContents"/>
              <w:bidi w:val="0"/>
              <w:spacing w:before="0" w:after="283"/>
              <w:jc w:val="left"/>
              <w:rPr/>
            </w:pPr>
            <w:r>
              <w:rPr/>
              <w:t>)</w:t>
            </w:r>
            <w:bookmarkStart w:id="770" w:name="xdx_404_ecustom--DeferredTaxAssetAssetIm"/>
            <w:bookmarkEnd w:id="770"/>
          </w:p>
        </w:tc>
      </w:tr>
      <w:tr>
        <w:trPr/>
        <w:tc>
          <w:tcPr>
            <w:tcW w:w="3695" w:type="dxa"/>
            <w:tcBorders/>
            <w:shd w:fill="CCEEFF" w:val="clear"/>
            <w:vAlign w:val="center"/>
          </w:tcPr>
          <w:p>
            <w:pPr>
              <w:pStyle w:val="TableContents"/>
              <w:bidi w:val="0"/>
              <w:spacing w:before="0" w:after="283"/>
              <w:jc w:val="left"/>
              <w:rPr/>
            </w:pPr>
            <w:r>
              <w:rPr/>
              <w:t>Asset impairment</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CCEEFF" w:val="clear"/>
            <w:tcMar>
              <w:bottom w:w="28" w:type="dxa"/>
            </w:tcMar>
            <w:vAlign w:val="center"/>
          </w:tcPr>
          <w:p>
            <w:pPr>
              <w:pStyle w:val="TableContents"/>
              <w:bidi w:val="0"/>
              <w:spacing w:before="0" w:after="283"/>
              <w:jc w:val="right"/>
              <w:rPr/>
            </w:pPr>
            <w:r>
              <w:rPr/>
              <w:t>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CCEEFF" w:val="clear"/>
            <w:tcMar>
              <w:bottom w:w="28" w:type="dxa"/>
            </w:tcMar>
            <w:vAlign w:val="center"/>
          </w:tcPr>
          <w:p>
            <w:pPr>
              <w:pStyle w:val="TableContents"/>
              <w:bidi w:val="0"/>
              <w:spacing w:before="0" w:after="283"/>
              <w:jc w:val="right"/>
              <w:rPr/>
            </w:pPr>
            <w:r>
              <w:rPr/>
              <w:t>57</w:t>
            </w:r>
          </w:p>
        </w:tc>
        <w:tc>
          <w:tcPr>
            <w:tcW w:w="110" w:type="dxa"/>
            <w:tcBorders/>
            <w:shd w:fill="CCEEFF" w:val="clear"/>
            <w:vAlign w:val="center"/>
          </w:tcPr>
          <w:p>
            <w:pPr>
              <w:pStyle w:val="TableContents"/>
              <w:bidi w:val="0"/>
              <w:spacing w:before="0" w:after="283"/>
              <w:jc w:val="left"/>
              <w:rPr/>
            </w:pPr>
            <w:r>
              <w:rPr/>
              <w:t> </w:t>
            </w:r>
            <w:bookmarkStart w:id="771" w:name="xdx_400_eus-gaap--DeferredTaxAssetsGross"/>
            <w:bookmarkEnd w:id="771"/>
          </w:p>
        </w:tc>
      </w:tr>
      <w:tr>
        <w:trPr/>
        <w:tc>
          <w:tcPr>
            <w:tcW w:w="3695" w:type="dxa"/>
            <w:tcBorders/>
            <w:shd w:fill="FFFFFF" w:val="clear"/>
            <w:vAlign w:val="center"/>
          </w:tcPr>
          <w:p>
            <w:pPr>
              <w:pStyle w:val="TableContents"/>
              <w:bidi w:val="0"/>
              <w:spacing w:before="0" w:after="283"/>
              <w:jc w:val="left"/>
              <w:rPr/>
            </w:pPr>
            <w:r>
              <w:rPr/>
              <w:t>Gross deferred tax assets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25,047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26,287</w:t>
            </w:r>
          </w:p>
        </w:tc>
        <w:tc>
          <w:tcPr>
            <w:tcW w:w="110" w:type="dxa"/>
            <w:tcBorders/>
            <w:shd w:fill="FFFFFF" w:val="clear"/>
            <w:vAlign w:val="center"/>
          </w:tcPr>
          <w:p>
            <w:pPr>
              <w:pStyle w:val="TableContents"/>
              <w:bidi w:val="0"/>
              <w:spacing w:before="0" w:after="283"/>
              <w:jc w:val="left"/>
              <w:rPr/>
            </w:pPr>
            <w:r>
              <w:rPr/>
              <w:t> </w:t>
            </w:r>
            <w:bookmarkStart w:id="772" w:name="xdx_400_eus-gaap--DeferredTaxAssetsValua"/>
            <w:bookmarkEnd w:id="772"/>
          </w:p>
        </w:tc>
      </w:tr>
      <w:tr>
        <w:trPr/>
        <w:tc>
          <w:tcPr>
            <w:tcW w:w="3695"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CCEEFF" w:val="clear"/>
            <w:tcMar>
              <w:bottom w:w="28" w:type="dxa"/>
            </w:tcMar>
            <w:vAlign w:val="center"/>
          </w:tcPr>
          <w:p>
            <w:pPr>
              <w:pStyle w:val="TableContents"/>
              <w:bidi w:val="0"/>
              <w:spacing w:before="0" w:after="283"/>
              <w:jc w:val="right"/>
              <w:rPr/>
            </w:pPr>
            <w:r>
              <w:rPr/>
              <w:t>(24,857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CCEEFF" w:val="clear"/>
            <w:tcMar>
              <w:bottom w:w="28" w:type="dxa"/>
            </w:tcMar>
            <w:vAlign w:val="center"/>
          </w:tcPr>
          <w:p>
            <w:pPr>
              <w:pStyle w:val="TableContents"/>
              <w:bidi w:val="0"/>
              <w:spacing w:before="0" w:after="283"/>
              <w:jc w:val="right"/>
              <w:rPr/>
            </w:pPr>
            <w:r>
              <w:rPr/>
              <w:t>(26,098</w:t>
            </w:r>
          </w:p>
        </w:tc>
        <w:tc>
          <w:tcPr>
            <w:tcW w:w="110" w:type="dxa"/>
            <w:tcBorders/>
            <w:shd w:fill="CCEEFF" w:val="clear"/>
            <w:vAlign w:val="center"/>
          </w:tcPr>
          <w:p>
            <w:pPr>
              <w:pStyle w:val="TableContents"/>
              <w:bidi w:val="0"/>
              <w:spacing w:before="0" w:after="283"/>
              <w:jc w:val="left"/>
              <w:rPr/>
            </w:pPr>
            <w:r>
              <w:rPr/>
              <w:t>)</w:t>
            </w:r>
            <w:bookmarkStart w:id="773" w:name="xdx_40B_eus-gaap--DeferredTaxAssetsNet_i"/>
            <w:bookmarkEnd w:id="773"/>
          </w:p>
        </w:tc>
      </w:tr>
      <w:tr>
        <w:trPr/>
        <w:tc>
          <w:tcPr>
            <w:tcW w:w="3695"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189</w:t>
            </w:r>
          </w:p>
        </w:tc>
        <w:tc>
          <w:tcPr>
            <w:tcW w:w="11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74" w:name="xdx_40B_ecustom--DeferredTaxAssetOperati"/>
            <w:bookmarkEnd w:id="774"/>
          </w:p>
        </w:tc>
      </w:tr>
      <w:tr>
        <w:trPr/>
        <w:tc>
          <w:tcPr>
            <w:tcW w:w="3695" w:type="dxa"/>
            <w:tcBorders/>
            <w:shd w:fill="FFFFFF" w:val="clear"/>
            <w:vAlign w:val="center"/>
          </w:tcPr>
          <w:p>
            <w:pPr>
              <w:pStyle w:val="TableContents"/>
              <w:bidi w:val="0"/>
              <w:spacing w:before="0" w:after="283"/>
              <w:jc w:val="left"/>
              <w:rPr/>
            </w:pPr>
            <w:r>
              <w:rPr/>
              <w:t>Operating lease right-of-use asset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(189</w:t>
            </w:r>
          </w:p>
        </w:tc>
        <w:tc>
          <w:tcPr>
            <w:tcW w:w="110" w:type="dxa"/>
            <w:tcBorders/>
            <w:shd w:fill="FFFFFF" w:val="clear"/>
            <w:vAlign w:val="center"/>
          </w:tcPr>
          <w:p>
            <w:pPr>
              <w:pStyle w:val="TableContents"/>
              <w:bidi w:val="0"/>
              <w:spacing w:before="0" w:after="283"/>
              <w:jc w:val="left"/>
              <w:rPr/>
            </w:pPr>
            <w:r>
              <w:rPr/>
              <w:t>)</w:t>
            </w:r>
            <w:bookmarkStart w:id="775" w:name="xdx_402_ecustom--DeferredTaxAssetsTaxDef"/>
            <w:bookmarkEnd w:id="775"/>
          </w:p>
        </w:tc>
      </w:tr>
      <w:tr>
        <w:trPr/>
        <w:tc>
          <w:tcPr>
            <w:tcW w:w="3695" w:type="dxa"/>
            <w:tcBorders/>
            <w:shd w:fill="CCEEFF" w:val="clear"/>
            <w:vAlign w:val="center"/>
          </w:tcPr>
          <w:p>
            <w:pPr>
              <w:pStyle w:val="TableContents"/>
              <w:bidi w:val="0"/>
              <w:spacing w:before="0" w:after="283"/>
              <w:jc w:val="left"/>
              <w:rPr/>
            </w:pPr>
            <w:r>
              <w:rPr/>
              <w:t>Deferred finance costs</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776" w:name="xdx_40F_eus-gaap--DeferredIncomeTaxLiabi"/>
            <w:bookmarkEnd w:id="776"/>
          </w:p>
        </w:tc>
      </w:tr>
      <w:tr>
        <w:trPr/>
        <w:tc>
          <w:tcPr>
            <w:tcW w:w="3695" w:type="dxa"/>
            <w:tcBorders/>
            <w:shd w:fill="FFFFFF" w:val="clear"/>
            <w:vAlign w:val="center"/>
          </w:tcPr>
          <w:p>
            <w:pPr>
              <w:pStyle w:val="TableContents"/>
              <w:bidi w:val="0"/>
              <w:spacing w:before="0" w:after="283"/>
              <w:jc w:val="left"/>
              <w:rPr/>
            </w:pPr>
            <w:r>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FFFFFF" w:val="clear"/>
            <w:tcMar>
              <w:bottom w:w="28" w:type="dxa"/>
            </w:tcMar>
            <w:vAlign w:val="center"/>
          </w:tcPr>
          <w:p>
            <w:pPr>
              <w:pStyle w:val="TableContents"/>
              <w:bidi w:val="0"/>
              <w:spacing w:before="0" w:after="283"/>
              <w:jc w:val="right"/>
              <w:rPr/>
            </w:pPr>
            <w:r>
              <w:rPr/>
              <w:t>(190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FFFFFF" w:val="clear"/>
            <w:tcMar>
              <w:bottom w:w="28" w:type="dxa"/>
            </w:tcMar>
            <w:vAlign w:val="center"/>
          </w:tcPr>
          <w:p>
            <w:pPr>
              <w:pStyle w:val="TableContents"/>
              <w:bidi w:val="0"/>
              <w:spacing w:before="0" w:after="283"/>
              <w:jc w:val="right"/>
              <w:rPr/>
            </w:pPr>
            <w:r>
              <w:rPr/>
              <w:t>(189</w:t>
            </w:r>
          </w:p>
        </w:tc>
        <w:tc>
          <w:tcPr>
            <w:tcW w:w="110" w:type="dxa"/>
            <w:tcBorders/>
            <w:shd w:fill="FFFFFF" w:val="clear"/>
            <w:vAlign w:val="center"/>
          </w:tcPr>
          <w:p>
            <w:pPr>
              <w:pStyle w:val="TableContents"/>
              <w:bidi w:val="0"/>
              <w:spacing w:before="0" w:after="283"/>
              <w:jc w:val="left"/>
              <w:rPr/>
            </w:pPr>
            <w:r>
              <w:rPr/>
              <w:t>)</w:t>
            </w:r>
            <w:bookmarkStart w:id="777" w:name="xdx_40D_eus-gaap--DeferredTaxAssetsLiabi"/>
            <w:bookmarkEnd w:id="777"/>
          </w:p>
        </w:tc>
      </w:tr>
      <w:tr>
        <w:trPr/>
        <w:tc>
          <w:tcPr>
            <w:tcW w:w="3695" w:type="dxa"/>
            <w:tcBorders/>
            <w:shd w:fill="CCEEFF" w:val="clear"/>
            <w:vAlign w:val="center"/>
          </w:tcPr>
          <w:p>
            <w:pPr>
              <w:pStyle w:val="TableContents"/>
              <w:bidi w:val="0"/>
              <w:spacing w:before="0" w:after="283"/>
              <w:jc w:val="left"/>
              <w:rPr/>
            </w:pPr>
            <w:r>
              <w:rPr/>
              <w:t>Net deferred tax asset (liability)</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78" w:name="xdx_8A5_zOL3Va914I9c"/>
      <w:bookmarkEnd w:id="77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and 2022, the Company had available Federal and state net operating loss carryforwards (“NOL”s) to reduce future taxable income. For Federal purposes the amounts available were approximately $</w:t>
      </w:r>
      <w:bookmarkStart w:id="779" w:name="xdx_900_eus-gaap--DeferredTaxAssetsOpera"/>
      <w:bookmarkEnd w:id="779"/>
      <w:r>
        <w:rPr>
          <w:rFonts w:ascii="Times New Roman;Times;Serif" w:hAnsi="Times New Roman;Times;Serif"/>
          <w:b w:val="false"/>
          <w:i w:val="false"/>
          <w:caps w:val="false"/>
          <w:smallCaps w:val="false"/>
          <w:sz w:val="20"/>
        </w:rPr>
        <w:t>98,000 ] and $</w:t>
      </w:r>
      <w:bookmarkStart w:id="780" w:name="xdx_905_eus-gaap--DeferredTaxAssetsOpera"/>
      <w:bookmarkEnd w:id="780"/>
      <w:r>
        <w:rPr>
          <w:rFonts w:ascii="Times New Roman;Times;Serif" w:hAnsi="Times New Roman;Times;Serif"/>
          <w:b w:val="false"/>
          <w:i w:val="false"/>
          <w:caps w:val="false"/>
          <w:smallCaps w:val="false"/>
          <w:sz w:val="20"/>
        </w:rPr>
        <w:t>92,000, respectively. For state purposes approximately $[</w:t>
      </w:r>
      <w:bookmarkStart w:id="781" w:name="xdx_90F_eus-gaap--DeferredTaxAssetsOpera"/>
      <w:bookmarkEnd w:id="781"/>
      <w:r>
        <w:rPr>
          <w:rFonts w:ascii="Times New Roman;Times;Serif" w:hAnsi="Times New Roman;Times;Serif"/>
          <w:b w:val="false"/>
          <w:i w:val="false"/>
          <w:caps w:val="false"/>
          <w:smallCaps w:val="false"/>
          <w:sz w:val="20"/>
        </w:rPr>
        <w:t>62,000]and $</w:t>
      </w:r>
      <w:bookmarkStart w:id="782" w:name="xdx_90E_eus-gaap--DeferredTaxAssetsOpera"/>
      <w:bookmarkEnd w:id="782"/>
      <w:r>
        <w:rPr>
          <w:rFonts w:ascii="Times New Roman;Times;Serif" w:hAnsi="Times New Roman;Times;Serif"/>
          <w:b w:val="false"/>
          <w:i w:val="false"/>
          <w:caps w:val="false"/>
          <w:smallCaps w:val="false"/>
          <w:sz w:val="20"/>
        </w:rPr>
        <w:t>49,000 was available at December 31, 2023 and 2022, respectively. The Federal carryforward for NOLs arising in years prior to 2018 is approximately $[</w:t>
      </w:r>
      <w:bookmarkStart w:id="783" w:name="xdx_909_eus-gaap--OperatingLossCarryforw"/>
      <w:bookmarkEnd w:id="783"/>
      <w:r>
        <w:rPr>
          <w:rFonts w:ascii="Times New Roman;Times;Serif" w:hAnsi="Times New Roman;Times;Serif"/>
          <w:b w:val="false"/>
          <w:i w:val="false"/>
          <w:caps w:val="false"/>
          <w:smallCaps w:val="false"/>
          <w:sz w:val="20"/>
        </w:rPr>
        <w:t>32,000], which expires on various dates through 2037. NOLs originating after 2017 of approximately $</w:t>
      </w:r>
      <w:bookmarkStart w:id="784" w:name="xdx_903_eus-gaap--OperatingLossCarryforw"/>
      <w:bookmarkEnd w:id="784"/>
      <w:r>
        <w:rPr>
          <w:rFonts w:ascii="Times New Roman;Times;Serif" w:hAnsi="Times New Roman;Times;Serif"/>
          <w:b w:val="false"/>
          <w:i w:val="false"/>
          <w:caps w:val="false"/>
          <w:smallCaps w:val="false"/>
          <w:sz w:val="20"/>
        </w:rPr>
        <w:t>66,000, can be carried forward indefinitely, but are only able to offset 80% of taxable income in future years. The state carryforward expires on various dates through 2043. Given the Company’s history of net operating losses, management has determined that it is more likely than not that the Company will not be able to realize the tax benefit of the carryforwards. Accordingly, the Company has not recognized a deferred tax asset for this benefit.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restrictions imposed by Internal Revenue Code Section 382 regarding substantial changes in ownership of companies with loss carryforwards, the utilization of the Company’s NOL may be limited as a result of changes in stock ownership. NOLs incurred subsequent to the latest change in control are not subject to the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tax benefits from uncertain tax positions only if it is more likely than not that the tax position will be sustained on examination by the taxing authorities, based on the technical merits of the position. The tax benefits recognized in the financial statements from such a position is measured based on the largest benefit that has a greater than fifty percent likelihood of being realized upon ultimate settlement. As of December 31, 2023 and 2022, the Company did not have a liability for unrecognized tax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as income tax expense, interest and penalties on uncertain tax provisions. As of December 31, 2023 and 2022, the Company has not accrued interest or penalties related to uncertain tax positions. As of the year ended December 31, 2023, the tax returns for 2020 through 2023 remain open to examination by the Internal Revenue Service and for 2019 to 2023 for various state taxing jurisdictions to which the Company is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attainment of taxable income by the Company, management will assess the likelihood of realizing the tax benefit associated with the use of the NOLs and will recognize the appropriate deferred tax asset at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5" w:name="xdx_80E_eus-gaap--RelatedPartyTransactio"/>
      <w:bookmarkEnd w:id="785"/>
      <w:r>
        <w:rPr>
          <w:rFonts w:ascii="Times New Roman;Times;Serif" w:hAnsi="Times New Roman;Times;Serif"/>
          <w:b/>
          <w:i w:val="false"/>
          <w:caps w:val="false"/>
          <w:smallCaps w:val="false"/>
          <w:sz w:val="20"/>
        </w:rPr>
        <w:t xml:space="preserve">13. </w:t>
      </w:r>
      <w:bookmarkStart w:id="786" w:name="xdx_822_zvKbwoTWVkF4"/>
      <w:bookmarkEnd w:id="786"/>
      <w:r>
        <w:rPr>
          <w:rFonts w:ascii="Times New Roman;Times;Serif" w:hAnsi="Times New Roman;Times;Serif"/>
          <w:b/>
          <w:i w:val="false"/>
          <w:caps w:val="false"/>
          <w:smallCaps w:val="false"/>
          <w:sz w:val="20"/>
        </w:rPr>
        <w:t>Transactions with California Custom Beverage, LLC, former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2018, the Company signed a co-packing agreement with California Custom Beverage, LLC’s (“CCB”), an entity owned by Christopher J. Reed, a former related party, pursuant to which CCB agreed to produce certain products for the Company for agreed fees. The co-packing agreement, as amended, includes certain provisions for product inputs, shrinkage, and quality assurance. Also beginning in 2019, CCB agreed to pay the Company a </w:t>
      </w:r>
      <w:bookmarkStart w:id="787" w:name="xdx_906_ecustom--RoyaltyPercentage_iI_dp"/>
      <w:bookmarkEnd w:id="787"/>
      <w:r>
        <w:rPr>
          <w:rFonts w:ascii="Times New Roman;Times;Serif" w:hAnsi="Times New Roman;Times;Serif"/>
          <w:b w:val="false"/>
          <w:i w:val="false"/>
          <w:caps w:val="false"/>
          <w:smallCaps w:val="false"/>
          <w:sz w:val="20"/>
        </w:rPr>
        <w:t>5% royalty through 2021 on certain private label sales made by CCB.</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and 2022, the Company incurred co-packing fees due to CCB of $</w:t>
      </w:r>
      <w:bookmarkStart w:id="788" w:name="xdx_90F_eus-gaap--OtherLiabilities_iI_pn"/>
      <w:bookmarkEnd w:id="788"/>
      <w:r>
        <w:rPr>
          <w:rFonts w:ascii="Times New Roman;Times;Serif" w:hAnsi="Times New Roman;Times;Serif"/>
          <w:b w:val="false"/>
          <w:i w:val="false"/>
          <w:caps w:val="false"/>
          <w:smallCaps w:val="false"/>
          <w:sz w:val="20"/>
        </w:rPr>
        <w:t>1,957 and $</w:t>
      </w:r>
      <w:bookmarkStart w:id="789" w:name="xdx_905_eus-gaap--OtherLiabilities_iI_pn"/>
      <w:bookmarkEnd w:id="789"/>
      <w:r>
        <w:rPr>
          <w:rFonts w:ascii="Times New Roman;Times;Serif" w:hAnsi="Times New Roman;Times;Serif"/>
          <w:b w:val="false"/>
          <w:i w:val="false"/>
          <w:caps w:val="false"/>
          <w:smallCaps w:val="false"/>
          <w:sz w:val="20"/>
        </w:rPr>
        <w:t>3,718, respectively, of which $</w:t>
      </w:r>
      <w:bookmarkStart w:id="790" w:name="xdx_90F_eus-gaap--NotesPayable_iI_pn3n3_"/>
      <w:bookmarkEnd w:id="790"/>
      <w:r>
        <w:rPr>
          <w:rFonts w:ascii="Times New Roman;Times;Serif" w:hAnsi="Times New Roman;Times;Serif"/>
          <w:b w:val="false"/>
          <w:i w:val="false"/>
          <w:caps w:val="false"/>
          <w:smallCaps w:val="false"/>
          <w:sz w:val="20"/>
        </w:rPr>
        <w:t>259 and $</w:t>
      </w:r>
      <w:bookmarkStart w:id="791" w:name="xdx_908_eus-gaap--NotesPayable_iI_pn3n3_"/>
      <w:bookmarkEnd w:id="791"/>
      <w:r>
        <w:rPr>
          <w:rFonts w:ascii="Times New Roman;Times;Serif" w:hAnsi="Times New Roman;Times;Serif"/>
          <w:b w:val="false"/>
          <w:i w:val="false"/>
          <w:caps w:val="false"/>
          <w:smallCaps w:val="false"/>
          <w:sz w:val="20"/>
        </w:rPr>
        <w:t>2,205, were payable to CCB as of December 31, 2023 and 2022. At December 31, 2023 and 2022, the Company had also recorded receivables from CCB of $</w:t>
      </w:r>
      <w:bookmarkStart w:id="792" w:name="xdx_90C_eus-gaap--ReceivablesNetCurrent_"/>
      <w:bookmarkEnd w:id="792"/>
      <w:r>
        <w:rPr>
          <w:rFonts w:ascii="Times New Roman;Times;Serif" w:hAnsi="Times New Roman;Times;Serif"/>
          <w:b w:val="false"/>
          <w:i w:val="false"/>
          <w:caps w:val="false"/>
          <w:smallCaps w:val="false"/>
          <w:sz w:val="20"/>
        </w:rPr>
        <w:t>1,382 and $</w:t>
      </w:r>
      <w:bookmarkStart w:id="793" w:name="xdx_90B_eus-gaap--ReceivablesNetCurrent_"/>
      <w:bookmarkEnd w:id="793"/>
      <w:r>
        <w:rPr>
          <w:rFonts w:ascii="Times New Roman;Times;Serif" w:hAnsi="Times New Roman;Times;Serif"/>
          <w:b w:val="false"/>
          <w:i w:val="false"/>
          <w:caps w:val="false"/>
          <w:smallCaps w:val="false"/>
          <w:sz w:val="20"/>
        </w:rPr>
        <w:t>1,315, respectively, including royalty receivable of $</w:t>
      </w:r>
      <w:bookmarkStart w:id="794" w:name="xdx_906_ecustom--RoyaltyReceivable_pn3n3"/>
      <w:bookmarkStart w:id="795" w:name="xdx_904_ecustom--RoyaltyReceivable_pn3n3"/>
      <w:bookmarkEnd w:id="794"/>
      <w:bookmarkEnd w:id="795"/>
      <w:r>
        <w:rPr>
          <w:rFonts w:ascii="Times New Roman;Times;Serif" w:hAnsi="Times New Roman;Times;Serif"/>
          <w:b w:val="false"/>
          <w:i w:val="false"/>
          <w:caps w:val="false"/>
          <w:smallCaps w:val="false"/>
          <w:sz w:val="20"/>
        </w:rPr>
        <w:t>297, and the balance for charge backs of certain costs management determined were permittable under the co-packing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2022, CCB disputed that it owes $</w:t>
      </w:r>
      <w:bookmarkStart w:id="796" w:name="xdx_90E_ecustom--RelatedPartyTransaction"/>
      <w:bookmarkEnd w:id="796"/>
      <w:r>
        <w:rPr>
          <w:rFonts w:ascii="Times New Roman;Times;Serif" w:hAnsi="Times New Roman;Times;Serif"/>
          <w:b w:val="false"/>
          <w:i w:val="false"/>
          <w:caps w:val="false"/>
          <w:smallCaps w:val="false"/>
          <w:sz w:val="20"/>
        </w:rPr>
        <w:t>1,043 of the $</w:t>
      </w:r>
      <w:bookmarkStart w:id="797" w:name="xdx_90E_eus-gaap--ReceivablesNetCurrent_"/>
      <w:bookmarkEnd w:id="797"/>
      <w:r>
        <w:rPr>
          <w:rFonts w:ascii="Times New Roman;Times;Serif" w:hAnsi="Times New Roman;Times;Serif"/>
          <w:b w:val="false"/>
          <w:i w:val="false"/>
          <w:caps w:val="false"/>
          <w:smallCaps w:val="false"/>
          <w:sz w:val="20"/>
        </w:rPr>
        <w:t>1,315 recorded as receivable by the Company. The Company believes that it will prevail in this dispute, however, as of December 31, 2023 and 2022, due to the uncertainty about the ultimate amount that will be settled, the Company has provided a reserve for $</w:t>
      </w:r>
      <w:bookmarkStart w:id="798" w:name="xdx_908_ecustom--ProvisionForReceivableW"/>
      <w:bookmarkEnd w:id="798"/>
      <w:r>
        <w:rPr>
          <w:rFonts w:ascii="Times New Roman;Times;Serif" w:hAnsi="Times New Roman;Times;Serif"/>
          <w:b w:val="false"/>
          <w:i w:val="false"/>
          <w:caps w:val="false"/>
          <w:smallCaps w:val="false"/>
          <w:sz w:val="20"/>
        </w:rPr>
        <w:t>1,123 and $</w:t>
      </w:r>
      <w:bookmarkStart w:id="799" w:name="xdx_909_ecustom--ProvisionForReceivableW"/>
      <w:bookmarkEnd w:id="799"/>
      <w:r>
        <w:rPr>
          <w:rFonts w:ascii="Times New Roman;Times;Serif" w:hAnsi="Times New Roman;Times;Serif"/>
          <w:b w:val="false"/>
          <w:i w:val="false"/>
          <w:caps w:val="false"/>
          <w:smallCaps w:val="false"/>
          <w:sz w:val="20"/>
        </w:rPr>
        <w:t>538, respectively, based on management’s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00" w:name="xdx_89C_eus-gaap--ScheduleOfRelatedParty"/>
      <w:bookmarkEnd w:id="800"/>
      <w:r>
        <w:rPr>
          <w:rFonts w:ascii="Times New Roman;Times;Serif" w:hAnsi="Times New Roman;Times;Serif"/>
          <w:b w:val="false"/>
          <w:i w:val="false"/>
          <w:caps w:val="false"/>
          <w:smallCaps w:val="false"/>
          <w:sz w:val="20"/>
        </w:rPr>
        <w:t>At December 31, 2023 and 2022, accounts receivable due from and accounts payable due to CCB were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01" w:name="xdx_8BF_zL3ZPgx7YK94"/>
      <w:bookmarkEnd w:id="801"/>
      <w:r>
        <w:rPr>
          <w:rFonts w:ascii="Times New Roman;Times;Serif" w:hAnsi="Times New Roman;Times;Serif"/>
          <w:b w:val="false"/>
          <w:i w:val="false"/>
          <w:caps w:val="false"/>
          <w:smallCaps w:val="false"/>
          <w:sz w:val="20"/>
        </w:rPr>
        <w:t>Schedule of Related Parties</w:t>
      </w:r>
    </w:p>
    <w:tbl>
      <w:tblPr>
        <w:tblW w:w="10205" w:type="dxa"/>
        <w:jc w:val="left"/>
        <w:tblInd w:w="0" w:type="dxa"/>
        <w:tblLayout w:type="fixed"/>
        <w:tblCellMar>
          <w:top w:w="0" w:type="dxa"/>
          <w:left w:w="0" w:type="dxa"/>
          <w:bottom w:w="0" w:type="dxa"/>
          <w:right w:w="0" w:type="dxa"/>
        </w:tblCellMar>
      </w:tblPr>
      <w:tblGrid>
        <w:gridCol w:w="7678"/>
        <w:gridCol w:w="60"/>
        <w:gridCol w:w="126"/>
        <w:gridCol w:w="974"/>
        <w:gridCol w:w="95"/>
        <w:gridCol w:w="60"/>
        <w:gridCol w:w="93"/>
        <w:gridCol w:w="1006"/>
        <w:gridCol w:w="113"/>
      </w:tblGrid>
      <w:tr>
        <w:trPr/>
        <w:tc>
          <w:tcPr>
            <w:tcW w:w="76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802" w:name="xdx_499_20230101__20231231_z95Na1wtzZ3l"/>
            <w:bookmarkEnd w:id="802"/>
          </w:p>
        </w:tc>
        <w:tc>
          <w:tcPr>
            <w:tcW w:w="110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3" w:name="xdx_498_20220101__20221231_z6km6wyiuth8"/>
            <w:bookmarkEnd w:id="803"/>
          </w:p>
        </w:tc>
        <w:tc>
          <w:tcPr>
            <w:tcW w:w="109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13" w:type="dxa"/>
            <w:tcBorders/>
            <w:vAlign w:val="center"/>
          </w:tcPr>
          <w:p>
            <w:pPr>
              <w:pStyle w:val="TableContents"/>
              <w:bidi w:val="0"/>
              <w:spacing w:before="0" w:after="283"/>
              <w:jc w:val="left"/>
              <w:rPr/>
            </w:pPr>
            <w:r>
              <w:rPr/>
              <w:t> </w:t>
            </w:r>
            <w:bookmarkStart w:id="804" w:name="xdx_40C_eus-gaap--ProceedsFromRelatedPar"/>
            <w:bookmarkEnd w:id="804"/>
          </w:p>
        </w:tc>
      </w:tr>
      <w:tr>
        <w:trPr/>
        <w:tc>
          <w:tcPr>
            <w:tcW w:w="7678" w:type="dxa"/>
            <w:tcBorders/>
            <w:shd w:fill="CCEEFF" w:val="clear"/>
            <w:vAlign w:val="center"/>
          </w:tcPr>
          <w:p>
            <w:pPr>
              <w:pStyle w:val="TableContents"/>
              <w:bidi w:val="0"/>
              <w:spacing w:before="0" w:after="283"/>
              <w:jc w:val="left"/>
              <w:rPr/>
            </w:pPr>
            <w:r>
              <w:rPr/>
              <w:t>Accounts receivable, net of provision of $</w:t>
            </w:r>
            <w:bookmarkStart w:id="805" w:name="xdx_90E_eus-gaap--AllowanceForDoubtfulAc"/>
            <w:bookmarkEnd w:id="805"/>
            <w:r>
              <w:rPr/>
              <w:t>1,123 and $</w:t>
            </w:r>
            <w:bookmarkStart w:id="806" w:name="xdx_902_eus-gaap--AllowanceForDoubtfulAc"/>
            <w:bookmarkEnd w:id="806"/>
            <w:r>
              <w:rPr/>
              <w:t>538 at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777</w:t>
            </w:r>
          </w:p>
        </w:tc>
        <w:tc>
          <w:tcPr>
            <w:tcW w:w="113" w:type="dxa"/>
            <w:tcBorders/>
            <w:shd w:fill="CCEEFF" w:val="clear"/>
            <w:vAlign w:val="center"/>
          </w:tcPr>
          <w:p>
            <w:pPr>
              <w:pStyle w:val="TableContents"/>
              <w:bidi w:val="0"/>
              <w:spacing w:before="0" w:after="283"/>
              <w:jc w:val="left"/>
              <w:rPr/>
            </w:pPr>
            <w:r>
              <w:rPr/>
              <w:t> </w:t>
            </w:r>
            <w:bookmarkStart w:id="807" w:name="xdx_40C_eus-gaap--RepaymentsOfRelatedPar"/>
            <w:bookmarkEnd w:id="807"/>
          </w:p>
        </w:tc>
      </w:tr>
      <w:tr>
        <w:trPr/>
        <w:tc>
          <w:tcPr>
            <w:tcW w:w="7678"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FFFFFF" w:val="clear"/>
            <w:tcMar>
              <w:bottom w:w="28" w:type="dxa"/>
            </w:tcMar>
            <w:vAlign w:val="center"/>
          </w:tcPr>
          <w:p>
            <w:pPr>
              <w:pStyle w:val="TableContents"/>
              <w:bidi w:val="0"/>
              <w:spacing w:before="0" w:after="283"/>
              <w:jc w:val="right"/>
              <w:rPr/>
            </w:pPr>
            <w:r>
              <w:rPr/>
              <w:t>(259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FFFFFF" w:val="clear"/>
            <w:tcMar>
              <w:bottom w:w="28" w:type="dxa"/>
            </w:tcMar>
            <w:vAlign w:val="center"/>
          </w:tcPr>
          <w:p>
            <w:pPr>
              <w:pStyle w:val="TableContents"/>
              <w:bidi w:val="0"/>
              <w:spacing w:before="0" w:after="283"/>
              <w:jc w:val="right"/>
              <w:rPr/>
            </w:pPr>
            <w:r>
              <w:rPr/>
              <w:t>(2,025</w:t>
            </w:r>
          </w:p>
        </w:tc>
        <w:tc>
          <w:tcPr>
            <w:tcW w:w="113" w:type="dxa"/>
            <w:tcBorders/>
            <w:shd w:fill="FFFFFF" w:val="clear"/>
            <w:vAlign w:val="center"/>
          </w:tcPr>
          <w:p>
            <w:pPr>
              <w:pStyle w:val="TableContents"/>
              <w:bidi w:val="0"/>
              <w:spacing w:before="0" w:after="283"/>
              <w:jc w:val="left"/>
              <w:rPr/>
            </w:pPr>
            <w:r>
              <w:rPr/>
              <w:t>)</w:t>
            </w:r>
            <w:bookmarkStart w:id="808" w:name="xdx_402_eus-gaap--RelatedPartyTransactio"/>
            <w:bookmarkEnd w:id="808"/>
          </w:p>
        </w:tc>
      </w:tr>
      <w:tr>
        <w:trPr/>
        <w:tc>
          <w:tcPr>
            <w:tcW w:w="7678" w:type="dxa"/>
            <w:tcBorders/>
            <w:shd w:fill="CCEEFF" w:val="clear"/>
            <w:vAlign w:val="center"/>
          </w:tcPr>
          <w:p>
            <w:pPr>
              <w:pStyle w:val="TableContents"/>
              <w:bidi w:val="0"/>
              <w:spacing w:before="0" w:after="283"/>
              <w:jc w:val="both"/>
              <w:rPr/>
            </w:pPr>
            <w:r>
              <w:rPr/>
              <w:t>Net (payable) receivable</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center"/>
          </w:tcPr>
          <w:p>
            <w:pPr>
              <w:pStyle w:val="TableContents"/>
              <w:bidi w:val="0"/>
              <w:spacing w:before="0" w:after="283"/>
              <w:jc w:val="right"/>
              <w:rPr/>
            </w:pPr>
            <w:r>
              <w:rPr/>
              <w:t>(1,248</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809" w:name="xdx_8A1_zsNmqLKVy4hj"/>
      <w:bookmarkEnd w:id="80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April 19, 2023, the Company received a letter from CCB demanding payment of various amounts, including the $</w:t>
      </w:r>
      <w:bookmarkStart w:id="810" w:name="xdx_909_eus-gaap--RepaymentsOfRelatedPar"/>
      <w:bookmarkEnd w:id="810"/>
      <w:r>
        <w:rPr>
          <w:rFonts w:ascii="Times New Roman;Times;Serif" w:hAnsi="Times New Roman;Times;Serif"/>
          <w:b w:val="false"/>
          <w:i w:val="false"/>
          <w:caps w:val="false"/>
          <w:smallCaps w:val="false"/>
          <w:sz w:val="20"/>
        </w:rPr>
        <w:t>452 and $</w:t>
      </w:r>
      <w:bookmarkStart w:id="811" w:name="xdx_900_eus-gaap--RepaymentsOfRelatedPar"/>
      <w:bookmarkEnd w:id="811"/>
      <w:r>
        <w:rPr>
          <w:rFonts w:ascii="Times New Roman;Times;Serif" w:hAnsi="Times New Roman;Times;Serif"/>
          <w:b w:val="false"/>
          <w:i w:val="false"/>
          <w:caps w:val="false"/>
          <w:smallCaps w:val="false"/>
          <w:sz w:val="20"/>
        </w:rPr>
        <w:t>2,025 outstanding at December 31, 2023 and 2022, respectively. The Company has determined that the probability of realizing any loss on the demand from CCB is remote and therefore has not recorded any additional accruals related to the demand.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2" w:name="xdx_801_eus-gaap--CommitmentsAndContinge"/>
      <w:bookmarkEnd w:id="812"/>
      <w:r>
        <w:rPr>
          <w:rFonts w:ascii="Times New Roman;Times;Serif" w:hAnsi="Times New Roman;Times;Serif"/>
          <w:b/>
          <w:i w:val="false"/>
          <w:caps w:val="false"/>
          <w:smallCaps w:val="false"/>
          <w:sz w:val="20"/>
        </w:rPr>
        <w:t xml:space="preserve">14. </w:t>
      </w:r>
      <w:bookmarkStart w:id="813" w:name="xdx_821_zpF6ufwy83s9"/>
      <w:bookmarkEnd w:id="813"/>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CCB assumed the monthly payments on our lease obligation for a Los Angeles manufacturing plant, and our release from the obligation by the lessor, however, is dependent upon CCB’s deposit of $</w:t>
      </w:r>
      <w:bookmarkStart w:id="814" w:name="xdx_90C_eus-gaap--SecurityDeposit_iI_pn3"/>
      <w:bookmarkEnd w:id="814"/>
      <w:r>
        <w:rPr>
          <w:rFonts w:ascii="Times New Roman;Times;Serif" w:hAnsi="Times New Roman;Times;Serif"/>
          <w:b w:val="false"/>
          <w:i w:val="false"/>
          <w:caps w:val="false"/>
          <w:smallCaps w:val="false"/>
          <w:sz w:val="20"/>
        </w:rPr>
        <w:t>1,200 of security with the lessor. As of December 31, 2023, $</w:t>
      </w:r>
      <w:bookmarkStart w:id="815" w:name="xdx_90E_eus-gaap--SecurityDeposit_iI_pn3"/>
      <w:bookmarkEnd w:id="815"/>
      <w:r>
        <w:rPr>
          <w:rFonts w:ascii="Times New Roman;Times;Serif" w:hAnsi="Times New Roman;Times;Serif"/>
          <w:b w:val="false"/>
          <w:i w:val="false"/>
          <w:caps w:val="false"/>
          <w:smallCaps w:val="false"/>
          <w:sz w:val="20"/>
        </w:rPr>
        <w:t xml:space="preserve">800 has been deposited with the lessor and Chris J. Reed has placed approximately </w:t>
      </w:r>
      <w:bookmarkStart w:id="816" w:name="xdx_90B_eus-gaap--StockIssuedDuringPerio"/>
      <w:bookmarkEnd w:id="816"/>
      <w:r>
        <w:rPr>
          <w:rFonts w:ascii="Times New Roman;Times;Serif" w:hAnsi="Times New Roman;Times;Serif"/>
          <w:b w:val="false"/>
          <w:i w:val="false"/>
          <w:caps w:val="false"/>
          <w:smallCaps w:val="false"/>
          <w:sz w:val="20"/>
        </w:rPr>
        <w:t>7,260 shares of the Company’s common stock valued at $</w:t>
      </w:r>
      <w:bookmarkStart w:id="817" w:name="xdx_902_eus-gaap--EscrowDeposit_iI_pn3n3"/>
      <w:bookmarkEnd w:id="817"/>
      <w:r>
        <w:rPr>
          <w:rFonts w:ascii="Times New Roman;Times;Serif" w:hAnsi="Times New Roman;Times;Serif"/>
          <w:b w:val="false"/>
          <w:i w:val="false"/>
          <w:caps w:val="false"/>
          <w:smallCaps w:val="false"/>
          <w:sz w:val="20"/>
        </w:rPr>
        <w:t>12 that remain in escrow with the lessor.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are no material litigation matters at the current time. Although the results of such litigation matters and claims cannot be predicted with certainty, we believe that the final outcome of such claims and proceedings will not have a material adverse impact on our financial position, liquidity,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8" w:name="xdx_80C_eus-gaap--SubsequentEventsTextBl"/>
      <w:bookmarkEnd w:id="818"/>
      <w:r>
        <w:rPr>
          <w:rFonts w:ascii="Times New Roman;Times;Serif" w:hAnsi="Times New Roman;Times;Serif"/>
          <w:b/>
          <w:i w:val="false"/>
          <w:caps w:val="false"/>
          <w:smallCaps w:val="false"/>
          <w:sz w:val="20"/>
        </w:rPr>
        <w:t xml:space="preserve">15. </w:t>
      </w:r>
      <w:bookmarkStart w:id="819" w:name="xdx_820_z5NMfBDE0bg1"/>
      <w:bookmarkEnd w:id="819"/>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Simple Agreements for Future Equity (“SAFE”) investments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2024, the Company received $</w:t>
      </w:r>
      <w:bookmarkStart w:id="820" w:name="xdx_901_eus-gaap--ProceedsFromRelatedPar"/>
      <w:bookmarkEnd w:id="820"/>
      <w:r>
        <w:rPr>
          <w:rFonts w:ascii="Times New Roman;Times;Serif" w:hAnsi="Times New Roman;Times;Serif"/>
          <w:b w:val="false"/>
          <w:i w:val="false"/>
          <w:caps w:val="false"/>
          <w:smallCaps w:val="false"/>
          <w:sz w:val="20"/>
        </w:rPr>
        <w:t xml:space="preserve">4.1 million in gross proceeds from two significant </w:t>
      </w:r>
      <w:r>
        <w:rPr>
          <w:rFonts w:ascii="Times New Roman;Times;Serif" w:hAnsi="Times New Roman;Times;Serif"/>
          <w:b w:val="false"/>
          <w:i w:val="false"/>
          <w:caps w:val="false"/>
          <w:smallCaps w:val="false"/>
          <w:sz w:val="20"/>
          <w:u w:val="single"/>
        </w:rPr>
        <w:t>Simple Agreements for Future Equity (“SAFE”) investments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2024, the company received $</w:t>
      </w:r>
      <w:bookmarkStart w:id="821" w:name="xdx_900_eus-gaap--ProceedsFromRelatedPar"/>
      <w:bookmarkEnd w:id="821"/>
      <w:r>
        <w:rPr>
          <w:rFonts w:ascii="Times New Roman;Times;Serif" w:hAnsi="Times New Roman;Times;Serif"/>
          <w:b w:val="false"/>
          <w:i w:val="false"/>
          <w:caps w:val="false"/>
          <w:smallCaps w:val="false"/>
          <w:sz w:val="20"/>
        </w:rPr>
        <w:t>4.1 million in gross proceeds from three significant stockholders of the Company, D&amp;D Source of Life Holding LTD (“D&amp;D”) and Union Square Park Partners LLP, and John J. Bello, the Company’s Chairman, pursuant to Simple Agreements for Future Equity (“SAFE”) agreements. The SAFE investments will convert into the next equity financing of Reed’s on the same terms and conditions as investors in Reed’s next equity financing at the lesser of $</w:t>
      </w:r>
      <w:bookmarkStart w:id="822" w:name="xdx_905_eus-gaap--SharePrice_iI_pid_c202"/>
      <w:bookmarkEnd w:id="822"/>
      <w:r>
        <w:rPr>
          <w:rFonts w:ascii="Times New Roman;Times;Serif" w:hAnsi="Times New Roman;Times;Serif"/>
          <w:b w:val="false"/>
          <w:i w:val="false"/>
          <w:caps w:val="false"/>
          <w:smallCaps w:val="false"/>
          <w:sz w:val="20"/>
        </w:rPr>
        <w:t>1.50 per share or the per share price in the financing. Until such time as the SAFE investments convert to equity the approximately $</w:t>
      </w:r>
      <w:bookmarkStart w:id="823" w:name="xdx_90A_eus-gaap--ProceedsFromRelatedPar"/>
      <w:bookmarkEnd w:id="823"/>
      <w:r>
        <w:rPr>
          <w:rFonts w:ascii="Times New Roman;Times;Serif" w:hAnsi="Times New Roman;Times;Serif"/>
          <w:b w:val="false"/>
          <w:i w:val="false"/>
          <w:caps w:val="false"/>
          <w:smallCaps w:val="false"/>
          <w:sz w:val="20"/>
        </w:rPr>
        <w:t>4.1 million received is recorded as a liability. D&amp;D was given the right to designate a second independent director nominee to the board of directors of Reed’s and the company agreed to limit the size of its board of directors to nine (9) for so long as D&amp;D owns 25% or more of the equity securities of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Limited Waiver, Deferral, and Amendment and Restatement of Secured Convertible Notes Payable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2024, Reed’s entered into a Limited Waiver, Deferral, and Amendment and Restatement Agreement (the “Waiver and Amendment”) with each holder of the Notes payable to Whitebox (see Note 7). Subject to the Waiver and Amendment, the holders agreed to temporarily waive certain events of default under the Notes, including the failure to pay Excess ABL Amounts and the failure to pay amortization payments due December 1, 2023 to April 30, 2024, and to waive the maturity date of the Option Notes originally due through November 28, 2023, to April 30,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the date of these financial statements, the Company and Whitebox have tentatively agreed to amend and restate the Notes in full to provide, among other things, the following: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Original 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24" w:name="xdx_90B_eus-gaap--DebtInstrumentInterest"/>
            <w:bookmarkEnd w:id="824"/>
            <w:r>
              <w:rPr>
                <w:rFonts w:ascii="Times New Roman;Times;Serif" w:hAnsi="Times New Roman;Times;Serif"/>
                <w:b w:val="false"/>
                <w:i w:val="false"/>
                <w:caps w:val="false"/>
                <w:smallCaps w:val="false"/>
                <w:sz w:val="20"/>
              </w:rPr>
              <w:t>The conversion price of the Original Notes will be amended to be between 125% and 145% of the effective price of the company’s subsequent equity offering, with the premium set based on the aggregate gross proceeds realized by the company in the offering and the conversion price subject to a cap of $7.50 per share.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the outstanding ABL accrued fees will be satisfied through payment of $</w:t>
            </w:r>
            <w:bookmarkStart w:id="825" w:name="xdx_909_eus-gaap--StockIssuedDuringPerio"/>
            <w:bookmarkEnd w:id="825"/>
            <w:r>
              <w:rPr>
                <w:rFonts w:ascii="Times New Roman;Times;Serif" w:hAnsi="Times New Roman;Times;Serif"/>
                <w:b w:val="false"/>
                <w:i w:val="false"/>
                <w:caps w:val="false"/>
                <w:smallCaps w:val="false"/>
                <w:sz w:val="20"/>
              </w:rPr>
              <w:t>132 in cash and the issuance of shares of the company’s common stock (up to the beneficial ownership limitation applicable to each holder) at a value per share equal to the lesser of $</w:t>
            </w:r>
            <w:bookmarkStart w:id="826" w:name="xdx_906_eus-gaap--SharePrice_iI_pid_c202"/>
            <w:bookmarkEnd w:id="826"/>
            <w:r>
              <w:rPr>
                <w:rFonts w:ascii="Times New Roman;Times;Serif" w:hAnsi="Times New Roman;Times;Serif"/>
                <w:b w:val="false"/>
                <w:i w:val="false"/>
                <w:caps w:val="false"/>
                <w:smallCaps w:val="false"/>
                <w:sz w:val="20"/>
              </w:rPr>
              <w:t>1.50 or the per share price of securities issued in the company’s subsequent equity offering. The remaining balance of any outstanding accrued ABL fees will be added to the principal amount of the Notes. The $</w:t>
            </w:r>
            <w:bookmarkStart w:id="827" w:name="xdx_909_eus-gaap--StockIssuedDuringPerio"/>
            <w:bookmarkEnd w:id="827"/>
            <w:r>
              <w:rPr>
                <w:rFonts w:ascii="Times New Roman;Times;Serif" w:hAnsi="Times New Roman;Times;Serif"/>
                <w:b w:val="false"/>
                <w:i w:val="false"/>
                <w:caps w:val="false"/>
                <w:smallCaps w:val="false"/>
                <w:sz w:val="20"/>
              </w:rPr>
              <w:t>132 has not been paid nor any shares issued as of the date of these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Option 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of the Option Notes will be amended to March 31,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28" w:name="xdx_90B_eus-gaap--DebtInstrumentInterest"/>
            <w:bookmarkEnd w:id="828"/>
            <w:r>
              <w:rPr>
                <w:rFonts w:ascii="Times New Roman;Times;Serif" w:hAnsi="Times New Roman;Times;Serif"/>
                <w:b w:val="false"/>
                <w:i w:val="false"/>
                <w:caps w:val="false"/>
                <w:smallCaps w:val="false"/>
                <w:sz w:val="20"/>
              </w:rPr>
              <w:t>The conversion price of the Option Notes will be amended to 120% of the arithmetic average of the Daily VWAP for the five (5) VWAP Trading Days beginning on, and including, the VWAP Trading Day immediately following the consummation of an equity offering undertaken for purposes of satisfying the terms and conditions of the Waiver and Amendment.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29" w:name="xdx_90F_eus-gaap--DebtInstrumentInterest"/>
            <w:bookmarkEnd w:id="829"/>
            <w:r>
              <w:rPr>
                <w:rFonts w:ascii="Times New Roman;Times;Serif" w:hAnsi="Times New Roman;Times;Serif"/>
                <w:b w:val="false"/>
                <w:i w:val="false"/>
                <w:caps w:val="false"/>
                <w:smallCaps w:val="false"/>
                <w:sz w:val="20"/>
              </w:rPr>
              <w:t>The Option Notes shall bear interest at a rate of 10% per annum, with 5% per annum payable in cash and 5% per annum payable “in kind” by adding such PIK interest to the unpaid principal amount.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the right at any time prior to the date that is the 180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from the effective date to prepay the amended and restated Option Notes, in whole or in part, at a price equal to 102% of the principal amount plus all accrued and unpaid interest thereon to the date of prepayment.</w:t>
            </w:r>
          </w:p>
        </w:tc>
      </w:tr>
    </w:tbl>
    <w:p>
      <w:pPr>
        <w:pStyle w:val="TextBody"/>
        <w:bidi w:val="0"/>
        <w:spacing w:before="0" w:after="0"/>
        <w:ind w:left="720" w:right="0" w:hanging="360"/>
        <w:jc w:val="both"/>
        <w:rPr>
          <w:caps w:val="false"/>
          <w:smallCaps w:val="false"/>
        </w:rPr>
      </w:pPr>
      <w:bookmarkStart w:id="830" w:name="xdx_819_zHtEAUuSjHmj"/>
      <w:bookmarkEnd w:id="83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1" w:name="MS_015"/>
      <w:bookmarkEnd w:id="831"/>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2" w:name="MS_016"/>
      <w:bookmarkEnd w:id="832"/>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and our Chief Financial Officer, we conducted an evaluation of our disclosure controls and procedures (as defined in Rules 13a-15€ and 15d-15€ under the Securities Exchange Act of 1934, as amended (the “Exchange Act”). Based on this evaluation, our Chief Executive Officer and our Chief Financial Officer concluded that the Company’s disclosure controls and procedures were effective as of December 31, 2023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Annual Report on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management is responsible for establishing and maintaining adequate internal control over financial reporting (as defined in Rules 13a-15(f) and 15d-15(f) under the Exchange Act). Our management, with the participation of our Chief Executive Officer and Chief Financial Officer and the oversight of our audit committee, has evaluated the effectiveness of our internal control over financial reporting as of December 31, 2023. In assessing the effectiveness of our internal control over financial reporting, our management used the framework established in </w:t>
      </w:r>
      <w:r>
        <w:rPr>
          <w:rFonts w:ascii="Times New Roman;Times;Serif" w:hAnsi="Times New Roman;Times;Serif"/>
          <w:b w:val="false"/>
          <w:i/>
          <w:caps w:val="false"/>
          <w:smallCaps w:val="false"/>
          <w:sz w:val="20"/>
        </w:rPr>
        <w:t xml:space="preserve">Internal Control Integrated Framework </w:t>
      </w:r>
      <w:r>
        <w:rPr>
          <w:rFonts w:ascii="Times New Roman;Times;Serif" w:hAnsi="Times New Roman;Times;Serif"/>
          <w:b w:val="false"/>
          <w:i w:val="false"/>
          <w:caps w:val="false"/>
          <w:smallCaps w:val="false"/>
          <w:sz w:val="20"/>
        </w:rPr>
        <w:t>(2013) issued by the Committee of Sponsoring Organizations of the Treadway Commission (COSO). Based on that evaluation, our management has concluded that our internal control over financial reporting was effective as of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contain an attestation report of our independent registered public accounting firm related to internal control over financial reporting because the rules for smaller reporting companies provide an exemption from the attestation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during the year ended December 31, 2022,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3" w:name="MS_017"/>
      <w:bookmarkEnd w:id="833"/>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 to Limited Waiver, Deferral, and Amendment and Restatement Agreement dated February 12, 2024</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2024, Reed’s entered into a Limited Waiver, Deferral, and Amendment and Restatement Agreement (the “Waiver and Amendment”) with each holder of the Notes payable to Whitebox (see Note 7). Subject to the Waiver and Amendment, the holders agreed to temporarily waive certain events of default under the Notes, including the failure to pay Excess ABL Amounts and the failure to pay amortization payments due December 1, 2023 to April 30, 2024, and to waive the maturity date of the Option Notes originally due through November 28, 2023, to April 30,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the date of these financial statements, the Company and Whitebox have tentatively agreed to amend and restate the Notes in full to provide, among other things, the following: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Original 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of the Original Notes will be amended to be between 125% and 145% of the effective price of the company’s subsequent equity offering, with the premium set based on the aggregate gross proceeds realized by the company in the offering and the conversion price subject to a cap of $7.50 per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the outstanding ABL accrued fees will be satisfied through payment of $132 in cash and the issuance of shares of the company’s common stock (up to the beneficial ownership limitation applicable to each holder) at a value per share equal to the lesser of $1.50 or the per share price of securities issued in the company’s subsequent equity offering. The remaining balance of any outstanding accrued ABL fees will be added to the principal amount of the Notes. The $132 has not been paid nor any shares issued as of the date of these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Option 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of the Option Notes will be amended to March 31,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of the Option Notes will be amended to 120% of the arithmetic average of the Daily VWAP for the five (5) VWAP Trading Days beginning on, and including, the VWAP Trading Day immediately following the consummation of an equity offering undertaken for purposes of satisfying the terms and conditions of the Waiver and Amendment.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Notes shall bear interest at a rate of 10% per annum, with 5% per annum payable in cash and 5% per annum payable “in kind” by adding such PIK interest to the unpaid principal amount.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the right at any time prior to the date that is the 180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from the effective date to prepay the amended and restated Option Notes, in whole or in part, at a price equal to 102% of the principal amount plus all accrued and unpaid interest thereon to the date of prepayment.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SAFE Investment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7, 2023, John J. Bello funded $300,000 to Reed’s through a Simple Agreements for Future Equity (“SAFE”) investment. The SAFE investment convert into the next equity financing of Reed’s on the same terms and conditions as investors in Reed’s next equity financing, subject to certain limitations and conditions. The SAFE has not been registered under the Securities Act of 1933, as amended (the “Securities Act”) and instead was offered pursuant to the exemption provided in Section 4(a)(2) under the Securities Act on the basis that there was no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10b5-1 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16 weeks ended December 30, 2023, none of our directors or executive officers adopted, modified or terminated a “Rule 10b5-1 trading arrangement” or a “non-Rule 10b5-1 trading arrangement” as such terms are defined under Item 408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4" w:name="MS_018"/>
      <w:bookmarkEnd w:id="834"/>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35" w:name="MS_019"/>
      <w:bookmarkEnd w:id="835"/>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6" w:name="MS_020"/>
      <w:bookmarkEnd w:id="836"/>
      <w:r>
        <w:rPr>
          <w:rFonts w:ascii="Times New Roman;Times;Serif" w:hAnsi="Times New Roman;Times;Serif"/>
          <w:b/>
          <w:i w:val="false"/>
          <w:caps w:val="false"/>
          <w:smallCaps w:val="false"/>
          <w:sz w:val="20"/>
        </w:rPr>
        <w:t>Item 10. Directors, Executive Officers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and Corporate 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current directors have terms which will end at the next annual meeting of the stockholders and until each of their successors is elected and qualified. The following table sets forth certain information with respect to our current directors and executive officers as of date of this Annual Report: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82"/>
        <w:gridCol w:w="60"/>
        <w:gridCol w:w="8037"/>
        <w:gridCol w:w="60"/>
        <w:gridCol w:w="366"/>
      </w:tblGrid>
      <w:tr>
        <w:trPr/>
        <w:tc>
          <w:tcPr>
            <w:tcW w:w="1682"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37"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r>
      <w:tr>
        <w:trPr/>
        <w:tc>
          <w:tcPr>
            <w:tcW w:w="16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3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6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Joann Tinnelly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3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6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Burleson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3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Commercial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6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J. Bello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3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68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Lewis Jaffe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3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Chairman of Governance Committee, Member of Audit and Compensation Committee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168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W. Kosler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3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Chairman of the Audit Committee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168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 Imbrogno, Jr.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3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Chairman of Compensation Committee and member of Audit Committee and Governance Committee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168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Shufeng Deng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3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Chairman of Board and Chairman of Asian Operations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68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Randle Lee Edwards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3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Experience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Norman E. Snyder, Jr.</w:t>
      </w:r>
      <w:r>
        <w:rPr>
          <w:rFonts w:ascii="Times New Roman;Times;Serif" w:hAnsi="Times New Roman;Times;Serif"/>
          <w:b w:val="false"/>
          <w:i w:val="false"/>
          <w:caps w:val="false"/>
          <w:smallCaps w:val="false"/>
          <w:sz w:val="20"/>
        </w:rPr>
        <w:t xml:space="preserve"> was appointed as Chief Executive Officer and director of Reed’s effective March 1, 2020. Prior to his promotion, Mr. Snyder served as Chief Operating Officer of Reed’s from September 2019 through February 29, 2020. Prior to joining Reed’s, Mr. Snyder served as President and Chief Executive Office for Avitae USA, LLC, an emerging premium new age beverage company that markets and sells a line of ready-to-drink caffeinated waters. Prior to Avitae, he served as the President and Chief Operating Officer for Adina For Life, Inc., President and Chief Executive Officer of High Falls Brewing Company, and Chief Financial Officer, and later Chief Operating Officer of South Beach Beverage Company, known as SoBe. In prior experience, Mr. Snyder served as Controller for National Football League Properties, Inc., and in various roles at PriceWaterhouseCoopers during an eight-year tenure. Mr. Snyder earned a B.S. in Accounting from the State University of New York at Albany.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Joann Tinnelly</w:t>
      </w:r>
      <w:r>
        <w:rPr>
          <w:rFonts w:ascii="Times New Roman;Times;Serif" w:hAnsi="Times New Roman;Times;Serif"/>
          <w:b w:val="false"/>
          <w:i w:val="false"/>
          <w:caps w:val="false"/>
          <w:smallCaps w:val="false"/>
          <w:sz w:val="20"/>
        </w:rPr>
        <w:t xml:space="preserve"> was appointed Chief Financial Officer effective October 19, 2023. She previously served as Interim Chief Financial Officer of Reed’s, from March 31, 2023 through October 18, 2023 and from November 22, 2019, through December 1, 2019. She has over 30 years of finance and accounting experience in global public and private equity company environments. She is a Certified Public Accountant and has served as Vice President and Corporate Controller of Reed’s since July 2018. Prior to joining Reed’s, from May 2014 to May 2017, she served as Assistant Controller of Steel Excel, Inc., a subsidiary of Steel Partners Holdings, a global diversified holding company. Prior to 2014, Ms. Tinnelly served as Vice President Financial Planning &amp; Analysis and as Assistant Corporate Controller at USI Insurance Services, Assistant Vice President of Royal Bank of Scotland (RBS) Group, multiple financial roles at Momentive Performance Materials and General Electric and financial auditing at PriceWaterhouseCoopers. Ms. Tinnelly holds a Master of Business Administration in Finance and a Bachelor of Business Administration in Public Accounting both from Pace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Christopher Burleson</w:t>
      </w:r>
      <w:r>
        <w:rPr>
          <w:rFonts w:ascii="Times New Roman;Times;Serif" w:hAnsi="Times New Roman;Times;Serif"/>
          <w:b w:val="false"/>
          <w:i w:val="false"/>
          <w:caps w:val="false"/>
          <w:smallCaps w:val="false"/>
          <w:sz w:val="20"/>
        </w:rPr>
        <w:t xml:space="preserve"> was appointed Chief Commercial Officer effective February 1, 2023. In this role, Mr. Burleson leads the sales organization as well as partners with the operations department to streamline supply chain and cost reduction initiatives. He also focuses on strategic partnerships and growth opportunities. From April 25, 2022, to January 31, 2023, Mr. Burleson served as Chief Commercial Officer of Kin Social Tonics. From March 19, 2018, through April 22, 2022, Mr. Burleson was a Vice President and General Manager of Fever Tree, USA. Mr. Burleson also served as a director of Fever Tree USA.</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John J. Bello</w:t>
      </w:r>
      <w:r>
        <w:rPr>
          <w:rFonts w:ascii="Times New Roman;Times;Serif" w:hAnsi="Times New Roman;Times;Serif"/>
          <w:b w:val="false"/>
          <w:i w:val="false"/>
          <w:caps w:val="false"/>
          <w:smallCaps w:val="false"/>
          <w:sz w:val="20"/>
        </w:rPr>
        <w:t xml:space="preserve"> is Reed’s Chairman and sales and marketing expert. Since 2001, Mr. Bello has been the Managing Director of JoNa Ventures, a family venture fund. From 2004 to 2012 Mr. Bello also served as Principal and General Partner at Sherbrooke Capital, a venture capital group dedicated to investing in leading, early-stage health and wellness companies. Mr. Bello is the founder and former CEO of South Beach Beverage Company, the maker of nutritionally enhanced teas and juices marketed under the brand name SoBe. The company was sold to PepsiCo in 2001 for $370 million and in the same year Ernst and Young named Mr. Bello National Entrepreneur of the Year in the consumer products category for his work with SoBe. Before founding SoBe, Mr. Bello spent fourteen years at National Football League Properties, the marketing arm of the NFL and served as its President from 1986 to 1993. As the President, Mr. Bello has been credited for building NFL Properties into a sports marketing leader and creating the model by which every major sports league now operates. Prior to working for the NFL, Mr. Bello served in marketing and strategic planning capacities at the Pepsi Cola Division of PepsiCo Inc. and in product management roles for General Foods Corporation on the Sanka and Maxwell House brands. As a board chair, Mr. Bello has also worked with IZZE in brand building, marketing and strategic planning capacities. That brand was also sold to PepsiCo.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Bello earned his BA from Tufts University, cum laude, and received his MBA from the Tuck School of business at Dartmouth College as an Edward Tuck Scholar. Mr. Bello is extensively involved in non-profit work and currently serves as a Tufts University Trustee and advisory board member (athletics) and the Veteran Heritage Project in Scottsdale, Arizona. Mr. Bello also serves on the board of Rockford Fosgate, a seller of OEM audio equipment, and is executive director of Eye Therapies which has licensed its technology to Bausch and Lomb, who markets a redness reduction eye drop under the </w:t>
      </w:r>
      <w:r>
        <w:rPr>
          <w:rFonts w:ascii="Times New Roman;Times;Serif" w:hAnsi="Times New Roman;Times;Serif"/>
          <w:b w:val="false"/>
          <w:i/>
          <w:caps w:val="false"/>
          <w:smallCaps w:val="false"/>
          <w:sz w:val="20"/>
        </w:rPr>
        <w:t xml:space="preserve">Lumify </w:t>
      </w:r>
      <w:r>
        <w:rPr>
          <w:rFonts w:ascii="Times New Roman;Times;Serif" w:hAnsi="Times New Roman;Times;Serif"/>
          <w:b w:val="false"/>
          <w:i w:val="false"/>
          <w:caps w:val="false"/>
          <w:smallCaps w:val="false"/>
          <w:sz w:val="20"/>
        </w:rPr>
        <w:t>brand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Lewis Jaffe </w:t>
      </w:r>
      <w:r>
        <w:rPr>
          <w:rFonts w:ascii="Times New Roman;Times;Serif" w:hAnsi="Times New Roman;Times;Serif"/>
          <w:b w:val="false"/>
          <w:i w:val="false"/>
          <w:caps w:val="false"/>
          <w:smallCaps w:val="false"/>
          <w:sz w:val="20"/>
        </w:rPr>
        <w:t>has served as a director since October 19, 2016, is Chairman of the Governance Committee and a member of the Audit and Compensation Committees. Since August 2014, Mr. Jaffe is an Executive-in-Residence and Clinical Faculty at the Fred Kiesner Center for Entrepreneurship, Loyola Marymount University. He is also a technology futurist, Executive Coach and Public Speaker. Since January 2010, Mr. Jaffe has served on the board of FitLife Brands Inc. (FTLF:OTCBB) and serves on its audit, compensation and governance committees. Since 2006 he has served on the board of directors of York Telecom, a private company, and serves on its compensation and governance committees. From 2006 to 2008 Mr. Jaffe was Interim Chief Executive Officer and President of Oxford Media, Inc. Mr. Jaffe has also served in executive management positions with Verso Technologies, Inc., Wireone Technologies, Inc., Picturetel Corporation, and he was also previously a Managing Director of Arthur Andersen. Mr. Jaffe was the co-founder of MovieMe Network. Mr. Jaffe also served on the board of directors of Benihana, Inc. as its lead independent director from 2004 to 2012. Mr. Jaffe is a graduate of the Stanford Business School Executive Program, holds a Bachelor of Science from LaSalle University and holds a Master’s Professional Director Certification from the American College of Corporate Directors, a public company director education and credentialing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Jaffe is a graduate of the Stanford Business School Executive Program, holds a Bachelor of Science from LaSalle University and holds a Master’s Professional Director Certification from the American College of Corporate Directors, a public company director education and credentialing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Louis Imbrogno, Jr. </w:t>
      </w:r>
      <w:r>
        <w:rPr>
          <w:rFonts w:ascii="Times New Roman;Times;Serif" w:hAnsi="Times New Roman;Times;Serif"/>
          <w:b w:val="false"/>
          <w:i w:val="false"/>
          <w:caps w:val="false"/>
          <w:smallCaps w:val="false"/>
          <w:sz w:val="20"/>
        </w:rPr>
        <w:t>has served as a director since August 7, 2019. He served a 40-year tenure at PepsiCo, bringing extensive expertise in beverage supply chain and management. At PepsiCo he served in a variety of field operating assignments and staff positions including the role of Senior Vice President of Worldwide Technical Operations. In this role he was responsible for Pepsi-Cola’s worldwide beverage quality, concentrate operations, research &amp; development and contract manufacturing, reporting directly to the heads of Pepsi-Cola North America and PepsiCo Beverages International. Since Mr. Imbrogno’s retirement from PepsiCo, he has consulted for multiple companies including PepsiCo.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Thomas W. Kosler </w:t>
      </w:r>
      <w:r>
        <w:rPr>
          <w:rFonts w:ascii="Times New Roman;Times;Serif" w:hAnsi="Times New Roman;Times;Serif"/>
          <w:b w:val="false"/>
          <w:i w:val="false"/>
          <w:caps w:val="false"/>
          <w:smallCaps w:val="false"/>
          <w:sz w:val="20"/>
        </w:rPr>
        <w:t xml:space="preserve">was appointed as director effective July 1, 2022. </w:t>
      </w:r>
      <w:r>
        <w:rPr>
          <w:rFonts w:ascii="Times New Roman;Times;Serif" w:hAnsi="Times New Roman;Times;Serif"/>
          <w:b w:val="false"/>
          <w:i/>
          <w:caps w:val="false"/>
          <w:smallCaps w:val="false"/>
          <w:sz w:val="20"/>
        </w:rPr>
        <w:t>He</w:t>
      </w:r>
      <w:r>
        <w:rPr>
          <w:rFonts w:ascii="Times New Roman;Times;Serif" w:hAnsi="Times New Roman;Times;Serif"/>
          <w:b w:val="false"/>
          <w:i w:val="false"/>
          <w:caps w:val="false"/>
          <w:smallCaps w:val="false"/>
          <w:sz w:val="20"/>
        </w:rPr>
        <w:t xml:space="preserve"> has served as a mentor and strategic consultant through his sole proprietorship, Kosler &amp; Company since 2018. Prior to his retirement, from 1982 through 2018, he was the founder and owner of Kosler &amp; Company, S.C., a boutique CPA and consulting firm. From 2001 to 2018, he was also the founder and Managing Partner of Brookhill Financial, LLC, an investment management firm focused on the retirement and investment accounts of clients of Kosler &amp; Company, S.C. Mr. Kosler earned a B.B.A. with a major in Accounting from the University of Wisconsin - Milwaukee in 1976. Mr. Kosler was a licensed Certified Public Accountant for over 31 years, a Certified Valuation Analyst for over 16 years, a Registered Investment Advisor Representative for over 21 years and accredited in business valuations by the AICPA for over 8 years.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Shufen Deng</w:t>
      </w:r>
      <w:r>
        <w:rPr>
          <w:rFonts w:ascii="Times New Roman;Times;Serif" w:hAnsi="Times New Roman;Times;Serif"/>
          <w:b w:val="false"/>
          <w:i w:val="false"/>
          <w:caps w:val="false"/>
          <w:smallCaps w:val="false"/>
          <w:sz w:val="20"/>
        </w:rPr>
        <w:t xml:space="preserve"> was appointed Vice Chairman of the Board and Chairman of Asian Operations on February 8, 2024. Prior, she had served as director since July 7, 2023. Mrs. Deng has been the sole shareholder and sole director of D&amp;D Source of Life Holding Ltd. (“D&amp;D”), the Company’s largest shareholder, since February 2023, D&amp;D was the lead investor in Reed’s PIPE transaction which closed on March 25, 2023. As part of the PIPE transaction, the parties entered into a shareholders agreement dated May 25, 2023, pursuant to which Reed’s agreed to support D&amp;D’s nomination of up to two board designees, one of which shall be an independent director. Shufen Deng is D&amp;D’s non-independent designee. From April 2017 through March 2021, she served as Chairman and General Manager of Baolingbao Biology Co., Ltd. (China), and she continues to serve as a member of its board of directors and its compensation committee member. Prior, she served for seven years as a judge in China.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Randle Lee Edwards</w:t>
      </w:r>
      <w:r>
        <w:rPr>
          <w:rFonts w:ascii="Times New Roman;Times;Serif" w:hAnsi="Times New Roman;Times;Serif"/>
          <w:b w:val="false"/>
          <w:i w:val="false"/>
          <w:caps w:val="false"/>
          <w:smallCaps w:val="false"/>
          <w:sz w:val="20"/>
        </w:rPr>
        <w:t xml:space="preserve"> was appointed to the board on December 12, 2023. He is a corporate attorney with over 25 years of experience practicing in New York and China. He has advised Chinese, U.S., and European companies on a broad range of public and private M&amp;A transactions, including public mergers, stock and asset acquisitions and dispositions, venture capital and private equity deals, as well as the establishment or dissolution of joint ventures. He has served as a member of the supervisory board of Whirlpool (China) Co. Ltd. (Shanghai, China) since March 2023. Previously, he served as Of Counsel to Sherman &amp; Sterling LLP (Beijing, China), from January 2020 to March 2021. Mr. Edwards was a partner at Sherman &amp; Sterling, LLP from January 2001 to December 2019. Mr. Edwards is proficient in Mandarin and is a member of the State Bar of New York. Mr. Edwards holds a J.D. from Columbia University School of Law and a B.A from Columbia College. Mr. Edwards is D&amp;D’s independent designee.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2014, Louis Imbrogno Jr. served as Chief Executive Officer of Constar International, Inc. for a six-month period during a bankruptcy proceeding and subsequent sale in a court administered public auction. He was not an executive officer of the Company prior to the initiation of the bankruptcy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to the best of our knowledge, none of our executive officers or directors are parties to any material proceedings adverse to Reed’s, have any material interest adverse to Reed’s or have, during the past ten years been subject to legal or regulatory proceedings required to be disclosed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any of our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was formed in January 2007. The board has determined that each member of our Audit Committee is an “independent director” as defined by Rule 5605(a)(2) of The NASDAQ Stock Market Rules and that members of the Audit Committee are independent under the additional requirements of Rule 10A-3(b)(1) under the Securities Exchange Act of 1934 (the “Exchange Act”). The board has determined Thomas W. Kosler meets SEC requirements of an “audit committee financial expert” within the meaning of the Sarbanes Oxley Act of 2002, Section 407(b). In addition, the board determined that (i) none of the Audit Committee members have participated in the preparation of the financial statements of the Company at any time during the past three years and (2) Audit Committee members are able to read and understand fundamental financial statements. Additionally, we intend to continue to have at least one member of the Audit Committee whose experience or background results in the individual’s financial sophistication. The Audit Committee charter is posted on our website at www.reedsinc.com.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Code of Ethics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Chief Executive Officer and all senior financial officers, including the Chief Financial Officer and Interim Chief Financial Officer, are bound by a Code of Ethics that complies with Item 406 of Regulation S-B of the Exchange Act. Our Code of Ethics is posted on our website www.drinkreeds.com at </w:t>
      </w:r>
      <w:r>
        <w:rPr>
          <w:rFonts w:ascii="Times New Roman;Times;Serif" w:hAnsi="Times New Roman;Times;Serif"/>
          <w:b w:val="false"/>
          <w:i w:val="false"/>
          <w:caps w:val="false"/>
          <w:smallCaps w:val="false"/>
          <w:sz w:val="20"/>
          <w:u w:val="single"/>
        </w:rPr>
        <w:t>http://investor.reedsinc.com</w:t>
      </w:r>
      <w:r>
        <w:rPr>
          <w:rFonts w:ascii="Times New Roman;Times;Serif" w:hAnsi="Times New Roman;Times;Serif"/>
          <w:b w:val="false"/>
          <w:i w:val="false"/>
          <w:caps w:val="false"/>
          <w:smallCaps w:val="false"/>
          <w:sz w:val="20"/>
        </w:rPr>
        <w:t>. We will satisfy the disclosure requirement of Item 5.05 of Form 8-K (which requires disclosure on Form 8-K or the Company website of certain waivers or amendments of the Company’s code of ethics) by posting information at this location on the Company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to provide a copy of our Code of Ethics to anyone without charge. To request a copy, please contact our investor relations via telephone, email or mail,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at Reed’s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Merritt 7 Corporate Park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Norwalk, Connecticut 06851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ir@reedsinc.com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997-3337 Ext. 2 or (617) 956-6736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Section 16(a)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Securities Exchange Act of 1934, as amended (the “Exchange Act”) requires our directors and executive officers and beneficial holders of more than 10% of our common stock to file with the SEC initial reports of ownership and reports of changes in ownership of our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based solely upon a review of Forms 3 and 4 and amendments thereto furnished to Reed’s under 17 CFR 240.16a-3(e) during our fiscal year ended December 31, 2023, the following individuals each filed one late Form 4 representing one transaction (unless otherwise noted): John J. Bello, Joann Tinnelly, Christopher Burleson and Randle Lee Edwards each filed one late Form 3. None of our officers or directors filed Form 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Director Nomination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not been any material changes to the procedures by which stockholders may recommend nominees to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7" w:name="MS_021"/>
      <w:bookmarkEnd w:id="837"/>
      <w:r>
        <w:rPr>
          <w:rFonts w:ascii="Times New Roman;Times;Serif" w:hAnsi="Times New Roman;Times;Serif"/>
          <w:b/>
          <w:i w:val="false"/>
          <w:caps w:val="false"/>
          <w:smallCaps w:val="false"/>
          <w:sz w:val="20"/>
        </w:rPr>
        <w:t>Item 11. Executive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all compensation for fiscal years 2023 and 2022 earned by our “Named Executive Officers” during the reported periods: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35"/>
        <w:gridCol w:w="60"/>
        <w:gridCol w:w="60"/>
        <w:gridCol w:w="500"/>
        <w:gridCol w:w="60"/>
        <w:gridCol w:w="60"/>
        <w:gridCol w:w="140"/>
        <w:gridCol w:w="800"/>
        <w:gridCol w:w="60"/>
        <w:gridCol w:w="60"/>
        <w:gridCol w:w="396"/>
        <w:gridCol w:w="269"/>
        <w:gridCol w:w="60"/>
        <w:gridCol w:w="60"/>
        <w:gridCol w:w="254"/>
        <w:gridCol w:w="1244"/>
        <w:gridCol w:w="60"/>
        <w:gridCol w:w="60"/>
        <w:gridCol w:w="360"/>
        <w:gridCol w:w="2070"/>
        <w:gridCol w:w="60"/>
        <w:gridCol w:w="60"/>
        <w:gridCol w:w="140"/>
        <w:gridCol w:w="800"/>
        <w:gridCol w:w="77"/>
      </w:tblGrid>
      <w:tr>
        <w:trPr/>
        <w:tc>
          <w:tcPr>
            <w:tcW w:w="2435" w:type="dxa"/>
            <w:tcBorders>
              <w:bottom w:val="single" w:sz="12" w:space="0" w:color="000000"/>
            </w:tcBorders>
            <w:vAlign w:val="center"/>
          </w:tcPr>
          <w:p>
            <w:pPr>
              <w:pStyle w:val="TableContents"/>
              <w:bidi w:val="0"/>
              <w:spacing w:before="0" w:after="283"/>
              <w:jc w:val="center"/>
              <w:rPr>
                <w:b/>
              </w:rPr>
            </w:pPr>
            <w:r>
              <w:rPr>
                <w:b/>
              </w:rPr>
              <w:t>Name and Principal Position</w:t>
            </w:r>
          </w:p>
        </w:tc>
        <w:tc>
          <w:tcPr>
            <w:tcW w:w="60" w:type="dxa"/>
            <w:tcBorders/>
            <w:tcMar>
              <w:bottom w:w="0" w:type="dxa"/>
            </w:tcMar>
            <w:vAlign w:val="center"/>
          </w:tcPr>
          <w:p>
            <w:pPr>
              <w:pStyle w:val="TableContents"/>
              <w:bidi w:val="0"/>
              <w:spacing w:before="0" w:after="283"/>
              <w:jc w:val="center"/>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Salary</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65" w:type="dxa"/>
            <w:gridSpan w:val="2"/>
            <w:tcBorders>
              <w:bottom w:val="single" w:sz="12" w:space="0" w:color="000000"/>
            </w:tcBorders>
            <w:vAlign w:val="center"/>
          </w:tcPr>
          <w:p>
            <w:pPr>
              <w:pStyle w:val="TableContents"/>
              <w:bidi w:val="0"/>
              <w:spacing w:before="0" w:after="283"/>
              <w:jc w:val="center"/>
              <w:rPr>
                <w:b/>
              </w:rPr>
            </w:pPr>
            <w:r>
              <w:rPr>
                <w:b/>
              </w:rPr>
              <w:t>Bonus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98" w:type="dxa"/>
            <w:gridSpan w:val="2"/>
            <w:tcBorders>
              <w:bottom w:val="single" w:sz="12" w:space="0" w:color="000000"/>
            </w:tcBorders>
            <w:vAlign w:val="center"/>
          </w:tcPr>
          <w:p>
            <w:pPr>
              <w:pStyle w:val="TableContents"/>
              <w:bidi w:val="0"/>
              <w:spacing w:before="0" w:after="283"/>
              <w:jc w:val="center"/>
              <w:rPr>
                <w:b/>
              </w:rPr>
            </w:pPr>
            <w:r>
              <w:rPr>
                <w:b/>
              </w:rPr>
              <w:t>Stock Awards (1)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430" w:type="dxa"/>
            <w:gridSpan w:val="2"/>
            <w:tcBorders>
              <w:bottom w:val="single" w:sz="12" w:space="0" w:color="000000"/>
            </w:tcBorders>
            <w:vAlign w:val="center"/>
          </w:tcPr>
          <w:p>
            <w:pPr>
              <w:pStyle w:val="TableContents"/>
              <w:bidi w:val="0"/>
              <w:spacing w:before="0" w:after="283"/>
              <w:jc w:val="center"/>
              <w:rPr>
                <w:b/>
              </w:rPr>
            </w:pPr>
            <w:r>
              <w:rPr>
                <w:b/>
              </w:rPr>
              <w:t>All Other Compensation (2)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7" w:type="dxa"/>
            <w:tcBorders/>
            <w:tcMar>
              <w:bottom w:w="0" w:type="dxa"/>
            </w:tcMar>
            <w:vAlign w:val="center"/>
          </w:tcPr>
          <w:p>
            <w:pPr>
              <w:pStyle w:val="TableContents"/>
              <w:bidi w:val="0"/>
              <w:spacing w:before="0" w:after="283"/>
              <w:jc w:val="center"/>
              <w:rPr/>
            </w:pPr>
            <w:r>
              <w:rPr/>
              <w:t> </w:t>
            </w:r>
          </w:p>
        </w:tc>
      </w:tr>
      <w:tr>
        <w:trPr/>
        <w:tc>
          <w:tcPr>
            <w:tcW w:w="2435" w:type="dxa"/>
            <w:tcBorders/>
            <w:shd w:fill="CCEEFF" w:val="clear"/>
            <w:tcMar>
              <w:bottom w:w="0" w:type="dxa"/>
            </w:tcMar>
            <w:vAlign w:val="center"/>
          </w:tcPr>
          <w:p>
            <w:pPr>
              <w:pStyle w:val="TableContents"/>
              <w:bidi w:val="0"/>
              <w:spacing w:before="0" w:after="283"/>
              <w:jc w:val="left"/>
              <w:rPr>
                <w:b/>
              </w:rPr>
            </w:pPr>
            <w:r>
              <w:rPr>
                <w:b/>
              </w:rPr>
              <w:t>Norman E. Snyder, Jr.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b/>
              </w:rPr>
            </w:pPr>
            <w:r>
              <w:rPr>
                <w:b/>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310,083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4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w:t>
            </w:r>
          </w:p>
        </w:tc>
        <w:tc>
          <w:tcPr>
            <w:tcW w:w="2070" w:type="dxa"/>
            <w:tcBorders/>
            <w:shd w:fill="CCEEFF" w:val="clear"/>
            <w:tcMar>
              <w:bottom w:w="0" w:type="dxa"/>
            </w:tcMar>
            <w:vAlign w:val="center"/>
          </w:tcPr>
          <w:p>
            <w:pPr>
              <w:pStyle w:val="TableContents"/>
              <w:bidi w:val="0"/>
              <w:spacing w:before="0" w:after="283"/>
              <w:jc w:val="right"/>
              <w:rPr/>
            </w:pPr>
            <w:r>
              <w:rPr/>
              <w:t>14,172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324,255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283"/>
              <w:jc w:val="left"/>
              <w:rPr/>
            </w:pPr>
            <w:r>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b/>
              </w:rPr>
            </w:pPr>
            <w:r>
              <w:rPr>
                <w:b/>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360,500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4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w:t>
            </w:r>
          </w:p>
        </w:tc>
        <w:tc>
          <w:tcPr>
            <w:tcW w:w="2070" w:type="dxa"/>
            <w:tcBorders/>
            <w:shd w:fill="CCEEFF" w:val="clear"/>
            <w:tcMar>
              <w:bottom w:w="0" w:type="dxa"/>
            </w:tcMar>
            <w:vAlign w:val="center"/>
          </w:tcPr>
          <w:p>
            <w:pPr>
              <w:pStyle w:val="TableContents"/>
              <w:bidi w:val="0"/>
              <w:spacing w:before="0" w:after="283"/>
              <w:jc w:val="right"/>
              <w:rPr/>
            </w:pPr>
            <w:r>
              <w:rPr/>
              <w:t>15,721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376,221</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6"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24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207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283"/>
              <w:jc w:val="left"/>
              <w:rPr/>
            </w:pPr>
            <w:r>
              <w:rPr/>
              <w:t>Thomas J. Spisak(3)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b/>
              </w:rPr>
            </w:pPr>
            <w:r>
              <w:rPr>
                <w:b/>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60,396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244" w:type="dxa"/>
            <w:tcBorders/>
            <w:shd w:fill="CCEEFF" w:val="clear"/>
            <w:tcMar>
              <w:bottom w:w="0" w:type="dxa"/>
            </w:tcMar>
            <w:vAlign w:val="center"/>
          </w:tcPr>
          <w:p>
            <w:pPr>
              <w:pStyle w:val="TableContents"/>
              <w:bidi w:val="0"/>
              <w:spacing w:before="0" w:after="283"/>
              <w:jc w:val="right"/>
              <w:rPr/>
            </w:pPr>
            <w:r>
              <w:rPr/>
              <w:t>2,633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w:t>
            </w:r>
          </w:p>
        </w:tc>
        <w:tc>
          <w:tcPr>
            <w:tcW w:w="2070" w:type="dxa"/>
            <w:tcBorders/>
            <w:shd w:fill="CCEEFF" w:val="clear"/>
            <w:tcMar>
              <w:bottom w:w="0" w:type="dxa"/>
            </w:tcMar>
            <w:vAlign w:val="center"/>
          </w:tcPr>
          <w:p>
            <w:pPr>
              <w:pStyle w:val="TableContents"/>
              <w:bidi w:val="0"/>
              <w:spacing w:before="0" w:after="283"/>
              <w:jc w:val="right"/>
              <w:rPr/>
            </w:pPr>
            <w:r>
              <w:rPr/>
              <w:t>10,637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73,666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283"/>
              <w:jc w:val="left"/>
              <w:rPr/>
            </w:pPr>
            <w:r>
              <w:rPr/>
              <w:t>Former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b/>
              </w:rPr>
            </w:pPr>
            <w:r>
              <w:rPr>
                <w:b/>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250,075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24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w:t>
            </w:r>
          </w:p>
        </w:tc>
        <w:tc>
          <w:tcPr>
            <w:tcW w:w="2070" w:type="dxa"/>
            <w:tcBorders/>
            <w:shd w:fill="CCEEFF" w:val="clear"/>
            <w:tcMar>
              <w:bottom w:w="0" w:type="dxa"/>
            </w:tcMar>
            <w:vAlign w:val="center"/>
          </w:tcPr>
          <w:p>
            <w:pPr>
              <w:pStyle w:val="TableContents"/>
              <w:bidi w:val="0"/>
              <w:spacing w:before="0" w:after="283"/>
              <w:jc w:val="right"/>
              <w:rPr/>
            </w:pPr>
            <w:r>
              <w:rPr/>
              <w:t>10,422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260,497</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6"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24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207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283"/>
              <w:jc w:val="left"/>
              <w:rPr/>
            </w:pPr>
            <w:r>
              <w:rPr/>
              <w:t>Neal Cohane(4)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b/>
              </w:rPr>
            </w:pPr>
            <w:r>
              <w:rPr>
                <w:b/>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24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w:t>
            </w:r>
          </w:p>
        </w:tc>
        <w:tc>
          <w:tcPr>
            <w:tcW w:w="2070" w:type="dxa"/>
            <w:tcBorders/>
            <w:shd w:fill="CCEEFF" w:val="clear"/>
            <w:tcMar>
              <w:bottom w:w="0" w:type="dxa"/>
            </w:tcMar>
            <w:vAlign w:val="center"/>
          </w:tcPr>
          <w:p>
            <w:pPr>
              <w:pStyle w:val="TableContents"/>
              <w:bidi w:val="0"/>
              <w:spacing w:before="0" w:after="283"/>
              <w:jc w:val="right"/>
              <w:rPr/>
            </w:pPr>
            <w:r>
              <w:rPr/>
              <w:t>158,422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158,422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283"/>
              <w:jc w:val="left"/>
              <w:rPr/>
            </w:pPr>
            <w:r>
              <w:rPr/>
              <w:t>Former Chief Sales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b/>
              </w:rPr>
            </w:pPr>
            <w:r>
              <w:rPr>
                <w:b/>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24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w:t>
            </w:r>
          </w:p>
        </w:tc>
        <w:tc>
          <w:tcPr>
            <w:tcW w:w="2070" w:type="dxa"/>
            <w:tcBorders/>
            <w:shd w:fill="CCEEFF" w:val="clear"/>
            <w:tcMar>
              <w:bottom w:w="0" w:type="dxa"/>
            </w:tcMar>
            <w:vAlign w:val="center"/>
          </w:tcPr>
          <w:p>
            <w:pPr>
              <w:pStyle w:val="TableContents"/>
              <w:bidi w:val="0"/>
              <w:spacing w:before="0" w:after="283"/>
              <w:jc w:val="right"/>
              <w:rPr/>
            </w:pPr>
            <w:r>
              <w:rPr/>
              <w:t>17,339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267,339</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6"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24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207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283"/>
              <w:jc w:val="left"/>
              <w:rPr/>
            </w:pPr>
            <w:r>
              <w:rPr/>
              <w:t>Joann Tinnelly(5)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b/>
              </w:rPr>
            </w:pPr>
            <w:r>
              <w:rPr>
                <w:b/>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179,375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24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w:t>
            </w:r>
          </w:p>
        </w:tc>
        <w:tc>
          <w:tcPr>
            <w:tcW w:w="2070" w:type="dxa"/>
            <w:tcBorders/>
            <w:shd w:fill="CCEEFF" w:val="clear"/>
            <w:tcMar>
              <w:bottom w:w="0" w:type="dxa"/>
            </w:tcMar>
            <w:vAlign w:val="center"/>
          </w:tcPr>
          <w:p>
            <w:pPr>
              <w:pStyle w:val="TableContents"/>
              <w:bidi w:val="0"/>
              <w:spacing w:before="0" w:after="283"/>
              <w:jc w:val="right"/>
              <w:rPr/>
            </w:pPr>
            <w:r>
              <w:rPr/>
              <w:t>6,765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186,140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w:t>
            </w:r>
            <w:r>
              <w:rPr>
                <w:rFonts w:ascii="Times New Roman;Times;Serif" w:hAnsi="Times New Roman;Times;Serif"/>
                <w:sz w:val="20"/>
                <w:u w:val="single"/>
              </w:rPr>
              <w:t>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b/>
              </w:rPr>
            </w:pPr>
            <w:r>
              <w:rPr>
                <w:b/>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200,875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24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w:t>
            </w:r>
          </w:p>
        </w:tc>
        <w:tc>
          <w:tcPr>
            <w:tcW w:w="2070" w:type="dxa"/>
            <w:tcBorders/>
            <w:shd w:fill="CCEEFF" w:val="clear"/>
            <w:tcMar>
              <w:bottom w:w="0" w:type="dxa"/>
            </w:tcMar>
            <w:vAlign w:val="center"/>
          </w:tcPr>
          <w:p>
            <w:pPr>
              <w:pStyle w:val="TableContents"/>
              <w:bidi w:val="0"/>
              <w:spacing w:before="0" w:after="283"/>
              <w:jc w:val="right"/>
              <w:rPr/>
            </w:pPr>
            <w:r>
              <w:rPr/>
              <w:t>8,247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209,122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6"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24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207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283"/>
              <w:jc w:val="left"/>
              <w:rPr/>
            </w:pPr>
            <w:r>
              <w:rPr/>
              <w:t>Christopher Burleson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b/>
              </w:rPr>
            </w:pPr>
            <w:r>
              <w:rPr>
                <w:b/>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244" w:type="dxa"/>
            <w:tcBorders/>
            <w:shd w:fill="CCEEFF" w:val="clear"/>
            <w:tcMar>
              <w:bottom w:w="0" w:type="dxa"/>
            </w:tcMar>
            <w:vAlign w:val="center"/>
          </w:tcPr>
          <w:p>
            <w:pPr>
              <w:pStyle w:val="TableContents"/>
              <w:bidi w:val="0"/>
              <w:spacing w:before="0" w:after="283"/>
              <w:jc w:val="right"/>
              <w:rPr/>
            </w:pPr>
            <w:r>
              <w:rPr/>
              <w:t>36,864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w:t>
            </w:r>
          </w:p>
        </w:tc>
        <w:tc>
          <w:tcPr>
            <w:tcW w:w="2070" w:type="dxa"/>
            <w:tcBorders/>
            <w:shd w:fill="CCEEFF" w:val="clear"/>
            <w:tcMar>
              <w:bottom w:w="0" w:type="dxa"/>
            </w:tcMar>
            <w:vAlign w:val="center"/>
          </w:tcPr>
          <w:p>
            <w:pPr>
              <w:pStyle w:val="TableContents"/>
              <w:bidi w:val="0"/>
              <w:spacing w:before="0" w:after="283"/>
              <w:jc w:val="right"/>
              <w:rPr/>
            </w:pPr>
            <w:r>
              <w:rPr/>
              <w:t>11,711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323,575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283"/>
              <w:jc w:val="left"/>
              <w:rPr/>
            </w:pPr>
            <w:r>
              <w:rPr/>
              <w:t>Chief Commercial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b/>
              </w:rPr>
            </w:pPr>
            <w:r>
              <w:rPr>
                <w:b/>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24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w:t>
            </w:r>
          </w:p>
        </w:tc>
        <w:tc>
          <w:tcPr>
            <w:tcW w:w="207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amounts represent the fair value for share-based payment awards issued during the year. The award is calculated on the date of grant in accordance with Financial Accounting Standards.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Other compensation includes both cash payments and the estimated value of the use of Company assets.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Thomas J. Spisak resigned effective March 30,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Neal Cohane resigned effective July 1,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Joann Tinnelly was appointed Interim Chief Financial Officer on March 31, 2023 and subsequently appointed permanent Chief Financial Officer on October 19,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Snyder’s employment agreement expired on March 1, 2024. Under the agreement, Mr. Snyder was eligible to receive a performance-based cash bonus at a target amount of 50% of his base salary in effect. He was also eligible to participate in Reed’s other benefit plans available to its executive officers. The agreement provided for acceleration of equity grants triggered by a “change of control”, as defined in the agreement, and contained customary, non-competition, confidentiality, invention assignment and non-solicitation covenants. Mr. Snyder was also entitled to six months’ severance benefits in the event of termination without cause by Reed’s or for good reason by Mr. Snyder, subject to execution of a release. The Company and Mr. Snyder are in the process of reinstating his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Spisak’s at will employment agreement provided for a performance-based cash bonus at a target amount of 30% of his base salary. Mr. Spisak was also eligible to participate in Reed’s other benefit plans available to its executive officers. The agreement contained customary confidentiality, non-competition and invention assignment covenants. Thomas J. Spisak resigned from his position as Chief Financial Officer effective March 30, 2023.</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Joann Tinnelly receives a salary of $305,000 and is eligible for an annual performance bonus based on a target of 35% of her annual salary (to be determined by the Company in its sole discretion).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Burleson receives a salary of $315,000 and is eligible for an annual performance bonus based on a target of 35% of his annual salary (to be determined by the Company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Employment/Retirement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Named Executive Officers have any arrangement that provides for retirement benefits, or benefits that will be paid primarily following retirement.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Named Executive Officers has a contract, agreement, plan or arrangement that is currently in effect, whether written or unwritten, that provides for payment to him or her following, or in connection with resignation, retirement or other termination, or a change in control of the Company or a change in the Named Executive Officer’s responsibilities following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board retains discretion to determine the treatment of outstanding stock option awards in connection with a change in control of the Company, subject to the terms of contractual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Recovery of Erroneously Awarded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unexercised options and equity incentive plan awards for each Named Executive Officer outstanding as of December 31, 2023:</w:t>
      </w:r>
    </w:p>
    <w:p>
      <w:pPr>
        <w:pStyle w:val="TextBody"/>
        <w:bidi w:val="0"/>
        <w:spacing w:before="0" w:after="0"/>
        <w:ind w:left="0" w:right="0" w:hanging="0"/>
        <w:jc w:val="both"/>
        <w:rPr>
          <w:caps w:val="false"/>
          <w:smallCaps w:val="false"/>
        </w:rPr>
      </w:pPr>
      <w:r>
        <w:rPr>
          <w:caps w:val="false"/>
          <w:smallCaps w:val="false"/>
        </w:rPr>
        <w:t> </w:t>
      </w:r>
    </w:p>
    <w:tbl>
      <w:tblPr>
        <w:tblW w:w="11570" w:type="dxa"/>
        <w:jc w:val="left"/>
        <w:tblInd w:w="0" w:type="dxa"/>
        <w:tblLayout w:type="fixed"/>
        <w:tblCellMar>
          <w:top w:w="0" w:type="dxa"/>
          <w:left w:w="0" w:type="dxa"/>
          <w:bottom w:w="28" w:type="dxa"/>
          <w:right w:w="0" w:type="dxa"/>
        </w:tblCellMar>
      </w:tblPr>
      <w:tblGrid>
        <w:gridCol w:w="1190"/>
        <w:gridCol w:w="60"/>
        <w:gridCol w:w="97"/>
        <w:gridCol w:w="1108"/>
        <w:gridCol w:w="60"/>
        <w:gridCol w:w="60"/>
        <w:gridCol w:w="164"/>
        <w:gridCol w:w="1536"/>
        <w:gridCol w:w="60"/>
        <w:gridCol w:w="60"/>
        <w:gridCol w:w="116"/>
        <w:gridCol w:w="1089"/>
        <w:gridCol w:w="60"/>
        <w:gridCol w:w="60"/>
        <w:gridCol w:w="141"/>
        <w:gridCol w:w="689"/>
        <w:gridCol w:w="60"/>
        <w:gridCol w:w="60"/>
        <w:gridCol w:w="1010"/>
        <w:gridCol w:w="60"/>
        <w:gridCol w:w="400"/>
        <w:gridCol w:w="400"/>
        <w:gridCol w:w="60"/>
        <w:gridCol w:w="60"/>
        <w:gridCol w:w="347"/>
        <w:gridCol w:w="348"/>
        <w:gridCol w:w="60"/>
        <w:gridCol w:w="60"/>
        <w:gridCol w:w="475"/>
        <w:gridCol w:w="475"/>
        <w:gridCol w:w="60"/>
        <w:gridCol w:w="60"/>
        <w:gridCol w:w="475"/>
        <w:gridCol w:w="475"/>
        <w:gridCol w:w="75"/>
      </w:tblGrid>
      <w:tr>
        <w:trPr/>
        <w:tc>
          <w:tcPr>
            <w:tcW w:w="1190" w:type="dxa"/>
            <w:tcBorders>
              <w:bottom w:val="single" w:sz="12" w:space="0" w:color="000000"/>
            </w:tcBorders>
            <w:vAlign w:val="center"/>
          </w:tcPr>
          <w:p>
            <w:pPr>
              <w:pStyle w:val="TableContents"/>
              <w:bidi w:val="0"/>
              <w:spacing w:before="0" w:after="283"/>
              <w:jc w:val="center"/>
              <w:rPr/>
            </w:pPr>
            <w:r>
              <w:rPr/>
              <w:t>Name and Position</w:t>
            </w:r>
          </w:p>
        </w:tc>
        <w:tc>
          <w:tcPr>
            <w:tcW w:w="60" w:type="dxa"/>
            <w:tcBorders/>
            <w:tcMar>
              <w:bottom w:w="0" w:type="dxa"/>
            </w:tcMar>
            <w:vAlign w:val="center"/>
          </w:tcPr>
          <w:p>
            <w:pPr>
              <w:pStyle w:val="TableContents"/>
              <w:bidi w:val="0"/>
              <w:spacing w:before="0" w:after="283"/>
              <w:jc w:val="left"/>
              <w:rPr/>
            </w:pPr>
            <w:r>
              <w:rPr/>
              <w:t> </w:t>
            </w:r>
          </w:p>
        </w:tc>
        <w:tc>
          <w:tcPr>
            <w:tcW w:w="1205" w:type="dxa"/>
            <w:gridSpan w:val="2"/>
            <w:tcBorders>
              <w:bottom w:val="single" w:sz="12" w:space="0" w:color="000000"/>
            </w:tcBorders>
            <w:vAlign w:val="center"/>
          </w:tcPr>
          <w:p>
            <w:pPr>
              <w:pStyle w:val="TableContents"/>
              <w:bidi w:val="0"/>
              <w:spacing w:before="0" w:after="283"/>
              <w:jc w:val="center"/>
              <w:rPr/>
            </w:pPr>
            <w:r>
              <w:rPr/>
              <w:t>Number of</w:t>
              <w:br/>
              <w:t>Securities</w:t>
              <w:br/>
              <w:t>Underlying</w:t>
              <w:br/>
              <w:t>Unexercised</w:t>
              <w:br/>
              <w:t>Options (#)</w:t>
              <w:br/>
              <w:t>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gridSpan w:val="2"/>
            <w:tcBorders>
              <w:bottom w:val="single" w:sz="12" w:space="0" w:color="000000"/>
            </w:tcBorders>
            <w:vAlign w:val="center"/>
          </w:tcPr>
          <w:p>
            <w:pPr>
              <w:pStyle w:val="TableContents"/>
              <w:bidi w:val="0"/>
              <w:spacing w:before="0" w:after="283"/>
              <w:jc w:val="center"/>
              <w:rPr/>
            </w:pPr>
            <w:r>
              <w:rPr/>
              <w:t>Number of</w:t>
              <w:br/>
              <w:t>Securities</w:t>
              <w:br/>
              <w:t>Underlying</w:t>
              <w:br/>
              <w:t>Unexercised</w:t>
              <w:br/>
              <w:t>Options (#) Unexercisable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gridSpan w:val="2"/>
            <w:tcBorders>
              <w:bottom w:val="single" w:sz="12" w:space="0" w:color="000000"/>
            </w:tcBorders>
            <w:vAlign w:val="center"/>
          </w:tcPr>
          <w:p>
            <w:pPr>
              <w:pStyle w:val="TableContents"/>
              <w:bidi w:val="0"/>
              <w:spacing w:before="0" w:after="283"/>
              <w:jc w:val="center"/>
              <w:rPr/>
            </w:pPr>
            <w:r>
              <w:rPr/>
              <w:t>Equity Incentive Plan Awards:</w:t>
              <w:br/>
              <w:t>Number of Securities</w:t>
              <w:br/>
              <w:t>Underlying</w:t>
              <w:br/>
              <w:t>Unexercised</w:t>
              <w:br/>
              <w:t>Unearned</w:t>
              <w:br/>
              <w:t>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pPr>
            <w:r>
              <w:rPr/>
              <w:t>Option</w:t>
              <w:br/>
              <w:t>Exercise</w:t>
              <w:b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center"/>
              <w:rPr/>
            </w:pPr>
            <w:r>
              <w:rPr/>
              <w:t>Option</w:t>
              <w:br/>
              <w:t>Expiration</w:t>
              <w:br/>
              <w:t>Date</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pPr>
            <w:r>
              <w:rPr/>
              <w:t>Number of Shares or Units of Stock That Have Not Vested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pPr>
            <w:r>
              <w:rPr/>
              <w:t>Market Value of Shares or Units of Stock That Have Not Vested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12" w:space="0" w:color="000000"/>
            </w:tcBorders>
            <w:vAlign w:val="center"/>
          </w:tcPr>
          <w:p>
            <w:pPr>
              <w:pStyle w:val="TableContents"/>
              <w:bidi w:val="0"/>
              <w:spacing w:before="0" w:after="283"/>
              <w:jc w:val="center"/>
              <w:rPr/>
            </w:pPr>
            <w:r>
              <w:rPr/>
              <w:t>Equity Incentive Plan Awards: Number of Unearned Shares, Units or Other Rights That Have Not Vested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12" w:space="0" w:color="000000"/>
            </w:tcBorders>
            <w:vAlign w:val="center"/>
          </w:tcPr>
          <w:p>
            <w:pPr>
              <w:pStyle w:val="TableContents"/>
              <w:bidi w:val="0"/>
              <w:spacing w:before="0" w:after="283"/>
              <w:jc w:val="center"/>
              <w:rPr/>
            </w:pPr>
            <w:r>
              <w:rPr/>
              <w:t>Equity Incentive Plan Awards: Market or Payout Value of Unearned Shares, Units or Other Rights That Have Not Vested ($)</w:t>
            </w:r>
          </w:p>
        </w:tc>
        <w:tc>
          <w:tcPr>
            <w:tcW w:w="75" w:type="dxa"/>
            <w:tcBorders/>
            <w:tcMar>
              <w:bottom w:w="0" w:type="dxa"/>
            </w:tcMar>
            <w:vAlign w:val="center"/>
          </w:tcPr>
          <w:p>
            <w:pPr>
              <w:pStyle w:val="TableContents"/>
              <w:bidi w:val="0"/>
              <w:spacing w:before="0" w:after="283"/>
              <w:jc w:val="left"/>
              <w:rPr/>
            </w:pPr>
            <w:r>
              <w:rPr/>
              <w:t> </w:t>
            </w:r>
          </w:p>
        </w:tc>
      </w:tr>
      <w:tr>
        <w:trPr/>
        <w:tc>
          <w:tcPr>
            <w:tcW w:w="11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b/>
              </w:rPr>
            </w:pPr>
            <w:r>
              <w:rPr>
                <w:b/>
              </w:rPr>
              <w:t>Norman E. Snyder, Jr.</w:t>
              <w:b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108" w:type="dxa"/>
            <w:tcBorders/>
            <w:shd w:fill="CCEEFF" w:val="clear"/>
            <w:tcMar>
              <w:bottom w:w="0" w:type="dxa"/>
            </w:tcMar>
            <w:vAlign w:val="center"/>
          </w:tcPr>
          <w:p>
            <w:pPr>
              <w:pStyle w:val="TableContents"/>
              <w:bidi w:val="0"/>
              <w:spacing w:before="0" w:after="283"/>
              <w:jc w:val="right"/>
              <w:rPr/>
            </w:pPr>
            <w:r>
              <w:rPr/>
              <w:t>7,685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2,230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689" w:type="dxa"/>
            <w:tcBorders/>
            <w:shd w:fill="CCEEFF" w:val="clear"/>
            <w:tcMar>
              <w:bottom w:w="0" w:type="dxa"/>
            </w:tcMar>
            <w:vAlign w:val="center"/>
          </w:tcPr>
          <w:p>
            <w:pPr>
              <w:pStyle w:val="TableContents"/>
              <w:bidi w:val="0"/>
              <w:spacing w:before="0" w:after="283"/>
              <w:jc w:val="right"/>
              <w:rPr/>
            </w:pPr>
            <w:r>
              <w:rPr/>
              <w:t>44.00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2/25/2030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108" w:type="dxa"/>
            <w:tcBorders/>
            <w:shd w:fill="CCEEFF" w:val="clear"/>
            <w:tcMar>
              <w:bottom w:w="0" w:type="dxa"/>
            </w:tcMar>
            <w:vAlign w:val="center"/>
          </w:tcPr>
          <w:p>
            <w:pPr>
              <w:pStyle w:val="TableContents"/>
              <w:bidi w:val="0"/>
              <w:spacing w:before="0" w:after="283"/>
              <w:jc w:val="right"/>
              <w:rPr/>
            </w:pPr>
            <w:r>
              <w:rPr/>
              <w:t>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689" w:type="dxa"/>
            <w:tcBorders/>
            <w:shd w:fill="CCEEFF" w:val="clear"/>
            <w:tcMar>
              <w:bottom w:w="0" w:type="dxa"/>
            </w:tcMar>
            <w:vAlign w:val="center"/>
          </w:tcPr>
          <w:p>
            <w:pPr>
              <w:pStyle w:val="TableContents"/>
              <w:bidi w:val="0"/>
              <w:spacing w:before="0" w:after="283"/>
              <w:jc w:val="right"/>
              <w:rPr/>
            </w:pPr>
            <w:r>
              <w:rPr/>
              <w:t>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3/25/2030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108" w:type="dxa"/>
            <w:tcBorders/>
            <w:shd w:fill="CCEEFF" w:val="clear"/>
            <w:tcMar>
              <w:bottom w:w="0" w:type="dxa"/>
            </w:tcMar>
            <w:vAlign w:val="center"/>
          </w:tcPr>
          <w:p>
            <w:pPr>
              <w:pStyle w:val="TableContents"/>
              <w:bidi w:val="0"/>
              <w:spacing w:before="0" w:after="283"/>
              <w:jc w:val="right"/>
              <w:rPr/>
            </w:pPr>
            <w:r>
              <w:rPr/>
              <w:t>4,322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689" w:type="dxa"/>
            <w:tcBorders/>
            <w:shd w:fill="CCEEFF" w:val="clear"/>
            <w:tcMar>
              <w:bottom w:w="0" w:type="dxa"/>
            </w:tcMar>
            <w:vAlign w:val="center"/>
          </w:tcPr>
          <w:p>
            <w:pPr>
              <w:pStyle w:val="TableContents"/>
              <w:bidi w:val="0"/>
              <w:spacing w:before="0" w:after="283"/>
              <w:jc w:val="right"/>
              <w:rPr/>
            </w:pPr>
            <w:r>
              <w:rPr/>
              <w:t>35.00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5/20/2030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108" w:type="dxa"/>
            <w:tcBorders/>
            <w:shd w:fill="CCEEFF" w:val="clear"/>
            <w:tcMar>
              <w:bottom w:w="0" w:type="dxa"/>
            </w:tcMar>
            <w:vAlign w:val="center"/>
          </w:tcPr>
          <w:p>
            <w:pPr>
              <w:pStyle w:val="TableContents"/>
              <w:bidi w:val="0"/>
              <w:spacing w:before="0" w:after="283"/>
              <w:jc w:val="right"/>
              <w:rPr/>
            </w:pPr>
            <w:r>
              <w:rPr/>
              <w:t>11,890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36" w:type="dxa"/>
            <w:tcBorders/>
            <w:shd w:fill="CCEEFF" w:val="clear"/>
            <w:tcMar>
              <w:bottom w:w="0" w:type="dxa"/>
            </w:tcMar>
            <w:vAlign w:val="center"/>
          </w:tcPr>
          <w:p>
            <w:pPr>
              <w:pStyle w:val="TableContents"/>
              <w:bidi w:val="0"/>
              <w:spacing w:before="0" w:after="283"/>
              <w:jc w:val="right"/>
              <w:rPr/>
            </w:pPr>
            <w:r>
              <w:rPr/>
              <w:t>2,216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2,015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689" w:type="dxa"/>
            <w:tcBorders/>
            <w:shd w:fill="CCEEFF" w:val="clear"/>
            <w:tcMar>
              <w:bottom w:w="0" w:type="dxa"/>
            </w:tcMar>
            <w:vAlign w:val="center"/>
          </w:tcPr>
          <w:p>
            <w:pPr>
              <w:pStyle w:val="TableContents"/>
              <w:bidi w:val="0"/>
              <w:spacing w:before="0" w:after="283"/>
              <w:jc w:val="right"/>
              <w:rPr/>
            </w:pPr>
            <w:r>
              <w:rPr/>
              <w:t>47.50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9/16/2030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10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53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68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0" w:type="dxa"/>
            <w:tcBorders/>
            <w:shd w:fill="FFFFFF" w:val="clear"/>
            <w:tcMar>
              <w:bottom w:w="0" w:type="dxa"/>
            </w:tcMar>
            <w:vAlign w:val="center"/>
          </w:tcPr>
          <w:p>
            <w:pPr>
              <w:pStyle w:val="TableContents"/>
              <w:bidi w:val="0"/>
              <w:spacing w:before="0" w:after="283"/>
              <w:jc w:val="left"/>
              <w:rPr/>
            </w:pPr>
            <w:r>
              <w:rPr/>
              <w:t> </w:t>
            </w:r>
          </w:p>
        </w:tc>
        <w:tc>
          <w:tcPr>
            <w:tcW w:w="4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7" w:type="dxa"/>
            <w:tcBorders/>
            <w:shd w:fill="FFFFFF" w:val="clear"/>
            <w:tcMar>
              <w:bottom w:w="0" w:type="dxa"/>
            </w:tcMar>
            <w:vAlign w:val="center"/>
          </w:tcPr>
          <w:p>
            <w:pPr>
              <w:pStyle w:val="TableContents"/>
              <w:bidi w:val="0"/>
              <w:spacing w:before="0" w:after="283"/>
              <w:jc w:val="left"/>
              <w:rPr/>
            </w:pPr>
            <w:r>
              <w:rPr/>
              <w:t> </w:t>
            </w:r>
          </w:p>
        </w:tc>
        <w:tc>
          <w:tcPr>
            <w:tcW w:w="34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5" w:type="dxa"/>
            <w:tcBorders/>
            <w:shd w:fill="FFFFFF" w:val="clear"/>
            <w:tcMar>
              <w:bottom w:w="0" w:type="dxa"/>
            </w:tcMar>
            <w:vAlign w:val="center"/>
          </w:tcPr>
          <w:p>
            <w:pPr>
              <w:pStyle w:val="TableContents"/>
              <w:bidi w:val="0"/>
              <w:spacing w:before="0" w:after="283"/>
              <w:jc w:val="left"/>
              <w:rPr/>
            </w:pPr>
            <w:r>
              <w:rPr/>
              <w:t> </w:t>
            </w:r>
          </w:p>
        </w:tc>
        <w:tc>
          <w:tcPr>
            <w:tcW w:w="47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5" w:type="dxa"/>
            <w:tcBorders/>
            <w:shd w:fill="FFFFFF" w:val="clear"/>
            <w:tcMar>
              <w:bottom w:w="0" w:type="dxa"/>
            </w:tcMar>
            <w:vAlign w:val="center"/>
          </w:tcPr>
          <w:p>
            <w:pPr>
              <w:pStyle w:val="TableContents"/>
              <w:bidi w:val="0"/>
              <w:spacing w:before="0" w:after="283"/>
              <w:jc w:val="left"/>
              <w:rPr/>
            </w:pPr>
            <w:r>
              <w:rPr/>
              <w:t> </w:t>
            </w:r>
          </w:p>
        </w:tc>
        <w:tc>
          <w:tcPr>
            <w:tcW w:w="47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Joann Tinnelly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108" w:type="dxa"/>
            <w:tcBorders/>
            <w:shd w:fill="CCEEFF" w:val="clear"/>
            <w:tcMar>
              <w:bottom w:w="0" w:type="dxa"/>
            </w:tcMar>
            <w:vAlign w:val="center"/>
          </w:tcPr>
          <w:p>
            <w:pPr>
              <w:pStyle w:val="TableContents"/>
              <w:bidi w:val="0"/>
              <w:spacing w:before="0" w:after="283"/>
              <w:jc w:val="right"/>
              <w:rPr/>
            </w:pPr>
            <w:r>
              <w:rPr/>
              <w:t>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36" w:type="dxa"/>
            <w:tcBorders/>
            <w:shd w:fill="CCEEFF" w:val="clear"/>
            <w:tcMar>
              <w:bottom w:w="0" w:type="dxa"/>
            </w:tcMar>
            <w:vAlign w:val="center"/>
          </w:tcPr>
          <w:p>
            <w:pPr>
              <w:pStyle w:val="TableContents"/>
              <w:bidi w:val="0"/>
              <w:spacing w:before="0" w:after="283"/>
              <w:jc w:val="right"/>
              <w:rPr/>
            </w:pPr>
            <w:r>
              <w:rPr/>
              <w:t>1,501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689" w:type="dxa"/>
            <w:tcBorders/>
            <w:shd w:fill="CCEEFF" w:val="clear"/>
            <w:tcMar>
              <w:bottom w:w="0" w:type="dxa"/>
            </w:tcMar>
            <w:vAlign w:val="center"/>
          </w:tcPr>
          <w:p>
            <w:pPr>
              <w:pStyle w:val="TableContents"/>
              <w:bidi w:val="0"/>
              <w:spacing w:before="0" w:after="283"/>
              <w:jc w:val="right"/>
              <w:rPr/>
            </w:pPr>
            <w:r>
              <w:rPr/>
              <w:t>124.50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2/4/2029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1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960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689" w:type="dxa"/>
            <w:tcBorders/>
            <w:shd w:fill="CCEEFF" w:val="clear"/>
            <w:tcMar>
              <w:bottom w:w="0" w:type="dxa"/>
            </w:tcMar>
            <w:vAlign w:val="center"/>
          </w:tcPr>
          <w:p>
            <w:pPr>
              <w:pStyle w:val="TableContents"/>
              <w:bidi w:val="0"/>
              <w:spacing w:before="0" w:after="283"/>
              <w:jc w:val="right"/>
              <w:rPr/>
            </w:pPr>
            <w:r>
              <w:rPr/>
              <w:t>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3/25/2030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108" w:type="dxa"/>
            <w:tcBorders/>
            <w:shd w:fill="CCEEFF" w:val="clear"/>
            <w:tcMar>
              <w:bottom w:w="0" w:type="dxa"/>
            </w:tcMar>
            <w:vAlign w:val="center"/>
          </w:tcPr>
          <w:p>
            <w:pPr>
              <w:pStyle w:val="TableContents"/>
              <w:bidi w:val="0"/>
              <w:spacing w:before="0" w:after="283"/>
              <w:jc w:val="right"/>
              <w:rPr/>
            </w:pPr>
            <w:r>
              <w:rPr/>
              <w:t>5328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36" w:type="dxa"/>
            <w:tcBorders/>
            <w:shd w:fill="CCEEFF" w:val="clear"/>
            <w:tcMar>
              <w:bottom w:w="0" w:type="dxa"/>
            </w:tcMar>
            <w:vAlign w:val="center"/>
          </w:tcPr>
          <w:p>
            <w:pPr>
              <w:pStyle w:val="TableContents"/>
              <w:bidi w:val="0"/>
              <w:spacing w:before="0" w:after="283"/>
              <w:jc w:val="right"/>
              <w:rPr/>
            </w:pPr>
            <w:r>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903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689" w:type="dxa"/>
            <w:tcBorders/>
            <w:shd w:fill="CCEEFF" w:val="clear"/>
            <w:tcMar>
              <w:bottom w:w="0" w:type="dxa"/>
            </w:tcMar>
            <w:vAlign w:val="center"/>
          </w:tcPr>
          <w:p>
            <w:pPr>
              <w:pStyle w:val="TableContents"/>
              <w:bidi w:val="0"/>
              <w:spacing w:before="0" w:after="283"/>
              <w:jc w:val="right"/>
              <w:rPr/>
            </w:pPr>
            <w:r>
              <w:rPr/>
              <w:t>47.50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9/16/2030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10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53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68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0" w:type="dxa"/>
            <w:tcBorders/>
            <w:shd w:fill="FFFFFF" w:val="clear"/>
            <w:tcMar>
              <w:bottom w:w="0" w:type="dxa"/>
            </w:tcMar>
            <w:vAlign w:val="center"/>
          </w:tcPr>
          <w:p>
            <w:pPr>
              <w:pStyle w:val="TableContents"/>
              <w:bidi w:val="0"/>
              <w:spacing w:before="0" w:after="283"/>
              <w:jc w:val="left"/>
              <w:rPr/>
            </w:pPr>
            <w:r>
              <w:rPr/>
              <w:t> </w:t>
            </w:r>
          </w:p>
        </w:tc>
        <w:tc>
          <w:tcPr>
            <w:tcW w:w="4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7" w:type="dxa"/>
            <w:tcBorders/>
            <w:shd w:fill="FFFFFF" w:val="clear"/>
            <w:tcMar>
              <w:bottom w:w="0" w:type="dxa"/>
            </w:tcMar>
            <w:vAlign w:val="center"/>
          </w:tcPr>
          <w:p>
            <w:pPr>
              <w:pStyle w:val="TableContents"/>
              <w:bidi w:val="0"/>
              <w:spacing w:before="0" w:after="283"/>
              <w:jc w:val="left"/>
              <w:rPr/>
            </w:pPr>
            <w:r>
              <w:rPr/>
              <w:t> </w:t>
            </w:r>
          </w:p>
        </w:tc>
        <w:tc>
          <w:tcPr>
            <w:tcW w:w="34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5" w:type="dxa"/>
            <w:tcBorders/>
            <w:shd w:fill="FFFFFF" w:val="clear"/>
            <w:tcMar>
              <w:bottom w:w="0" w:type="dxa"/>
            </w:tcMar>
            <w:vAlign w:val="center"/>
          </w:tcPr>
          <w:p>
            <w:pPr>
              <w:pStyle w:val="TableContents"/>
              <w:bidi w:val="0"/>
              <w:spacing w:before="0" w:after="283"/>
              <w:jc w:val="left"/>
              <w:rPr/>
            </w:pPr>
            <w:r>
              <w:rPr/>
              <w:t> </w:t>
            </w:r>
          </w:p>
        </w:tc>
        <w:tc>
          <w:tcPr>
            <w:tcW w:w="47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5" w:type="dxa"/>
            <w:tcBorders/>
            <w:shd w:fill="FFFFFF" w:val="clear"/>
            <w:tcMar>
              <w:bottom w:w="0" w:type="dxa"/>
            </w:tcMar>
            <w:vAlign w:val="center"/>
          </w:tcPr>
          <w:p>
            <w:pPr>
              <w:pStyle w:val="TableContents"/>
              <w:bidi w:val="0"/>
              <w:spacing w:before="0" w:after="283"/>
              <w:jc w:val="left"/>
              <w:rPr/>
            </w:pPr>
            <w:r>
              <w:rPr/>
              <w:t> </w:t>
            </w:r>
          </w:p>
        </w:tc>
        <w:tc>
          <w:tcPr>
            <w:tcW w:w="47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Christopher J. Burleson (Chief Commercial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108"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36"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689"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compensation paid to our non-employee directors for the year ended December 31,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32"/>
        <w:gridCol w:w="60"/>
        <w:gridCol w:w="231"/>
        <w:gridCol w:w="1122"/>
        <w:gridCol w:w="60"/>
        <w:gridCol w:w="60"/>
        <w:gridCol w:w="865"/>
        <w:gridCol w:w="588"/>
        <w:gridCol w:w="60"/>
        <w:gridCol w:w="60"/>
        <w:gridCol w:w="321"/>
        <w:gridCol w:w="509"/>
        <w:gridCol w:w="60"/>
        <w:gridCol w:w="60"/>
        <w:gridCol w:w="576"/>
        <w:gridCol w:w="914"/>
        <w:gridCol w:w="60"/>
        <w:gridCol w:w="60"/>
        <w:gridCol w:w="576"/>
        <w:gridCol w:w="914"/>
        <w:gridCol w:w="60"/>
        <w:gridCol w:w="60"/>
        <w:gridCol w:w="140"/>
        <w:gridCol w:w="680"/>
        <w:gridCol w:w="77"/>
      </w:tblGrid>
      <w:tr>
        <w:trPr/>
        <w:tc>
          <w:tcPr>
            <w:tcW w:w="2032" w:type="dxa"/>
            <w:tcBorders>
              <w:bottom w:val="single" w:sz="12"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353" w:type="dxa"/>
            <w:gridSpan w:val="2"/>
            <w:tcBorders>
              <w:bottom w:val="single" w:sz="12" w:space="0" w:color="000000"/>
            </w:tcBorders>
            <w:vAlign w:val="center"/>
          </w:tcPr>
          <w:p>
            <w:pPr>
              <w:pStyle w:val="TableContents"/>
              <w:bidi w:val="0"/>
              <w:spacing w:before="0" w:after="283"/>
              <w:jc w:val="center"/>
              <w:rPr>
                <w:b/>
              </w:rPr>
            </w:pPr>
            <w:r>
              <w:rPr>
                <w:b/>
              </w:rPr>
              <w:t xml:space="preserve">Fees Earned or </w:t>
              <w:br/>
              <w:t>Paid in Cash</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3" w:type="dxa"/>
            <w:gridSpan w:val="2"/>
            <w:tcBorders>
              <w:bottom w:val="single" w:sz="12" w:space="0" w:color="000000"/>
            </w:tcBorders>
            <w:vAlign w:val="center"/>
          </w:tcPr>
          <w:p>
            <w:pPr>
              <w:pStyle w:val="TableContents"/>
              <w:bidi w:val="0"/>
              <w:spacing w:before="0" w:after="283"/>
              <w:jc w:val="center"/>
              <w:rPr>
                <w:b/>
              </w:rPr>
            </w:pPr>
            <w:r>
              <w:rPr>
                <w:b/>
              </w:rPr>
              <w:t>Stock Awards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b/>
              </w:rPr>
            </w:pPr>
            <w:r>
              <w:rPr>
                <w:b/>
              </w:rPr>
              <w:t>Option</w:t>
              <w:br/>
              <w:t>Awards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Non-Equity</w:t>
              <w:br/>
              <w:t>Incentive Plan</w:t>
              <w:br/>
              <w:t>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All Other</w:t>
              <w:br/>
              <w:t>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7" w:type="dxa"/>
            <w:tcBorders/>
            <w:tcMar>
              <w:bottom w:w="0" w:type="dxa"/>
            </w:tcMar>
            <w:vAlign w:val="center"/>
          </w:tcPr>
          <w:p>
            <w:pPr>
              <w:pStyle w:val="TableContents"/>
              <w:bidi w:val="0"/>
              <w:spacing w:before="0" w:after="283"/>
              <w:jc w:val="left"/>
              <w:rPr/>
            </w:pPr>
            <w:r>
              <w:rPr/>
              <w:t> </w:t>
            </w:r>
          </w:p>
        </w:tc>
      </w:tr>
      <w:tr>
        <w:trPr/>
        <w:tc>
          <w:tcPr>
            <w:tcW w:w="2032" w:type="dxa"/>
            <w:tcBorders/>
            <w:shd w:fill="CCEEFF" w:val="clear"/>
            <w:tcMar>
              <w:bottom w:w="0" w:type="dxa"/>
            </w:tcMar>
            <w:vAlign w:val="center"/>
          </w:tcPr>
          <w:p>
            <w:pPr>
              <w:pStyle w:val="TableContents"/>
              <w:bidi w:val="0"/>
              <w:spacing w:before="0" w:after="283"/>
              <w:jc w:val="left"/>
              <w:rPr>
                <w:b/>
              </w:rPr>
            </w:pPr>
            <w:r>
              <w:rPr>
                <w:b/>
              </w:rPr>
              <w:t>John J. Bello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1122"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5"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50,000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032" w:type="dxa"/>
            <w:tcBorders/>
            <w:shd w:fill="FFFFFF" w:val="clear"/>
            <w:tcMar>
              <w:bottom w:w="0" w:type="dxa"/>
            </w:tcMar>
            <w:vAlign w:val="center"/>
          </w:tcPr>
          <w:p>
            <w:pPr>
              <w:pStyle w:val="TableContents"/>
              <w:bidi w:val="0"/>
              <w:spacing w:before="0" w:after="283"/>
              <w:jc w:val="both"/>
              <w:rPr>
                <w:b/>
              </w:rPr>
            </w:pPr>
            <w:r>
              <w:rPr>
                <w:b/>
              </w:rPr>
              <w:t>Lewis Jaffe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w:t>
            </w:r>
          </w:p>
        </w:tc>
        <w:tc>
          <w:tcPr>
            <w:tcW w:w="1122"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5"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50,000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032" w:type="dxa"/>
            <w:tcBorders/>
            <w:shd w:fill="CCEEFF" w:val="clear"/>
            <w:tcMar>
              <w:bottom w:w="0" w:type="dxa"/>
            </w:tcMar>
            <w:vAlign w:val="center"/>
          </w:tcPr>
          <w:p>
            <w:pPr>
              <w:pStyle w:val="TableContents"/>
              <w:bidi w:val="0"/>
              <w:spacing w:before="0" w:after="283"/>
              <w:jc w:val="both"/>
              <w:rPr>
                <w:b/>
              </w:rPr>
            </w:pPr>
            <w:r>
              <w:rPr>
                <w:b/>
              </w:rPr>
              <w:t>James C. Bass(1)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1122"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5"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50,000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032" w:type="dxa"/>
            <w:tcBorders/>
            <w:shd w:fill="FFFFFF" w:val="clear"/>
            <w:tcMar>
              <w:bottom w:w="0" w:type="dxa"/>
            </w:tcMar>
            <w:vAlign w:val="center"/>
          </w:tcPr>
          <w:p>
            <w:pPr>
              <w:pStyle w:val="TableContents"/>
              <w:bidi w:val="0"/>
              <w:spacing w:before="0" w:after="283"/>
              <w:jc w:val="both"/>
              <w:rPr>
                <w:b/>
              </w:rPr>
            </w:pPr>
            <w:r>
              <w:rPr>
                <w:b/>
              </w:rPr>
              <w:t>Louis Imbrogno, Jr.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w:t>
            </w:r>
          </w:p>
        </w:tc>
        <w:tc>
          <w:tcPr>
            <w:tcW w:w="1122"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5"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50,000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032" w:type="dxa"/>
            <w:tcBorders/>
            <w:shd w:fill="CCEEFF" w:val="clear"/>
            <w:tcMar>
              <w:bottom w:w="0" w:type="dxa"/>
            </w:tcMar>
            <w:vAlign w:val="center"/>
          </w:tcPr>
          <w:p>
            <w:pPr>
              <w:pStyle w:val="TableContents"/>
              <w:bidi w:val="0"/>
              <w:spacing w:before="0" w:after="283"/>
              <w:jc w:val="both"/>
              <w:rPr>
                <w:b/>
              </w:rPr>
            </w:pPr>
            <w:r>
              <w:rPr>
                <w:b/>
              </w:rPr>
              <w:t>Thomas W. Kosler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1122"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5"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50,000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032" w:type="dxa"/>
            <w:tcBorders/>
            <w:shd w:fill="FFFFFF" w:val="clear"/>
            <w:tcMar>
              <w:bottom w:w="0" w:type="dxa"/>
            </w:tcMar>
            <w:vAlign w:val="center"/>
          </w:tcPr>
          <w:p>
            <w:pPr>
              <w:pStyle w:val="TableContents"/>
              <w:bidi w:val="0"/>
              <w:spacing w:before="0" w:after="283"/>
              <w:jc w:val="both"/>
              <w:rPr>
                <w:b/>
              </w:rPr>
            </w:pPr>
            <w:r>
              <w:rPr>
                <w:b/>
              </w:rPr>
              <w:t>Shufeng Deng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w:t>
            </w:r>
          </w:p>
        </w:tc>
        <w:tc>
          <w:tcPr>
            <w:tcW w:w="112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5" w:type="dxa"/>
            <w:tcBorders/>
            <w:shd w:fill="FFFFFF" w:val="clear"/>
            <w:tcMar>
              <w:bottom w:w="0" w:type="dxa"/>
            </w:tcMar>
            <w:vAlign w:val="center"/>
          </w:tcPr>
          <w:p>
            <w:pPr>
              <w:pStyle w:val="TableContents"/>
              <w:bidi w:val="0"/>
              <w:spacing w:before="0" w:after="283"/>
              <w:jc w:val="left"/>
              <w:rPr/>
            </w:pPr>
            <w:r>
              <w:rPr/>
              <w:t>$</w:t>
            </w:r>
          </w:p>
        </w:tc>
        <w:tc>
          <w:tcPr>
            <w:tcW w:w="58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032" w:type="dxa"/>
            <w:tcBorders/>
            <w:shd w:fill="CCEEFF" w:val="clear"/>
            <w:tcMar>
              <w:bottom w:w="0" w:type="dxa"/>
            </w:tcMar>
            <w:vAlign w:val="center"/>
          </w:tcPr>
          <w:p>
            <w:pPr>
              <w:pStyle w:val="TableContents"/>
              <w:bidi w:val="0"/>
              <w:spacing w:before="0" w:after="283"/>
              <w:jc w:val="both"/>
              <w:rPr>
                <w:b/>
              </w:rPr>
            </w:pPr>
            <w:r>
              <w:rPr>
                <w:b/>
              </w:rPr>
              <w:t>Randle Lee Edwards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112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5" w:type="dxa"/>
            <w:tcBorders/>
            <w:shd w:fill="CCEEFF" w:val="clear"/>
            <w:tcMar>
              <w:bottom w:w="0" w:type="dxa"/>
            </w:tcMar>
            <w:vAlign w:val="center"/>
          </w:tcPr>
          <w:p>
            <w:pPr>
              <w:pStyle w:val="TableContents"/>
              <w:bidi w:val="0"/>
              <w:spacing w:before="0" w:after="283"/>
              <w:jc w:val="left"/>
              <w:rPr/>
            </w:pPr>
            <w:r>
              <w:rPr/>
              <w:t>$</w:t>
            </w:r>
          </w:p>
        </w:tc>
        <w:tc>
          <w:tcPr>
            <w:tcW w:w="58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032" w:type="dxa"/>
            <w:tcBorders/>
            <w:shd w:fill="FFFFFF" w:val="clear"/>
            <w:tcMar>
              <w:bottom w:w="0" w:type="dxa"/>
            </w:tcMar>
            <w:vAlign w:val="center"/>
          </w:tcPr>
          <w:p>
            <w:pPr>
              <w:pStyle w:val="TableContents"/>
              <w:bidi w:val="0"/>
              <w:spacing w:before="0" w:after="283"/>
              <w:jc w:val="both"/>
              <w:rPr>
                <w:b/>
              </w:rPr>
            </w:pPr>
            <w:r>
              <w:rPr>
                <w:b/>
              </w:rPr>
              <w:t>Leon M. Zaltzman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w:t>
            </w:r>
          </w:p>
        </w:tc>
        <w:tc>
          <w:tcPr>
            <w:tcW w:w="112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5" w:type="dxa"/>
            <w:tcBorders/>
            <w:shd w:fill="FFFFFF" w:val="clear"/>
            <w:tcMar>
              <w:bottom w:w="0" w:type="dxa"/>
            </w:tcMar>
            <w:vAlign w:val="center"/>
          </w:tcPr>
          <w:p>
            <w:pPr>
              <w:pStyle w:val="TableContents"/>
              <w:bidi w:val="0"/>
              <w:spacing w:before="0" w:after="283"/>
              <w:jc w:val="left"/>
              <w:rPr/>
            </w:pPr>
            <w:r>
              <w:rPr/>
              <w:t>$</w:t>
            </w:r>
          </w:p>
        </w:tc>
        <w:tc>
          <w:tcPr>
            <w:tcW w:w="58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C. Bass served as a director until the Annual Stockholders’ Meeting on December 12, 2023, at which he did not stand for re-election.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Shufeng Deng was appointed to the board effective July 7, 2023. On February 8, 2024, she was appointed as Vice Chairman of the Board and Chairman of Asian Operations. She elected to waive non-employee director compensation due to her position as the principal and director designee of D&amp;D Source of Life Holding,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Randle Lee Edwards was appointed to the board effective December 12, 2023.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Leon M. Zaltzman was appointed to the board effective March 22, 2022. Mr. Zaltzman elected to waive non-employee director compensation due to his position with the Union Square Entities. He resigned his position on July 7, 2023 but continues as a board observer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8" w:name="MS_028"/>
      <w:bookmarkEnd w:id="838"/>
      <w:r>
        <w:rPr>
          <w:rFonts w:ascii="Times New Roman;Times;Serif" w:hAnsi="Times New Roman;Times;Serif"/>
          <w:b/>
          <w:i w:val="false"/>
          <w:caps w:val="false"/>
          <w:smallCaps w:val="false"/>
          <w:sz w:val="20"/>
        </w:rPr>
        <w:t>Item 12. Security Ownership of Certain Beneficial Owners, Management and Related Stockholder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our shares of common stock beneficially owned as of March 19, 2024 for (i) each Named Executive Officer and director, and (ii) all Named Executive officers and directors as a group (iii) each stockholder known to be the beneficial owner of 5% or more of our outstanding shares of common stock n . A person is considered to beneficially own any shares (i) over which such person, directly or indirectly, exercises sole or shared voting or investment power or (ii) of which such person has the right to acquire beneficial ownership at any time within 60 days through an exercise of stock options or warrants or otherwise. Unless otherwise indicated, voting and investment power relating to the shares shown in the table for our directors and executive officers is exercised solely by the beneficial owner or shared by the owner and the owner’s spouse or children.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table, a person or group of persons is deemed to have “beneficial ownership” of any shares of common stock that such person has the right to acquire within 60 days of March 19, 2024. For purposes of computing the percentage of outstanding shares of our common stock held by each person or group of persons named above, any shares that such person or persons has the right to acquire within 60 days of March 19, 2024 is deemed to be outstanding but is not deemed to be outstanding for the purpose of computing the percentage ownership of any other person. The inclusion herein of any shares listed as beneficially owned does not constitute an admission of beneficial ownership. Except as otherwise indicated below, the persons named in the table have sole voting and investment power with respect to all shares of common stock held by them. Unless otherwise indicated, the principal address of each listed executive officer and director is 201 Merritt 7 Corporate Park, Norwalk, Connecticut 06851.</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84"/>
        <w:gridCol w:w="60"/>
        <w:gridCol w:w="81"/>
        <w:gridCol w:w="1353"/>
        <w:gridCol w:w="60"/>
        <w:gridCol w:w="60"/>
        <w:gridCol w:w="250"/>
        <w:gridCol w:w="1851"/>
        <w:gridCol w:w="215"/>
        <w:gridCol w:w="60"/>
        <w:gridCol w:w="369"/>
        <w:gridCol w:w="2728"/>
        <w:gridCol w:w="234"/>
      </w:tblGrid>
      <w:tr>
        <w:trPr/>
        <w:tc>
          <w:tcPr>
            <w:tcW w:w="2884" w:type="dxa"/>
            <w:tcBorders>
              <w:bottom w:val="single" w:sz="12" w:space="0" w:color="000000"/>
            </w:tcBorders>
            <w:vAlign w:val="center"/>
          </w:tcPr>
          <w:p>
            <w:pPr>
              <w:pStyle w:val="TableContents"/>
              <w:bidi w:val="0"/>
              <w:spacing w:before="0" w:after="283"/>
              <w:jc w:val="left"/>
              <w:rPr>
                <w:b/>
                <w:i/>
              </w:rPr>
            </w:pPr>
            <w:r>
              <w:rPr>
                <w:b/>
                <w:i/>
              </w:rPr>
              <w:t>Named Beneficial Owner Directors and Named Executive Officers</w:t>
            </w:r>
          </w:p>
        </w:tc>
        <w:tc>
          <w:tcPr>
            <w:tcW w:w="60" w:type="dxa"/>
            <w:tcBorders/>
            <w:tcMar>
              <w:bottom w:w="0" w:type="dxa"/>
            </w:tcMar>
            <w:vAlign w:val="center"/>
          </w:tcPr>
          <w:p>
            <w:pPr>
              <w:pStyle w:val="TableContents"/>
              <w:bidi w:val="0"/>
              <w:spacing w:before="0" w:after="283"/>
              <w:jc w:val="center"/>
              <w:rPr/>
            </w:pPr>
            <w:r>
              <w:rPr/>
              <w:t> </w:t>
            </w:r>
          </w:p>
        </w:tc>
        <w:tc>
          <w:tcPr>
            <w:tcW w:w="1434" w:type="dxa"/>
            <w:gridSpan w:val="2"/>
            <w:tcBorders>
              <w:bottom w:val="single" w:sz="12" w:space="0" w:color="000000"/>
            </w:tcBorders>
            <w:vAlign w:val="center"/>
          </w:tcPr>
          <w:p>
            <w:pPr>
              <w:pStyle w:val="TableContents"/>
              <w:bidi w:val="0"/>
              <w:spacing w:before="0" w:after="283"/>
              <w:jc w:val="center"/>
              <w:rPr>
                <w:b/>
              </w:rPr>
            </w:pPr>
            <w:r>
              <w:rPr>
                <w:b/>
              </w:rPr>
              <w:t>Number of Shares</w:t>
              <w:br/>
              <w:t>Beneficially Owned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101" w:type="dxa"/>
            <w:gridSpan w:val="2"/>
            <w:tcBorders>
              <w:bottom w:val="single" w:sz="12" w:space="0" w:color="000000"/>
            </w:tcBorders>
            <w:vAlign w:val="center"/>
          </w:tcPr>
          <w:p>
            <w:pPr>
              <w:pStyle w:val="TableContents"/>
              <w:bidi w:val="0"/>
              <w:spacing w:before="0" w:after="283"/>
              <w:jc w:val="center"/>
              <w:rPr>
                <w:b/>
              </w:rPr>
            </w:pPr>
            <w:r>
              <w:rPr>
                <w:b/>
              </w:rPr>
              <w:t>Percentage of</w:t>
              <w:br/>
              <w:t>Shares Beneficially</w:t>
              <w:br/>
              <w:t>Owned Prior to Conversion of SAFEs(1)</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097" w:type="dxa"/>
            <w:gridSpan w:val="2"/>
            <w:tcBorders>
              <w:bottom w:val="single" w:sz="12" w:space="0" w:color="000000"/>
            </w:tcBorders>
            <w:vAlign w:val="center"/>
          </w:tcPr>
          <w:p>
            <w:pPr>
              <w:pStyle w:val="TableContents"/>
              <w:bidi w:val="0"/>
              <w:spacing w:before="0" w:after="283"/>
              <w:jc w:val="center"/>
              <w:rPr>
                <w:b/>
              </w:rPr>
            </w:pPr>
            <w:r>
              <w:rPr>
                <w:b/>
              </w:rPr>
              <w:t>Percentage of Shares Beneficially Owned After Conversion of SAFEs (2)</w:t>
            </w:r>
          </w:p>
        </w:tc>
        <w:tc>
          <w:tcPr>
            <w:tcW w:w="234" w:type="dxa"/>
            <w:tcBorders/>
            <w:tcMar>
              <w:bottom w:w="0" w:type="dxa"/>
            </w:tcMar>
            <w:vAlign w:val="center"/>
          </w:tcPr>
          <w:p>
            <w:pPr>
              <w:pStyle w:val="TableContents"/>
              <w:bidi w:val="0"/>
              <w:spacing w:before="0" w:after="283"/>
              <w:jc w:val="center"/>
              <w:rPr/>
            </w:pPr>
            <w:r>
              <w:rPr/>
              <w:t> </w:t>
            </w:r>
          </w:p>
        </w:tc>
      </w:tr>
      <w:tr>
        <w:trPr/>
        <w:tc>
          <w:tcPr>
            <w:tcW w:w="2884" w:type="dxa"/>
            <w:tcBorders/>
            <w:shd w:fill="CCEEFF" w:val="clear"/>
            <w:tcMar>
              <w:bottom w:w="0" w:type="dxa"/>
            </w:tcMar>
            <w:vAlign w:val="center"/>
          </w:tcPr>
          <w:p>
            <w:pPr>
              <w:pStyle w:val="TableContents"/>
              <w:bidi w:val="0"/>
              <w:spacing w:before="0" w:after="283"/>
              <w:jc w:val="left"/>
              <w:rPr/>
            </w:pPr>
            <w:r>
              <w:rPr/>
              <w:t>John J. Bello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681,275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right"/>
              <w:rPr/>
            </w:pPr>
            <w:r>
              <w:rPr/>
              <w:t>15.2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 w:type="dxa"/>
            <w:tcBorders/>
            <w:shd w:fill="CCEEFF" w:val="clear"/>
            <w:tcMar>
              <w:bottom w:w="0" w:type="dxa"/>
            </w:tcMar>
            <w:vAlign w:val="center"/>
          </w:tcPr>
          <w:p>
            <w:pPr>
              <w:pStyle w:val="TableContents"/>
              <w:bidi w:val="0"/>
              <w:spacing w:before="0" w:after="283"/>
              <w:jc w:val="left"/>
              <w:rPr/>
            </w:pPr>
            <w:r>
              <w:rPr/>
              <w:t> </w:t>
            </w:r>
          </w:p>
        </w:tc>
        <w:tc>
          <w:tcPr>
            <w:tcW w:w="2728" w:type="dxa"/>
            <w:tcBorders/>
            <w:shd w:fill="CCEEFF" w:val="clear"/>
            <w:tcMar>
              <w:bottom w:w="0" w:type="dxa"/>
            </w:tcMar>
            <w:vAlign w:val="center"/>
          </w:tcPr>
          <w:p>
            <w:pPr>
              <w:pStyle w:val="TableContents"/>
              <w:bidi w:val="0"/>
              <w:spacing w:before="0" w:after="283"/>
              <w:jc w:val="right"/>
              <w:rPr/>
            </w:pPr>
            <w:r>
              <w:rPr/>
              <w:t>9.7</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884" w:type="dxa"/>
            <w:tcBorders/>
            <w:shd w:fill="FFFFFF" w:val="clear"/>
            <w:tcMar>
              <w:bottom w:w="0" w:type="dxa"/>
            </w:tcMar>
            <w:vAlign w:val="center"/>
          </w:tcPr>
          <w:p>
            <w:pPr>
              <w:pStyle w:val="TableContents"/>
              <w:bidi w:val="0"/>
              <w:spacing w:before="0" w:after="283"/>
              <w:jc w:val="left"/>
              <w:rPr/>
            </w:pPr>
            <w:r>
              <w:rPr/>
              <w:t>Norman E. Snyder, Jr.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pPr>
            <w:r>
              <w:rPr/>
              <w:t>59,624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851" w:type="dxa"/>
            <w:tcBorders/>
            <w:shd w:fill="FFFFFF" w:val="clear"/>
            <w:tcMar>
              <w:bottom w:w="0" w:type="dxa"/>
            </w:tcMar>
            <w:vAlign w:val="center"/>
          </w:tcPr>
          <w:p>
            <w:pPr>
              <w:pStyle w:val="TableContents"/>
              <w:bidi w:val="0"/>
              <w:spacing w:before="0" w:after="283"/>
              <w:jc w:val="right"/>
              <w:rPr/>
            </w:pPr>
            <w:r>
              <w:rPr/>
              <w:t>1.4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9" w:type="dxa"/>
            <w:tcBorders/>
            <w:shd w:fill="FFFFFF" w:val="clear"/>
            <w:tcMar>
              <w:bottom w:w="0" w:type="dxa"/>
            </w:tcMar>
            <w:vAlign w:val="center"/>
          </w:tcPr>
          <w:p>
            <w:pPr>
              <w:pStyle w:val="TableContents"/>
              <w:bidi w:val="0"/>
              <w:spacing w:before="0" w:after="283"/>
              <w:jc w:val="left"/>
              <w:rPr/>
            </w:pPr>
            <w:r>
              <w:rPr/>
              <w:t> </w:t>
            </w:r>
          </w:p>
        </w:tc>
        <w:tc>
          <w:tcPr>
            <w:tcW w:w="2728" w:type="dxa"/>
            <w:tcBorders/>
            <w:shd w:fill="FFFFFF" w:val="clear"/>
            <w:tcMar>
              <w:bottom w:w="0" w:type="dxa"/>
            </w:tcMar>
            <w:vAlign w:val="center"/>
          </w:tcPr>
          <w:p>
            <w:pPr>
              <w:pStyle w:val="TableContents"/>
              <w:bidi w:val="0"/>
              <w:spacing w:before="0" w:after="283"/>
              <w:jc w:val="right"/>
              <w:rPr/>
            </w:pPr>
            <w:r>
              <w:rPr/>
              <w:t>0.9</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884" w:type="dxa"/>
            <w:tcBorders/>
            <w:shd w:fill="CCEEFF" w:val="clear"/>
            <w:tcMar>
              <w:bottom w:w="0" w:type="dxa"/>
            </w:tcMar>
            <w:vAlign w:val="center"/>
          </w:tcPr>
          <w:p>
            <w:pPr>
              <w:pStyle w:val="TableContents"/>
              <w:bidi w:val="0"/>
              <w:spacing w:before="0" w:after="283"/>
              <w:jc w:val="left"/>
              <w:rPr/>
            </w:pPr>
            <w:r>
              <w:rPr/>
              <w:t>Joann Tinnelly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18,230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right"/>
              <w:rPr/>
            </w:pPr>
            <w:r>
              <w:rPr/>
              <w:t>0.4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 w:type="dxa"/>
            <w:tcBorders/>
            <w:shd w:fill="CCEEFF" w:val="clear"/>
            <w:tcMar>
              <w:bottom w:w="0" w:type="dxa"/>
            </w:tcMar>
            <w:vAlign w:val="center"/>
          </w:tcPr>
          <w:p>
            <w:pPr>
              <w:pStyle w:val="TableContents"/>
              <w:bidi w:val="0"/>
              <w:spacing w:before="0" w:after="283"/>
              <w:jc w:val="left"/>
              <w:rPr/>
            </w:pPr>
            <w:r>
              <w:rPr/>
              <w:t> </w:t>
            </w:r>
          </w:p>
        </w:tc>
        <w:tc>
          <w:tcPr>
            <w:tcW w:w="2728" w:type="dxa"/>
            <w:tcBorders/>
            <w:shd w:fill="CCEEFF" w:val="clear"/>
            <w:tcMar>
              <w:bottom w:w="0" w:type="dxa"/>
            </w:tcMar>
            <w:vAlign w:val="center"/>
          </w:tcPr>
          <w:p>
            <w:pPr>
              <w:pStyle w:val="TableContents"/>
              <w:bidi w:val="0"/>
              <w:spacing w:before="0" w:after="283"/>
              <w:jc w:val="right"/>
              <w:rPr/>
            </w:pPr>
            <w:r>
              <w:rPr/>
              <w:t>0.3</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884" w:type="dxa"/>
            <w:tcBorders/>
            <w:shd w:fill="FFFFFF" w:val="clear"/>
            <w:tcMar>
              <w:bottom w:w="0" w:type="dxa"/>
            </w:tcMar>
            <w:vAlign w:val="center"/>
          </w:tcPr>
          <w:p>
            <w:pPr>
              <w:pStyle w:val="TableContents"/>
              <w:bidi w:val="0"/>
              <w:spacing w:before="0" w:after="283"/>
              <w:jc w:val="left"/>
              <w:rPr/>
            </w:pPr>
            <w:r>
              <w:rPr/>
              <w:t>Chris Burleson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pPr>
            <w:r>
              <w:rPr/>
              <w:t>24,160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851" w:type="dxa"/>
            <w:tcBorders/>
            <w:shd w:fill="FFFFFF" w:val="clear"/>
            <w:tcMar>
              <w:bottom w:w="0" w:type="dxa"/>
            </w:tcMar>
            <w:vAlign w:val="center"/>
          </w:tcPr>
          <w:p>
            <w:pPr>
              <w:pStyle w:val="TableContents"/>
              <w:bidi w:val="0"/>
              <w:spacing w:before="0" w:after="283"/>
              <w:jc w:val="right"/>
              <w:rPr/>
            </w:pPr>
            <w:r>
              <w:rPr/>
              <w:t>0.6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9" w:type="dxa"/>
            <w:tcBorders/>
            <w:shd w:fill="FFFFFF" w:val="clear"/>
            <w:tcMar>
              <w:bottom w:w="0" w:type="dxa"/>
            </w:tcMar>
            <w:vAlign w:val="center"/>
          </w:tcPr>
          <w:p>
            <w:pPr>
              <w:pStyle w:val="TableContents"/>
              <w:bidi w:val="0"/>
              <w:spacing w:before="0" w:after="283"/>
              <w:jc w:val="left"/>
              <w:rPr/>
            </w:pPr>
            <w:r>
              <w:rPr/>
              <w:t> </w:t>
            </w:r>
          </w:p>
        </w:tc>
        <w:tc>
          <w:tcPr>
            <w:tcW w:w="2728" w:type="dxa"/>
            <w:tcBorders/>
            <w:shd w:fill="FFFFFF" w:val="clear"/>
            <w:tcMar>
              <w:bottom w:w="0" w:type="dxa"/>
            </w:tcMar>
            <w:vAlign w:val="center"/>
          </w:tcPr>
          <w:p>
            <w:pPr>
              <w:pStyle w:val="TableContents"/>
              <w:bidi w:val="0"/>
              <w:spacing w:before="0" w:after="283"/>
              <w:jc w:val="right"/>
              <w:rPr/>
            </w:pPr>
            <w:r>
              <w:rPr/>
              <w:t>0.3</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884" w:type="dxa"/>
            <w:tcBorders/>
            <w:shd w:fill="CCEEFF" w:val="clear"/>
            <w:tcMar>
              <w:bottom w:w="0" w:type="dxa"/>
            </w:tcMar>
            <w:vAlign w:val="center"/>
          </w:tcPr>
          <w:p>
            <w:pPr>
              <w:pStyle w:val="TableContents"/>
              <w:bidi w:val="0"/>
              <w:spacing w:before="0" w:after="283"/>
              <w:jc w:val="left"/>
              <w:rPr/>
            </w:pPr>
            <w:r>
              <w:rPr/>
              <w:t>Shufeng Deng (9)</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3,160,452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right"/>
              <w:rPr/>
            </w:pPr>
            <w:r>
              <w:rPr/>
              <w:t>49.2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 w:type="dxa"/>
            <w:tcBorders/>
            <w:shd w:fill="CCEEFF" w:val="clear"/>
            <w:tcMar>
              <w:bottom w:w="0" w:type="dxa"/>
            </w:tcMar>
            <w:vAlign w:val="center"/>
          </w:tcPr>
          <w:p>
            <w:pPr>
              <w:pStyle w:val="TableContents"/>
              <w:bidi w:val="0"/>
              <w:spacing w:before="0" w:after="283"/>
              <w:jc w:val="left"/>
              <w:rPr/>
            </w:pPr>
            <w:r>
              <w:rPr/>
              <w:t> </w:t>
            </w:r>
          </w:p>
        </w:tc>
        <w:tc>
          <w:tcPr>
            <w:tcW w:w="2728" w:type="dxa"/>
            <w:tcBorders/>
            <w:shd w:fill="CCEEFF" w:val="clear"/>
            <w:tcMar>
              <w:bottom w:w="0" w:type="dxa"/>
            </w:tcMar>
            <w:vAlign w:val="center"/>
          </w:tcPr>
          <w:p>
            <w:pPr>
              <w:pStyle w:val="TableContents"/>
              <w:bidi w:val="0"/>
              <w:spacing w:before="0" w:after="283"/>
              <w:jc w:val="right"/>
              <w:rPr/>
            </w:pPr>
            <w:r>
              <w:rPr/>
              <w:t>44.2</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884" w:type="dxa"/>
            <w:tcBorders/>
            <w:shd w:fill="FFFFFF" w:val="clear"/>
            <w:tcMar>
              <w:bottom w:w="0" w:type="dxa"/>
            </w:tcMar>
            <w:vAlign w:val="center"/>
          </w:tcPr>
          <w:p>
            <w:pPr>
              <w:pStyle w:val="TableContents"/>
              <w:bidi w:val="0"/>
              <w:spacing w:before="0" w:after="283"/>
              <w:jc w:val="left"/>
              <w:rPr/>
            </w:pPr>
            <w:r>
              <w:rPr/>
              <w:t>Thomas W Kosler (6)</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pPr>
            <w:r>
              <w:rPr/>
              <w:t>13,918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851" w:type="dxa"/>
            <w:tcBorders/>
            <w:shd w:fill="FFFFFF" w:val="clear"/>
            <w:tcMar>
              <w:bottom w:w="0" w:type="dxa"/>
            </w:tcMar>
            <w:vAlign w:val="center"/>
          </w:tcPr>
          <w:p>
            <w:pPr>
              <w:pStyle w:val="TableContents"/>
              <w:bidi w:val="0"/>
              <w:spacing w:before="0" w:after="283"/>
              <w:jc w:val="right"/>
              <w:rPr/>
            </w:pPr>
            <w:r>
              <w:rPr/>
              <w:t>0.3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9" w:type="dxa"/>
            <w:tcBorders/>
            <w:shd w:fill="FFFFFF" w:val="clear"/>
            <w:tcMar>
              <w:bottom w:w="0" w:type="dxa"/>
            </w:tcMar>
            <w:vAlign w:val="center"/>
          </w:tcPr>
          <w:p>
            <w:pPr>
              <w:pStyle w:val="TableContents"/>
              <w:bidi w:val="0"/>
              <w:spacing w:before="0" w:after="283"/>
              <w:jc w:val="left"/>
              <w:rPr/>
            </w:pPr>
            <w:r>
              <w:rPr/>
              <w:t> </w:t>
            </w:r>
          </w:p>
        </w:tc>
        <w:tc>
          <w:tcPr>
            <w:tcW w:w="2728" w:type="dxa"/>
            <w:tcBorders/>
            <w:shd w:fill="FFFFFF" w:val="clear"/>
            <w:tcMar>
              <w:bottom w:w="0" w:type="dxa"/>
            </w:tcMar>
            <w:vAlign w:val="center"/>
          </w:tcPr>
          <w:p>
            <w:pPr>
              <w:pStyle w:val="TableContents"/>
              <w:bidi w:val="0"/>
              <w:spacing w:before="0" w:after="283"/>
              <w:jc w:val="right"/>
              <w:rPr/>
            </w:pPr>
            <w:r>
              <w:rPr/>
              <w:t>0.2</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884" w:type="dxa"/>
            <w:tcBorders/>
            <w:shd w:fill="CCEEFF" w:val="clear"/>
            <w:tcMar>
              <w:bottom w:w="0" w:type="dxa"/>
            </w:tcMar>
            <w:vAlign w:val="center"/>
          </w:tcPr>
          <w:p>
            <w:pPr>
              <w:pStyle w:val="TableContents"/>
              <w:bidi w:val="0"/>
              <w:spacing w:before="0" w:after="283"/>
              <w:jc w:val="left"/>
              <w:rPr/>
            </w:pPr>
            <w:r>
              <w:rPr/>
              <w:t>Louis Imbrogno (7)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9,617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right"/>
              <w:rPr/>
            </w:pPr>
            <w:r>
              <w:rPr/>
              <w:t>0.2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 w:type="dxa"/>
            <w:tcBorders/>
            <w:shd w:fill="CCEEFF" w:val="clear"/>
            <w:tcMar>
              <w:bottom w:w="0" w:type="dxa"/>
            </w:tcMar>
            <w:vAlign w:val="center"/>
          </w:tcPr>
          <w:p>
            <w:pPr>
              <w:pStyle w:val="TableContents"/>
              <w:bidi w:val="0"/>
              <w:spacing w:before="0" w:after="283"/>
              <w:jc w:val="left"/>
              <w:rPr/>
            </w:pPr>
            <w:r>
              <w:rPr/>
              <w:t> </w:t>
            </w:r>
          </w:p>
        </w:tc>
        <w:tc>
          <w:tcPr>
            <w:tcW w:w="2728" w:type="dxa"/>
            <w:tcBorders/>
            <w:shd w:fill="CCEEFF" w:val="clear"/>
            <w:tcMar>
              <w:bottom w:w="0" w:type="dxa"/>
            </w:tcMar>
            <w:vAlign w:val="center"/>
          </w:tcPr>
          <w:p>
            <w:pPr>
              <w:pStyle w:val="TableContents"/>
              <w:bidi w:val="0"/>
              <w:spacing w:before="0" w:after="283"/>
              <w:jc w:val="right"/>
              <w:rPr/>
            </w:pPr>
            <w:r>
              <w:rPr/>
              <w:t>0.1</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884" w:type="dxa"/>
            <w:tcBorders/>
            <w:shd w:fill="FFFFFF" w:val="clear"/>
            <w:tcMar>
              <w:bottom w:w="0" w:type="dxa"/>
            </w:tcMar>
            <w:vAlign w:val="center"/>
          </w:tcPr>
          <w:p>
            <w:pPr>
              <w:pStyle w:val="TableContents"/>
              <w:bidi w:val="0"/>
              <w:spacing w:before="0" w:after="283"/>
              <w:jc w:val="left"/>
              <w:rPr/>
            </w:pPr>
            <w:r>
              <w:rPr/>
              <w:t>Lewis Jaffe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pPr>
            <w:r>
              <w:rPr/>
              <w:t>7,395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851" w:type="dxa"/>
            <w:tcBorders/>
            <w:shd w:fill="FFFFFF" w:val="clear"/>
            <w:tcMar>
              <w:bottom w:w="0" w:type="dxa"/>
            </w:tcMar>
            <w:vAlign w:val="center"/>
          </w:tcPr>
          <w:p>
            <w:pPr>
              <w:pStyle w:val="TableContents"/>
              <w:bidi w:val="0"/>
              <w:spacing w:before="0" w:after="283"/>
              <w:jc w:val="right"/>
              <w:rPr/>
            </w:pPr>
            <w:r>
              <w:rPr/>
              <w:t>0.2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9" w:type="dxa"/>
            <w:tcBorders/>
            <w:shd w:fill="FFFFFF" w:val="clear"/>
            <w:tcMar>
              <w:bottom w:w="0" w:type="dxa"/>
            </w:tcMar>
            <w:vAlign w:val="center"/>
          </w:tcPr>
          <w:p>
            <w:pPr>
              <w:pStyle w:val="TableContents"/>
              <w:bidi w:val="0"/>
              <w:spacing w:before="0" w:after="283"/>
              <w:jc w:val="left"/>
              <w:rPr/>
            </w:pPr>
            <w:r>
              <w:rPr/>
              <w:t> </w:t>
            </w:r>
          </w:p>
        </w:tc>
        <w:tc>
          <w:tcPr>
            <w:tcW w:w="2728" w:type="dxa"/>
            <w:tcBorders/>
            <w:shd w:fill="FFFFFF" w:val="clear"/>
            <w:tcMar>
              <w:bottom w:w="0" w:type="dxa"/>
            </w:tcMar>
            <w:vAlign w:val="center"/>
          </w:tcPr>
          <w:p>
            <w:pPr>
              <w:pStyle w:val="TableContents"/>
              <w:bidi w:val="0"/>
              <w:spacing w:before="0" w:after="283"/>
              <w:jc w:val="right"/>
              <w:rPr/>
            </w:pPr>
            <w:r>
              <w:rPr/>
              <w:t>0.1</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88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 w:type="dxa"/>
            <w:tcBorders/>
            <w:shd w:fill="CCEEFF" w:val="clear"/>
            <w:tcMar>
              <w:bottom w:w="0" w:type="dxa"/>
            </w:tcMar>
            <w:vAlign w:val="center"/>
          </w:tcPr>
          <w:p>
            <w:pPr>
              <w:pStyle w:val="TableContents"/>
              <w:bidi w:val="0"/>
              <w:spacing w:before="0" w:after="283"/>
              <w:jc w:val="left"/>
              <w:rPr/>
            </w:pPr>
            <w:r>
              <w:rPr/>
              <w:t> </w:t>
            </w:r>
          </w:p>
        </w:tc>
        <w:tc>
          <w:tcPr>
            <w:tcW w:w="2728"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884" w:type="dxa"/>
            <w:tcBorders/>
            <w:shd w:fill="FFFFFF" w:val="clear"/>
            <w:tcMar>
              <w:bottom w:w="0" w:type="dxa"/>
            </w:tcMar>
            <w:vAlign w:val="center"/>
          </w:tcPr>
          <w:p>
            <w:pPr>
              <w:pStyle w:val="TableContents"/>
              <w:bidi w:val="0"/>
              <w:spacing w:before="0" w:after="283"/>
              <w:jc w:val="left"/>
              <w:rPr/>
            </w:pPr>
            <w:r>
              <w:rPr/>
              <w:t>Directors and Named Executive Officers as a group (8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pPr>
            <w:r>
              <w:rPr/>
              <w:t>3,974,671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851" w:type="dxa"/>
            <w:tcBorders/>
            <w:shd w:fill="FFFFFF" w:val="clear"/>
            <w:tcMar>
              <w:bottom w:w="0" w:type="dxa"/>
            </w:tcMar>
            <w:vAlign w:val="center"/>
          </w:tcPr>
          <w:p>
            <w:pPr>
              <w:pStyle w:val="TableContents"/>
              <w:bidi w:val="0"/>
              <w:spacing w:before="0" w:after="283"/>
              <w:jc w:val="right"/>
              <w:rPr/>
            </w:pPr>
            <w:r>
              <w:rPr/>
              <w:t>58.6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9" w:type="dxa"/>
            <w:tcBorders/>
            <w:shd w:fill="FFFFFF" w:val="clear"/>
            <w:tcMar>
              <w:bottom w:w="0" w:type="dxa"/>
            </w:tcMar>
            <w:vAlign w:val="center"/>
          </w:tcPr>
          <w:p>
            <w:pPr>
              <w:pStyle w:val="TableContents"/>
              <w:bidi w:val="0"/>
              <w:spacing w:before="0" w:after="283"/>
              <w:jc w:val="left"/>
              <w:rPr/>
            </w:pPr>
            <w:r>
              <w:rPr/>
              <w:t> </w:t>
            </w:r>
          </w:p>
        </w:tc>
        <w:tc>
          <w:tcPr>
            <w:tcW w:w="2728" w:type="dxa"/>
            <w:tcBorders/>
            <w:shd w:fill="FFFFFF" w:val="clear"/>
            <w:tcMar>
              <w:bottom w:w="0" w:type="dxa"/>
            </w:tcMar>
            <w:vAlign w:val="center"/>
          </w:tcPr>
          <w:p>
            <w:pPr>
              <w:pStyle w:val="TableContents"/>
              <w:bidi w:val="0"/>
              <w:spacing w:before="0" w:after="283"/>
              <w:jc w:val="right"/>
              <w:rPr/>
            </w:pPr>
            <w:r>
              <w:rPr/>
              <w:t>54.4</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88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 w:type="dxa"/>
            <w:tcBorders/>
            <w:shd w:fill="CCEEFF" w:val="clear"/>
            <w:tcMar>
              <w:bottom w:w="0" w:type="dxa"/>
            </w:tcMar>
            <w:vAlign w:val="center"/>
          </w:tcPr>
          <w:p>
            <w:pPr>
              <w:pStyle w:val="TableContents"/>
              <w:bidi w:val="0"/>
              <w:spacing w:before="0" w:after="283"/>
              <w:jc w:val="left"/>
              <w:rPr/>
            </w:pPr>
            <w:r>
              <w:rPr/>
              <w:t> </w:t>
            </w:r>
          </w:p>
        </w:tc>
        <w:tc>
          <w:tcPr>
            <w:tcW w:w="2728"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884" w:type="dxa"/>
            <w:tcBorders/>
            <w:shd w:fill="FFFFFF" w:val="clear"/>
            <w:tcMar>
              <w:bottom w:w="0" w:type="dxa"/>
            </w:tcMar>
            <w:vAlign w:val="center"/>
          </w:tcPr>
          <w:p>
            <w:pPr>
              <w:pStyle w:val="TableContents"/>
              <w:bidi w:val="0"/>
              <w:spacing w:before="0" w:after="283"/>
              <w:jc w:val="left"/>
              <w:rPr>
                <w:b/>
                <w:i/>
              </w:rPr>
            </w:pPr>
            <w:r>
              <w:rPr>
                <w:b/>
                <w:i/>
              </w:rPr>
              <w:t>5% or greater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851"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9" w:type="dxa"/>
            <w:tcBorders/>
            <w:shd w:fill="FFFFFF" w:val="clear"/>
            <w:tcMar>
              <w:bottom w:w="0" w:type="dxa"/>
            </w:tcMar>
            <w:vAlign w:val="center"/>
          </w:tcPr>
          <w:p>
            <w:pPr>
              <w:pStyle w:val="TableContents"/>
              <w:bidi w:val="0"/>
              <w:spacing w:before="0" w:after="283"/>
              <w:jc w:val="left"/>
              <w:rPr/>
            </w:pPr>
            <w:r>
              <w:rPr/>
              <w:t> </w:t>
            </w:r>
          </w:p>
        </w:tc>
        <w:tc>
          <w:tcPr>
            <w:tcW w:w="2728" w:type="dxa"/>
            <w:tcBorders/>
            <w:shd w:fill="FFFFFF" w:val="clear"/>
            <w:tcMar>
              <w:bottom w:w="0" w:type="dxa"/>
            </w:tcMar>
            <w:vAlign w:val="center"/>
          </w:tcPr>
          <w:p>
            <w:pPr>
              <w:pStyle w:val="TableContents"/>
              <w:bidi w:val="0"/>
              <w:spacing w:before="0" w:after="283"/>
              <w:jc w:val="right"/>
              <w:rPr/>
            </w:pPr>
            <w:r>
              <w:rPr/>
              <w:t> </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2884" w:type="dxa"/>
            <w:tcBorders/>
            <w:shd w:fill="CCEEFF" w:val="clear"/>
            <w:tcMar>
              <w:bottom w:w="0" w:type="dxa"/>
            </w:tcMar>
            <w:vAlign w:val="center"/>
          </w:tcPr>
          <w:p>
            <w:pPr>
              <w:pStyle w:val="TableContents"/>
              <w:bidi w:val="0"/>
              <w:spacing w:before="0" w:after="283"/>
              <w:jc w:val="left"/>
              <w:rPr/>
            </w:pPr>
            <w:r>
              <w:rPr/>
              <w:t>D&amp;D Source of Life Holding LTD (9)</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3,160,452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right"/>
              <w:rPr/>
            </w:pPr>
            <w:r>
              <w:rPr/>
              <w:t>49.2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 w:type="dxa"/>
            <w:tcBorders/>
            <w:shd w:fill="CCEEFF" w:val="clear"/>
            <w:tcMar>
              <w:bottom w:w="0" w:type="dxa"/>
            </w:tcMar>
            <w:vAlign w:val="center"/>
          </w:tcPr>
          <w:p>
            <w:pPr>
              <w:pStyle w:val="TableContents"/>
              <w:bidi w:val="0"/>
              <w:spacing w:before="0" w:after="283"/>
              <w:jc w:val="left"/>
              <w:rPr/>
            </w:pPr>
            <w:r>
              <w:rPr/>
              <w:t> </w:t>
            </w:r>
          </w:p>
        </w:tc>
        <w:tc>
          <w:tcPr>
            <w:tcW w:w="2728" w:type="dxa"/>
            <w:tcBorders/>
            <w:shd w:fill="CCEEFF" w:val="clear"/>
            <w:tcMar>
              <w:bottom w:w="0" w:type="dxa"/>
            </w:tcMar>
            <w:vAlign w:val="center"/>
          </w:tcPr>
          <w:p>
            <w:pPr>
              <w:pStyle w:val="TableContents"/>
              <w:bidi w:val="0"/>
              <w:spacing w:before="0" w:after="283"/>
              <w:jc w:val="right"/>
              <w:rPr/>
            </w:pPr>
            <w:r>
              <w:rPr/>
              <w:t>44.2</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884" w:type="dxa"/>
            <w:tcBorders/>
            <w:shd w:fill="FFFFFF" w:val="clear"/>
            <w:tcMar>
              <w:bottom w:w="0" w:type="dxa"/>
            </w:tcMar>
            <w:vAlign w:val="center"/>
          </w:tcPr>
          <w:p>
            <w:pPr>
              <w:pStyle w:val="TableContents"/>
              <w:bidi w:val="0"/>
              <w:spacing w:before="0" w:after="283"/>
              <w:jc w:val="left"/>
              <w:rPr/>
            </w:pPr>
            <w:r>
              <w:rPr/>
              <w:t>Union Square Entities (10)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pPr>
            <w:r>
              <w:rPr/>
              <w:t>1,230,699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851" w:type="dxa"/>
            <w:tcBorders/>
            <w:shd w:fill="FFFFFF" w:val="clear"/>
            <w:tcMar>
              <w:bottom w:w="0" w:type="dxa"/>
            </w:tcMar>
            <w:vAlign w:val="center"/>
          </w:tcPr>
          <w:p>
            <w:pPr>
              <w:pStyle w:val="TableContents"/>
              <w:bidi w:val="0"/>
              <w:spacing w:before="0" w:after="283"/>
              <w:jc w:val="right"/>
              <w:rPr/>
            </w:pPr>
            <w:r>
              <w:rPr/>
              <w:t>25.3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9" w:type="dxa"/>
            <w:tcBorders/>
            <w:shd w:fill="FFFFFF" w:val="clear"/>
            <w:tcMar>
              <w:bottom w:w="0" w:type="dxa"/>
            </w:tcMar>
            <w:vAlign w:val="center"/>
          </w:tcPr>
          <w:p>
            <w:pPr>
              <w:pStyle w:val="TableContents"/>
              <w:bidi w:val="0"/>
              <w:spacing w:before="0" w:after="283"/>
              <w:jc w:val="left"/>
              <w:rPr/>
            </w:pPr>
            <w:r>
              <w:rPr/>
              <w:t> </w:t>
            </w:r>
          </w:p>
        </w:tc>
        <w:tc>
          <w:tcPr>
            <w:tcW w:w="2728" w:type="dxa"/>
            <w:tcBorders/>
            <w:shd w:fill="FFFFFF" w:val="clear"/>
            <w:tcMar>
              <w:bottom w:w="0" w:type="dxa"/>
            </w:tcMar>
            <w:vAlign w:val="center"/>
          </w:tcPr>
          <w:p>
            <w:pPr>
              <w:pStyle w:val="TableContents"/>
              <w:bidi w:val="0"/>
              <w:spacing w:before="0" w:after="283"/>
              <w:jc w:val="right"/>
              <w:rPr/>
            </w:pPr>
            <w:r>
              <w:rPr/>
              <w:t>17.4</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884" w:type="dxa"/>
            <w:tcBorders/>
            <w:shd w:fill="CCEEFF" w:val="clear"/>
            <w:tcMar>
              <w:bottom w:w="0" w:type="dxa"/>
            </w:tcMar>
            <w:vAlign w:val="center"/>
          </w:tcPr>
          <w:p>
            <w:pPr>
              <w:pStyle w:val="TableContents"/>
              <w:bidi w:val="0"/>
              <w:spacing w:before="0" w:after="283"/>
              <w:jc w:val="left"/>
              <w:rPr/>
            </w:pPr>
            <w:r>
              <w:rPr/>
              <w:t>Whitebox Entities (11)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429,775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right"/>
              <w:rPr/>
            </w:pPr>
            <w:r>
              <w:rPr/>
              <w:t>9.9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 w:type="dxa"/>
            <w:tcBorders/>
            <w:shd w:fill="CCEEFF" w:val="clear"/>
            <w:tcMar>
              <w:bottom w:w="0" w:type="dxa"/>
            </w:tcMar>
            <w:vAlign w:val="center"/>
          </w:tcPr>
          <w:p>
            <w:pPr>
              <w:pStyle w:val="TableContents"/>
              <w:bidi w:val="0"/>
              <w:spacing w:before="0" w:after="283"/>
              <w:jc w:val="left"/>
              <w:rPr/>
            </w:pPr>
            <w:r>
              <w:rPr/>
              <w:t> </w:t>
            </w:r>
          </w:p>
        </w:tc>
        <w:tc>
          <w:tcPr>
            <w:tcW w:w="2728" w:type="dxa"/>
            <w:tcBorders/>
            <w:shd w:fill="CCEEFF" w:val="clear"/>
            <w:tcMar>
              <w:bottom w:w="0" w:type="dxa"/>
            </w:tcMar>
            <w:vAlign w:val="center"/>
          </w:tcPr>
          <w:p>
            <w:pPr>
              <w:pStyle w:val="TableContents"/>
              <w:bidi w:val="0"/>
              <w:spacing w:before="0" w:after="283"/>
              <w:jc w:val="right"/>
              <w:rPr/>
            </w:pPr>
            <w:r>
              <w:rPr/>
              <w:t>9.9</w:t>
            </w:r>
          </w:p>
        </w:tc>
        <w:tc>
          <w:tcPr>
            <w:tcW w:w="23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Beneficial ownership is calculated pursuant to Section 13d-3 of the Securities Exchange Act of 1934, as amended, and includes shares underlying derivative securities that are currently exercisable or convertible or may be exercised or converted within 60 days. 4,187,291 shares were outstanding as of March 19, 2024. In accordance with Section 13d-3, the shares underlying derivative securities are added to the denominator only for the holder of the derivative securities.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SAFE investments convert at lesser of price of next equity financing of $1.50. Aggregate SAFE investments to date will convert into approximately 2,731,206 shares calculated based on $1.50 per share conversion price on closing of next equity financing, expected within 60 days. In this column, the aggregate amount of shares underlying all outstanding SAFEs has been added to the number of shares outstanding to illustrate beneficial ownership post-conversion of the SAFE.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Includes shares underlying 97,240 warrants, 20 shares underlying stock options, and 200,000 shares underlying a SAFE.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Includes 37,605 shares underlying options and 2,856 shares underlying warrants.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Includes 14,863 shares underlying options.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Includes 3,572 shares underlying warrants.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Includes 1,600 shares underlying options and 2,671 shares underlying warrants.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Includes 1,000 shares underlying options.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Mrs. Deng has voting and dispositive control over shares held by D&amp;D Source of Life Holdings. Ltd. Includes 145,828 underlying warrants and 2,000,000 shares underlying SAFE.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address is 26 Harbour Road, Wanchai, Rooms 3006-07, China Resources Building.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Includes 145,828 Shares issuable upon exercise of warrants and estimated 531,205 underlying SAFE investment.</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Union Square Entities” are Union Square Park Partners, LP (the “</w:t>
      </w:r>
      <w:r>
        <w:rPr>
          <w:rFonts w:ascii="Times New Roman;Times;Serif" w:hAnsi="Times New Roman;Times;Serif"/>
          <w:b w:val="false"/>
          <w:i w:val="false"/>
          <w:caps w:val="false"/>
          <w:smallCaps w:val="false"/>
          <w:sz w:val="20"/>
          <w:u w:val="single"/>
        </w:rPr>
        <w:t>USPP Fund</w:t>
      </w:r>
      <w:r>
        <w:rPr>
          <w:rFonts w:ascii="Times New Roman;Times;Serif" w:hAnsi="Times New Roman;Times;Serif"/>
          <w:b w:val="false"/>
          <w:i w:val="false"/>
          <w:caps w:val="false"/>
          <w:smallCaps w:val="false"/>
          <w:sz w:val="20"/>
        </w:rPr>
        <w:t>”), Union Square Park Capital Management, LLC (“</w:t>
      </w:r>
      <w:r>
        <w:rPr>
          <w:rFonts w:ascii="Times New Roman;Times;Serif" w:hAnsi="Times New Roman;Times;Serif"/>
          <w:b w:val="false"/>
          <w:i w:val="false"/>
          <w:caps w:val="false"/>
          <w:smallCaps w:val="false"/>
          <w:sz w:val="20"/>
          <w:u w:val="single"/>
        </w:rPr>
        <w:t>USPCM</w:t>
      </w:r>
      <w:r>
        <w:rPr>
          <w:rFonts w:ascii="Times New Roman;Times;Serif" w:hAnsi="Times New Roman;Times;Serif"/>
          <w:b w:val="false"/>
          <w:i w:val="false"/>
          <w:caps w:val="false"/>
          <w:smallCaps w:val="false"/>
          <w:sz w:val="20"/>
        </w:rPr>
        <w:t>”), Union Square Park GP, LLC (“</w:t>
      </w:r>
      <w:r>
        <w:rPr>
          <w:rFonts w:ascii="Times New Roman;Times;Serif" w:hAnsi="Times New Roman;Times;Serif"/>
          <w:b w:val="false"/>
          <w:i w:val="false"/>
          <w:caps w:val="false"/>
          <w:smallCaps w:val="false"/>
          <w:sz w:val="20"/>
          <w:u w:val="single"/>
        </w:rPr>
        <w:t>USPGP</w:t>
      </w:r>
      <w:r>
        <w:rPr>
          <w:rFonts w:ascii="Times New Roman;Times;Serif" w:hAnsi="Times New Roman;Times;Serif"/>
          <w:b w:val="false"/>
          <w:i w:val="false"/>
          <w:caps w:val="false"/>
          <w:smallCaps w:val="false"/>
          <w:sz w:val="20"/>
        </w:rPr>
        <w:t>”) and Leon M. Zaltzman, an individual.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USPCM serves as the investment manager to the USPP Fund and as such may be deemed to have voting and investment power over the securities held by the USPP Fund. USPGP serves as the general partner of the USPP Fund and as such may be deemed to have voting and investment power over the securities held by the USPP Fund. Mr. Zaltzman is the managing member of each of USPCM and USPGP and has voting and dispositive control over shares held by the Union Square Entities.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Includes approximately 172,032 shares of common stock that WA and WGP have the right to acquire upon conversion of Notes, subject to the Blocker (defined below), which amount has been added to the shares of common stock outstanding in accordance with Rule 13d-3(d)(1)(i) under the Act for calculation of percentage. Whitebox Entities are: Whitebox Advisors LLC, a Delaware limited liability company (“WA”); Whitebox General Partner LLC, a Delaware limited liability company (“WGP”); and Whitebox Multi-Strategy Partners, a Cayman Islands exempted limited partnership (“WMP”). Each of WA and WGP is deemed to be the beneficial owner of approximately 429,775 shares of Common Stock, as a result of WA’s clients’ ownership of (i) 257,743 shares of Common Stock and (ii) $15,098,532.77 of the Issuer’s Secured Convertible Promissory Notes (“Notes”), which are convertible into shares of Common Stock based on the initial conversion rate of approximately 0.08306 shares of Common Stock per one dollar ($1) principal amount of Notes, but subject to the Blocker (as defined herein). The Notes are subject to a blocker which prevents the holder from converting the Notes to the extent that, upon such conversion, the holder would beneficially own in excess of 9.9% of the shares of Common Stock outstanding as a result of the conversion (the “Blocker”). WMP may be deemed to be the beneficial owner of approximately 248,312 shares of Common Stock, as a result of its ownership of 148,916 shares of Common Stock and $8,723,597.02 of the Notes and subject to the Blocker as applied to the aggregate number of Notes held by WA’s clients and then applied pro rata to the Notes held directly by WMP. The address of the business office of WMP is: Mourant Governance Services (Cayman) Limited. 94 Solaris Avenue, Camana Bay, PO Box 1348, Grand Cayman, KY1-1108, Cayman Islands.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our Amended and Restated 2020 Plan was in effect. Our Second Amended and Restated 2017 Incentive Compensation Plan was discontinued, although outstanding awards granted per its terms remain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as of December 31, 2023, with respect to equity securities authorized for issuance under our equity compensation plans: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9"/>
        <w:gridCol w:w="60"/>
        <w:gridCol w:w="162"/>
        <w:gridCol w:w="2195"/>
        <w:gridCol w:w="60"/>
        <w:gridCol w:w="60"/>
        <w:gridCol w:w="373"/>
        <w:gridCol w:w="1494"/>
        <w:gridCol w:w="60"/>
        <w:gridCol w:w="60"/>
        <w:gridCol w:w="234"/>
        <w:gridCol w:w="3149"/>
        <w:gridCol w:w="79"/>
      </w:tblGrid>
      <w:tr>
        <w:trPr/>
        <w:tc>
          <w:tcPr>
            <w:tcW w:w="22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7" w:type="dxa"/>
            <w:gridSpan w:val="2"/>
            <w:tcBorders/>
            <w:vAlign w:val="center"/>
          </w:tcPr>
          <w:p>
            <w:pPr>
              <w:pStyle w:val="TableContents"/>
              <w:bidi w:val="0"/>
              <w:spacing w:before="0" w:after="283"/>
              <w:jc w:val="center"/>
              <w:rPr/>
            </w:pPr>
            <w:r>
              <w:rPr/>
              <w:t xml:space="preserve">Number of Securities to be Issued Upon Exercise of Outstanding Options, </w:t>
              <w:br/>
              <w:t>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7" w:type="dxa"/>
            <w:gridSpan w:val="2"/>
            <w:tcBorders/>
            <w:vAlign w:val="center"/>
          </w:tcPr>
          <w:p>
            <w:pPr>
              <w:pStyle w:val="TableContents"/>
              <w:bidi w:val="0"/>
              <w:spacing w:before="0" w:after="283"/>
              <w:jc w:val="center"/>
              <w:rPr/>
            </w:pPr>
            <w:r>
              <w:rPr/>
              <w:t xml:space="preserve">Weighted- </w:t>
              <w:br/>
              <w:t xml:space="preserve">Average Exercise Price of Outstanding Options, </w:t>
              <w:br/>
              <w:t>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3" w:type="dxa"/>
            <w:gridSpan w:val="2"/>
            <w:tcBorders/>
            <w:vAlign w:val="center"/>
          </w:tcPr>
          <w:p>
            <w:pPr>
              <w:pStyle w:val="TableContents"/>
              <w:bidi w:val="0"/>
              <w:spacing w:before="0" w:after="283"/>
              <w:jc w:val="center"/>
              <w:rPr/>
            </w:pPr>
            <w:r>
              <w:rPr/>
              <w:t xml:space="preserve">Number of Securities Remaining Available for Future Issuance Under Equity Compensation Plans (excluding securities </w:t>
              <w:br/>
              <w:t>reflected in</w:t>
            </w:r>
          </w:p>
        </w:tc>
        <w:tc>
          <w:tcPr>
            <w:tcW w:w="79" w:type="dxa"/>
            <w:tcBorders/>
            <w:vAlign w:val="center"/>
          </w:tcPr>
          <w:p>
            <w:pPr>
              <w:pStyle w:val="TableContents"/>
              <w:bidi w:val="0"/>
              <w:spacing w:before="0" w:after="283"/>
              <w:jc w:val="left"/>
              <w:rPr/>
            </w:pPr>
            <w:r>
              <w:rPr/>
              <w:t> </w:t>
            </w:r>
          </w:p>
        </w:tc>
      </w:tr>
      <w:tr>
        <w:trPr/>
        <w:tc>
          <w:tcPr>
            <w:tcW w:w="2219" w:type="dxa"/>
            <w:tcBorders>
              <w:bottom w:val="single" w:sz="12" w:space="0" w:color="000000"/>
            </w:tcBorders>
            <w:tcMar>
              <w:bottom w:w="28" w:type="dxa"/>
            </w:tcMar>
            <w:vAlign w:val="center"/>
          </w:tcPr>
          <w:p>
            <w:pPr>
              <w:pStyle w:val="TableContents"/>
              <w:bidi w:val="0"/>
              <w:spacing w:before="0" w:after="283"/>
              <w:jc w:val="center"/>
              <w:rPr/>
            </w:pPr>
            <w:r>
              <w:rPr/>
              <w:t>Plan Category</w:t>
            </w:r>
          </w:p>
        </w:tc>
        <w:tc>
          <w:tcPr>
            <w:tcW w:w="60" w:type="dxa"/>
            <w:tcBorders/>
            <w:vAlign w:val="center"/>
          </w:tcPr>
          <w:p>
            <w:pPr>
              <w:pStyle w:val="TableContents"/>
              <w:bidi w:val="0"/>
              <w:spacing w:before="0" w:after="283"/>
              <w:jc w:val="left"/>
              <w:rPr/>
            </w:pPr>
            <w:r>
              <w:rPr/>
              <w:t> </w:t>
            </w:r>
          </w:p>
        </w:tc>
        <w:tc>
          <w:tcPr>
            <w:tcW w:w="2357" w:type="dxa"/>
            <w:gridSpan w:val="2"/>
            <w:tcBorders>
              <w:bottom w:val="single" w:sz="12" w:space="0" w:color="000000"/>
            </w:tcBorders>
            <w:tcMar>
              <w:bottom w:w="28" w:type="dxa"/>
            </w:tcMar>
            <w:vAlign w:val="center"/>
          </w:tcPr>
          <w:p>
            <w:pPr>
              <w:pStyle w:val="TableContents"/>
              <w:bidi w:val="0"/>
              <w:spacing w:before="0" w:after="283"/>
              <w:jc w:val="center"/>
              <w:rPr/>
            </w:pPr>
            <w:r>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7" w:type="dxa"/>
            <w:gridSpan w:val="2"/>
            <w:tcBorders>
              <w:bottom w:val="single" w:sz="12" w:space="0" w:color="000000"/>
            </w:tcBorders>
            <w:tcMar>
              <w:bottom w:w="28" w:type="dxa"/>
            </w:tcMar>
            <w:vAlign w:val="center"/>
          </w:tcPr>
          <w:p>
            <w:pPr>
              <w:pStyle w:val="TableContents"/>
              <w:bidi w:val="0"/>
              <w:spacing w:before="0" w:after="283"/>
              <w:jc w:val="center"/>
              <w:rPr/>
            </w:pPr>
            <w:r>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3" w:type="dxa"/>
            <w:gridSpan w:val="2"/>
            <w:tcBorders>
              <w:bottom w:val="single" w:sz="12" w:space="0" w:color="000000"/>
            </w:tcBorders>
            <w:tcMar>
              <w:bottom w:w="28" w:type="dxa"/>
            </w:tcMar>
            <w:vAlign w:val="center"/>
          </w:tcPr>
          <w:p>
            <w:pPr>
              <w:pStyle w:val="TableContents"/>
              <w:bidi w:val="0"/>
              <w:spacing w:before="0" w:after="283"/>
              <w:jc w:val="center"/>
              <w:rPr/>
            </w:pPr>
            <w:r>
              <w:rPr/>
              <w:t>Column (a)</w:t>
            </w:r>
          </w:p>
        </w:tc>
        <w:tc>
          <w:tcPr>
            <w:tcW w:w="79" w:type="dxa"/>
            <w:tcBorders/>
            <w:vAlign w:val="center"/>
          </w:tcPr>
          <w:p>
            <w:pPr>
              <w:pStyle w:val="TableContents"/>
              <w:bidi w:val="0"/>
              <w:spacing w:before="0" w:after="283"/>
              <w:jc w:val="left"/>
              <w:rPr/>
            </w:pPr>
            <w:r>
              <w:rPr/>
              <w:t> </w:t>
            </w:r>
          </w:p>
        </w:tc>
      </w:tr>
      <w:tr>
        <w:trPr/>
        <w:tc>
          <w:tcPr>
            <w:tcW w:w="22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3"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2219" w:type="dxa"/>
            <w:tcBorders/>
            <w:shd w:fill="CCEEFF" w:val="clear"/>
            <w:vAlign w:val="center"/>
          </w:tcPr>
          <w:p>
            <w:pPr>
              <w:pStyle w:val="TableContents"/>
              <w:bidi w:val="0"/>
              <w:spacing w:before="0" w:after="283"/>
              <w:jc w:val="left"/>
              <w:rPr/>
            </w:pPr>
            <w:r>
              <w:rPr/>
              <w:t>Equity compensation plans approved by security holders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145,012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w:t>
            </w:r>
          </w:p>
        </w:tc>
        <w:tc>
          <w:tcPr>
            <w:tcW w:w="1494" w:type="dxa"/>
            <w:tcBorders/>
            <w:shd w:fill="CCEEFF" w:val="clear"/>
            <w:vAlign w:val="center"/>
          </w:tcPr>
          <w:p>
            <w:pPr>
              <w:pStyle w:val="TableContents"/>
              <w:bidi w:val="0"/>
              <w:spacing w:before="0" w:after="283"/>
              <w:jc w:val="right"/>
              <w:rPr/>
            </w:pPr>
            <w:r>
              <w:rPr/>
              <w:t>45.09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3149" w:type="dxa"/>
            <w:tcBorders/>
            <w:shd w:fill="CCEEFF" w:val="clear"/>
            <w:vAlign w:val="center"/>
          </w:tcPr>
          <w:p>
            <w:pPr>
              <w:pStyle w:val="TableContents"/>
              <w:bidi w:val="0"/>
              <w:spacing w:before="0" w:after="283"/>
              <w:jc w:val="right"/>
              <w:rPr/>
            </w:pPr>
            <w:r>
              <w:rPr/>
              <w:t>189,213</w:t>
            </w:r>
          </w:p>
        </w:tc>
        <w:tc>
          <w:tcPr>
            <w:tcW w:w="79" w:type="dxa"/>
            <w:tcBorders/>
            <w:shd w:fill="CCEE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pPr>
            <w:r>
              <w:rPr/>
              <w:t>Equity compensation plans not approved by security holders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w:t>
            </w:r>
          </w:p>
        </w:tc>
        <w:tc>
          <w:tcPr>
            <w:tcW w:w="14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3149" w:type="dxa"/>
            <w:tcBorders/>
            <w:shd w:fill="FFFFFF" w:val="clear"/>
            <w:vAlign w:val="center"/>
          </w:tcPr>
          <w:p>
            <w:pPr>
              <w:pStyle w:val="TableContents"/>
              <w:bidi w:val="0"/>
              <w:spacing w:before="0" w:after="283"/>
              <w:jc w:val="right"/>
              <w:rPr/>
            </w:pPr>
            <w:r>
              <w:rPr/>
              <w:t>0</w:t>
            </w:r>
          </w:p>
        </w:tc>
        <w:tc>
          <w:tcPr>
            <w:tcW w:w="79" w:type="dxa"/>
            <w:tcBorders/>
            <w:shd w:fill="FFFFFF" w:val="clear"/>
            <w:vAlign w:val="center"/>
          </w:tcPr>
          <w:p>
            <w:pPr>
              <w:pStyle w:val="TableContents"/>
              <w:bidi w:val="0"/>
              <w:spacing w:before="0" w:after="283"/>
              <w:jc w:val="left"/>
              <w:rPr/>
            </w:pPr>
            <w:r>
              <w:rPr/>
              <w:t> </w:t>
            </w:r>
          </w:p>
        </w:tc>
      </w:tr>
      <w:tr>
        <w:trPr/>
        <w:tc>
          <w:tcPr>
            <w:tcW w:w="2219"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145,012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w:t>
            </w:r>
          </w:p>
        </w:tc>
        <w:tc>
          <w:tcPr>
            <w:tcW w:w="1494" w:type="dxa"/>
            <w:tcBorders/>
            <w:shd w:fill="CCEEFF" w:val="clear"/>
            <w:vAlign w:val="center"/>
          </w:tcPr>
          <w:p>
            <w:pPr>
              <w:pStyle w:val="TableContents"/>
              <w:bidi w:val="0"/>
              <w:spacing w:before="0" w:after="283"/>
              <w:jc w:val="right"/>
              <w:rPr/>
            </w:pPr>
            <w:r>
              <w:rPr/>
              <w:t>45.09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3149" w:type="dxa"/>
            <w:tcBorders/>
            <w:shd w:fill="CCEEFF" w:val="clear"/>
            <w:vAlign w:val="center"/>
          </w:tcPr>
          <w:p>
            <w:pPr>
              <w:pStyle w:val="TableContents"/>
              <w:bidi w:val="0"/>
              <w:spacing w:before="0" w:after="283"/>
              <w:jc w:val="right"/>
              <w:rPr/>
            </w:pPr>
            <w:r>
              <w:rPr/>
              <w:t>189,213</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9" w:name="MS_029"/>
      <w:bookmarkEnd w:id="839"/>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and Related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written policies and procedures for the review of any transaction, arrangement or relationship between Reed’s and one of our executive officers, directors, director nominees or 5% or greater stockholders (or their immediate family members), each of whom we refer to as a “related person,” in which such related person has a direct or indirect material interest.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related person proposes to enter into such a transaction, arrangement or relationship, defined as a “related party transaction,” the related party must report the proposed related party transaction to our Chief Financial Officer. The policy calls for the proposed related party transaction to be reviewed and, if deemed appropriate, approved by the Governance Committee. Our Governance Committee is comprised of Lewis Jaffe and Louis Imbrogno, Jr. Mr. Jaffe serves as Chairman. The board of directors has determined both of the members of the Governance Committee are independent under the rules of the Nasdaq Stock Market, LLC. If practicable, the reporting, review and approval will occur prior to entry into the transaction. If advance review and approval is not practicable, the Governance Committee will review, and, in its discretion, may ratify the related party transaction. Any related party transactions that are ongoing in nature will be reviewed annually at a minimum..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includes a summary of transactions since the beginning of fiscal 2023 or any currently proposed transaction, in which we were or are to be a participant and the amount involved exceeded or exceeds the lesser of $120,000 or one percent of the average of our total assets at year-end for the last two completed fiscal years and in which any related person had or will have a direct or indirect material interest (other than compensation described under “Executive Compensation”). We believe the terms obtained or consideration that we paid or received, as applicable, in connection with the transactions described below were comparable to or better than terms available or the amounts that would be paid or received, as applicable, in arm’s-length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John J. Bello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J. Bello is the Chairman of the board of directors and significant stockholder of Reed’s, beneficially owning approximately 13% of Reed’s outstanding common stock .In March 2023 he funded $300,000 to Reed’s through a Simple Agreements for Future Equity (“SAFE”) investment. The SAFE investment convert into the next equity financing of Reed’s on the same terms and conditions as investors in Reed’s next equity financing, subject to certain limitations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Leon M. Zaltzman and the Union Square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Leon M. Zaltzman served as a director on Reed’s board of directors from March 21, 2022 through July 7, 2023. Since his resignation, he is a board observer as a representative of the Union Square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Zaltzman is the founder and managing member of Union Square Park Capital Management, LLC (“USPCM”), an SEC Registered Investment Adviser firm and is also the managing member of Union Square Park GP (“USPGP”). USPCM and USPGP serve as the investment manager and general partner to Union Square Park Partners, LP (“USPP Fund”), respectively. Foregoing entities hereinafter collectively referred to as the “Union Square Entities”. The Union Square Entities are a significant stockholder of Reed’s and beneficially own approximately 18% of Reed’s issued and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8, 2024, Union Square Park Partners LP funded $798,808 to Reed’s through the SAFE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D&amp;D Source of Life Holding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D&amp;D Source of Life Holding LTD (“D&amp;D”) is a significant stockholder of Reed’s and beneficially owns approximately 47% of Reed’s outstanding common stock.  As part of D&amp;D ‘s initial investment in Reed’s, D&amp;D was given a preemptive right to purchase its pro-rata share, based on the ratio of its ownership of shares of common stock in the Company to all of the outstanding shares of common stock in the Company, of any investment in the equity securities or equity-linked securities of the Company. Further, the board of directors agreed to support D&amp;D’s nomination of two board designees, one of which must be independent director. Shufen Deng, the sole owner of D&amp;D, is D&amp;D’s director designee and Randle Lee Edwards is D&amp;D’s independent designee.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8, 2024, D&amp;D funded $3,000,000 in the SAFE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SAFE investment, D&amp;D was given the right to designate a second independent director nominee to the board of directors of Reed’s, and Reed’s agreed to limit the size of its board of directors to a maximum of nine (9) for so long as D&amp;D owns 25% or more of the equity securities of Reed’s. Further, the parties agreed that Mrs. Deng would be appointed Vice Chairman of the Board and Chairman of Asian Operations. He appointment was effective February 8, 2024.</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our board has seven directors and the following three standing committees: an Audit Committee, a Compensation Committee and a Governance Committee. The board, upon recommendation from the Compensation Committee, determined each of Lewis Jaffe, Thomas W. Kosler, Louis Imbrogno, Jr. and Randle Lee Edwards is an “independent director” as defined by Rule 5605(a)(2) of The NASDAQ Stock Market Rules (the “NASDAQ Rules”). Independence of board members is re-evaluated by the board annually. We intend to maintain at least a majority of independent directors on our board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0" w:name="MS_022"/>
      <w:bookmarkEnd w:id="840"/>
      <w:r>
        <w:rPr>
          <w:rFonts w:ascii="Times New Roman;Times;Serif" w:hAnsi="Times New Roman;Times;Serif"/>
          <w:b/>
          <w:i w:val="false"/>
          <w:caps w:val="false"/>
          <w:smallCaps w:val="false"/>
          <w:sz w:val="20"/>
        </w:rPr>
        <w:t>Item 14. Principal Accounting Fees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Weinberg &amp; Company, P.A. (“Weinberg”) was our independent registered public accounting firm for the years ended December 31,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fees paid or accrued by us for the audit and other services provided by Weinberg for the years ended December 31, 2023, and 2022:</w:t>
      </w:r>
    </w:p>
    <w:p>
      <w:pPr>
        <w:pStyle w:val="TextBody"/>
        <w:bidi w:val="0"/>
        <w:spacing w:before="0" w:after="0"/>
        <w:ind w:left="0" w:right="0" w:hanging="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1865"/>
        <w:gridCol w:w="60"/>
        <w:gridCol w:w="140"/>
        <w:gridCol w:w="800"/>
        <w:gridCol w:w="60"/>
        <w:gridCol w:w="60"/>
        <w:gridCol w:w="140"/>
        <w:gridCol w:w="800"/>
        <w:gridCol w:w="75"/>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Audit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215,314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205,304</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Audit-Related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Tax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38,674</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All Other Fees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8,645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8,820</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271,800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252,798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defined by the SEC, (i) “audit fees” are fees for professional services rendered by our principal accountant for the audit of our annual financial statements and review of financial statements included in our Form 10-K, or for services that are normally provided by the accountant in connection with statutory and regulatory filings or engagements for those fiscal years; (ii) “audit-related fees” are fees for assurance and related services by our principal accountant that are reasonably related to the performance of the audit or review of our financial statements and are not reported under “audit fees;” (iii) “tax fees” are fees for professional services rendered by our principal accountant for tax compliance, tax advice, and tax planning; and (iv) “all other fees” are fees for products and services provided by our principal accountant, other than the services reported under “audit fees,” “audit-related fees,” and “tax fees.”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Weinberg provided services for the audits of our financial statements included in Annual Reports on Form 10-K and limited reviews of the financial statements included in Quarterly Reports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Related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Weinberg did not provide any professional services which would be considered “audit related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Weinberg prepared our 2023 and 2022 Federal and state income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provided by Weinberg with respect to the filing of various registration statements made throughout the year are considered “all other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Policies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SEC’s rules, the Audit Committee is required to pre-approve the audit and non-audit services performed by the independent registered public accounting firm in order to ensure that they do not impair the auditors’ independence. The SEC’s rules specify the types of non-audit services that an independent auditor may not provide to its audit client and establish the Audit Committee’s responsibility for administration of the engagement of the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SEC’s rules, the Audit Committee Charter requires that the Audit Committee review and pre-approve all audit services and permitted non-audit services provided by the independent registered public accounting firm to us or any of our subsidiaries. The Audit Committee may delegate pre-approval authority to a member of the Audit Committee and if it does, the decisions of that member must be presented to the full Audit Committee at its next scheduled meeting. Accordingly, 100% of audit services and non-audit services described in this Item 14 were pre-approved by the 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hours expended on the principal accountant’s engagement to audit the registrant’s financial statements for the most recent fiscal year that were attributed to work performed by persons other than the principal accountant’s full-time, permanent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41" w:name="MS_023"/>
      <w:bookmarkEnd w:id="841"/>
      <w:r>
        <w:rPr>
          <w:rFonts w:ascii="Times New Roman;Times;Serif" w:hAnsi="Times New Roman;Times;Serif"/>
          <w:b/>
          <w:i w:val="false"/>
          <w:caps w:val="false"/>
          <w:smallCaps w:val="false"/>
          <w:sz w:val="20"/>
        </w:rPr>
        <w:t>PART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2" w:name="MS_024"/>
      <w:bookmarkEnd w:id="842"/>
      <w:r>
        <w:rPr>
          <w:rFonts w:ascii="Times New Roman;Times;Serif" w:hAnsi="Times New Roman;Times;Serif"/>
          <w:b/>
          <w:i w:val="false"/>
          <w:caps w:val="false"/>
          <w:smallCaps w:val="false"/>
          <w:sz w:val="20"/>
        </w:rPr>
        <w:t>Item 15. Exhibits and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1.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Index to Financial Statements in Item 8 of this Annual Report on Form 10-K, which is incorporated herein by reference.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 Financial Statement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financial statement schedules have been omitted because they are either not applicable or the required information is shown in the financial statements or notes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 Index, which follows the signature page of this Annual Report on Form 10-K,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Exhibits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15(a) (3)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Financial Statement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15(a) (2)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3" w:name="MS_025"/>
      <w:bookmarkEnd w:id="843"/>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44" w:name="poa_001"/>
      <w:bookmarkEnd w:id="844"/>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13 or 15(d) of the Exchange Act, the registrant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020" w:type="dxa"/>
        <w:jc w:val="left"/>
        <w:tblInd w:w="0" w:type="dxa"/>
        <w:tblLayout w:type="fixed"/>
        <w:tblCellMar>
          <w:top w:w="0" w:type="dxa"/>
          <w:left w:w="0" w:type="dxa"/>
          <w:bottom w:w="0" w:type="dxa"/>
          <w:right w:w="0" w:type="dxa"/>
        </w:tblCellMar>
      </w:tblPr>
      <w:tblGrid>
        <w:gridCol w:w="1595"/>
        <w:gridCol w:w="365"/>
        <w:gridCol w:w="2060"/>
      </w:tblGrid>
      <w:tr>
        <w:trPr/>
        <w:tc>
          <w:tcPr>
            <w:tcW w:w="1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 2024</w:t>
            </w:r>
          </w:p>
        </w:tc>
        <w:tc>
          <w:tcPr>
            <w:tcW w:w="242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tc>
      </w:tr>
      <w:tr>
        <w:trPr/>
        <w:tc>
          <w:tcPr>
            <w:tcW w:w="1595" w:type="dxa"/>
            <w:tcBorders/>
            <w:vAlign w:val="center"/>
          </w:tcPr>
          <w:p>
            <w:pPr>
              <w:pStyle w:val="TableContents"/>
              <w:bidi w:val="0"/>
              <w:spacing w:before="0" w:after="283"/>
              <w:jc w:val="both"/>
              <w:rPr>
                <w:caps w:val="false"/>
                <w:smallCaps w:val="false"/>
              </w:rPr>
            </w:pPr>
            <w:r>
              <w:rPr>
                <w:caps w:val="false"/>
                <w:smallCaps w:val="false"/>
              </w:rPr>
              <w:t> </w:t>
            </w:r>
          </w:p>
        </w:tc>
        <w:tc>
          <w:tcPr>
            <w:tcW w:w="242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tc>
      </w:tr>
      <w:tr>
        <w:trPr/>
        <w:tc>
          <w:tcPr>
            <w:tcW w:w="159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20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6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r>
      <w:tr>
        <w:trPr/>
        <w:tc>
          <w:tcPr>
            <w:tcW w:w="159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r>
      <w:tr>
        <w:trPr/>
        <w:tc>
          <w:tcPr>
            <w:tcW w:w="159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Exchange Act, this Report has been signed below by the following persons on behalf of the registrant and in the capacities and on the dates indicated.(new board members to de added)</w:t>
      </w:r>
    </w:p>
    <w:p>
      <w:pPr>
        <w:pStyle w:val="TextBody"/>
        <w:bidi w:val="0"/>
        <w:spacing w:before="0" w:after="0"/>
        <w:ind w:left="0" w:right="0" w:hanging="0"/>
        <w:jc w:val="both"/>
        <w:rPr>
          <w:caps w:val="false"/>
          <w:smallCaps w:val="false"/>
        </w:rPr>
      </w:pPr>
      <w:r>
        <w:rPr>
          <w:caps w:val="false"/>
          <w:smallCaps w:val="false"/>
        </w:rPr>
        <w:t> </w:t>
      </w:r>
    </w:p>
    <w:tbl>
      <w:tblPr>
        <w:tblW w:w="8415" w:type="dxa"/>
        <w:jc w:val="left"/>
        <w:tblInd w:w="0" w:type="dxa"/>
        <w:tblLayout w:type="fixed"/>
        <w:tblCellMar>
          <w:top w:w="0" w:type="dxa"/>
          <w:left w:w="0" w:type="dxa"/>
          <w:bottom w:w="28" w:type="dxa"/>
          <w:right w:w="0" w:type="dxa"/>
        </w:tblCellMar>
      </w:tblPr>
      <w:tblGrid>
        <w:gridCol w:w="2060"/>
        <w:gridCol w:w="60"/>
        <w:gridCol w:w="5120"/>
        <w:gridCol w:w="60"/>
        <w:gridCol w:w="1115"/>
      </w:tblGrid>
      <w:tr>
        <w:trPr/>
        <w:tc>
          <w:tcPr>
            <w:tcW w:w="20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0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2024</w:t>
            </w:r>
          </w:p>
        </w:tc>
      </w:tr>
      <w:tr>
        <w:trPr/>
        <w:tc>
          <w:tcPr>
            <w:tcW w:w="20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Joann Tinnelly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2024</w:t>
            </w:r>
          </w:p>
        </w:tc>
      </w:tr>
      <w:tr>
        <w:trPr/>
        <w:tc>
          <w:tcPr>
            <w:tcW w:w="20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Joann Tinnelly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Financial Officer)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J. Bello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2024</w:t>
            </w:r>
          </w:p>
        </w:tc>
      </w:tr>
      <w:tr>
        <w:trPr/>
        <w:tc>
          <w:tcPr>
            <w:tcW w:w="20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J. Bello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Lewis Jaffe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2024</w:t>
            </w:r>
          </w:p>
        </w:tc>
      </w:tr>
      <w:tr>
        <w:trPr/>
        <w:tc>
          <w:tcPr>
            <w:tcW w:w="20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Lewis Jaffe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W. Kosler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2024</w:t>
            </w:r>
          </w:p>
        </w:tc>
      </w:tr>
      <w:tr>
        <w:trPr/>
        <w:tc>
          <w:tcPr>
            <w:tcW w:w="20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W. Kosler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Louis Imbrogno, Jr.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2024</w:t>
            </w:r>
          </w:p>
        </w:tc>
      </w:tr>
      <w:tr>
        <w:trPr/>
        <w:tc>
          <w:tcPr>
            <w:tcW w:w="20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 Imbrogno, Jr.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Shufen Deng.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Chairman of the Board and Chairman of Asian Operations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2024</w:t>
            </w:r>
          </w:p>
        </w:tc>
      </w:tr>
      <w:tr>
        <w:trPr/>
        <w:tc>
          <w:tcPr>
            <w:tcW w:w="20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Shufen Deng.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Randle Lee Edwards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2024</w:t>
            </w:r>
          </w:p>
        </w:tc>
      </w:tr>
      <w:tr>
        <w:trPr/>
        <w:tc>
          <w:tcPr>
            <w:tcW w:w="20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Randle Lee Edwards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firstLine="108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15(a)(3)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the exhibits filed as part of this Form 10-K. The documents incorporated by reference can be viewed on the SEC’s website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Certificate of Incorporation of Reeds, Inc. which is incorporated herein by reference to exhibit 3(iv) to Form 10-K filed with SEC on May 15,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3(ii)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of Reed’s, Inc. which is incorporated by reference to Exhibit 3.8 to Form 10-K/A filed with the SEC on April 8, 2020.</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3(vi)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3-vi.htm">
              <w:r>
                <w:rPr>
                  <w:rStyle w:val="InternetLink"/>
                  <w:rFonts w:ascii="Times New Roman;Times;Serif" w:hAnsi="Times New Roman;Times;Serif"/>
                  <w:b w:val="false"/>
                  <w:i w:val="false"/>
                  <w:caps w:val="false"/>
                  <w:smallCaps w:val="false"/>
                  <w:sz w:val="20"/>
                </w:rPr>
                <w:t>Description of Securities.</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Warrant issued to Raptor/ Harbor Reed’s SPV LLC on December 11, 2020 which is incorporated by reference to Exhibit 4.1 to Form 10-K filed with the SEC on March 30, 2021.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Form of Warrant issued to Union Square Park Partners, LP which is incorporated by reference to Exhibit 4.1 to Form 8-K filed with the SEC on March 21, 2022.</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Form of Warrant 2022 PIPE which is incorporated by reference to Exhibit 4.1 to Form 8-K filed with the SEC on March 14, 2022.</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Form of Secured Convertible Promissory Note issued May 9, 2022 which is incorporated by reference to Exhibit 4.1 to Form 8-K filed with the SEC on May 10, 2022.</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Form of Warrant issued May 25, 2023 which is incorporated by reference to Exhibit 4.1 to Form 8-K filed with the SEC on May 31,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Form of Option Note in favor of Wilmington Savings Fund Society, FSB which is incorporated by reference to Exhibit 4.2 to Form 8-K filed with the SEC on May 31,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4-7.htm">
              <w:r>
                <w:rPr>
                  <w:rStyle w:val="InternetLink"/>
                  <w:rFonts w:ascii="Times New Roman;Times;Serif" w:hAnsi="Times New Roman;Times;Serif"/>
                  <w:b w:val="false"/>
                  <w:i w:val="false"/>
                  <w:caps w:val="false"/>
                  <w:smallCaps w:val="false"/>
                  <w:sz w:val="20"/>
                </w:rPr>
                <w:t>Simple Agreement for Future Equity by and between Reed’s, Inc. and D&amp;D Source of Life Holding Ltd. dated February 8,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4-8.htm">
              <w:r>
                <w:rPr>
                  <w:rStyle w:val="InternetLink"/>
                  <w:rFonts w:ascii="Times New Roman;Times;Serif" w:hAnsi="Times New Roman;Times;Serif"/>
                  <w:b w:val="false"/>
                  <w:i w:val="false"/>
                  <w:caps w:val="false"/>
                  <w:smallCaps w:val="false"/>
                  <w:sz w:val="20"/>
                </w:rPr>
                <w:t>Simple Agreement for Future Equity by and between Reed’s, Inc. and John J. Bello dated March 7,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4-9.htm">
              <w:r>
                <w:rPr>
                  <w:rStyle w:val="InternetLink"/>
                  <w:rFonts w:ascii="Times New Roman;Times;Serif" w:hAnsi="Times New Roman;Times;Serif"/>
                  <w:b w:val="false"/>
                  <w:i w:val="false"/>
                  <w:caps w:val="false"/>
                  <w:smallCaps w:val="false"/>
                  <w:sz w:val="20"/>
                </w:rPr>
                <w:t>Simple Agreement for Future Equity by and between Reed’s, Inc. and Union Square Park Partners LP dated February 8,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Form of Reed’s, Inc. Indemnification Agreement.</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Reeds, Inc. 2020 Equity Incentive Plan, as amended December 30, 2021.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Reed’s Inc. 2024 Inducement Plan.</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Registration Rights Agreement by and between Reed’s, Inc. and Raptor/ Harbor Reeds SPV LLC, dated December 11, 2020 which is incorporated by reference to Exhibit 10.2 to Form 10-K filed with the SEC on March 30, 2021.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Sublease Agreement by and between Reed’s, Inc., Merritt 7 Venture L.L.C., and GE Capital US Holdings, Inc., dated September 1, 2018 which is incorporated by reference to Exhibit 10.7 to Form 10-Q filed with the SEC on November 14,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Form of Securities Purchase Agreement by and among Reed’s, Inc, and certain investors dated March 10, 2022 which is incorporated by reference to Exhibit 10.1 to Form 8-K filed with the SEC on March 14, 2022.</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Form of Registration Rights Agreement by and among Reed’s, Inc, and certain investors dated March 10, 2022 which is incorporated by reference to Exhibit 10.2 to Form 8-K filed with the SEC on March 14, 2022.</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Ledgered ABL Agreement by and between Reed’s, Inc. and Alterna Capital Solutions, LLC dated March 28, 2022 which is incorporated by reference to Exhibit 10.31 to Form 10-K filed with the SEC on March 15, 2022.</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Note Purchase Agreement by and between Reed’s, Inc., Wilmington Savings Fund Society, FSB and purchasers dated May 9, 2022 which is incorporated by reference to Exhibit 10.1 to Form 8-K filed with the SEC on May 10, 2022.</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Registration Rights Agreement by and between Reed’s, Inc. and purchasers dated May 9, 2022 which is incorporated by reference to Exhibit 10.2 to Form 8-K filed with the SEC on May 10, 2022.</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Collateral Sharing Agreement by and among Alterna Capital Solutions LLC, Reed’s, Inc. and Wilmington Savings Fund Society, FSB dated May 9,2022 which is incorporated by reference to Exhibit 10.3 to Form 8-K filed with the SEC on May 10, 2022.</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Limited Waiver and Amendment to 10% Secured Convertible Notes by and between Reed’s, Inc., Wilmington Savings Fund Society, FSB, and holders effective August 11, 2022 which is incorporated by reference to Exhibit 10.3 to Form 10-Q filed with the SEC on November 14, 2022.</w:t>
              </w:r>
            </w:hyperlink>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30"/>
        <w:gridCol w:w="60"/>
        <w:gridCol w:w="9615"/>
      </w:tblGrid>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Partial Option Exercise and Second Amendment to 10% Convertible Notes with Wilmington Savings Fund Society, FSB dated February 10, 2023 which is incorporated by reference to Exhibit 10.19 to Form 10-K filed with the SEC on May 15, 2023.</w:t>
              </w:r>
            </w:hyperlink>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Limited Waiver and Deferral Agreement with Wilmington Savings Fund Society, FSB dated February 12, 2023 which is incorporated by reference to Exhibit 10.20 to Form 10-K filed with the SEC on May 15, 2023.</w:t>
              </w:r>
            </w:hyperlink>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Partial Option Exercise and Third Amendment Agreement to 10% Secured Convertible Notes by and between Reed’s, Inc. and Wilmington Savings Fund Society, FSB dated May 30, 2023 which is incorporated by reference to Exhibit 10.19 to Form 10-K filed with the SEC on May 15, 2023.</w:t>
              </w:r>
            </w:hyperlink>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Limited Waiver and Amendment to 10% Secured Convertible Notes by and between Reed’s, Inc., Wilmington Savings Fund Society, FSB, and holders dated April 11, 2023 which is incorporated by reference to Exhibit 10.22 to Form 10-K filed with the SEC on May 15, 2023.</w:t>
              </w:r>
            </w:hyperlink>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Securities Purchase Agreement dated May 25, 2023 by and between Reed’s, Inc. and D&amp;D Source of Life Holding Ltd. and certain other investors which is incorporated by reference to Exhibit 10.1.to Form 8-K filed with the SEC on May 31 2023.</w:t>
              </w:r>
            </w:hyperlink>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Shareholders Agreement dated May 25, 2023 by and between Reed’s, Inc. and D&amp;D Source of Life Holding Ltd which is incorporated by reference to Exhibit 10.2 to Form 8-K filed with the SEC on May 31, 2023.</w:t>
              </w:r>
            </w:hyperlink>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Registration Rights Agreement dated May 25, 2023 by and between Reed’s, Inc., and D&amp;D Source of Life Holdings Ltd and certain other investors which is incorporated by reference to Exhibit 10.3 to Form 8-K filed with the SEC on May 31, 2023.</w:t>
              </w:r>
            </w:hyperlink>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Amended Registration Rights Agreement by Reed’s, Inc. and the holders of 10% secured convertible notes dated May 30, 2023 which is incorporated by reference to Exhibit 10.4 to Form 8-K filed with the SEC on May 31, 2023.</w:t>
              </w:r>
            </w:hyperlink>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Partial Option Exercise and Third Amendment Agreement to 10% Secured Convertible Notes by and between Reed’s, Inc. and Wilmington Savings Fund Society, FSB dated May 30, 2023 which is incorporated by reference to Exhibit 10.5 to Form 8-K filed with the SEC on May 31, 2023.</w:t>
              </w:r>
            </w:hyperlink>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Limited Waiver and Deferral Agreement by and between Reed’s, Inc. and Wilmington Savings Fund Society, FSB dated May 30, 2023 which is incorporated by reference to Exhibit 10.6 to Form 8-K filed with the SEC on May 31, 2023.</w:t>
              </w:r>
            </w:hyperlink>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hyperlink w:anchor="ex10-23.htm">
              <w:r>
                <w:rPr>
                  <w:rStyle w:val="InternetLink"/>
                  <w:rFonts w:ascii="Times New Roman;Times;Serif" w:hAnsi="Times New Roman;Times;Serif"/>
                  <w:b w:val="false"/>
                  <w:i w:val="false"/>
                  <w:caps w:val="false"/>
                  <w:smallCaps w:val="false"/>
                  <w:sz w:val="20"/>
                </w:rPr>
                <w:t>Fifth Amendment to the 10% Secured Convertible Notes by and between Reed’s, Inc. and Wilmington Savings Fund Society, FSB dated May 30, 2023 dated October 5, 2023.</w:t>
              </w:r>
            </w:hyperlink>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Limited Waiver, Deferral, and Amendment and Restatement Agreement by and between Reed’s, Inc. and each holder and Wilmington Savings Fund Society, FSB, holder representative and collateral agent dated February 12, 2024 which is incorporated by reference to Exhibit 10.3 to Form 8-K filed with the SEC February 13, 2024.</w:t>
              </w:r>
            </w:hyperlink>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hyperlink w:anchor="ex14.htm">
              <w:r>
                <w:rPr>
                  <w:rStyle w:val="InternetLink"/>
                  <w:rFonts w:ascii="Times New Roman;Times;Serif" w:hAnsi="Times New Roman;Times;Serif"/>
                  <w:b w:val="false"/>
                  <w:i w:val="false"/>
                  <w:caps w:val="false"/>
                  <w:smallCaps w:val="false"/>
                  <w:sz w:val="20"/>
                </w:rPr>
                <w:t>Code of Ethics</w:t>
              </w:r>
            </w:hyperlink>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hyperlink w:anchor="ex21.htm">
              <w:r>
                <w:rPr>
                  <w:rStyle w:val="InternetLink"/>
                  <w:rFonts w:ascii="Times New Roman;Times;Serif" w:hAnsi="Times New Roman;Times;Serif"/>
                  <w:b w:val="false"/>
                  <w:i w:val="false"/>
                  <w:caps w:val="false"/>
                  <w:smallCaps w:val="false"/>
                  <w:sz w:val="20"/>
                </w:rPr>
                <w:t>Subsidiaries of Reed’s, Inc. (none)</w:t>
              </w:r>
            </w:hyperlink>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hyperlink w:anchor="ex23.htm">
              <w:r>
                <w:rPr>
                  <w:rStyle w:val="InternetLink"/>
                  <w:rFonts w:ascii="Times New Roman;Times;Serif" w:hAnsi="Times New Roman;Times;Serif"/>
                  <w:b w:val="false"/>
                  <w:i w:val="false"/>
                  <w:caps w:val="false"/>
                  <w:smallCaps w:val="false"/>
                  <w:sz w:val="20"/>
                </w:rPr>
                <w:t>Consent of Weinberg &amp; Co., PA.</w:t>
              </w:r>
            </w:hyperlink>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hyperlink w:anchor="poa_001">
              <w:r>
                <w:rPr>
                  <w:rStyle w:val="InternetLink"/>
                  <w:rFonts w:ascii="Times New Roman;Times;Serif" w:hAnsi="Times New Roman;Times;Serif"/>
                  <w:b w:val="false"/>
                  <w:i w:val="false"/>
                  <w:caps w:val="false"/>
                  <w:smallCaps w:val="false"/>
                  <w:sz w:val="20"/>
                </w:rPr>
                <w:t>Power of Attorney. (included on signature page)</w:t>
              </w:r>
            </w:hyperlink>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Certification of our </w:t>
            </w:r>
            <w:hyperlink w:anchor="ex31-1.htm">
              <w:r>
                <w:rPr>
                  <w:rStyle w:val="InternetLink"/>
                  <w:rFonts w:ascii="Times New Roman;Times;Serif" w:hAnsi="Times New Roman;Times;Serif"/>
                  <w:b w:val="false"/>
                  <w:i w:val="false"/>
                  <w:caps w:val="false"/>
                  <w:smallCaps w:val="false"/>
                  <w:sz w:val="20"/>
                </w:rPr>
                <w:t>Chief Executive Officer</w:t>
              </w:r>
            </w:hyperlink>
            <w:r>
              <w:rPr>
                <w:rFonts w:ascii="Times New Roman;Times;Serif" w:hAnsi="Times New Roman;Times;Serif"/>
                <w:b w:val="false"/>
                <w:i w:val="false"/>
                <w:caps w:val="false"/>
                <w:smallCaps w:val="false"/>
                <w:sz w:val="20"/>
              </w:rPr>
              <w:t xml:space="preserve"> and our </w:t>
            </w:r>
            <w:hyperlink w:anchor="ex31-2.htm">
              <w:r>
                <w:rPr>
                  <w:rStyle w:val="InternetLink"/>
                  <w:rFonts w:ascii="Times New Roman;Times;Serif" w:hAnsi="Times New Roman;Times;Serif"/>
                  <w:b w:val="false"/>
                  <w:i w:val="false"/>
                  <w:caps w:val="false"/>
                  <w:smallCaps w:val="false"/>
                  <w:sz w:val="20"/>
                </w:rPr>
                <w:t>Chief Financial Officer</w:t>
              </w:r>
            </w:hyperlink>
            <w:r>
              <w:rPr>
                <w:rFonts w:ascii="Times New Roman;Times;Serif" w:hAnsi="Times New Roman;Times;Serif"/>
                <w:b w:val="false"/>
                <w:i w:val="false"/>
                <w:caps w:val="false"/>
                <w:smallCaps w:val="false"/>
                <w:sz w:val="20"/>
              </w:rPr>
              <w:t xml:space="preserve"> pursuant to Section 302 of the Sarbanes-Oxley Act of 2002.</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Certification of our </w:t>
            </w:r>
            <w:hyperlink w:anchor="ex32-1.htm">
              <w:r>
                <w:rPr>
                  <w:rStyle w:val="InternetLink"/>
                  <w:rFonts w:ascii="Times New Roman;Times;Serif" w:hAnsi="Times New Roman;Times;Serif"/>
                  <w:b w:val="false"/>
                  <w:i w:val="false"/>
                  <w:caps w:val="false"/>
                  <w:smallCaps w:val="false"/>
                  <w:sz w:val="20"/>
                </w:rPr>
                <w:t>Chief Executive Officer</w:t>
              </w:r>
            </w:hyperlink>
            <w:r>
              <w:rPr>
                <w:rFonts w:ascii="Times New Roman;Times;Serif" w:hAnsi="Times New Roman;Times;Serif"/>
                <w:b w:val="false"/>
                <w:i w:val="false"/>
                <w:caps w:val="false"/>
                <w:smallCaps w:val="false"/>
                <w:sz w:val="20"/>
              </w:rPr>
              <w:t xml:space="preserve"> and our </w:t>
            </w:r>
            <w:hyperlink w:anchor="ex32-2.htm">
              <w:r>
                <w:rPr>
                  <w:rStyle w:val="InternetLink"/>
                  <w:rFonts w:ascii="Times New Roman;Times;Serif" w:hAnsi="Times New Roman;Times;Serif"/>
                  <w:b w:val="false"/>
                  <w:i w:val="false"/>
                  <w:caps w:val="false"/>
                  <w:smallCaps w:val="false"/>
                  <w:sz w:val="20"/>
                </w:rPr>
                <w:t>Chief Financial Officer</w:t>
              </w:r>
            </w:hyperlink>
            <w:r>
              <w:rPr>
                <w:rFonts w:ascii="Times New Roman;Times;Serif" w:hAnsi="Times New Roman;Times;Serif"/>
                <w:b w:val="false"/>
                <w:i w:val="false"/>
                <w:caps w:val="false"/>
                <w:smallCaps w:val="false"/>
                <w:sz w:val="20"/>
              </w:rPr>
              <w:t xml:space="preserve"> pursuant to Section 906 of the Sarbanes-Oxley Act of 2002.</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pPr>
            <w:hyperlink w:anchor="ex97.htm">
              <w:r>
                <w:rPr>
                  <w:rStyle w:val="InternetLink"/>
                  <w:rFonts w:ascii="Times New Roman;Times;Serif" w:hAnsi="Times New Roman;Times;Serif"/>
                  <w:b w:val="false"/>
                  <w:i w:val="false"/>
                  <w:caps w:val="false"/>
                  <w:smallCaps w:val="false"/>
                  <w:sz w:val="20"/>
                </w:rPr>
                <w:t>Reed’s, Inc. Clawback Policy for Covered Executives.</w:t>
              </w:r>
            </w:hyperlink>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materials from Reed’s, Inc.’s Annual Report on Form 10-K for the fiscal year ended December 31, 2023 formatted in iXBRL (Inline eXtensible Business Reporting Language): (i) the Balance Sheets, (ii) the Statements of Operations, (iii) the Statements of Changes in Stockholders Equity, (iv) the Statements of Cash Flows, and (v) Notes to Financial Statements.</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the Reed’s, Inc. Annual Report on Form 10-K for the fiscal year ended December 31, 2023, formatted in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portions of this exhibit have been redacted pursuant to Item 601(b)(10)(iv) of Regulations S-K. The Company will furnish supplementally an unredacted copy of such exhibit to the Securities and Exchange Commission or its staff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Management contracts and compensatory plans or arrangements required to be filed as exhibits pursuant to Item 15(a)(3) of this report.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bookmarkStart w:id="845" w:name="ex3-vi.htm"/>
      <w:bookmarkStart w:id="846" w:name="ksex3vi"/>
      <w:bookmarkEnd w:id="845"/>
      <w:bookmarkEnd w:id="846"/>
      <w:r>
        <w:rPr>
          <w:rFonts w:ascii="Times New Roman;Times;Serif" w:hAnsi="Times New Roman;Times;Serif"/>
          <w:b w:val="false"/>
          <w:i w:val="false"/>
          <w:caps w:val="false"/>
          <w:smallCaps w:val="false"/>
          <w:sz w:val="20"/>
        </w:rPr>
        <w:b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3(vi)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REGISTRANT’S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PURSUANT TO SECTION 12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Reed’s, Inc.’s (“Reed’s,” the “Company,” “we,” “our,” “us”) common stock, par value $0.0001 per share (“Common Stock”) is registered under Section 12(g) of the Securities Exchange Act of 1934, as amended (the “Exchange Act”) and quoted on OTCQX Best Market under the symbol “REED”.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2021, our shareholders approved an increase in the number of authorized shares of common stock from 120 million to 180 million. On January 24, 2023, our shareholders approved a up to a 1:50 reverse stock split of our common stock. Effective January 27, 2023, we effected the 1:50 reverse stock split of our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terms of our common stock. This summary does not purport to be exhaustive and is qualified in its entirety by reference to our certificate of incorporation, as amended (“Certificate”) and our amended and restated bylaws, as further amended (“Bylaws”) and to the applicable provisions of Delaware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180,000,000 shares of common stock, $0.0001 par value. Holders of common stock are each entitled to cast one vote for each share held of record on all matters presented to shareholders. Cumulative voting is not authorized; the holders of a majority of our outstanding shares of common stock may elect all directors. Holders of common stock are entitled to receive such dividends as may be declared by our board out of funds legally available and, in the event of liquidation, to share pro rata in any distribution of our assets after payment of liabilities. Our directors are not obligated to declare a dividend. It is not anticipated that dividends will be paid in the foreseeable future. With the exception of contractual preemptive right held by D&amp;D Source of Life Holding, Ltd, an entity owned by Shufen Deng, our Vice-Chairman, holders of common stock do not have preemptive rights to subscribe to any additional shares we may issue in the future. There are no conversion, redemption, sinking fund or similar provisions regarding the common stock. All outstanding shares of common stock are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there were approximately 165 holders of record of the common stock and 4,187,291 outstanding shares of common stock. The holders of record do not include those stockholders whose shares are held of record by banks, brokers and other financial institutions.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Certain Provisions of Delaware Law and Our Certificate and Bylaws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provisions of Section 203 of the Delaware General Corporation Law (the “DGCL”), an anti-takeover law. Subject to certain exceptions, the statute prohibits a publicly held Delaware corporation from engaging in a “business combination” with an “interested stockholder” for a period of three years after the date of the transaction in which the person became an interested stockholder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such date, the board of directors of the corporation approved either the business combination or the transaction which resulted in the stockholder becoming an interested stockholder;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(1) by persons who are directors and also officers and (2) by employee stock plans in which employee participants do not have the right to determine confidentially whether shares held subject to the plan will be tendered in a tender or exchange offer;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such date,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Section 203, a “business combination” includes a merger, asset sale or other transaction resulting in a financial benefit to the interested stockholder, and an “interested stockholder” is a person who, together with affiliates and associates, owns, or within three years prior to the date of determination whether the person is an “Interested Stockholder” did own, 15% or more of the corporation’s voting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authorized but unissued shares of common stock are available for our board to issue without stockholder approval. We may use these additional shares for a variety of corporate purposes, including future public or private offerings to raise additional capital, corporate acquisitions and employee benefit plans. The existence of our authorized but unissued shares of common stock could render more difficult or discourage an attempt to obtain control of our company by means of a proxy contest, tender offer, merger or other transaction. Our authorized but unissued shares may be used to delay, defer or prevent a tender offer or takeover attempt that a stockholder might consider in its best interest, including those attempts that might result in a premium over the market price for the shares held by our stockholders. The board of directors is also authorized to adopt, amend or repeal our Bylaws (provided, however, that no such adoption, amendment, or repeal shall be valid with respect to bylaw provisions which have been adopted, amended, or repealed by the stockholders; and further provided, that bylaw provisions adopted or amended by the board of directors and any powers thereby conferred may be amended, altered, or repealed by the stockholders) which could delay, defer or prevent a change in control.</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laws of Delaware on corporate matters, including their indemnification provisions. 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as the same exists or may hereafter be amended, provides that a Delaware corporation may indemnify any persons who were,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are, were or are threatened to be made, a party to any threatened, pending or completed action or suit by or in the right of the corporation by reason of the fact that such person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that no indemnification is permitted without judicial approval if the officer, director, employee or agent is adjudged to be liable to the corporation. Where an officer, director, employee, or agent is successful on the merits or otherwise in the defense of any action referred to above, the corporation must indemnify him or her against the expenses which such officer or director has actually and reasonably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arising out of his or her status as such, whether or not the corporation would otherwise have the power to indemnify him or her under Section 145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provides that, to the fullest extent permitted by Delaware law, as it may be amended from time to time, none of our directors will be personally liable to us or our stockholders for monetary damages resulting from a breach of fiduciary duty as a director. Our Certificate also provides discretionary indemnification for the benefit of our directors, officers and employees, to the fullest extent permitted by Delaware law, as it may be amended from time to time. Pursuant to our Bylaws, we are required to indemnify our directors, officers, employees and agents, and we have the discretion to advance his or her related expenses, to the fullest extent permitted by law.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currently provide liability insurance coverage for our directors and officers. We also have entered into indemnification agreements with certain of our executive officers and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as amended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 Market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the Company’s common stock is Transfer Online, Inc., telephone (503) 227-2950. Our common stock is quoted on OTCQX Best Market under the symbol “REED”.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847" w:name="ex4-7.htm"/>
      <w:bookmarkStart w:id="848" w:name="ksex47"/>
      <w:bookmarkEnd w:id="847"/>
      <w:bookmarkEnd w:id="84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4.7</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AND THE SECURITIES ISSUABLE UPON THE CONVERSION HEREOF HAVE NOT BEEN REGISTERED UNDER THE SECURITIES ACT OF 1933, AS AMENDED (THE “SECURITIES ACT”). THEY MAY NOT BE SOLD, OFFERED FOR SALE, PLEDGED, HYPOTHECATED OR OTHERWISE TRANSFERRED EXCEPT PURSUANT TO AN EFFECTIVE REGISTRATION STATEMENT UNDER THE SECURITIES ACT OR UPON RECEIPT BY THE COMPANY OF AN OPINION OF COUNSEL SATISFACTORY TO THE COMPANY THAT REGISTRATION IS NOT REQUIRED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SIMPLE AGREEMENT FOR FUTURE EQUITY (SAFE)</w:t>
      </w:r>
    </w:p>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1685"/>
        <w:gridCol w:w="1505"/>
      </w:tblGrid>
      <w:tr>
        <w:trPr/>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Amount</w:t>
            </w:r>
          </w:p>
        </w:tc>
        <w:tc>
          <w:tcPr>
            <w:tcW w:w="150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Issuance</w:t>
            </w:r>
          </w:p>
        </w:tc>
      </w:tr>
      <w:tr>
        <w:trPr/>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$3,000,000</w:t>
            </w:r>
          </w:p>
        </w:tc>
        <w:tc>
          <w:tcPr>
            <w:tcW w:w="150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8,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SIMPLE AGREEMENT FOR FUTURE EQUITY</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SAFE</w:t>
      </w:r>
      <w:r>
        <w:rPr>
          <w:rFonts w:ascii="Times New Roman;Times;Serif" w:hAnsi="Times New Roman;Times;Serif"/>
          <w:b w:val="false"/>
          <w:i w:val="false"/>
          <w:caps w:val="false"/>
          <w:smallCaps w:val="false"/>
          <w:sz w:val="20"/>
        </w:rPr>
        <w:t>”) is issued by Reed’s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 D&amp;D Source of Life Holding Ltd.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in exchange for the Holder’s payment of the investment amount set forth above (the “</w:t>
      </w:r>
      <w:r>
        <w:rPr>
          <w:rFonts w:ascii="Times New Roman;Times;Serif" w:hAnsi="Times New Roman;Times;Serif"/>
          <w:b/>
          <w:i w:val="false"/>
          <w:caps w:val="false"/>
          <w:smallCaps w:val="false"/>
          <w:sz w:val="20"/>
        </w:rPr>
        <w:t>Investment Amount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not otherwise defined in this SAFE will have the meanings set forth in this Section 1.</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Company’s common stock, par value US$0.0001.</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(for purposes of determining the type of Equity Securities issuable upon conversion of this SAFE) means: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 conversion pursuant to Section 2.1, shares of the Equity Securities issued in the Next Equity Financing; and</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 conversion pursuant to Section 2.2, shares of Common Stock.</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means (rounded to the nearest 1/100th of one cent):</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 conversion pursuant to Section 2.1, the lower of the share purchase price of the Equity Securities issued in the Next Equity Financing and $1.50.</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 conversion pursuant to Section 2.2, the lower of the VWAP and $1.50.</w:t>
      </w:r>
    </w:p>
    <w:p>
      <w:pPr>
        <w:pStyle w:val="TextBody"/>
        <w:bidi w:val="0"/>
        <w:spacing w:before="0" w:after="0"/>
        <w:ind w:left="99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Corporate Transaction</w:t>
      </w:r>
      <w:r>
        <w:rPr>
          <w:rFonts w:ascii="Times New Roman;Times;Serif" w:hAnsi="Times New Roman;Times;Serif"/>
          <w:b w:val="false"/>
          <w:i w:val="false"/>
          <w:caps w:val="false"/>
          <w:smallCaps w:val="false"/>
          <w:sz w:val="20"/>
        </w:rPr>
        <w:t>” means: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of the sale, transfer or other disposition, in a single transaction or series of related transactions, of all or substantially all of the Company’s assets;</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consummation of a merger or consolidation of the Company with or into another entity (except a merger or consolidation in which the holders of capital stock of the Company immediately prior to such merger or consolidation continue to hold a majority of the outstanding voting securities of the capital stock of the Company or the surviving or acquiring entity immediately following the consummation of such transaction); or</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closing of the transfer (whether by merger, consolidation or otherwise), in a single transaction or series of related transactions, to a “person” or “group” (within the meaning of Section 13(d) and Section 14(d) of the Exchange Act), of the Company’s capital stock if, after such closing, such person or group would become the “beneficial owner” (as defined in Rule 13d-3 under the Exchange Act) of more than 50% of the outstanding voting securities of the Company (or the surviving or acquiring entity).</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transaction will not constitute a “Corporate Transaction” if its sole purpose is to change the state of the Company’s incorporation or to create a holding company that will be owned in substantially the same proportions by the persons who held the Company’s securities immediately prior to such transaction. Notwithstanding the foregoing, neither the Conversion of this SAFE nor the sale of Equity Securities in a bona fide financing transaction will be deemed a “Corporate Transaction”.</w:t>
      </w:r>
    </w:p>
    <w:p>
      <w:pPr>
        <w:pStyle w:val="TextBody"/>
        <w:bidi w:val="0"/>
        <w:spacing w:before="0" w:after="0"/>
        <w:ind w:left="274" w:right="0" w:firstLine="14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Dissolution</w:t>
      </w:r>
      <w:r>
        <w:rPr>
          <w:rFonts w:ascii="Times New Roman;Times;Serif" w:hAnsi="Times New Roman;Times;Serif"/>
          <w:b w:val="false"/>
          <w:i w:val="false"/>
          <w:caps w:val="false"/>
          <w:smallCaps w:val="false"/>
          <w:sz w:val="20"/>
        </w:rPr>
        <w:t>” means (a) a voluntary termination of the Company’s operations; (b) a general assignment for the benefit of the Company’s creditors; or (c) a liquidation, dissolution or winding up of the Company (other than a Corporate Transaction), whether voluntary or involuntary.</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Equity Securities</w:t>
      </w:r>
      <w:r>
        <w:rPr>
          <w:rFonts w:ascii="Times New Roman;Times;Serif" w:hAnsi="Times New Roman;Times;Serif"/>
          <w:b w:val="false"/>
          <w:i w:val="false"/>
          <w:caps w:val="false"/>
          <w:smallCaps w:val="false"/>
          <w:sz w:val="20"/>
        </w:rPr>
        <w:t>” means (a) Common Stock; (b) any securities conferring the right to purchase Common Stock; or (c) any securities directly or indirectly convertible into, or exchangeable for (with or without additional consideration) Common Stock. Notwithstanding the foregoing, the following will not be considered “Equity Securities”: (i) any security granted, issued or sold by the Company to any director, officer, employee, consultant or adviser of the Company for the primary purpose of soliciting or retaining their services; (ii) any convertible promissory notes issued by the Company to Whitebox Advisors, LLC and/ or its affiliates (the “Secured Lender”); and (iii) any SAFEs (including this SAFE) issued by the Company.</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rPr>
        <w:t>Next Equity Financing</w:t>
      </w:r>
      <w:r>
        <w:rPr>
          <w:rFonts w:ascii="Times New Roman;Times;Serif" w:hAnsi="Times New Roman;Times;Serif"/>
          <w:b w:val="false"/>
          <w:i w:val="false"/>
          <w:caps w:val="false"/>
          <w:smallCaps w:val="false"/>
          <w:sz w:val="20"/>
        </w:rPr>
        <w:t>” means the next sale by the Company of its Equity Securities following the date of issuance of this SAFE that is supported by the Company’s Secured Lender. The Company intends its Next Equity Financing to be a public rights offering to its stockholders. Rights granted, as currently proposed, will provide stockholders of record with the opportunity to purchase shares of common stock of the Company. The final terms of the rights offering will be determined upon consultation with the Company’s financial advisors.</w:t>
      </w:r>
    </w:p>
    <w:p>
      <w:pPr>
        <w:pStyle w:val="TextBody"/>
        <w:bidi w:val="0"/>
        <w:spacing w:before="0" w:after="0"/>
        <w:ind w:left="450" w:right="0" w:firstLine="5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rPr>
        <w:t>SAFEs</w:t>
      </w:r>
      <w:r>
        <w:rPr>
          <w:rFonts w:ascii="Times New Roman;Times;Serif" w:hAnsi="Times New Roman;Times;Serif"/>
          <w:b w:val="false"/>
          <w:i w:val="false"/>
          <w:caps w:val="false"/>
          <w:smallCaps w:val="false"/>
          <w:sz w:val="20"/>
        </w:rPr>
        <w:t>” mean any simple agreements for future equity (or other similar agreements) which are issued by the Company for bona fide financing purposes and which may convert into the Company’s capital stock in accordance with its terms.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as reported by Bloomberg L.P on the date in question: the NYSE MKT, the Nasdaq Capital Market, the Nasdaq Global Market, the Nasdaq Global Select Market, the New York Stock Exchange, OTCQB or OTCQX (or any successors to any of the foregoing).</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the Board of Directors of the Company (“Board”), in good faith.</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This SAFE will be convertible into Equity Securities pursuant to the following terms.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Next Equity Financing Conversion</w:t>
      </w:r>
      <w:r>
        <w:rPr>
          <w:rFonts w:ascii="Times New Roman;Times;Serif" w:hAnsi="Times New Roman;Times;Serif"/>
          <w:b w:val="false"/>
          <w:i w:val="false"/>
          <w:caps w:val="false"/>
          <w:smallCaps w:val="false"/>
          <w:sz w:val="20"/>
        </w:rPr>
        <w:t>. This SAFE will automatically convert into Conversion Shares upon the closing of the Next Equity Financing. The number of Conversion Shares the Company issues upon such conversion will equal the quotient (rounded down to the nearest whole share) obtained by dividing (x) the Investment Amount by (y) the applicable Conversion Price. At least five (5) days prior to the closing of the Next Equity Financing, the Company will notify the Holder in writing of the terms of the Equity Securities that are expected to be issued in such financing. The issuance of Conversion Shares pursuant to the conversion of this SAFE will be on, and subject to, the same terms and conditions applicable to the Equity Securities issued in the Next Equity Financing. If the Next Equity Financing is a Rights Offering to the Company’s stockholders: (i) to the extent the number of Conversion Shares exceeds the number of shares of Common Stock Holder is allotted to subscribe for in the rights offering (as a stockholder or pursuant to Holder’s existing preemptive rights) (“</w:t>
      </w:r>
      <w:r>
        <w:rPr>
          <w:rFonts w:ascii="Times New Roman;Times;Serif" w:hAnsi="Times New Roman;Times;Serif"/>
          <w:b/>
          <w:i w:val="false"/>
          <w:caps w:val="false"/>
          <w:smallCaps w:val="false"/>
          <w:sz w:val="20"/>
        </w:rPr>
        <w:t>Rights Shares</w:t>
      </w:r>
      <w:r>
        <w:rPr>
          <w:rFonts w:ascii="Times New Roman;Times;Serif" w:hAnsi="Times New Roman;Times;Serif"/>
          <w:b w:val="false"/>
          <w:i w:val="false"/>
          <w:caps w:val="false"/>
          <w:smallCaps w:val="false"/>
          <w:sz w:val="20"/>
        </w:rPr>
        <w:t>”), the Company will make provision to ensure issuance in full of the Conversion Shares and (ii) to the extent Holder’s Rights Shares exceed the Conversion Shares (the difference, the “</w:t>
      </w:r>
      <w:r>
        <w:rPr>
          <w:rFonts w:ascii="Times New Roman;Times;Serif" w:hAnsi="Times New Roman;Times;Serif"/>
          <w:b/>
          <w:i w:val="false"/>
          <w:caps w:val="false"/>
          <w:smallCaps w:val="false"/>
          <w:sz w:val="20"/>
        </w:rPr>
        <w:t>Excess Rights Shares</w:t>
      </w:r>
      <w:r>
        <w:rPr>
          <w:rFonts w:ascii="Times New Roman;Times;Serif" w:hAnsi="Times New Roman;Times;Serif"/>
          <w:b w:val="false"/>
          <w:i w:val="false"/>
          <w:caps w:val="false"/>
          <w:smallCaps w:val="false"/>
          <w:sz w:val="20"/>
        </w:rPr>
        <w:t>”), Holder may, in its sole discretion, subscribe for the Excess Rights Shares pursuant to the terms and conditions of the rights offering. The Holder is not entitled by virtue of holding this SAFE to be deemed a holder of the Company’s capital stock for any purpose, nor will anything contained in this SAFE be construed to confer on the Holder, as such, any of the rights of a stockholder of the Company or any right to vote for the election of directors or upon any matter submitted to stockholders at any meeting thereof, or to give or withhold consent to any corporate action or to receive notice of meetings, or to receive subscription rights or otherwise until Conversion Shares have been issued upon the terms described in this SAFE.</w:t>
      </w:r>
    </w:p>
    <w:p>
      <w:pPr>
        <w:pStyle w:val="TextBody"/>
        <w:bidi w:val="0"/>
        <w:spacing w:before="0" w:after="0"/>
        <w:ind w:left="99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Corporate Transaction Conversion</w:t>
      </w:r>
      <w:r>
        <w:rPr>
          <w:rFonts w:ascii="Times New Roman;Times;Serif" w:hAnsi="Times New Roman;Times;Serif"/>
          <w:b w:val="false"/>
          <w:i w:val="false"/>
          <w:caps w:val="false"/>
          <w:smallCaps w:val="false"/>
          <w:sz w:val="20"/>
        </w:rPr>
        <w:t>. In the event of a Corporate Transaction prior to the conversion of this SAFE pursuant to Section 2.1, at the closing of such Corporate Transaction, the Holder may elect that either: (a) the Company will pay the Holder an amount equal to the Investment Amount; or (b) this SAFE will convert into that number of Conversion Shares equal to the quotient (rounded down to the nearest whole share) obtained by dividing (x) the Investment Amount by (y) the applicable Conversion Price.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p>
    <w:p>
      <w:pPr>
        <w:pStyle w:val="TextBody"/>
        <w:bidi w:val="0"/>
        <w:spacing w:before="0" w:after="0"/>
        <w:ind w:left="450" w:right="0" w:firstLine="540"/>
        <w:jc w:val="left"/>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Financing Agreements</w:t>
      </w:r>
      <w:r>
        <w:rPr>
          <w:rFonts w:ascii="Times New Roman;Times;Serif" w:hAnsi="Times New Roman;Times;Serif"/>
          <w:b w:val="false"/>
          <w:i w:val="false"/>
          <w:caps w:val="false"/>
          <w:smallCaps w:val="false"/>
          <w:sz w:val="20"/>
        </w:rPr>
        <w:t>. The Holder acknowledges that the conversion of this SAFE into Conversion Shares pursuant to Section 2.1 may require the Holder’s execution of certain agreements relating to the purchase and sale of the Conversion Shares, as well as registration rights, rights of first refusal and co-sale, rights of first offer and voting rights, if any, relating to such securities (collectively, the “</w:t>
      </w:r>
      <w:r>
        <w:rPr>
          <w:rFonts w:ascii="Times New Roman;Times;Serif" w:hAnsi="Times New Roman;Times;Serif"/>
          <w:b/>
          <w:i w:val="false"/>
          <w:caps w:val="false"/>
          <w:smallCaps w:val="false"/>
          <w:sz w:val="20"/>
        </w:rPr>
        <w:t>Financing Agreements</w:t>
      </w:r>
      <w:r>
        <w:rPr>
          <w:rFonts w:ascii="Times New Roman;Times;Serif" w:hAnsi="Times New Roman;Times;Serif"/>
          <w:b w:val="false"/>
          <w:i w:val="false"/>
          <w:caps w:val="false"/>
          <w:smallCaps w:val="false"/>
          <w:sz w:val="20"/>
        </w:rPr>
        <w:t>”). The Holder agrees to execute all of the Financing Agreements in connection with a Next Equity Financing.</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As promptly as practicable after the conversion of this SAFE and the issuance of the Conversion Shares, the Company (at its expense) will issue and deliver a certificate or certificates evidencing the Conversion Shares (if certificated) to the Holder, or if the Conversion Shares are not certificated, will deliver a true and correct copy of the Company’s share register reflecting the Conversion Shares held by the Holder. The Company will not be required to issue or deliver the Conversion Shares until the Holder has surrendered this SAFE to the Company (or provided an instrument of cancellation or affidavit of loss). The conversion of this SAFE pursuant to Section 2.1 and Section 2.2 may be made contingent upon the closing of the Next Equity Financing and Corporate Transaction, respectively.</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Priority</w:t>
      </w:r>
      <w:r>
        <w:rPr>
          <w:rFonts w:ascii="Times New Roman;Times;Serif" w:hAnsi="Times New Roman;Times;Serif"/>
          <w:b w:val="false"/>
          <w:i w:val="false"/>
          <w:caps w:val="false"/>
          <w:smallCaps w:val="false"/>
          <w:sz w:val="20"/>
        </w:rPr>
        <w:t>. In the event of a Dissolution while this SAFE is outstanding, the Company’s obligation to pay the Holder an amount equal to the Investment Amount will rank senior in right of payment to the Company’s capital stock.</w:t>
      </w:r>
    </w:p>
    <w:p>
      <w:pPr>
        <w:pStyle w:val="TextBody"/>
        <w:bidi w:val="0"/>
        <w:spacing w:before="0" w:after="0"/>
        <w:ind w:left="0" w:right="0" w:firstLine="45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Holder’s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The Board of the Company will appoint Shufen Deng, Holder’s non-independent director designee, as Vice-Chairwoman of the Board and Chairwoman of Asian Operations. The Holder shall have the right to designate an independent director in addition to its current independent director designee, Randle Lee Edwards, to be appointed to the Board of the Company. The Company agrees that its Board and all applicable committees of the Board shall take all necessary actions to appoint the Holder’s second director designee as a director of the Company. Holder’s rights to designate one non-independent director and two independent directors shall survive termination of this agreement for so long Holder beneficially owns 25% or more of the Company’s issued and outstanding common stock.</w:t>
      </w:r>
    </w:p>
    <w:p>
      <w:pPr>
        <w:pStyle w:val="TextBody"/>
        <w:bidi w:val="0"/>
        <w:spacing w:before="0" w:after="0"/>
        <w:ind w:left="270" w:right="0" w:firstLine="36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The Holder shall have the right to designate an independent director in addition to its current independent director designee, Randle Lee Edwards, to be appointed to the Board of the Company. The Company agrees that its Board and all applicable committees of the Board shall take all necessary actions to appoint the Holder’s second director designee as a director of the Company.</w:t>
      </w:r>
    </w:p>
    <w:p>
      <w:pPr>
        <w:pStyle w:val="TextBody"/>
        <w:bidi w:val="0"/>
        <w:spacing w:before="0" w:after="0"/>
        <w:ind w:left="270" w:right="0" w:firstLine="36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The Board shall recommend, support and solicit proxies (if necessary) for the election and re-election (as applicable) of the Holder’s director designees at the annual stockholders’ meetings of the Company in the same manner and with the same efforts as the Board and all applicable committees of the Board recommend, support and solicit proxies for the election of the Company’s other director nominees.</w:t>
      </w:r>
    </w:p>
    <w:p>
      <w:pPr>
        <w:pStyle w:val="TextBody"/>
        <w:bidi w:val="0"/>
        <w:spacing w:before="0" w:after="0"/>
        <w:ind w:left="270" w:right="0" w:firstLine="36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Without the consent of Holder’s two independent director designees, the size of the Board shall not exceed nine (9) members following the election of the second independent director designee. </w:t>
      </w:r>
    </w:p>
    <w:p>
      <w:pPr>
        <w:pStyle w:val="TextBody"/>
        <w:bidi w:val="0"/>
        <w:spacing w:before="0" w:after="0"/>
        <w:ind w:left="270" w:right="0" w:firstLine="36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The Company will hire an individual as may be selected by Shufen Deng to serve both as secretary for Mrs. Deng and as an administrative assistant to the Company’s executive management team at the Company’s headquarters located in Norwalk, Connecticut.</w:t>
      </w:r>
    </w:p>
    <w:p>
      <w:pPr>
        <w:pStyle w:val="TextBody"/>
        <w:bidi w:val="0"/>
        <w:spacing w:before="0" w:after="0"/>
        <w:ind w:left="270" w:right="0" w:firstLine="36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The Company will hire a salesperson to head the Asian operations at such time as the operating division is ready to launch.</w:t>
      </w:r>
    </w:p>
    <w:p>
      <w:pPr>
        <w:pStyle w:val="TextBody"/>
        <w:bidi w:val="0"/>
        <w:spacing w:before="0" w:after="0"/>
        <w:ind w:left="27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In connection with the transactions contemplated by this SAFE, the Company hereby represents and warrants to the Holder as follows: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Due Organization; Qualification and Good Standing</w:t>
      </w:r>
      <w:r>
        <w:rPr>
          <w:rFonts w:ascii="Times New Roman;Times;Serif" w:hAnsi="Times New Roman;Times;Serif"/>
          <w:b w:val="false"/>
          <w:i w:val="false"/>
          <w:caps w:val="false"/>
          <w:smallCaps w:val="false"/>
          <w:sz w:val="20"/>
        </w:rPr>
        <w:t>. The Company is a corporation duly organized, validly existing and in good standing under the laws of the State of Delaware and has all requisite corporate power and authority to carry on its business as now conducted. The Company is duly qualified to transact business and is in good standing in each jurisdiction in which the failure to so qualify or to be in good standing would have a material adverse effect on the Company.</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Authorization and Enforceability</w:t>
      </w:r>
      <w:r>
        <w:rPr>
          <w:rFonts w:ascii="Times New Roman;Times;Serif" w:hAnsi="Times New Roman;Times;Serif"/>
          <w:b w:val="false"/>
          <w:i w:val="false"/>
          <w:caps w:val="false"/>
          <w:smallCaps w:val="false"/>
          <w:sz w:val="20"/>
        </w:rPr>
        <w:t>. Except for the authorization and issuance of the Conversion Shares, all corporate action has been taken on the part of the Company and its officers, directors and stockholders necessary for the authorization, execution and delivery of this SAFE. Except as may be limited by applicable bankruptcy, insolvency, reorganization or similar laws relating to or affecting the enforcement of creditors’ rights, the Company has taken all corporate action required to make all of the obligations of the Company reflected in the provisions of this SAFE valid and enforceable in accordance with its terms.</w:t>
      </w:r>
    </w:p>
    <w:p>
      <w:pPr>
        <w:pStyle w:val="TextBody"/>
        <w:bidi w:val="0"/>
        <w:spacing w:before="0" w:after="0"/>
        <w:ind w:left="450" w:right="0" w:firstLine="5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Representations and Warranties of the Holder</w:t>
      </w:r>
      <w:r>
        <w:rPr>
          <w:rFonts w:ascii="Times New Roman;Times;Serif" w:hAnsi="Times New Roman;Times;Serif"/>
          <w:b w:val="false"/>
          <w:i w:val="false"/>
          <w:caps w:val="false"/>
          <w:smallCaps w:val="false"/>
          <w:sz w:val="20"/>
        </w:rPr>
        <w:t>. In connection with the transactions contemplated by this SAFE, the Holder hereby represents and warrants to the Company as follows: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Holder has full power and authority (and, if an individual, the capacity) to enter into this SAFE and to perform all obligations required to be performed by it hereunder. This SAFE, when executed and delivered by the Holder, will constitute the Holder’s valid and legally binding obligation, enforceable in accordance with its terms, except (a) as limited by applicable bankruptcy, insolvency, reorganization, moratorium, fraudulent conveyance and any other laws of general application affecting enforcement of creditors’ rights generally, and (b) as limited by laws relating to the availability of specific performance, injunctive relief or other equitable remedies.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Purchase Entirely for Own Account</w:t>
      </w:r>
      <w:r>
        <w:rPr>
          <w:rFonts w:ascii="Times New Roman;Times;Serif" w:hAnsi="Times New Roman;Times;Serif"/>
          <w:b w:val="false"/>
          <w:i w:val="false"/>
          <w:caps w:val="false"/>
          <w:smallCaps w:val="false"/>
          <w:sz w:val="20"/>
        </w:rPr>
        <w:t>. The Holder acknowledges that this SAFE is made with the Holder in reliance upon the Holder’s representation to the Company, which the Holder hereby confirms by executing this SAFE, that this SAFE, the Conversion Shares, and any Common Stock issuable upon conversion of the Conversion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will be acquired for investment for the Holder’s own account, not as a nominee or agent (unless otherwise specified on the Holder’s signature page hereto), and not with a view to the resale or distribution of any part thereof, and that the Holder has no present intention of selling, granting any participation in, or otherwise distributing the same. By executing this SAFE, the Holder further represents that the Holder does not have any contract, undertaking, agreement or arrangement with any person to sell, transfer or grant participations to such person or to any third person, with respect to the Securities. If other than an individual, the Holder also represents it has not been organized solely for the purpose of acquiring the Securities.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Disclosure of Information; Non-Reliance</w:t>
      </w:r>
      <w:r>
        <w:rPr>
          <w:rFonts w:ascii="Times New Roman;Times;Serif" w:hAnsi="Times New Roman;Times;Serif"/>
          <w:b w:val="false"/>
          <w:i w:val="false"/>
          <w:caps w:val="false"/>
          <w:smallCaps w:val="false"/>
          <w:sz w:val="20"/>
        </w:rPr>
        <w:t>. The Holder acknowledges that it has received all the information it considers necessary or appropriate to enable it to make an informed decision concerning an investment in the Securities. The Holder further represents that it has had an opportunity to ask questions and receive answers from the Company regarding the terms and conditions of the offering of the Securities. The Holder confirms that the Company has not given any guarantee or representation as to the potential success, return, effect or benefit (either legal, regulatory, tax, financial, accounting or otherwise) of an investment in the Securities. In deciding to purchase the Securities, the Holder is not relying on the advice or recommendations of the Company and has made its own independent decision that the investment in the Securities is suitable and appropriate for the Holder. The Holder understands that no federal or state agency has passed upon the merits or risks of an investment in the Securities or made any finding or determination concerning the fairness or advisability of this investment.</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Investment Experience</w:t>
      </w:r>
      <w:r>
        <w:rPr>
          <w:rFonts w:ascii="Times New Roman;Times;Serif" w:hAnsi="Times New Roman;Times;Serif"/>
          <w:b w:val="false"/>
          <w:i w:val="false"/>
          <w:caps w:val="false"/>
          <w:smallCaps w:val="false"/>
          <w:sz w:val="20"/>
        </w:rPr>
        <w:t>. The Holder is an investor in securities of companies in the development stage and acknowledges that it is able to fend for itself, can bear the economic risk of its investment and has such knowledge and experience in financial or business matters that it is capable of evaluating the merits and risks of the investment in the Securities.</w:t>
      </w:r>
    </w:p>
    <w:p>
      <w:pPr>
        <w:pStyle w:val="TextBody"/>
        <w:bidi w:val="0"/>
        <w:spacing w:before="0" w:after="0"/>
        <w:ind w:left="450" w:right="0" w:firstLine="5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Holder is an “accredited investor” within the meaning of Rule 501 of Regulation D promulgated under the Securities Act. The Holder agrees to furnish any additional information requested by the Company or any of its affiliates to assure compliance with applicable U.S. federal and state securities laws in connection with the purchase and sale of the Securities.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The Holder understands that the Securities have not been, and will not be, registered under the Securities Act or state securities laws, by reason of specific exemptions from the registration provisions thereof which depend upon, among other things, the bona fide nature of the investment intent and the accuracy of the Holder’s representations as expressed herein. The Holder understands that the Securities are “restricted securities” under U.S. federal and applicable state securities laws and that, pursuant to these laws, the Holder must hold the Securities indefinitely unless they are registered with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registered or qualified by state authorities, or an exemption from such registration and qualification requirements is available. The Holder acknowledges that the Company has no obligation to register or qualify the Securities for resale and further acknowledges that, if an exemption from registration or qualification is available, it may be conditioned on various requirements including, but not limited to, the time and manner of sale, the holding period for the Securities, and on requirements relating to the Company which are outside of the Holder’s control, and which the Company is under no obligation, and may not be able, to satisfy.</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The Holder, and its officers, directors, employees, agents, stockholders or partners have not either directly or indirectly, including through a broker or finder solicited offers for or offered or sold the Securities by means of any form of general solicitation or general advertising within the meaning of Rule 502 of Regulation D under the Securities Act or in any manner involving a public offering within the meaning of Section 4(a)(2) of the Securities Act. The Holder acknowledges that neither the Company nor any other person offered to sell the Securities to it by means of any form of general solicitation or advertising within the meaning of Rule 502 of Regulation D under the Securities Act or in any manner involving a public offering within the meaning of Section 4(a)(2) of the Securities Act.</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val="false"/>
          <w:caps w:val="false"/>
          <w:smallCaps w:val="false"/>
          <w:sz w:val="20"/>
          <w:u w:val="single"/>
        </w:rPr>
        <w:t>Residence</w:t>
      </w:r>
      <w:r>
        <w:rPr>
          <w:rFonts w:ascii="Times New Roman;Times;Serif" w:hAnsi="Times New Roman;Times;Serif"/>
          <w:b w:val="false"/>
          <w:i w:val="false"/>
          <w:caps w:val="false"/>
          <w:smallCaps w:val="false"/>
          <w:sz w:val="20"/>
        </w:rPr>
        <w:t>. Holder’s principal place of business is located in the state or province identified in the address shown on the Holder’s signature page hereto.</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val="false"/>
          <w:caps w:val="false"/>
          <w:smallCaps w:val="false"/>
          <w:sz w:val="20"/>
          <w:u w:val="single"/>
        </w:rPr>
        <w:t>Foreign Investor</w:t>
      </w:r>
      <w:r>
        <w:rPr>
          <w:rFonts w:ascii="Times New Roman;Times;Serif" w:hAnsi="Times New Roman;Times;Serif"/>
          <w:b w:val="false"/>
          <w:i w:val="false"/>
          <w:caps w:val="false"/>
          <w:smallCaps w:val="false"/>
          <w:sz w:val="20"/>
        </w:rPr>
        <w:t>. The Holder hereby represents that it has satisfied itself as to the full observance of the laws of its jurisdiction in connection with any invitation to subscribe for the Securities, including (a) the legal requirements within its jurisdiction for the purchase of the Securities; (b) any foreign exchange restrictions applicable to such purchase; (c) any governmental or other consents that may need to be obtained; and (d) the income tax and other tax consequences, if any, that may be relevant to the purchase, holding, conversion, redemption, sale, or transfer of the Securities. The Holder’s subscription and payment for and continued beneficial ownership of the Securities will not violate any applicable securities or other laws of the Holder’s jurisdiction. The Holder acknowledges that the Company has taken no action in foreign jurisdictions with respect to the Securities.</w:t>
      </w:r>
    </w:p>
    <w:p>
      <w:pPr>
        <w:pStyle w:val="TextBody"/>
        <w:bidi w:val="0"/>
        <w:spacing w:before="0" w:after="0"/>
        <w:ind w:left="450" w:right="0" w:firstLine="5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45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Except as otherwise provided herein, the terms and conditions of this SAFE will inure to the benefit of, and be binding upon, the respective successors and assigns of the parties; provided, however, that the Company may not assign its obligations under this SAFE without the written consent of the Holder. This SAFE is for the sole benefit of the parties hereto and their respective successors and permitted assigns, and nothing herein, express or implied, is intended to or will confer upon any other person or entity any legal or equitable right, benefit or remedy of any nature whatsoever under or by reason of this SAFE.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Choice of Law</w:t>
      </w:r>
      <w:r>
        <w:rPr>
          <w:rFonts w:ascii="Times New Roman;Times;Serif" w:hAnsi="Times New Roman;Times;Serif"/>
          <w:b w:val="false"/>
          <w:i w:val="false"/>
          <w:caps w:val="false"/>
          <w:smallCaps w:val="false"/>
          <w:sz w:val="20"/>
        </w:rPr>
        <w:t>. This SAFE, and all matters arising out of or relating to this Note, whether sounding in contract, tort, or statute will be governed by and construed in accordance with the internal laws of the State of Delaware, without giving effect to the conflict of laws provisions thereof to the extent such principles or rules would require or permit the application of the laws of any jurisdiction other than those of the State of Delaware.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SAFE may be executed in counterparts, each of which will be deemed an original, but all of which together will be deemed to be one and the same agreement. Counterparts may be delivered via facsimile, electronic mail (including PDF or any electronic signature complying with the U.S. federal ESIGN Act of 2000,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www.docusign.com) or other transmission method, and any counterpart so delivered will be deemed to have been duly and validly delivered and be valid and effective for all purposes.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Titles and Subtitles</w:t>
      </w:r>
      <w:r>
        <w:rPr>
          <w:rFonts w:ascii="Times New Roman;Times;Serif" w:hAnsi="Times New Roman;Times;Serif"/>
          <w:b w:val="false"/>
          <w:i w:val="false"/>
          <w:caps w:val="false"/>
          <w:smallCaps w:val="false"/>
          <w:sz w:val="20"/>
        </w:rPr>
        <w:t>. The titles and subtitles used in this SAFE are included for convenience only and are not to be considered in construing or interpreting this SAFE.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given or made pursuant hereto will be in writing and will be deemed effectively given: (a) upon personal delivery to the party to be notified; (b) when sent by email or confirmed facsimile; (c) five (5) days after having been sent by registered or certified mail, return receipt requested, postage prepaid; or (d) one (1) day after deposit with a nationally recognized overnight courier, specifying next day delivery, with written verification of receipt. All communications will be sent to the respective parties at the addresses shown on the signature pages hereto (or to such email address, facsimile number or other address as subsequently modified by written notice given in accordance with this Section 7.5).</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val="false"/>
          <w:i w:val="false"/>
          <w:caps w:val="false"/>
          <w:smallCaps w:val="false"/>
          <w:sz w:val="20"/>
          <w:u w:val="single"/>
        </w:rPr>
        <w:t>No Finder’s Fee</w:t>
      </w:r>
      <w:r>
        <w:rPr>
          <w:rFonts w:ascii="Times New Roman;Times;Serif" w:hAnsi="Times New Roman;Times;Serif"/>
          <w:b w:val="false"/>
          <w:i w:val="false"/>
          <w:caps w:val="false"/>
          <w:smallCaps w:val="false"/>
          <w:sz w:val="20"/>
        </w:rPr>
        <w:t>. Holder represents that it neither is nor will be obligated to pay any finder’s fee, broker’s fee or commission in connection with the transactions contemplated by this SAFE. The Holder agrees to indemnify and to hold the Company harmless from any liability for any commission or compensation in the nature of a finder’s or broker’s fee arising out of the transactions contemplated by this SAFE (and the costs and expenses of defending against such liability or asserted liability) for which the Holder or any of its officers, employees or representatives is responsible. The Company agrees to indemnify and hold the Holder harmless from any liability for any commission or compensation in the nature of a finder’s or broker’s fee arising out of the transactions contemplated by this SAFE (and the costs and expenses of defending against such liability or asserted liability) for which the Company or any of its officers, employees or representatives is responsible.</w:t>
      </w:r>
    </w:p>
    <w:p>
      <w:pPr>
        <w:pStyle w:val="TextBody"/>
        <w:bidi w:val="0"/>
        <w:spacing w:before="0" w:after="0"/>
        <w:ind w:left="450" w:right="0" w:firstLine="5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Each party will pay all costs and expenses that it incurs with respect to the negotiation, execution, delivery and performance of this SAFE.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 </w:t>
      </w:r>
      <w:r>
        <w:rPr>
          <w:rFonts w:ascii="Times New Roman;Times;Serif" w:hAnsi="Times New Roman;Times;Serif"/>
          <w:b w:val="false"/>
          <w:i w:val="false"/>
          <w:caps w:val="false"/>
          <w:smallCaps w:val="false"/>
          <w:sz w:val="20"/>
          <w:u w:val="single"/>
        </w:rPr>
        <w:t>Attorneys’ Fees</w:t>
      </w:r>
      <w:r>
        <w:rPr>
          <w:rFonts w:ascii="Times New Roman;Times;Serif" w:hAnsi="Times New Roman;Times;Serif"/>
          <w:b w:val="false"/>
          <w:i w:val="false"/>
          <w:caps w:val="false"/>
          <w:smallCaps w:val="false"/>
          <w:sz w:val="20"/>
        </w:rPr>
        <w:t>. If any action at law or in equity is necessary to enforce or interpret the terms of this SAFE, the prevailing party will be entitled to reasonable attorneys’ fees, costs and necessary disbursements in addition to any other relief to which such party may be entitled.</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 </w:t>
      </w:r>
      <w:r>
        <w:rPr>
          <w:rFonts w:ascii="Times New Roman;Times;Serif" w:hAnsi="Times New Roman;Times;Serif"/>
          <w:b w:val="false"/>
          <w:i w:val="false"/>
          <w:caps w:val="false"/>
          <w:smallCaps w:val="false"/>
          <w:sz w:val="20"/>
          <w:u w:val="single"/>
        </w:rPr>
        <w:t>Entire Agreement; Amendments and Waivers</w:t>
      </w:r>
      <w:r>
        <w:rPr>
          <w:rFonts w:ascii="Times New Roman;Times;Serif" w:hAnsi="Times New Roman;Times;Serif"/>
          <w:b w:val="false"/>
          <w:i w:val="false"/>
          <w:caps w:val="false"/>
          <w:smallCaps w:val="false"/>
          <w:sz w:val="20"/>
        </w:rPr>
        <w:t>. This SAFE constitutes the full and entire understanding and agreement between the parties with regard to the subject hereof. Any term of this SAFE may be amended and the observance of any term may be waived (either generally or in a particular instance and either retroactively or prospectively) with the written consent of the Company and the Holder. Any waiver or amendment effected in accordance with this Section 7.9 will be binding upon each future holder of this SAFE and the Company.</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one or more provisions of this SAFE are held to be unenforceable under applicable law, such provisions will be excluded from this SAFE and the balance of the SAFE will be interpreted as if such provisions were so excluded and this SAFE will be enforceable in accordance with its terms.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“Market Stand-Off” Agreement</w:t>
      </w:r>
      <w:r>
        <w:rPr>
          <w:rFonts w:ascii="Times New Roman;Times;Serif" w:hAnsi="Times New Roman;Times;Serif"/>
          <w:b w:val="false"/>
          <w:i w:val="false"/>
          <w:caps w:val="false"/>
          <w:smallCaps w:val="false"/>
          <w:sz w:val="20"/>
        </w:rPr>
        <w:t>. The Holder hereby agrees that it will not, during any period commencing on the date a final prospectus relating to any public offering of the Company’s Common Stock under the Securities Act, and ending on the date specified by the Company and the placement agent or managing underwriter (such period not to exceed one hundred eighty (180) days, or such other period as may be requested to accommodate regulatory restrictions on (i) the publication or other distribution of research reports, and (ii) analyst recommendations and opinions): (A)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(whether such shares or any such securities are then owned by the Holder or are thereafter acquired); or (B) enter into any swap or other arrangement that transfers to another, in whole or in part, any of the economic consequences of ownership of such securities; whether any such transaction described in clause (A) or (B) above is to be settled by delivery of Common Stock or other securities, in cash, or otherwise. The foregoing provisions of this Section 7.11(a) will: (x) apply only to a public offering by the Company and will not apply to the sale of any shares to an underwriter pursuant to an underwriting agreement; (y) not apply to the transfer of any shares to any trust for the direct or indirect benefit of the Holder or the immediate family of the Holder, provided that the trustee of the trust agrees to be bound in writing by the restrictions set forth herein, and provided further that any such transfer will not involve a disposition for value; and (z) be applicable to the Holder only if all officers and directors of the Company are subject to the same restrictions and the Company uses commercially reasonable efforts to obtain a similar agreement from all stockholders individually owning more than 5% of the outstanding Common Stock. Notwithstanding anything herein to the contrary (including, for the avoidance of doubt, Section 7.1), the underwriters in connection with the public offering are intended third-party beneficiaries of this Section 7.11(a) and will have the right, power and authority to enforce the provisions hereof as though they were a party hereto. The Holder further agrees to execute such agreements as may be reasonably requested by the underwriters in connection with a public offering that are consistent with this Section 7.11(a) or that are necessary to give further effect thereto.</w:t>
      </w:r>
    </w:p>
    <w:p>
      <w:pPr>
        <w:pStyle w:val="TextBody"/>
        <w:bidi w:val="0"/>
        <w:spacing w:before="0" w:after="0"/>
        <w:ind w:left="99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enforce the foregoing covenant, the Company may impose stop transfer instructions with respect to the Holder’s registrable securities of the Company (and the Company shares or securities of every other person subject to the foregoing restriction) until the end of such period. The Holder agrees that a legend reading substantially as follows will be placed on all certificates representing all of the Holder’s registrable securities of the Company (and the Company shares or securities of every other person subject to the restriction contained in this Section 7.11(a)):</w:t>
      </w:r>
    </w:p>
    <w:p>
      <w:pPr>
        <w:pStyle w:val="TextBody"/>
        <w:bidi w:val="0"/>
        <w:spacing w:before="0" w:after="0"/>
        <w:ind w:left="994" w:right="0" w:firstLine="1440"/>
        <w:jc w:val="both"/>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BY THIS CERTIFICATE ARE SUBJECT TO A LOCK-UP PERIOD BEGINNING ON THE EFFECTIVE DATE OF THE COMPANY’S REGISTRATION STATEMENT FILED UNDER THE SECURITIES ACT OF 1933, AS AMENDED, AS SET FORTH IN AN AGREEMENT BETWEEN THE COMPANY AND THE ORIGINAL HOLDER OF THESE SECURITIES, A COPY OF WHICH MAY BE OBTAINED AT THE COMPANY’S PRINCIPAL OFFICE. SUCH LOCK-UP PERIOD IS BINDING ON TRANSFEREES OF THESE SECURITIES.</w:t>
      </w:r>
    </w:p>
    <w:p>
      <w:pPr>
        <w:pStyle w:val="TextBody"/>
        <w:bidi w:val="0"/>
        <w:spacing w:before="0" w:after="0"/>
        <w:ind w:left="994" w:right="0" w:firstLine="144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Further Limitations on Disposition</w:t>
      </w:r>
      <w:r>
        <w:rPr>
          <w:rFonts w:ascii="Times New Roman;Times;Serif" w:hAnsi="Times New Roman;Times;Serif"/>
          <w:b w:val="false"/>
          <w:i w:val="false"/>
          <w:caps w:val="false"/>
          <w:smallCaps w:val="false"/>
          <w:sz w:val="20"/>
        </w:rPr>
        <w:t>. Without in any way limiting the representations and warranties set forth in this SAFE, the Holder further agrees not to make any disposition of all or any portion of the Securities unless and until the transferee has agreed in writing for the benefit of the Company to make the representations and warranties set out in Section 6 and the undertaking set out in Section 7.11(a) and:</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is then in effect a registration statement under the Securities Act covering such proposed disposition, and such disposition is made in connection with such registration statement; or</w:t>
      </w:r>
    </w:p>
    <w:p>
      <w:pPr>
        <w:pStyle w:val="TextBody"/>
        <w:bidi w:val="0"/>
        <w:spacing w:before="0" w:after="0"/>
        <w:ind w:left="1710" w:right="0" w:firstLine="720"/>
        <w:jc w:val="both"/>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Holder has (A) notified the Company of the proposed disposition; (B) furnished the Company with a detailed statement of the circumstances surrounding the proposed disposition; and (C) if requested by the Company, furnished the Company with an opinion of counsel reasonably satisfactory to the Company that such disposition will not require registration under the Securities Act.</w:t>
      </w:r>
    </w:p>
    <w:p>
      <w:pPr>
        <w:pStyle w:val="TextBody"/>
        <w:bidi w:val="0"/>
        <w:spacing w:before="0" w:after="0"/>
        <w:ind w:left="171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71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agrees not to make any disposition of any of the Securities to the Company’s competitors, as determined in good faith by the Company.</w:t>
      </w:r>
    </w:p>
    <w:p>
      <w:pPr>
        <w:pStyle w:val="TextBody"/>
        <w:bidi w:val="0"/>
        <w:spacing w:before="0" w:after="0"/>
        <w:ind w:left="994" w:right="0" w:firstLine="144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Holder understands and acknowledges that the Securities may bear the following legend:</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AND THE SECURITIES ISSUABLE UPON THE CONVERSION HEREOF HAVE NOT BEEN REGISTERED UNDER THE SECURITIES ACT OF 1933, AS AMENDED (THE “SECURITIES ACT”). THEY MAY NOT BE SOLD, OFFERED FOR SALE, PLEDGED, HYPOTHECATED OR OTHERWISE TRANSFERRED EXCEPT PURSUANT TO AN EFFECTIVE REGISTRATION STATEMENT UNDER THE SECURITIES ACT OR UPON RECEIPT BY THE COMPANY OF AN OPINION OF COUNSEL SATISFACTORY TO THE COMPANY THAT REGISTRATION IS NOT REQUIRED UNDER THE SECURITIES ACT OR UNLESS SOLD PURSUANT TO RULE 144 UNDER THE SECURITIES ACT.</w:t>
      </w:r>
    </w:p>
    <w:p>
      <w:pPr>
        <w:pStyle w:val="TextBody"/>
        <w:bidi w:val="0"/>
        <w:spacing w:before="0" w:after="0"/>
        <w:ind w:left="994" w:right="0" w:firstLine="14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7.12 </w:t>
      </w: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For the avoidance of doubt, it is acknowledged that the Holder will be entitled to the benefit of all adjustments in the number of shares of the Company’s capital stock as a result of any splits, recapitalizations, combinations or other similar transactions affecting the Company’s capital stock underlying the Conversion Shares that occur prior to the conversion of this SAFE.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7.13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From time to time, the parties will execute and deliver such additional documents and will provide such additional information as may reasonably be required to carry out the terms of this SAFE and any agreements executed in connection herewith.</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 </w:t>
      </w:r>
      <w:r>
        <w:rPr>
          <w:rFonts w:ascii="Times New Roman;Times;Serif" w:hAnsi="Times New Roman;Times;Serif"/>
          <w:b w:val="false"/>
          <w:i w:val="false"/>
          <w:caps w:val="false"/>
          <w:smallCaps w:val="false"/>
          <w:sz w:val="20"/>
          <w:u w:val="single"/>
        </w:rPr>
        <w:t>Officers and Directors not Liable</w:t>
      </w:r>
      <w:r>
        <w:rPr>
          <w:rFonts w:ascii="Times New Roman;Times;Serif" w:hAnsi="Times New Roman;Times;Serif"/>
          <w:b w:val="false"/>
          <w:i w:val="false"/>
          <w:caps w:val="false"/>
          <w:smallCaps w:val="false"/>
          <w:sz w:val="20"/>
        </w:rPr>
        <w:t>. In no event will any officer or director of the Company be liable for any amounts due and payable pursuant to this SAFE.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7.15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HEREBY WAIVES ITS RIGHTS TO A JURY TRIAL OF ANY CLAIM OR CAUSE OF ACTION BASED UPON OR ARISING OUT OF THIS SAFE,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REPRESENTS AND WARRANTS THAT SUCH PARTY HAS REVIEWED THIS WAIVER WITH ITS LEGAL COUNSEL, AND THAT SUCH PARTY KNOWINGLY AND VOLUNTARILY WAIVES ITS JURY TRIAL RIGHTS FOLLOWING CONSULTATION WITH LEGAL COUNSEL.</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[signature pageS follow]</w:t>
      </w:r>
    </w:p>
    <w:p>
      <w:pPr>
        <w:pStyle w:val="TextBody"/>
        <w:bidi w:val="0"/>
        <w:spacing w:before="0" w:after="0"/>
        <w:ind w:left="0" w:right="0" w:hanging="0"/>
        <w:jc w:val="center"/>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274" w:type="dxa"/>
        <w:jc w:val="left"/>
        <w:tblInd w:w="0" w:type="dxa"/>
        <w:tblLayout w:type="fixed"/>
        <w:tblCellMar>
          <w:top w:w="0" w:type="dxa"/>
          <w:left w:w="0" w:type="dxa"/>
          <w:bottom w:w="0" w:type="dxa"/>
          <w:right w:w="0" w:type="dxa"/>
        </w:tblCellMar>
      </w:tblPr>
      <w:tblGrid>
        <w:gridCol w:w="75"/>
        <w:gridCol w:w="741"/>
        <w:gridCol w:w="245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1" w:type="dxa"/>
            <w:tcBorders/>
            <w:vAlign w:val="center"/>
          </w:tcPr>
          <w:p>
            <w:pPr>
              <w:pStyle w:val="TableContents"/>
              <w:bidi w:val="0"/>
              <w:spacing w:before="0" w:after="283"/>
              <w:jc w:val="left"/>
              <w:rPr>
                <w:caps w:val="false"/>
                <w:smallCaps w:val="false"/>
              </w:rPr>
            </w:pPr>
            <w:r>
              <w:rPr>
                <w:caps w:val="false"/>
                <w:smallCaps w:val="false"/>
              </w:rPr>
              <w:t> </w:t>
            </w:r>
          </w:p>
        </w:tc>
        <w:tc>
          <w:tcPr>
            <w:tcW w:w="245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5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1" w:type="dxa"/>
            <w:tcBorders/>
            <w:vAlign w:val="center"/>
          </w:tcPr>
          <w:p>
            <w:pPr>
              <w:pStyle w:val="TableContents"/>
              <w:bidi w:val="0"/>
              <w:spacing w:before="0" w:after="283"/>
              <w:jc w:val="left"/>
              <w:rPr>
                <w:caps w:val="false"/>
                <w:smallCaps w:val="false"/>
              </w:rPr>
            </w:pPr>
            <w:r>
              <w:rPr>
                <w:caps w:val="false"/>
                <w:smallCaps w:val="false"/>
              </w:rPr>
              <w:t> </w:t>
            </w:r>
          </w:p>
        </w:tc>
        <w:tc>
          <w:tcPr>
            <w:tcW w:w="245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Merritt 7 Corporate Park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Norwalk, CT 06851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1" w:type="dxa"/>
            <w:tcBorders/>
            <w:vAlign w:val="center"/>
          </w:tcPr>
          <w:p>
            <w:pPr>
              <w:pStyle w:val="TableContents"/>
              <w:bidi w:val="0"/>
              <w:spacing w:before="0" w:after="283"/>
              <w:jc w:val="left"/>
              <w:rPr>
                <w:caps w:val="false"/>
                <w:smallCaps w:val="false"/>
              </w:rPr>
            </w:pPr>
            <w:r>
              <w:rPr>
                <w:caps w:val="false"/>
                <w:smallCaps w:val="false"/>
              </w:rPr>
              <w:t> </w:t>
            </w:r>
          </w:p>
        </w:tc>
        <w:tc>
          <w:tcPr>
            <w:tcW w:w="245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nsnyder@reedsinc.com</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to and accepted:</w:t>
      </w:r>
    </w:p>
    <w:p>
      <w:pPr>
        <w:pStyle w:val="TextBody"/>
        <w:bidi w:val="0"/>
        <w:spacing w:before="0" w:after="0"/>
        <w:ind w:left="5040" w:right="504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D&amp;D SOURCE OF LIFE HOLDING LTD.</w:t>
      </w:r>
    </w:p>
    <w:p>
      <w:pPr>
        <w:pStyle w:val="TextBody"/>
        <w:bidi w:val="0"/>
        <w:spacing w:before="0" w:after="0"/>
        <w:ind w:left="5040" w:right="5040" w:hanging="0"/>
        <w:jc w:val="left"/>
        <w:rPr>
          <w:caps w:val="false"/>
          <w:smallCaps w:val="false"/>
        </w:rPr>
      </w:pPr>
      <w:r>
        <w:rPr>
          <w:caps w:val="false"/>
          <w:smallCaps w:val="false"/>
        </w:rPr>
        <w:t> </w:t>
      </w:r>
    </w:p>
    <w:tbl>
      <w:tblPr>
        <w:tblW w:w="4354" w:type="dxa"/>
        <w:jc w:val="left"/>
        <w:tblInd w:w="0" w:type="dxa"/>
        <w:tblLayout w:type="fixed"/>
        <w:tblCellMar>
          <w:top w:w="0" w:type="dxa"/>
          <w:left w:w="0" w:type="dxa"/>
          <w:bottom w:w="0" w:type="dxa"/>
          <w:right w:w="0" w:type="dxa"/>
        </w:tblCellMar>
      </w:tblPr>
      <w:tblGrid>
        <w:gridCol w:w="1545"/>
        <w:gridCol w:w="2734"/>
        <w:gridCol w:w="75"/>
      </w:tblGrid>
      <w:tr>
        <w:trPr/>
        <w:tc>
          <w:tcPr>
            <w:tcW w:w="1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3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7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Shufen Deng</w:t>
            </w:r>
          </w:p>
        </w:tc>
        <w:tc>
          <w:tcPr>
            <w:tcW w:w="75" w:type="dxa"/>
            <w:tcBorders/>
            <w:vAlign w:val="center"/>
          </w:tcPr>
          <w:p>
            <w:pPr>
              <w:pStyle w:val="TableContents"/>
              <w:bidi w:val="0"/>
              <w:spacing w:before="0" w:after="283"/>
              <w:jc w:val="left"/>
              <w:rPr/>
            </w:pPr>
            <w:r>
              <w:rPr/>
              <w:t> </w:t>
            </w:r>
          </w:p>
        </w:tc>
      </w:tr>
      <w:tr>
        <w:trPr/>
        <w:tc>
          <w:tcPr>
            <w:tcW w:w="1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7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r>
        <w:trPr/>
        <w:tc>
          <w:tcPr>
            <w:tcW w:w="1545" w:type="dxa"/>
            <w:tcBorders/>
            <w:vAlign w:val="center"/>
          </w:tcPr>
          <w:p>
            <w:pPr>
              <w:pStyle w:val="TableContents"/>
              <w:bidi w:val="0"/>
              <w:spacing w:before="0" w:after="283"/>
              <w:jc w:val="left"/>
              <w:rPr/>
            </w:pPr>
            <w:r>
              <w:rPr/>
              <w:t> </w:t>
            </w:r>
          </w:p>
        </w:tc>
        <w:tc>
          <w:tcPr>
            <w:tcW w:w="273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79" w:type="dxa"/>
            <w:gridSpan w:val="2"/>
            <w:tcBorders/>
            <w:vAlign w:val="center"/>
          </w:tcPr>
          <w:p>
            <w:pPr>
              <w:pStyle w:val="TableContents"/>
              <w:bidi w:val="0"/>
              <w:spacing w:before="0" w:after="283"/>
              <w:jc w:val="left"/>
              <w:rPr/>
            </w:pPr>
            <w:r>
              <w:rPr/>
              <w:t>Address:</w:t>
            </w:r>
          </w:p>
        </w:tc>
        <w:tc>
          <w:tcPr>
            <w:tcW w:w="75" w:type="dxa"/>
            <w:tcBorders/>
            <w:vAlign w:val="center"/>
          </w:tcPr>
          <w:p>
            <w:pPr>
              <w:pStyle w:val="TableContents"/>
              <w:bidi w:val="0"/>
              <w:spacing w:before="0" w:after="283"/>
              <w:jc w:val="left"/>
              <w:rPr/>
            </w:pPr>
            <w:r>
              <w:rPr/>
              <w:t> </w:t>
            </w:r>
          </w:p>
        </w:tc>
      </w:tr>
      <w:tr>
        <w:trPr/>
        <w:tc>
          <w:tcPr>
            <w:tcW w:w="42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 HARBOUR ROAD, WANCHAI</w:t>
            </w:r>
          </w:p>
        </w:tc>
        <w:tc>
          <w:tcPr>
            <w:tcW w:w="75" w:type="dxa"/>
            <w:tcBorders/>
            <w:vAlign w:val="center"/>
          </w:tcPr>
          <w:p>
            <w:pPr>
              <w:pStyle w:val="TableContents"/>
              <w:bidi w:val="0"/>
              <w:spacing w:before="0" w:after="283"/>
              <w:jc w:val="left"/>
              <w:rPr/>
            </w:pPr>
            <w:r>
              <w:rPr/>
              <w:t> </w:t>
            </w:r>
          </w:p>
        </w:tc>
      </w:tr>
      <w:tr>
        <w:trPr/>
        <w:tc>
          <w:tcPr>
            <w:tcW w:w="42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ROOMS 3006-07, CHINA RESOURCES BUILDING</w:t>
            </w:r>
          </w:p>
        </w:tc>
        <w:tc>
          <w:tcPr>
            <w:tcW w:w="75" w:type="dxa"/>
            <w:tcBorders/>
            <w:vAlign w:val="center"/>
          </w:tcPr>
          <w:p>
            <w:pPr>
              <w:pStyle w:val="TableContents"/>
              <w:bidi w:val="0"/>
              <w:spacing w:before="0" w:after="283"/>
              <w:jc w:val="left"/>
              <w:rPr/>
            </w:pPr>
            <w:r>
              <w:rPr/>
              <w:t> </w:t>
            </w:r>
          </w:p>
        </w:tc>
      </w:tr>
      <w:tr>
        <w:trPr/>
        <w:tc>
          <w:tcPr>
            <w:tcW w:w="42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 K3</w:t>
            </w:r>
          </w:p>
        </w:tc>
        <w:tc>
          <w:tcPr>
            <w:tcW w:w="75" w:type="dxa"/>
            <w:tcBorders/>
            <w:vAlign w:val="center"/>
          </w:tcPr>
          <w:p>
            <w:pPr>
              <w:pStyle w:val="TableContents"/>
              <w:bidi w:val="0"/>
              <w:spacing w:before="0" w:after="283"/>
              <w:jc w:val="left"/>
              <w:rPr/>
            </w:pPr>
            <w:r>
              <w:rPr/>
              <w:t> </w:t>
            </w:r>
          </w:p>
        </w:tc>
      </w:tr>
      <w:tr>
        <w:trPr/>
        <w:tc>
          <w:tcPr>
            <w:tcW w:w="1545" w:type="dxa"/>
            <w:tcBorders/>
            <w:vAlign w:val="center"/>
          </w:tcPr>
          <w:p>
            <w:pPr>
              <w:pStyle w:val="TableContents"/>
              <w:bidi w:val="0"/>
              <w:spacing w:before="0" w:after="283"/>
              <w:jc w:val="left"/>
              <w:rPr/>
            </w:pPr>
            <w:r>
              <w:rPr/>
              <w:t> </w:t>
            </w:r>
          </w:p>
        </w:tc>
        <w:tc>
          <w:tcPr>
            <w:tcW w:w="273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79" w:type="dxa"/>
            <w:gridSpan w:val="2"/>
            <w:tcBorders/>
            <w:vAlign w:val="center"/>
          </w:tcPr>
          <w:p>
            <w:pPr>
              <w:pStyle w:val="TableContents"/>
              <w:bidi w:val="0"/>
              <w:spacing w:before="0" w:after="283"/>
              <w:jc w:val="left"/>
              <w:rPr/>
            </w:pPr>
            <w:r>
              <w:rPr>
                <w:rFonts w:ascii="Times New Roman;Times;Serif" w:hAnsi="Times New Roman;Times;Serif"/>
                <w:sz w:val="20"/>
              </w:rPr>
              <w:t>Email Address: s.2023work@gmail.com</w:t>
            </w:r>
            <w:r>
              <w:rPr/>
              <w:t xml:space="preserve">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849" w:name="ex4-8.htm"/>
      <w:bookmarkStart w:id="850" w:name="ksex48"/>
      <w:bookmarkEnd w:id="849"/>
      <w:bookmarkEnd w:id="85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AND THE SECURITIES ISSUABLE UPON THE CONVERSION HEREOF HAVE NOT BEEN REGISTERED UNDER THE SECURITIES ACT OF 1933, AS AMENDED (THE “SECURITIES ACT”). THEY MAY NOT BE SOLD, OFFERED FOR SALE, PLEDGED, HYPOTHECATED OR OTHERWISE TRANSFERRED EXCEPT PURSUANT TO AN EFFECTIVE REGISTRATION STATEMENT UNDER THE SECURITIES ACT OR UPON RECEIPT BY THE COMPANY OF AN OPINION OF COUNSEL SATISFACTORY TO THE COMPANY THAT REGISTRATION IS NOT REQUIRED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SIMPLE AGREEMENT FOR FUTURE EQUITY (SAFE)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685"/>
        <w:gridCol w:w="1400"/>
      </w:tblGrid>
      <w:tr>
        <w:trPr/>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Amount</w:t>
            </w:r>
          </w:p>
        </w:tc>
        <w:tc>
          <w:tcPr>
            <w:tcW w:w="140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Issuance</w:t>
            </w:r>
          </w:p>
        </w:tc>
      </w:tr>
      <w:tr>
        <w:trPr/>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$300,000.00</w:t>
            </w:r>
          </w:p>
        </w:tc>
        <w:tc>
          <w:tcPr>
            <w:tcW w:w="140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7,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SIMPLE AGREEMENT FOR FUTURE EQUITY</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SAFE</w:t>
      </w:r>
      <w:r>
        <w:rPr>
          <w:rFonts w:ascii="Times New Roman;Times;Serif" w:hAnsi="Times New Roman;Times;Serif"/>
          <w:b w:val="false"/>
          <w:i w:val="false"/>
          <w:caps w:val="false"/>
          <w:smallCaps w:val="false"/>
          <w:sz w:val="20"/>
        </w:rPr>
        <w:t>”) is issued by Reed’s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 John J. Bello or his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in exchange for the Holder’s payment of the investment amount set forth above (the “</w:t>
      </w:r>
      <w:r>
        <w:rPr>
          <w:rFonts w:ascii="Times New Roman;Times;Serif" w:hAnsi="Times New Roman;Times;Serif"/>
          <w:b/>
          <w:i w:val="false"/>
          <w:caps w:val="false"/>
          <w:smallCaps w:val="false"/>
          <w:sz w:val="20"/>
        </w:rPr>
        <w:t>Investment Amount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not otherwise defined in this SAFE will have the meanings set forth in this Section 1.</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Company’s common stock, par value US$0.0001.</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(for purposes of determining the type of Equity Securities issuable upon conversion of this SAFE) means: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 conversion pursuant to Section 2.1, shares of the Equity Securities issued in the Next Equity Financing; and</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 conversion pursuant to Section 2.2, shares of Common Stock.</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means (rounded to the nearest 1/100th of one cent):</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 conversion pursuant to Section 2.1, the lower of the share purchase price of the Equity Securities issued in the Next Equity Financing and $1.50.</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 conversion pursuant to Section 2.2, the lower of the VWAP and $1.50.</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Corporate Transaction</w:t>
      </w:r>
      <w:r>
        <w:rPr>
          <w:rFonts w:ascii="Times New Roman;Times;Serif" w:hAnsi="Times New Roman;Times;Serif"/>
          <w:b w:val="false"/>
          <w:i w:val="false"/>
          <w:caps w:val="false"/>
          <w:smallCaps w:val="false"/>
          <w:sz w:val="20"/>
        </w:rPr>
        <w:t>” means: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of the sale, transfer or other disposition, in a single transaction or series of related transactions, of all or substantially all of the Company’s assets;</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consummation of a merger or consolidation of the Company with or into another entity (except a merger or consolidation in which the holders of capital stock of the Company immediately prior to such merger or consolidation continue to hold a majority of the outstanding voting securities of the capital stock of the Company or the surviving or acquiring entity immediately following the consummation of such transaction); or</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closing of the transfer (whether by merger, consolidation or otherwise), in a single transaction or series of related transactions, to a “person” or “group” (within the meaning of Section 13(d) and Section 14(d) of the Exchange Act), of the Company’s capital stock if, after such closing, such person or group would become the “beneficial owner” (as defined in Rule 13d-3 under the Exchange Act) of more than 50% of the outstanding voting securities of the Company (or the surviving or acquiring entity).</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transaction will not constitute a “Corporate Transaction” if its sole purpose is to change the state of the Company’s incorporation or to create a holding company that will be owned in substantially the same proportions by the persons who held the Company’s securities immediately prior to such transaction. Notwithstanding the foregoing, neither the conversion of any SAFE nor the sale of Equity Securities in a bona fide financing transaction will be deemed a “Corporate Transaction”.</w:t>
      </w:r>
    </w:p>
    <w:p>
      <w:pPr>
        <w:pStyle w:val="TextBody"/>
        <w:bidi w:val="0"/>
        <w:spacing w:before="0" w:after="0"/>
        <w:ind w:left="274" w:right="0" w:firstLine="14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Dissolution</w:t>
      </w:r>
      <w:r>
        <w:rPr>
          <w:rFonts w:ascii="Times New Roman;Times;Serif" w:hAnsi="Times New Roman;Times;Serif"/>
          <w:b w:val="false"/>
          <w:i w:val="false"/>
          <w:caps w:val="false"/>
          <w:smallCaps w:val="false"/>
          <w:sz w:val="20"/>
        </w:rPr>
        <w:t>” means (a) a voluntary termination of the Company’s operations; (b) a general assignment for the benefit of the Company’s creditors; or (c) a liquidation, dissolution or winding up of the Company (other than a Corporate Transaction), whether voluntary or involuntary.</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Equity Securities</w:t>
      </w:r>
      <w:r>
        <w:rPr>
          <w:rFonts w:ascii="Times New Roman;Times;Serif" w:hAnsi="Times New Roman;Times;Serif"/>
          <w:b w:val="false"/>
          <w:i w:val="false"/>
          <w:caps w:val="false"/>
          <w:smallCaps w:val="false"/>
          <w:sz w:val="20"/>
        </w:rPr>
        <w:t>” means (a) Common Stock; (b) any securities conferring the right to purchase Common Stock; or (c) any securities directly or indirectly convertible into, or exchangeable for (with or without additional consideration) Common Stock. Notwithstanding the foregoing, the following will not be considered “Equity Securities”: (i) any security granted, issued or sold by the Company to any director, officer, employee, consultant or adviser of the Company for the primary purpose of soliciting or retaining their services; (ii) any convertible promissory notes issued by the Company to Whitebox Advisors, LLC and/ or its affiliates (the “Secured Lender”); and (iii) any SAFEs (including this SAFE) issued by the Company.</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rPr>
        <w:t>Next Equity Financing</w:t>
      </w:r>
      <w:r>
        <w:rPr>
          <w:rFonts w:ascii="Times New Roman;Times;Serif" w:hAnsi="Times New Roman;Times;Serif"/>
          <w:b w:val="false"/>
          <w:i w:val="false"/>
          <w:caps w:val="false"/>
          <w:smallCaps w:val="false"/>
          <w:sz w:val="20"/>
        </w:rPr>
        <w:t>” means the next sale by the Company of its Equity Securities following the date of issuance of this SAFE that is supported by the Company’s Secured Lender. The Company intends its Next Equity Financing to be a public rights offering to its stockholders. Rights granted, as currently proposed, will provide stockholders of record with the opportunity to purchase shares of common stock of the Company. The final terms of the rights offering will be determined upon consultation with the Company’s financial advisors.</w:t>
      </w:r>
    </w:p>
    <w:p>
      <w:pPr>
        <w:pStyle w:val="TextBody"/>
        <w:bidi w:val="0"/>
        <w:spacing w:before="0" w:after="0"/>
        <w:ind w:left="450" w:right="0" w:firstLine="5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rPr>
        <w:t>SAFEs</w:t>
      </w:r>
      <w:r>
        <w:rPr>
          <w:rFonts w:ascii="Times New Roman;Times;Serif" w:hAnsi="Times New Roman;Times;Serif"/>
          <w:b w:val="false"/>
          <w:i w:val="false"/>
          <w:caps w:val="false"/>
          <w:smallCaps w:val="false"/>
          <w:sz w:val="20"/>
        </w:rPr>
        <w:t>” mean any simple agreements for future equity (or other similar agreements) which are issued by the Company for bona fide financing purposes and which may convert into the Company’s capital stock in accordance with its terms.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as reported by Bloomberg L.P on the date in question: the NYSE MKT, the Nasdaq Capital Market, the Nasdaq Global Market, the Nasdaq Global Select Market, the New York Stock Exchange, OTCQB or OTCQX (or any successors to any of the foregoing).</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the Board of Directors of the Company (“Board”), in good faith.</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This SAFE will be convertible into Equity Securities pursuant to the following terms.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Next Equity Financing Conversion</w:t>
      </w:r>
      <w:r>
        <w:rPr>
          <w:rFonts w:ascii="Times New Roman;Times;Serif" w:hAnsi="Times New Roman;Times;Serif"/>
          <w:b w:val="false"/>
          <w:i w:val="false"/>
          <w:caps w:val="false"/>
          <w:smallCaps w:val="false"/>
          <w:sz w:val="20"/>
        </w:rPr>
        <w:t>. This SAFE will automatically convert into Conversion Shares upon the closing of the Next Equity Financing. The number of Conversion Shares the Company issues upon such conversion will equal the quotient (rounded down to the nearest whole share) obtained by dividing (x) the Investment Amount by (y) the applicable Conversion Price. At least five (5) days prior to the closing of the Next Equity Financing, the Company will notify the Holder in writing of the terms of the Equity Securities that are expected to be issued in such financing. The issuance of Conversion Shares pursuant to the conversion of this SAFE will be on, and subject to, the same terms and conditions applicable to the Equity Securities issued in the Next Equity Financing. If the Next Equity Financing is a Rights Offering to the Company’s stockholders: (i) to the extent the number of Conversion Shares exceeds the number of shares of Common Stock Holder is allotted to subscribe for in the rights offering (as a stockholder or pursuant to Holder’s existing preemptive rights) (“</w:t>
      </w:r>
      <w:r>
        <w:rPr>
          <w:rFonts w:ascii="Times New Roman;Times;Serif" w:hAnsi="Times New Roman;Times;Serif"/>
          <w:b/>
          <w:i w:val="false"/>
          <w:caps w:val="false"/>
          <w:smallCaps w:val="false"/>
          <w:sz w:val="20"/>
        </w:rPr>
        <w:t>Rights Shares</w:t>
      </w:r>
      <w:r>
        <w:rPr>
          <w:rFonts w:ascii="Times New Roman;Times;Serif" w:hAnsi="Times New Roman;Times;Serif"/>
          <w:b w:val="false"/>
          <w:i w:val="false"/>
          <w:caps w:val="false"/>
          <w:smallCaps w:val="false"/>
          <w:sz w:val="20"/>
        </w:rPr>
        <w:t>”), the Company will make provision to ensure issuance in full of the Conversion Shares and (ii) to the extent Holder’s Rights Shares exceed the Conversion Shares (the difference, the “</w:t>
      </w:r>
      <w:r>
        <w:rPr>
          <w:rFonts w:ascii="Times New Roman;Times;Serif" w:hAnsi="Times New Roman;Times;Serif"/>
          <w:b/>
          <w:i w:val="false"/>
          <w:caps w:val="false"/>
          <w:smallCaps w:val="false"/>
          <w:sz w:val="20"/>
        </w:rPr>
        <w:t>Excess Rights Shares</w:t>
      </w:r>
      <w:r>
        <w:rPr>
          <w:rFonts w:ascii="Times New Roman;Times;Serif" w:hAnsi="Times New Roman;Times;Serif"/>
          <w:b w:val="false"/>
          <w:i w:val="false"/>
          <w:caps w:val="false"/>
          <w:smallCaps w:val="false"/>
          <w:sz w:val="20"/>
        </w:rPr>
        <w:t>”), Holder may, in its sole discretion, subscribe for the Excess Rights Shares pursuant to the terms and conditions of the rights offering. The Holder is not entitled by virtue of holding this SAFE to be deemed a holder of the Company’s capital stock for any purpose, nor will anything contained in this SAFE be construed to confer on the Holder, as such, any of the rights of a stockholder of the Company or any right to vote for the election of directors or upon any matter submitted to stockholders at any meeting thereof, or to give or withhold consent to any corporate action or to receive notice of meetings, or to receive subscription rights or otherwise until Conversion Shares have been issued upon the terms described in this SAFE.</w:t>
      </w:r>
    </w:p>
    <w:p>
      <w:pPr>
        <w:pStyle w:val="TextBody"/>
        <w:bidi w:val="0"/>
        <w:spacing w:before="0" w:after="0"/>
        <w:ind w:left="270" w:right="0" w:firstLine="36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Corporate Transaction Conversion</w:t>
      </w:r>
      <w:r>
        <w:rPr>
          <w:rFonts w:ascii="Times New Roman;Times;Serif" w:hAnsi="Times New Roman;Times;Serif"/>
          <w:b w:val="false"/>
          <w:i w:val="false"/>
          <w:caps w:val="false"/>
          <w:smallCaps w:val="false"/>
          <w:sz w:val="20"/>
        </w:rPr>
        <w:t>. In the event of a Corporate Transaction prior to the conversion of this SAFE pursuant to Section 2.1, at the closing of such Corporate Transaction, the Holder may elect that either: (a) the Company will pay the Holder an amount equal to the Investment Amount; or (b) this SAFE will convert into that number of Conversion Shares equal to the quotient (rounded down to the nearest whole share) obtained by dividing (x) the Investment Amount by (y) the applicable Conversion Price.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p>
    <w:p>
      <w:pPr>
        <w:pStyle w:val="TextBody"/>
        <w:bidi w:val="0"/>
        <w:spacing w:before="0" w:after="0"/>
        <w:ind w:left="450" w:right="0" w:firstLine="540"/>
        <w:jc w:val="left"/>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Financing Agreements</w:t>
      </w:r>
      <w:r>
        <w:rPr>
          <w:rFonts w:ascii="Times New Roman;Times;Serif" w:hAnsi="Times New Roman;Times;Serif"/>
          <w:b w:val="false"/>
          <w:i w:val="false"/>
          <w:caps w:val="false"/>
          <w:smallCaps w:val="false"/>
          <w:sz w:val="20"/>
        </w:rPr>
        <w:t>. The Holder acknowledges that the conversion of this SAFE into Conversion Shares pursuant to Section 2.1 may require the Holder’s execution of certain agreements relating to the purchase and sale of the Conversion Shares, as well as registration rights, rights of first refusal and co-sale, rights of first offer and voting rights, if any, relating to such securities (collectively, the “</w:t>
      </w:r>
      <w:r>
        <w:rPr>
          <w:rFonts w:ascii="Times New Roman;Times;Serif" w:hAnsi="Times New Roman;Times;Serif"/>
          <w:b/>
          <w:i w:val="false"/>
          <w:caps w:val="false"/>
          <w:smallCaps w:val="false"/>
          <w:sz w:val="20"/>
        </w:rPr>
        <w:t>Financing Agreements</w:t>
      </w:r>
      <w:r>
        <w:rPr>
          <w:rFonts w:ascii="Times New Roman;Times;Serif" w:hAnsi="Times New Roman;Times;Serif"/>
          <w:b w:val="false"/>
          <w:i w:val="false"/>
          <w:caps w:val="false"/>
          <w:smallCaps w:val="false"/>
          <w:sz w:val="20"/>
        </w:rPr>
        <w:t>”). The Holder agrees to execute all of the Financing Agreements in connection with a Next Equity Financing.</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As promptly as practicable after the conversion of this SAFE and the issuance of the Conversion Shares, the Company (at its expense) will issue and deliver a certificate or certificates evidencing the Conversion Shares (if certificated) to the Holder, or if the Conversion Shares are not certificated, will deliver a true and correct copy of the Company’s share register reflecting the Conversion Shares held by the Holder. The Company will not be required to issue or deliver the Conversion Shares until the Holder has surrendered this SAFE to the Company (or provided an instrument of cancellation or affidavit of loss). The conversion of this SAFE pursuant to Section 2.1 and Section 2.2 may be made contingent upon the closing of the Next Equity Financing and Corporate Transaction, respectively.</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Priority</w:t>
      </w:r>
      <w:r>
        <w:rPr>
          <w:rFonts w:ascii="Times New Roman;Times;Serif" w:hAnsi="Times New Roman;Times;Serif"/>
          <w:b w:val="false"/>
          <w:i w:val="false"/>
          <w:caps w:val="false"/>
          <w:smallCaps w:val="false"/>
          <w:sz w:val="20"/>
        </w:rPr>
        <w:t>. In the event of a Dissolution while this SAFE is outstanding, the Company’s obligation to pay the Holder an amount equal to the Investment Amount will rank senior in right of payment to the Company’s capital stock.</w:t>
      </w:r>
    </w:p>
    <w:p>
      <w:pPr>
        <w:pStyle w:val="TextBody"/>
        <w:bidi w:val="0"/>
        <w:spacing w:before="0" w:after="0"/>
        <w:ind w:left="0" w:right="0" w:firstLine="45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In connection with the transactions contemplated by this SAFE, the Company hereby represents and warrants to the Holder as follows: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Due Organization; Qualification and Good Standing</w:t>
      </w:r>
      <w:r>
        <w:rPr>
          <w:rFonts w:ascii="Times New Roman;Times;Serif" w:hAnsi="Times New Roman;Times;Serif"/>
          <w:b w:val="false"/>
          <w:i w:val="false"/>
          <w:caps w:val="false"/>
          <w:smallCaps w:val="false"/>
          <w:sz w:val="20"/>
        </w:rPr>
        <w:t>. The Company is a corporation duly organized, validly existing and in good standing under the laws of the State of Delaware and has all requisite corporate power and authority to carry on its business as now conducted. The Company is duly qualified to transact business and is in good standing in each jurisdiction in which the failure to so qualify or to be in good standing would have a material adverse effect on the Company.</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Authorization and Enforceability</w:t>
      </w:r>
      <w:r>
        <w:rPr>
          <w:rFonts w:ascii="Times New Roman;Times;Serif" w:hAnsi="Times New Roman;Times;Serif"/>
          <w:b w:val="false"/>
          <w:i w:val="false"/>
          <w:caps w:val="false"/>
          <w:smallCaps w:val="false"/>
          <w:sz w:val="20"/>
        </w:rPr>
        <w:t>. Except for the authorization and issuance of the Conversion Shares, all corporate action has been taken on the part of the Company and its officers, directors and stockholders necessary for the authorization, execution and delivery of this SAFE. Except as may be limited by applicable bankruptcy, insolvency, reorganization or similar laws relating to or affecting the enforcement of creditors’ rights, the Company has taken all corporate action required to make all of the obligations of the Company reflected in the provisions of this SAFE valid and enforceable in accordance with its terms.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Representations and Warranties of the Holder</w:t>
      </w:r>
      <w:r>
        <w:rPr>
          <w:rFonts w:ascii="Times New Roman;Times;Serif" w:hAnsi="Times New Roman;Times;Serif"/>
          <w:b w:val="false"/>
          <w:i w:val="false"/>
          <w:caps w:val="false"/>
          <w:smallCaps w:val="false"/>
          <w:sz w:val="20"/>
        </w:rPr>
        <w:t>. In connection with the transactions contemplated by this SAFE, the Holder hereby represents and warrants to the Company as follows: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Holder has full power and authority (and, if an individual, the capacity) to enter into this SAFE and to perform all obligations required to be performed by it hereunder. This SAFE, when executed and delivered by the Holder, will constitute the Holder’s valid and legally binding obligation, enforceable in accordance with its terms, except (a) as limited by applicable bankruptcy, insolvency, reorganization, moratorium, fraudulent conveyance and any other laws of general application affecting enforcement of creditors’ rights generally, and (b) as limited by laws relating to the availability of specific performance, injunctive relief or other equitable remedies.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Purchase Entirely for Own Account</w:t>
      </w:r>
      <w:r>
        <w:rPr>
          <w:rFonts w:ascii="Times New Roman;Times;Serif" w:hAnsi="Times New Roman;Times;Serif"/>
          <w:b w:val="false"/>
          <w:i w:val="false"/>
          <w:caps w:val="false"/>
          <w:smallCaps w:val="false"/>
          <w:sz w:val="20"/>
        </w:rPr>
        <w:t>. The Holder acknowledges that this SAFE is made with the Holder in reliance upon the Holder’s representation to the Company, which the Holder hereby confirms by executing this SAFE, that this SAFE, the Conversion Shares, and any Common Stock issuable upon conversion of the Conversion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will be acquired for investment for the Holder’s own account, not as a nominee or agent (unless otherwise specified on the Holder’s signature page hereto), and not with a view to the resale or distribution of any part thereof, and that the Holder has no present intention of selling, granting any participation in, or otherwise distributing the same. By executing this SAFE, the Holder further represents that the Holder does not have any contract, undertaking, agreement or arrangement with any person to sell, transfer or grant participations to such person or to any third person, with respect to the Securities. If other than an individual, the Holder also represents it has not been organized solely for the purpose of acquiring the Securities.</w:t>
      </w:r>
    </w:p>
    <w:p>
      <w:pPr>
        <w:pStyle w:val="TextBody"/>
        <w:bidi w:val="0"/>
        <w:spacing w:before="0" w:after="0"/>
        <w:ind w:left="450" w:right="0" w:firstLine="5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Disclosure of Information; Non-Reliance</w:t>
      </w:r>
      <w:r>
        <w:rPr>
          <w:rFonts w:ascii="Times New Roman;Times;Serif" w:hAnsi="Times New Roman;Times;Serif"/>
          <w:b w:val="false"/>
          <w:i w:val="false"/>
          <w:caps w:val="false"/>
          <w:smallCaps w:val="false"/>
          <w:sz w:val="20"/>
        </w:rPr>
        <w:t>. The Holder acknowledges that it has received all the information it considers necessary or appropriate to enable it to make an informed decision concerning an investment in the Securities. The Holder further represents that it has had an opportunity to ask questions and receive answers from the Company regarding the terms and conditions of the offering of the Securities. The Holder confirms that the Company has not given any guarantee or representation as to the potential success, return, effect or benefit (either legal, regulatory, tax, financial, accounting or otherwise) of an investment in the Securities. In deciding to purchase the Securities, the Holder is not relying on the advice or recommendations of the Company and has made its own independent decision that the investment in the Securities is suitable and appropriate for the Holder. The Holder understands that no federal or state agency has passed upon the merits or risks of an investment in the Securities or made any finding or determination concerning the fairness or advisability of this investment.</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Investment Experience</w:t>
      </w:r>
      <w:r>
        <w:rPr>
          <w:rFonts w:ascii="Times New Roman;Times;Serif" w:hAnsi="Times New Roman;Times;Serif"/>
          <w:b w:val="false"/>
          <w:i w:val="false"/>
          <w:caps w:val="false"/>
          <w:smallCaps w:val="false"/>
          <w:sz w:val="20"/>
        </w:rPr>
        <w:t>. The Holder is an investor in securities of companies in the development stage and acknowledges that it is able to fend for itself, can bear the economic risk of its investment and has such knowledge and experience in financial or business matters that it is capable of evaluating the merits and risks of the investment in the Securities.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Holder is an “accredited investor” within the meaning of Rule 501 of Regulation D promulgated under the Securities Act. The Holder agrees to furnish any additional information requested by the Company or any of its affiliates to assure compliance with applicable U.S. federal and state securities laws in connection with the purchase and sale of the Securities.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The Holder understands that the Securities have not been, and will not be, registered under the Securities Act or state securities laws, by reason of specific exemptions from the registration provisions thereof which depend upon, among other things, the bona fide nature of the investment intent and the accuracy of the Holder’s representations as expressed herein. The Holder understands that the Securities are “restricted securities” under U.S. federal and applicable state securities laws and that, pursuant to these laws, the Holder must hold the Securities indefinitely unless they are registered with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registered or qualified by state authorities, or an exemption from such registration and qualification requirements is available. The Holder acknowledges that the Company has no obligation to register or qualify the Securities for resale and further acknowledges that, if an exemption from registration or qualification is available, it may be conditioned on various requirements including, but not limited to, the time and manner of sale, the holding period for the Securities, and on requirements relating to the Company which are outside of the Holder’s control, and which the Company is under no obligation, and may not be able, to satisfy.</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The Holder, and its officers, directors, employees, agents, stockholders or partners have not either directly or indirectly, including through a broker or finder solicited offers for or offered or sold the Securities by means of any form of general solicitation or general advertising within the meaning of Rule 502 of Regulation D under the Securities Act or in any manner involving a public offering within the meaning of Section 4(a)(2) of the Securities Act. The Holder acknowledges that neither the Company nor any other person offered to sell the Securities to it by means of any form of general solicitation or advertising within the meaning of Rule 502 of Regulation D under the Securities Act or in any manner involving a public offering within the meaning of Section 4(a)(2) of the Securities Act.</w:t>
      </w:r>
    </w:p>
    <w:p>
      <w:pPr>
        <w:pStyle w:val="TextBody"/>
        <w:bidi w:val="0"/>
        <w:spacing w:before="0" w:after="0"/>
        <w:ind w:left="450" w:right="0" w:firstLine="5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Residence</w:t>
      </w:r>
      <w:r>
        <w:rPr>
          <w:rFonts w:ascii="Times New Roman;Times;Serif" w:hAnsi="Times New Roman;Times;Serif"/>
          <w:b w:val="false"/>
          <w:i w:val="false"/>
          <w:caps w:val="false"/>
          <w:smallCaps w:val="false"/>
          <w:sz w:val="20"/>
        </w:rPr>
        <w:t>. Holder’s principal place of business is located in the state or province identified in the address shown on the Holder’s signature page hereto.</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Foreign Investor</w:t>
      </w:r>
      <w:r>
        <w:rPr>
          <w:rFonts w:ascii="Times New Roman;Times;Serif" w:hAnsi="Times New Roman;Times;Serif"/>
          <w:b w:val="false"/>
          <w:i w:val="false"/>
          <w:caps w:val="false"/>
          <w:smallCaps w:val="false"/>
          <w:sz w:val="20"/>
        </w:rPr>
        <w:t>. The Holder hereby represents that it has satisfied itself as to the full observance of the laws of its jurisdiction in connection with any invitation to subscribe for the Securities, including (a) the legal requirements within its jurisdiction for the purchase of the Securities; (b) any foreign exchange restrictions applicable to such purchase; (c) any governmental or other consents that may need to be obtained; and (d) the income tax and other tax consequences, if any, that may be relevant to the purchase, holding, conversion, redemption, sale, or transfer of the Securities. The Holder’s subscription and payment for and continued beneficial ownership of the Securities will not violate any applicable securities or other laws of the Holder’s jurisdiction. The Holder acknowledges that the Company has taken no action in foreign jurisdictions with respect to the Securities.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45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Except as otherwise provided herein, the terms and conditions of this SAFE will inure to the benefit of, and be binding upon, the respective successors and assigns of the parties; provided, however, that the Company may not assign its obligations under this SAFE without the written consent of the Holder. This SAFE is for the sole benefit of the parties hereto and their respective successors and permitted assigns, and nothing herein, express or implied, is intended to or will confer upon any other person or entity any legal or equitable right, benefit or remedy of any nature whatsoever under or by reason of this SAFE.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Choice of Law</w:t>
      </w:r>
      <w:r>
        <w:rPr>
          <w:rFonts w:ascii="Times New Roman;Times;Serif" w:hAnsi="Times New Roman;Times;Serif"/>
          <w:b w:val="false"/>
          <w:i w:val="false"/>
          <w:caps w:val="false"/>
          <w:smallCaps w:val="false"/>
          <w:sz w:val="20"/>
        </w:rPr>
        <w:t>. This SAFE, and all matters arising out of or relating to this Note, whether sounding in contract, tort, or statute will be governed by and construed in accordance with the internal laws of the State of Delaware, without giving effect to the conflict of laws provisions thereof to the extent such principles or rules would require or permit the application of the laws of any jurisdiction other than those of the State of Delaware.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SAFE may be executed in counterparts, each of which will be deemed an original, but all of which together will be deemed to be one and the same agreement. Counterparts may be delivered via facsimile, electronic mail (including PDF or any electronic signature complying with the U.S. federal ESIGN Act of 2000,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www.docusign.com) or other transmission method, and any counterpart so delivered will be deemed to have been duly and validly delivered and be valid and effective for all purposes.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Titles and Subtitles</w:t>
      </w:r>
      <w:r>
        <w:rPr>
          <w:rFonts w:ascii="Times New Roman;Times;Serif" w:hAnsi="Times New Roman;Times;Serif"/>
          <w:b w:val="false"/>
          <w:i w:val="false"/>
          <w:caps w:val="false"/>
          <w:smallCaps w:val="false"/>
          <w:sz w:val="20"/>
        </w:rPr>
        <w:t>. The titles and subtitles used in this SAFE are included for convenience only and are not to be considered in construing or interpreting this SAFE.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given or made pursuant hereto will be in writing and will be deemed effectively given: (a) upon personal delivery to the party to be notified; (b) when sent by email or confirmed facsimile; (c) five (5) days after having been sent by registered or certified mail, return receipt requested, postage prepaid; or (d) one (1) day after deposit with a nationally recognized overnight courier, specifying next day delivery, with written verification of receipt. All communications will be sent to the respective parties at the addresses shown on the signature pages hereto (or to such email address, facsimile number or other address as subsequently modified by written notice given in accordance with this Section 6.5).</w:t>
      </w:r>
    </w:p>
    <w:p>
      <w:pPr>
        <w:pStyle w:val="TextBody"/>
        <w:bidi w:val="0"/>
        <w:spacing w:before="0" w:after="0"/>
        <w:ind w:left="450" w:right="0" w:firstLine="5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No Finder’s Fee</w:t>
      </w:r>
      <w:r>
        <w:rPr>
          <w:rFonts w:ascii="Times New Roman;Times;Serif" w:hAnsi="Times New Roman;Times;Serif"/>
          <w:b w:val="false"/>
          <w:i w:val="false"/>
          <w:caps w:val="false"/>
          <w:smallCaps w:val="false"/>
          <w:sz w:val="20"/>
        </w:rPr>
        <w:t>. Holder represents that it neither is nor will be obligated to pay any finder’s fee, broker’s fee or commission in connection with the transactions contemplated by this SAFE. The Holder agrees to indemnify and to hold the Company harmless from any liability for any commission or compensation in the nature of a finder’s or broker’s fee arising out of the transactions contemplated by this SAFE (and the costs and expenses of defending against such liability or asserted liability) for which the Holder or any of its officers, employees or representatives is responsible. The Company agrees to indemnify and hold the Holder harmless from any liability for any commission or compensation in the nature of a finder’s or broker’s fee arising out of the transactions contemplated by this SAFE (and the costs and expenses of defending against such liability or asserted liability) for which the Company or any of its officers, employees or representatives is responsible.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Each party will pay all costs and expenses that it incurs with respect to the negotiation, execution, delivery and performance of this SAFE.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val="false"/>
          <w:caps w:val="false"/>
          <w:smallCaps w:val="false"/>
          <w:sz w:val="20"/>
          <w:u w:val="single"/>
        </w:rPr>
        <w:t>Attorneys’ Fees</w:t>
      </w:r>
      <w:r>
        <w:rPr>
          <w:rFonts w:ascii="Times New Roman;Times;Serif" w:hAnsi="Times New Roman;Times;Serif"/>
          <w:b w:val="false"/>
          <w:i w:val="false"/>
          <w:caps w:val="false"/>
          <w:smallCaps w:val="false"/>
          <w:sz w:val="20"/>
        </w:rPr>
        <w:t>. If any action at law or in equity is necessary to enforce or interpret the terms of this SAFE, the prevailing party will be entitled to reasonable attorneys’ fees, costs and necessary disbursements in addition to any other relief to which such party may be entitled.</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val="false"/>
          <w:caps w:val="false"/>
          <w:smallCaps w:val="false"/>
          <w:sz w:val="20"/>
          <w:u w:val="single"/>
        </w:rPr>
        <w:t>Entire Agreement; Amendments and Waivers</w:t>
      </w:r>
      <w:r>
        <w:rPr>
          <w:rFonts w:ascii="Times New Roman;Times;Serif" w:hAnsi="Times New Roman;Times;Serif"/>
          <w:b w:val="false"/>
          <w:i w:val="false"/>
          <w:caps w:val="false"/>
          <w:smallCaps w:val="false"/>
          <w:sz w:val="20"/>
        </w:rPr>
        <w:t>. This SAFE constitutes the full and entire understanding and agreement between the parties with regard to the subject hereof. Any term of this SAFE may be amended and the observance of any term may be waived (either generally or in a particular instance and either retroactively or prospectively) with the written consent of the Company and the Holder. Any waiver or amendment effected in accordance with this Section 6.9 will be binding upon each future holder of this SAFE and the Company.</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one or more provisions of this SAFE are held to be unenforceable under applicable law, such provisions will be excluded from this SAFE and the balance of the SAFE will be interpreted as if such provisions were so excluded and this SAFE will be enforceable in accordance with its terms.</w:t>
      </w:r>
    </w:p>
    <w:p>
      <w:pPr>
        <w:pStyle w:val="TextBody"/>
        <w:bidi w:val="0"/>
        <w:spacing w:before="0" w:after="0"/>
        <w:ind w:left="450" w:right="0" w:firstLine="5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“Market Stand-Off” Agreement</w:t>
      </w:r>
      <w:r>
        <w:rPr>
          <w:rFonts w:ascii="Times New Roman;Times;Serif" w:hAnsi="Times New Roman;Times;Serif"/>
          <w:b w:val="false"/>
          <w:i w:val="false"/>
          <w:caps w:val="false"/>
          <w:smallCaps w:val="false"/>
          <w:sz w:val="20"/>
        </w:rPr>
        <w:t>. The Holder hereby agrees that it will not, during any period commencing on the date a final prospectus relating to any public offering of the Company’s Common Stock under the Securities Act, and ending on the date specified by the Company and the placement agent or managing underwriter (such period not to exceed one hundred eighty (180) days, or such other period as may be requested to accommodate regulatory restrictions on (i) the publication or other distribution of research reports, and (ii) analyst recommendations and opinions): (A)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(whether such shares or any such securities are then owned by the Holder or are thereafter acquired); or (B) enter into any swap or other arrangement that transfers to another, in whole or in part, any of the economic consequences of ownership of such securities; whether any such transaction described in clause (A) or (B) above is to be settled by delivery of Common Stock or other securities, in cash, or otherwise. The foregoing provisions of this Section 6.11(a) will: (x) apply only to a public offering by the Company and will not apply to the sale of any shares to an underwriter pursuant to an underwriting agreement; (y) not apply to the transfer of any shares to any trust for the direct or indirect benefit of the Holder or the immediate family of the Holder, provided that the trustee of the trust agrees to be bound in writing by the restrictions set forth herein, and provided further that any such transfer will not involve a disposition for value; and (z) be applicable to the Holder only if all officers and directors of the Company are subject to the same restrictions and the Company uses commercially reasonable efforts to obtain a similar agreement from all stockholders individually owning more than 5% of the outstanding Common Stock. Notwithstanding anything herein to the contrary (including, for the avoidance of doubt, Section 6.1), the underwriters in connection with the public offering are intended third-party beneficiaries of this Section 6.11(a) and will have the right, power and authority to enforce the provisions hereof as though they were a party hereto. The Holder further agrees to execute such agreements as may be reasonably requested by the underwriters in connection with a public offering that are consistent with this Section 6.11(a) or that are necessary to give further effect thereto.</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enforce the foregoing covenant, the Company may impose stop transfer instructions with respect to the Holder’s registrable securities of the Company (and the Company shares or securities of every other person subject to the foregoing restriction) until the end of such period. The Holder agrees that a legend reading substantially as follows will be placed on all certificates representing all of the Holder’s registrable securities of the Company (and the Company shares or securities of every other person subject to the restriction contained in this Section 6.11(a)):</w:t>
      </w:r>
    </w:p>
    <w:p>
      <w:pPr>
        <w:pStyle w:val="TextBody"/>
        <w:bidi w:val="0"/>
        <w:spacing w:before="0" w:after="0"/>
        <w:ind w:left="994" w:right="0" w:firstLine="1440"/>
        <w:jc w:val="both"/>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BY THIS CERTIFICATE ARE SUBJECT TO A LOCK-UP PERIOD BEGINNING ON THE EFFECTIVE DATE OF THE COMPANY’S REGISTRATION STATEMENT FILED UNDER THE SECURITIES ACT OF 1933, AS AMENDED, AS SET FORTH IN AN AGREEMENT BETWEEN THE COMPANY AND THE ORIGINAL HOLDER OF THESE SECURITIES, A COPY OF WHICH MAY BE OBTAINED AT THE COMPANY’S PRINCIPAL OFFICE. SUCH LOCK-UP PERIOD IS BINDING ON TRANSFEREES OF THESE SECURITIES.</w:t>
      </w:r>
    </w:p>
    <w:p>
      <w:pPr>
        <w:pStyle w:val="TextBody"/>
        <w:bidi w:val="0"/>
        <w:spacing w:before="0" w:after="0"/>
        <w:ind w:left="994"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994" w:right="0" w:firstLine="144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Further Limitations on Disposition</w:t>
      </w:r>
      <w:r>
        <w:rPr>
          <w:rFonts w:ascii="Times New Roman;Times;Serif" w:hAnsi="Times New Roman;Times;Serif"/>
          <w:b w:val="false"/>
          <w:i w:val="false"/>
          <w:caps w:val="false"/>
          <w:smallCaps w:val="false"/>
          <w:sz w:val="20"/>
        </w:rPr>
        <w:t>. Without in any way limiting the representations and warranties set forth in this SAFE, the Holder further agrees not to make any disposition of all or any portion of the Securities unless and until the transferee has agreed in writing for the benefit of the Company to make the representations and warranties set out in Section 5 and the undertaking set out in Section 6.11(a) and:</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is then in effect a registration statement under the Securities Act covering such proposed disposition, and such disposition is made in connection with such registration statement; or</w:t>
      </w:r>
    </w:p>
    <w:p>
      <w:pPr>
        <w:pStyle w:val="TextBody"/>
        <w:bidi w:val="0"/>
        <w:spacing w:before="0" w:after="0"/>
        <w:ind w:left="171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Holder has (A) notified the Company of the proposed disposition; (B) furnished the Company with a detailed statement of the circumstances surrounding the proposed disposition; and (C) if requested by the Company, furnished the Company with an opinion of counsel reasonably satisfactory to the Company that such disposition will not require registration under the Securities Act.</w:t>
      </w:r>
    </w:p>
    <w:p>
      <w:pPr>
        <w:pStyle w:val="TextBody"/>
        <w:bidi w:val="0"/>
        <w:spacing w:before="0" w:after="0"/>
        <w:ind w:left="1710" w:right="0" w:firstLine="72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agrees not to make any disposition of any of the Securities to the Company’s competitors, as determined in good faith by the Company.</w:t>
      </w:r>
    </w:p>
    <w:p>
      <w:pPr>
        <w:pStyle w:val="TextBody"/>
        <w:bidi w:val="0"/>
        <w:spacing w:before="0" w:after="0"/>
        <w:ind w:left="994" w:right="0" w:firstLine="144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Holder understands and acknowledges that the Securities may bear the following legend:</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AND THE SECURITIES ISSUABLE UPON THE CONVERSION HEREOF HAVE NOT BEEN REGISTERED UNDER THE SECURITIES ACT OF 1933, AS AMENDED (THE “SECURITIES ACT”). THEY MAY NOT BE SOLD, OFFERED FOR SALE, PLEDGED, HYPOTHECATED OR OTHERWISE TRANSFERRED EXCEPT PURSUANT TO AN EFFECTIVE REGISTRATION STATEMENT UNDER THE SECURITIES ACT OR UPON RECEIPT BY THE COMPANY OF AN OPINION OF COUNSEL SATISFACTORY TO THE COMPANY THAT REGISTRATION IS NOT REQUIRED UNDER THE SECURITIES ACT OR UNLESS SOLD PURSUANT TO RULE 144 UNDER THE SECURITIES ACT.</w:t>
      </w:r>
    </w:p>
    <w:p>
      <w:pPr>
        <w:pStyle w:val="TextBody"/>
        <w:bidi w:val="0"/>
        <w:spacing w:before="0" w:after="0"/>
        <w:ind w:left="994" w:right="0" w:firstLine="14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6.12 </w:t>
      </w: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For the avoidance of doubt, it is acknowledged that the Holder will be entitled to the benefit of all adjustments in the number of shares of the Company’s capital stock as a result of any splits, recapitalizations, combinations or other similar transactions affecting the Company’s capital stock underlying the Conversion Shares that occur prior to the conversion of this SAFE.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6.13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From time to time, the parties will execute and deliver such additional documents and will provide such additional information as may reasonably be required to carry out the terms of this SAFE and any agreements executed in connection herewith.</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6.14 </w:t>
      </w:r>
      <w:r>
        <w:rPr>
          <w:rFonts w:ascii="Times New Roman;Times;Serif" w:hAnsi="Times New Roman;Times;Serif"/>
          <w:b w:val="false"/>
          <w:i w:val="false"/>
          <w:caps w:val="false"/>
          <w:smallCaps w:val="false"/>
          <w:sz w:val="20"/>
          <w:u w:val="single"/>
        </w:rPr>
        <w:t>Officers and Directors not Liable</w:t>
      </w:r>
      <w:r>
        <w:rPr>
          <w:rFonts w:ascii="Times New Roman;Times;Serif" w:hAnsi="Times New Roman;Times;Serif"/>
          <w:b w:val="false"/>
          <w:i w:val="false"/>
          <w:caps w:val="false"/>
          <w:smallCaps w:val="false"/>
          <w:sz w:val="20"/>
        </w:rPr>
        <w:t>. In no event will any officer or director of the Company be liable for any amounts due and payable pursuant to this SAFE.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6.15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HEREBY WAIVES ITS RIGHTS TO A JURY TRIAL OF ANY CLAIM OR CAUSE OF ACTION BASED UPON OR ARISING OUT OF THIS SAFE,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REPRESENTS AND WARRANTS THAT SUCH PARTY HAS REVIEWED THIS WAIVER WITH ITS LEGAL COUNSEL, AND THAT SUCH PARTY KNOWINGLY AND VOLUNTARILY WAIVES ITS JURY TRIAL RIGHTS FOLLOWING CONSULTATION WITH LEGAL COUNSEL.</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[signature pageS follow]</w:t>
      </w:r>
    </w:p>
    <w:p>
      <w:pPr>
        <w:pStyle w:val="TextBody"/>
        <w:bidi w:val="0"/>
        <w:spacing w:before="0" w:after="0"/>
        <w:ind w:left="0" w:right="0" w:hanging="0"/>
        <w:jc w:val="center"/>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75"/>
        <w:gridCol w:w="590"/>
        <w:gridCol w:w="2105"/>
      </w:tblGrid>
      <w:tr>
        <w:trPr/>
        <w:tc>
          <w:tcPr>
            <w:tcW w:w="75"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Norman E. Snyder, Jr.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r>
      <w:tr>
        <w:trPr/>
        <w:tc>
          <w:tcPr>
            <w:tcW w:w="75"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Merritt 7 Corporate Park</w:t>
            </w:r>
          </w:p>
        </w:tc>
      </w:tr>
      <w:tr>
        <w:trPr/>
        <w:tc>
          <w:tcPr>
            <w:tcW w:w="75"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Norwalk, CT 06851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to and accepted:</w:t>
      </w:r>
    </w:p>
    <w:p>
      <w:pPr>
        <w:pStyle w:val="TextBody"/>
        <w:bidi w:val="0"/>
        <w:spacing w:before="0" w:after="0"/>
        <w:ind w:left="5040" w:right="504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J. Bello</w:t>
      </w:r>
    </w:p>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860"/>
        <w:gridCol w:w="1145"/>
        <w:gridCol w:w="60"/>
      </w:tblGrid>
      <w:tr>
        <w:trPr/>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11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John Bello</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851" w:name="ex4-9.htm"/>
      <w:bookmarkStart w:id="852" w:name="ksex49"/>
      <w:bookmarkEnd w:id="851"/>
      <w:bookmarkEnd w:id="85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4.9</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AND THE SECURITIES ISSUABLE UPON THE CONVERSION HEREOF HAVE NOT BEEN REGISTERED UNDER THE SECURITIES ACT OF 1933, AS AMENDED (THE “SECURITIES ACT”). THEY MAY NOT BE SOLD, OFFERED FOR SALE, PLEDGED, HYPOTHECATED OR OTHERWISE TRANSFERRED EXCEPT PURSUANT TO AN EFFECTIVE REGISTRATION STATEMENT UNDER THE SECURITIES ACT OR UPON RECEIPT BY THE COMPANY OF AN OPINION OF COUNSEL SATISFACTORY TO THE COMPANY THAT REGISTRATION IS NOT REQUIRED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SIMPLE AGREEMENT FOR FUTURE EQUITY (SAFE)</w:t>
      </w:r>
    </w:p>
    <w:p>
      <w:pPr>
        <w:pStyle w:val="TextBody"/>
        <w:bidi w:val="0"/>
        <w:spacing w:before="0" w:after="0"/>
        <w:ind w:left="0" w:right="0" w:hanging="0"/>
        <w:jc w:val="center"/>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1685"/>
        <w:gridCol w:w="1505"/>
      </w:tblGrid>
      <w:tr>
        <w:trPr/>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Amount</w:t>
            </w:r>
          </w:p>
        </w:tc>
        <w:tc>
          <w:tcPr>
            <w:tcW w:w="150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Issuance</w:t>
            </w:r>
          </w:p>
        </w:tc>
      </w:tr>
      <w:tr>
        <w:trPr/>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$796,808.00</w:t>
            </w:r>
          </w:p>
        </w:tc>
        <w:tc>
          <w:tcPr>
            <w:tcW w:w="150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8,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SIMPLE AGREEMENT FOR FUTURE EQUITY</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SAFE</w:t>
      </w:r>
      <w:r>
        <w:rPr>
          <w:rFonts w:ascii="Times New Roman;Times;Serif" w:hAnsi="Times New Roman;Times;Serif"/>
          <w:b w:val="false"/>
          <w:i w:val="false"/>
          <w:caps w:val="false"/>
          <w:smallCaps w:val="false"/>
          <w:sz w:val="20"/>
        </w:rPr>
        <w:t>”) is issued by Reed’s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 Union Square Park Partners, LP or its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in exchange for the Holder’s payment of the investment amount set forth above (the “</w:t>
      </w:r>
      <w:r>
        <w:rPr>
          <w:rFonts w:ascii="Times New Roman;Times;Serif" w:hAnsi="Times New Roman;Times;Serif"/>
          <w:b/>
          <w:i w:val="false"/>
          <w:caps w:val="false"/>
          <w:smallCaps w:val="false"/>
          <w:sz w:val="20"/>
        </w:rPr>
        <w:t>Investment Amount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not otherwise defined in this SAFE will have the meanings set forth in this Section 1.</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Company’s common stock, par value US$0.0001.</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(for purposes of determining the type of Equity Securities issuable upon conversion of this SAFE) means: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 conversion pursuant to Section 2.1, shares of the Equity Securities issued in the Next Equity Financing; and</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 conversion pursuant to Section 2.2, shares of Common Stock.</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means (rounded to the nearest 1/100th of one cent):</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 conversion pursuant to Section 2.1, the lower of the share purchase price of the Equity Securities issued in the Next Equity Financing and $1.50.</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 conversion pursuant to Section 2.2, the lower of the VWAP and $1.50.</w:t>
      </w:r>
    </w:p>
    <w:p>
      <w:pPr>
        <w:pStyle w:val="TextBody"/>
        <w:bidi w:val="0"/>
        <w:spacing w:before="0" w:after="0"/>
        <w:ind w:left="99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Corporate Transaction</w:t>
      </w:r>
      <w:r>
        <w:rPr>
          <w:rFonts w:ascii="Times New Roman;Times;Serif" w:hAnsi="Times New Roman;Times;Serif"/>
          <w:b w:val="false"/>
          <w:i w:val="false"/>
          <w:caps w:val="false"/>
          <w:smallCaps w:val="false"/>
          <w:sz w:val="20"/>
        </w:rPr>
        <w:t>” means: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of the sale, transfer or other disposition, in a single transaction or series of related transactions, of all or substantially all of the Company’s assets;</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consummation of a merger or consolidation of the Company with or into another entity (except a merger or consolidation in which the holders of capital stock of the Company immediately prior to such merger or consolidation continue to hold a majority of the outstanding voting securities of the capital stock of the Company or the surviving or acquiring entity immediately following the consummation of such transaction); or</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closing of the transfer (whether by merger, consolidation or otherwise), in a single transaction or series of related transactions, to a “person” or “group” (within the meaning of Section 13(d) and Section 14(d) of the Exchange Act), of the Company’s capital stock if, after such closing, such person or group would become the “beneficial owner” (as defined in Rule 13d-3 under the Exchange Act) of more than 50% of the outstanding voting securities of the Company (or the surviving or acquiring entity).</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transaction will not constitute a “Corporate Transaction” if its sole purpose is to change the state of the Company’s incorporation or to create a holding company that will be owned in substantially the same proportions by the persons who held the Company’s securities immediately prior to such transaction. Notwithstanding the foregoing, neither the Conversion of any SAFE nor the sale of Equity Securities in a bona fide financing transaction will be deemed a “Corporate Transaction”.</w:t>
      </w:r>
    </w:p>
    <w:p>
      <w:pPr>
        <w:pStyle w:val="TextBody"/>
        <w:bidi w:val="0"/>
        <w:spacing w:before="0" w:after="0"/>
        <w:ind w:left="274" w:right="0" w:firstLine="14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Dissolution</w:t>
      </w:r>
      <w:r>
        <w:rPr>
          <w:rFonts w:ascii="Times New Roman;Times;Serif" w:hAnsi="Times New Roman;Times;Serif"/>
          <w:b w:val="false"/>
          <w:i w:val="false"/>
          <w:caps w:val="false"/>
          <w:smallCaps w:val="false"/>
          <w:sz w:val="20"/>
        </w:rPr>
        <w:t>” means (a) a voluntary termination of the Company’s operations; (b) a general assignment for the benefit of the Company’s creditors; or (c) a liquidation, dissolution or winding up of the Company (other than a Corporate Transaction), whether voluntary or involuntary.</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Equity Securities</w:t>
      </w:r>
      <w:r>
        <w:rPr>
          <w:rFonts w:ascii="Times New Roman;Times;Serif" w:hAnsi="Times New Roman;Times;Serif"/>
          <w:b w:val="false"/>
          <w:i w:val="false"/>
          <w:caps w:val="false"/>
          <w:smallCaps w:val="false"/>
          <w:sz w:val="20"/>
        </w:rPr>
        <w:t>” means (a) Common Stock; (b) any securities conferring the right to purchase Common Stock; or (c) any securities directly or indirectly convertible into, or exchangeable for (with or without additional consideration) Common Stock. Notwithstanding the foregoing, the following will not be considered “Equity Securities”: (i) any security granted, issued or sold by the Company to any director, officer, employee, consultant or adviser of the Company for the primary purpose of soliciting or retaining their services; (ii) any convertible promissory notes issued by the Company to Whitebox Advisors, LLC and/ or its affiliates (the “Secured Lender”); and (iii) any SAFEs (including this SAFE) issued by the Company.</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rPr>
        <w:t>Next Equity Financing</w:t>
      </w:r>
      <w:r>
        <w:rPr>
          <w:rFonts w:ascii="Times New Roman;Times;Serif" w:hAnsi="Times New Roman;Times;Serif"/>
          <w:b w:val="false"/>
          <w:i w:val="false"/>
          <w:caps w:val="false"/>
          <w:smallCaps w:val="false"/>
          <w:sz w:val="20"/>
        </w:rPr>
        <w:t>” means the next sale by the Company of its Equity Securities following the date of issuance of this SAFE that is supported by the Company’s Secured Lender. The Company intends its Next Equity Financing to be a public rights offering to its stockholders. Rights granted, as currently proposed, will provide stockholders of record with the opportunity to purchase shares of common stock of the Company. The final terms of the rights offering will be determined upon consultation with the Company’s financial advisors.</w:t>
      </w:r>
    </w:p>
    <w:p>
      <w:pPr>
        <w:pStyle w:val="TextBody"/>
        <w:bidi w:val="0"/>
        <w:spacing w:before="0" w:after="0"/>
        <w:ind w:left="450" w:right="0" w:firstLine="5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rPr>
        <w:t>SAFEs</w:t>
      </w:r>
      <w:r>
        <w:rPr>
          <w:rFonts w:ascii="Times New Roman;Times;Serif" w:hAnsi="Times New Roman;Times;Serif"/>
          <w:b w:val="false"/>
          <w:i w:val="false"/>
          <w:caps w:val="false"/>
          <w:smallCaps w:val="false"/>
          <w:sz w:val="20"/>
        </w:rPr>
        <w:t>” mean any simple agreements for future equity (or other similar agreements) which are issued by the Company for bona fide financing purposes and which may convert into the Company’s capital stock in accordance with its terms.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as reported by Bloomberg L.P on the date in question: the NYSE MKT, the Nasdaq Capital Market, the Nasdaq Global Market, the Nasdaq Global Select Market, the New York Stock Exchange, OTCQB or OTCQX (or any successors to any of the foregoing).</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the Board of Directors of the Company (“Board”), in good faith.</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This SAFE will be convertible into Equity Securities pursuant to the following terms.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Next Equity Financing Conversion</w:t>
      </w:r>
      <w:r>
        <w:rPr>
          <w:rFonts w:ascii="Times New Roman;Times;Serif" w:hAnsi="Times New Roman;Times;Serif"/>
          <w:b w:val="false"/>
          <w:i w:val="false"/>
          <w:caps w:val="false"/>
          <w:smallCaps w:val="false"/>
          <w:sz w:val="20"/>
        </w:rPr>
        <w:t>. This SAFE will automatically convert into Conversion Shares upon the closing of the Next Equity Financing. The number of Conversion Shares the Company issues upon such conversion will equal the quotient (rounded down to the nearest whole share) obtained by dividing (x) the Investment Amount by (y) the applicable Conversion Price. At least five (5) days prior to the closing of the Next Equity Financing, the Company will notify the Holder in writing of the terms of the Equity Securities that are expected to be issued in such financing. The issuance of Conversion Shares pursuant to the conversion of this SAFE will be on, and subject to, the same terms and conditions applicable to the Equity Securities issued in the Next Equity Financing. If the Next Equity Financing is a Rights Offering to the Company’s stockholders: (i) to the extent the number of Conversion Shares exceeds the number of shares of Common Stock Holder is allotted to subscribe for in the rights offering (as a stockholder or pursuant to Holder’s existing preemptive rights) (“</w:t>
      </w:r>
      <w:r>
        <w:rPr>
          <w:rFonts w:ascii="Times New Roman;Times;Serif" w:hAnsi="Times New Roman;Times;Serif"/>
          <w:b/>
          <w:i w:val="false"/>
          <w:caps w:val="false"/>
          <w:smallCaps w:val="false"/>
          <w:sz w:val="20"/>
        </w:rPr>
        <w:t>Rights Shares</w:t>
      </w:r>
      <w:r>
        <w:rPr>
          <w:rFonts w:ascii="Times New Roman;Times;Serif" w:hAnsi="Times New Roman;Times;Serif"/>
          <w:b w:val="false"/>
          <w:i w:val="false"/>
          <w:caps w:val="false"/>
          <w:smallCaps w:val="false"/>
          <w:sz w:val="20"/>
        </w:rPr>
        <w:t>”), the Company will make provision to ensure issuance in full of the Conversion Shares and (ii) to the extent Holder’s Rights Shares exceed the Conversion Shares (the difference, the “</w:t>
      </w:r>
      <w:r>
        <w:rPr>
          <w:rFonts w:ascii="Times New Roman;Times;Serif" w:hAnsi="Times New Roman;Times;Serif"/>
          <w:b/>
          <w:i w:val="false"/>
          <w:caps w:val="false"/>
          <w:smallCaps w:val="false"/>
          <w:sz w:val="20"/>
        </w:rPr>
        <w:t>Excess Rights Shares</w:t>
      </w:r>
      <w:r>
        <w:rPr>
          <w:rFonts w:ascii="Times New Roman;Times;Serif" w:hAnsi="Times New Roman;Times;Serif"/>
          <w:b w:val="false"/>
          <w:i w:val="false"/>
          <w:caps w:val="false"/>
          <w:smallCaps w:val="false"/>
          <w:sz w:val="20"/>
        </w:rPr>
        <w:t>”), Holder may, in its sole discretion, subscribe for the Excess Rights Shares pursuant to the terms and conditions of the rights offering. The Holder is not entitled by virtue of holding this SAFE to be deemed a holder of the Company’s capital stock for any purpose, nor will anything contained in this SAFE be construed to confer on the Holder, as such, any of the rights of a stockholder of the Company or any right to vote for the election of directors or upon any matter submitted to stockholders at any meeting thereof, or to give or withhold consent to any corporate action or to receive notice of meetings, or to receive subscription rights or otherwise until Conversion Shares have been issued upon the terms described in this SAFE.</w:t>
      </w:r>
    </w:p>
    <w:p>
      <w:pPr>
        <w:pStyle w:val="TextBody"/>
        <w:bidi w:val="0"/>
        <w:spacing w:before="0" w:after="0"/>
        <w:ind w:left="270" w:right="0" w:firstLine="36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Corporate Transaction Conversion</w:t>
      </w:r>
      <w:r>
        <w:rPr>
          <w:rFonts w:ascii="Times New Roman;Times;Serif" w:hAnsi="Times New Roman;Times;Serif"/>
          <w:b w:val="false"/>
          <w:i w:val="false"/>
          <w:caps w:val="false"/>
          <w:smallCaps w:val="false"/>
          <w:sz w:val="20"/>
        </w:rPr>
        <w:t>. In the event of a Corporate Transaction prior to the conversion of this SAFE pursuant to Section 2.1, at the closing of such Corporate Transaction, the Holder may elect that either: (a) the Company will pay the Holder an amount equal to the Investment Amount; or (b) this SAFE will convert into that number of Conversion Shares equal to the quotient (rounded down to the nearest whole share) obtained by dividing (x) the Investment Amount by (y) the applicable Conversion Price.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p>
    <w:p>
      <w:pPr>
        <w:pStyle w:val="TextBody"/>
        <w:bidi w:val="0"/>
        <w:spacing w:before="0" w:after="0"/>
        <w:ind w:left="450" w:right="0" w:firstLine="540"/>
        <w:jc w:val="left"/>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Financing Agreements</w:t>
      </w:r>
      <w:r>
        <w:rPr>
          <w:rFonts w:ascii="Times New Roman;Times;Serif" w:hAnsi="Times New Roman;Times;Serif"/>
          <w:b w:val="false"/>
          <w:i w:val="false"/>
          <w:caps w:val="false"/>
          <w:smallCaps w:val="false"/>
          <w:sz w:val="20"/>
        </w:rPr>
        <w:t>. The Holder acknowledges that the conversion of this SAFE into Conversion Shares pursuant to Section 2.1 may require the Holder’s execution of certain agreements relating to the purchase and sale of the Conversion Shares, as well as registration rights, rights of first refusal and co-sale, rights of first offer and voting rights, if any, relating to such securities (collectively, the “</w:t>
      </w:r>
      <w:r>
        <w:rPr>
          <w:rFonts w:ascii="Times New Roman;Times;Serif" w:hAnsi="Times New Roman;Times;Serif"/>
          <w:b/>
          <w:i w:val="false"/>
          <w:caps w:val="false"/>
          <w:smallCaps w:val="false"/>
          <w:sz w:val="20"/>
        </w:rPr>
        <w:t>Financing Agreements</w:t>
      </w:r>
      <w:r>
        <w:rPr>
          <w:rFonts w:ascii="Times New Roman;Times;Serif" w:hAnsi="Times New Roman;Times;Serif"/>
          <w:b w:val="false"/>
          <w:i w:val="false"/>
          <w:caps w:val="false"/>
          <w:smallCaps w:val="false"/>
          <w:sz w:val="20"/>
        </w:rPr>
        <w:t>”). The Holder agrees to execute all of the Financing Agreements in connection with a Next Equity Financing.</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As promptly as practicable after the conversion of this SAFE and the issuance of the Conversion Shares, the Company (at its expense) will issue and deliver a certificate or certificates evidencing the Conversion Shares (if certificated) to the Holder, or if the Conversion Shares are not certificated, will deliver a true and correct copy of the Company’s share register reflecting the Conversion Shares held by the Holder. The Company will not be required to issue or deliver the Conversion Shares until the Holder has surrendered this SAFE to the Company (or provided an instrument of cancellation or affidavit of loss). The conversion of this SAFE pursuant to Section 2.1 and Section 2.2 may be made contingent upon the closing of the Next Equity Financing and Corporate Transaction, respectively.</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Priority</w:t>
      </w:r>
      <w:r>
        <w:rPr>
          <w:rFonts w:ascii="Times New Roman;Times;Serif" w:hAnsi="Times New Roman;Times;Serif"/>
          <w:b w:val="false"/>
          <w:i w:val="false"/>
          <w:caps w:val="false"/>
          <w:smallCaps w:val="false"/>
          <w:sz w:val="20"/>
        </w:rPr>
        <w:t>. In the event of a Dissolution while this SAFE is outstanding, the Company’s obligation to pay the Holder an amount equal to the Investment Amount will rank senior in right of payment to the Company’s capital stock.</w:t>
      </w:r>
    </w:p>
    <w:p>
      <w:pPr>
        <w:pStyle w:val="TextBody"/>
        <w:bidi w:val="0"/>
        <w:spacing w:before="0" w:after="0"/>
        <w:ind w:left="0" w:right="0" w:firstLine="45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In connection with the transactions contemplated by this SAFE, the Company hereby represents and warrants to the Holder as follows: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Due Organization; Qualification and Good Standing</w:t>
      </w:r>
      <w:r>
        <w:rPr>
          <w:rFonts w:ascii="Times New Roman;Times;Serif" w:hAnsi="Times New Roman;Times;Serif"/>
          <w:b w:val="false"/>
          <w:i w:val="false"/>
          <w:caps w:val="false"/>
          <w:smallCaps w:val="false"/>
          <w:sz w:val="20"/>
        </w:rPr>
        <w:t>. The Company is a corporation duly organized, validly existing and in good standing under the laws of the State of Delaware and has all requisite corporate power and authority to carry on its business as now conducted. The Company is duly qualified to transact business and is in good standing in each jurisdiction in which the failure to so qualify or to be in good standing would have a material adverse effect on the Company.</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Authorization and Enforceability</w:t>
      </w:r>
      <w:r>
        <w:rPr>
          <w:rFonts w:ascii="Times New Roman;Times;Serif" w:hAnsi="Times New Roman;Times;Serif"/>
          <w:b w:val="false"/>
          <w:i w:val="false"/>
          <w:caps w:val="false"/>
          <w:smallCaps w:val="false"/>
          <w:sz w:val="20"/>
        </w:rPr>
        <w:t>. Except for the authorization and issuance of the Conversion Shares, all corporate action has been taken on the part of the Company and its officers, directors and stockholders necessary for the authorization, execution and delivery of this SAFE. Except as may be limited by applicable bankruptcy, insolvency, reorganization or similar laws relating to or affecting the enforcement of creditors’ rights, the Company has taken all corporate action required to make all of the obligations of the Company reflected in the provisions of this SAFE valid and enforceable in accordance with its terms.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Representations and Warranties of the Holder</w:t>
      </w:r>
      <w:r>
        <w:rPr>
          <w:rFonts w:ascii="Times New Roman;Times;Serif" w:hAnsi="Times New Roman;Times;Serif"/>
          <w:b w:val="false"/>
          <w:i w:val="false"/>
          <w:caps w:val="false"/>
          <w:smallCaps w:val="false"/>
          <w:sz w:val="20"/>
        </w:rPr>
        <w:t>. In connection with the transactions contemplated by this SAFE, the Holder hereby represents and warrants to the Company as follows: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Holder has full power and authority (and, if an individual, the capacity) to enter into this SAFE and to perform all obligations required to be performed by it hereunder. This SAFE, when executed and delivered by the Holder, will constitute the Holder’s valid and legally binding obligation, enforceable in accordance with its terms, except (a) as limited by applicable bankruptcy, insolvency, reorganization, moratorium, fraudulent conveyance and any other laws of general application affecting enforcement of creditors’ rights generally, and (b) as limited by laws relating to the availability of specific performance, injunctive relief or other equitable remedies.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Purchase Entirely for Own Account</w:t>
      </w:r>
      <w:r>
        <w:rPr>
          <w:rFonts w:ascii="Times New Roman;Times;Serif" w:hAnsi="Times New Roman;Times;Serif"/>
          <w:b w:val="false"/>
          <w:i w:val="false"/>
          <w:caps w:val="false"/>
          <w:smallCaps w:val="false"/>
          <w:sz w:val="20"/>
        </w:rPr>
        <w:t>. The Holder acknowledges that this SAFE is made with the Holder in reliance upon the Holder’s representation to the Company, which the Holder hereby confirms by executing this SAFE, that this SAFE, the Conversion Shares, and any Common Stock issuable upon conversion of the Conversion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will be acquired for investment for the Holder’s own account, not as a nominee or agent (unless otherwise specified on the Holder’s signature page hereto), and not with a view to the resale or distribution of any part thereof, and that the Holder has no present intention of selling, granting any participation in, or otherwise distributing the same. By executing this SAFE, the Holder further represents that the Holder does not have any contract, undertaking, agreement or arrangement with any person to sell, transfer or grant participations to such person or to any third person, with respect to the Securities. If other than an individual, the Holder also represents it has not been organized solely for the purpose of acquiring the Securities.</w:t>
      </w:r>
    </w:p>
    <w:p>
      <w:pPr>
        <w:pStyle w:val="TextBody"/>
        <w:bidi w:val="0"/>
        <w:spacing w:before="0" w:after="0"/>
        <w:ind w:left="450" w:right="0" w:firstLine="5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Disclosure of Information; Non-Reliance</w:t>
      </w:r>
      <w:r>
        <w:rPr>
          <w:rFonts w:ascii="Times New Roman;Times;Serif" w:hAnsi="Times New Roman;Times;Serif"/>
          <w:b w:val="false"/>
          <w:i w:val="false"/>
          <w:caps w:val="false"/>
          <w:smallCaps w:val="false"/>
          <w:sz w:val="20"/>
        </w:rPr>
        <w:t>. The Holder acknowledges that it has received all the information it considers necessary or appropriate to enable it to make an informed decision concerning an investment in the Securities. The Holder further represents that it has had an opportunity to ask questions and receive answers from the Company regarding the terms and conditions of the offering of the Securities. The Holder confirms that the Company has not given any guarantee or representation as to the potential success, return, effect or benefit (either legal, regulatory, tax, financial, accounting or otherwise) of an investment in the Securities. In deciding to purchase the Securities, the Holder is not relying on the advice or recommendations of the Company and has made its own independent decision that the investment in the Securities is suitable and appropriate for the Holder. The Holder understands that no federal or state agency has passed upon the merits or risks of an investment in the Securities or made any finding or determination concerning the fairness or advisability of this investment.</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Investment Experience</w:t>
      </w:r>
      <w:r>
        <w:rPr>
          <w:rFonts w:ascii="Times New Roman;Times;Serif" w:hAnsi="Times New Roman;Times;Serif"/>
          <w:b w:val="false"/>
          <w:i w:val="false"/>
          <w:caps w:val="false"/>
          <w:smallCaps w:val="false"/>
          <w:sz w:val="20"/>
        </w:rPr>
        <w:t>. The Holder is an investor in securities of companies in the development stage and acknowledges that it is able to fend for itself, can bear the economic risk of its investment and has such knowledge and experience in financial or business matters that it is capable of evaluating the merits and risks of the investment in the Securities.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Holder is an “accredited investor” within the meaning of Rule 501 of Regulation D promulgated under the Securities Act. The Holder agrees to furnish any additional information requested by the Company or any of its affiliates to assure compliance with applicable U.S. federal and state securities laws in connection with the purchase and sale of the Securities.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The Holder understands that the Securities have not been, and will not be, registered under the Securities Act or state securities laws, by reason of specific exemptions from the registration provisions thereof which depend upon, among other things, the bona fide nature of the investment intent and the accuracy of the Holder’s representations as expressed herein. The Holder understands that the Securities are “restricted securities” under U.S. federal and applicable state securities laws and that, pursuant to these laws, the Holder must hold the Securities indefinitely unless they are registered with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registered or qualified by state authorities, or an exemption from such registration and qualification requirements is available. The Holder acknowledges that the Company has no obligation to register or qualify the Securities for resale and further acknowledges that, if an exemption from registration or qualification is available, it may be conditioned on various requirements including, but not limited to, the time and manner of sale, the holding period for the Securities, and on requirements relating to the Company which are outside of the Holder’s control, and which the Company is under no obligation, and may not be able, to satisfy.</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The Holder, and its officers, directors, employees, agents, stockholders or partners have not either directly or indirectly, including through a broker or finder solicited offers for or offered or sold the Securities by means of any form of general solicitation or general advertising within the meaning of Rule 502 of Regulation D under the Securities Act or in any manner involving a public offering within the meaning of Section 4(a)(2) of the Securities Act. The Holder acknowledges that neither the Company nor any other person offered to sell the Securities to it by means of any form of general solicitation or advertising within the meaning of Rule 502 of Regulation D under the Securities Act or in any manner involving a public offering within the meaning of Section 4(a)(2) of the Securities Act.</w:t>
      </w:r>
    </w:p>
    <w:p>
      <w:pPr>
        <w:pStyle w:val="TextBody"/>
        <w:bidi w:val="0"/>
        <w:spacing w:before="0" w:after="0"/>
        <w:ind w:left="450" w:right="0" w:firstLine="5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Residence</w:t>
      </w:r>
      <w:r>
        <w:rPr>
          <w:rFonts w:ascii="Times New Roman;Times;Serif" w:hAnsi="Times New Roman;Times;Serif"/>
          <w:b w:val="false"/>
          <w:i w:val="false"/>
          <w:caps w:val="false"/>
          <w:smallCaps w:val="false"/>
          <w:sz w:val="20"/>
        </w:rPr>
        <w:t>. Holder’s principal place of business is located in the state or province identified in the address shown on the Holder’s signature page hereto.</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Foreign Investor</w:t>
      </w:r>
      <w:r>
        <w:rPr>
          <w:rFonts w:ascii="Times New Roman;Times;Serif" w:hAnsi="Times New Roman;Times;Serif"/>
          <w:b w:val="false"/>
          <w:i w:val="false"/>
          <w:caps w:val="false"/>
          <w:smallCaps w:val="false"/>
          <w:sz w:val="20"/>
        </w:rPr>
        <w:t>. The Holder hereby represents that it has satisfied itself as to the full observance of the laws of its jurisdiction in connection with any invitation to subscribe for the Securities, including (a) the legal requirements within its jurisdiction for the purchase of the Securities; (b) any foreign exchange restrictions applicable to such purchase; (c) any governmental or other consents that may need to be obtained; and (d) the income tax and other tax consequences, if any, that may be relevant to the purchase, holding, conversion, redemption, sale, or transfer of the Securities. The Holder’s subscription and payment for and continued beneficial ownership of the Securities will not violate any applicable securities or other laws of the Holder’s jurisdiction. The Holder acknowledges that the Company has taken no action in foreign jurisdictions with respect to the Securities.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45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Except as otherwise provided herein, the terms and conditions of this SAFE will inure to the benefit of, and be binding upon, the respective successors and assigns of the parties; provided, however, that the Company may not assign its obligations under this SAFE without the written consent of the Holder. This SAFE is for the sole benefit of the parties hereto and their respective successors and permitted assigns, and nothing herein, express or implied, is intended to or will confer upon any other person or entity any legal or equitable right, benefit or remedy of any nature whatsoever under or by reason of this SAFE.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Choice of Law</w:t>
      </w:r>
      <w:r>
        <w:rPr>
          <w:rFonts w:ascii="Times New Roman;Times;Serif" w:hAnsi="Times New Roman;Times;Serif"/>
          <w:b w:val="false"/>
          <w:i w:val="false"/>
          <w:caps w:val="false"/>
          <w:smallCaps w:val="false"/>
          <w:sz w:val="20"/>
        </w:rPr>
        <w:t>. This SAFE, and all matters arising out of or relating to this Note, whether sounding in contract, tort, or statute will be governed by and construed in accordance with the internal laws of the State of Delaware, without giving effect to the conflict of laws provisions thereof to the extent such principles or rules would require or permit the application of the laws of any jurisdiction other than those of the State of Delaware.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SAFE may be executed in counterparts, each of which will be deemed an original, but all of which together will be deemed to be one and the same agreement. Counterparts may be delivered via facsimile, electronic mail (including PDF or any electronic signature complying with the U.S. federal ESIGN Act of 2000,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www.docusign.com) or other transmission method, and any counterpart so delivered will be deemed to have been duly and validly delivered and be valid and effective for all purposes.</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Titles and Subtitles</w:t>
      </w:r>
      <w:r>
        <w:rPr>
          <w:rFonts w:ascii="Times New Roman;Times;Serif" w:hAnsi="Times New Roman;Times;Serif"/>
          <w:b w:val="false"/>
          <w:i w:val="false"/>
          <w:caps w:val="false"/>
          <w:smallCaps w:val="false"/>
          <w:sz w:val="20"/>
        </w:rPr>
        <w:t>. The titles and subtitles used in this SAFE are included for convenience only and are not to be considered in construing or interpreting this SAFE.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given or made pursuant hereto will be in writing and will be deemed effectively given: (a) upon personal delivery to the party to be notified; (b) when sent by email or confirmed facsimile; (c) five (5) days after having been sent by registered or certified mail, return receipt requested, postage prepaid; or (d) one (1) day after deposit with a nationally recognized overnight courier, specifying next day delivery, with written verification of receipt. All communications will be sent to the respective parties at the addresses shown on the signature pages hereto (or to such email address, facsimile number or other address as subsequently modified by written notice given in accordance with this Section 6.5).</w:t>
      </w:r>
    </w:p>
    <w:p>
      <w:pPr>
        <w:pStyle w:val="TextBody"/>
        <w:bidi w:val="0"/>
        <w:spacing w:before="0" w:after="0"/>
        <w:ind w:left="450" w:right="0" w:firstLine="5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No Finder’s Fee</w:t>
      </w:r>
      <w:r>
        <w:rPr>
          <w:rFonts w:ascii="Times New Roman;Times;Serif" w:hAnsi="Times New Roman;Times;Serif"/>
          <w:b w:val="false"/>
          <w:i w:val="false"/>
          <w:caps w:val="false"/>
          <w:smallCaps w:val="false"/>
          <w:sz w:val="20"/>
        </w:rPr>
        <w:t>. Holder represents that it neither is nor will be obligated to pay any finder’s fee, broker’s fee or commission in connection with the transactions contemplated by this SAFE. The Holder agrees to indemnify and to hold the Company harmless from any liability for any commission or compensation in the nature of a finder’s or broker’s fee arising out of the transactions contemplated by this SAFE (and the costs and expenses of defending against such liability or asserted liability) for which the Holder or any of its officers, employees or representatives is responsible. The Company agrees to indemnify and hold the Holder harmless from any liability for any commission or compensation in the nature of a finder’s or broker’s fee arising out of the transactions contemplated by this SAFE (and the costs and expenses of defending against such liability or asserted liability) for which the Company or any of its officers, employees or representatives is responsible.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Each party will pay all costs and expenses that it incurs with respect to the negotiation, execution, delivery and performance of this SAFE.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val="false"/>
          <w:caps w:val="false"/>
          <w:smallCaps w:val="false"/>
          <w:sz w:val="20"/>
          <w:u w:val="single"/>
        </w:rPr>
        <w:t>Attorneys’ Fees</w:t>
      </w:r>
      <w:r>
        <w:rPr>
          <w:rFonts w:ascii="Times New Roman;Times;Serif" w:hAnsi="Times New Roman;Times;Serif"/>
          <w:b w:val="false"/>
          <w:i w:val="false"/>
          <w:caps w:val="false"/>
          <w:smallCaps w:val="false"/>
          <w:sz w:val="20"/>
        </w:rPr>
        <w:t>. If any action at law or in equity is necessary to enforce or interpret the terms of this SAFE, the prevailing party will be entitled to reasonable attorneys’ fees, costs and necessary disbursements in addition to any other relief to which such party may be entitled.</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val="false"/>
          <w:caps w:val="false"/>
          <w:smallCaps w:val="false"/>
          <w:sz w:val="20"/>
          <w:u w:val="single"/>
        </w:rPr>
        <w:t>Entire Agreement; Amendments and Waivers</w:t>
      </w:r>
      <w:r>
        <w:rPr>
          <w:rFonts w:ascii="Times New Roman;Times;Serif" w:hAnsi="Times New Roman;Times;Serif"/>
          <w:b w:val="false"/>
          <w:i w:val="false"/>
          <w:caps w:val="false"/>
          <w:smallCaps w:val="false"/>
          <w:sz w:val="20"/>
        </w:rPr>
        <w:t>. This SAFE constitutes the full and entire understanding and agreement between the parties with regard to the subject hereof. Any term of this SAFE may be amended and the observance of any term may be waived (either generally or in a particular instance and either retroactively or prospectively) with the written consent of the Company and the Holder. Any waiver or amendment effected in accordance with this Section 6.9 will be binding upon each future holder of this SAFE and the Company.</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one or more provisions of this SAFE are held to be unenforceable under applicable law, such provisions will be excluded from this SAFE and the balance of the SAFE will be interpreted as if such provisions were so excluded and this SAFE will be enforceable in accordance with its terms.</w:t>
      </w:r>
    </w:p>
    <w:p>
      <w:pPr>
        <w:pStyle w:val="TextBody"/>
        <w:bidi w:val="0"/>
        <w:spacing w:before="0" w:after="0"/>
        <w:ind w:left="450" w:right="0" w:firstLine="5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“Market Stand-Off” Agreement</w:t>
      </w:r>
      <w:r>
        <w:rPr>
          <w:rFonts w:ascii="Times New Roman;Times;Serif" w:hAnsi="Times New Roman;Times;Serif"/>
          <w:b w:val="false"/>
          <w:i w:val="false"/>
          <w:caps w:val="false"/>
          <w:smallCaps w:val="false"/>
          <w:sz w:val="20"/>
        </w:rPr>
        <w:t>. The Holder hereby agrees that it will not, during any period commencing on the date a final prospectus relating to any public offering of the Company’s Common Stock under the Securities Act, and ending on the date specified by the Company and the placement agent or managing underwriter (such period not to exceed one hundred eighty (180) days, or such other period as may be requested to accommodate regulatory restrictions on (i) the publication or other distribution of research reports, and (ii) analyst recommendations and opinions): (A)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(whether such shares or any such securities are then owned by the Holder or are thereafter acquired); or (B) enter into any swap or other arrangement that transfers to another, in whole or in part, any of the economic consequences of ownership of such securities; whether any such transaction described in clause (A) or (B) above is to be settled by delivery of Common Stock or other securities, in cash, or otherwise. The foregoing provisions of this Section 6.11(a) will: (x) apply only to a public offering by the Company and will not apply to the sale of any shares to an underwriter pursuant to an underwriting agreement; (y) not apply to the transfer of any shares to any trust for the direct or indirect benefit of the Holder or the immediate family of the Holder, provided that the trustee of the trust agrees to be bound in writing by the restrictions set forth herein, and provided further that any such transfer will not involve a disposition for value; and (z) be applicable to the Holder only if all officers and directors of the Company are subject to the same restrictions and the Company uses commercially reasonable efforts to obtain a similar agreement from all stockholders individually owning more than 5% of the outstanding Common Stock. Notwithstanding anything herein to the contrary (including, for the avoidance of doubt, Section 6.1), the underwriters in connection with the public offering are intended third-party beneficiaries of this Section 6.11(a) and will have the right, power and authority to enforce the provisions hereof as though they were a party hereto. The Holder further agrees to execute such agreements as may be reasonably requested by the underwriters in connection with a public offering that are consistent with this Section 6.11(a) or that are necessary to give further effect thereto.</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enforce the foregoing covenant, the Company may impose stop transfer instructions with respect to the Holder’s registrable securities of the Company (and the Company shares or securities of every other person subject to the foregoing restriction) until the end of such period. The Holder agrees that a legend reading substantially as follows will be placed on all certificates representing all of the Holder’s registrable securities of the Company (and the Company shares or securities of every other person subject to the restriction contained in this Section 6.11(a)):</w:t>
      </w:r>
    </w:p>
    <w:p>
      <w:pPr>
        <w:pStyle w:val="TextBody"/>
        <w:bidi w:val="0"/>
        <w:spacing w:before="0" w:after="0"/>
        <w:ind w:left="994" w:right="0" w:firstLine="1440"/>
        <w:jc w:val="both"/>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BY THIS CERTIFICATE ARE SUBJECT TO A LOCK-UP PERIOD BEGINNING ON THE EFFECTIVE DATE OF THE COMPANY’S REGISTRATION STATEMENT FILED UNDER THE SECURITIES ACT OF 1933, AS AMENDED, AS SET FORTH IN AN AGREEMENT BETWEEN THE COMPANY AND THE ORIGINAL HOLDER OF THESE SECURITIES, A COPY OF WHICH MAY BE OBTAINED AT THE COMPANY’S PRINCIPAL OFFICE. SUCH LOCK-UP PERIOD IS BINDING ON TRANSFEREES OF THESE SECURITIES.</w:t>
      </w:r>
    </w:p>
    <w:p>
      <w:pPr>
        <w:pStyle w:val="TextBody"/>
        <w:bidi w:val="0"/>
        <w:spacing w:before="0" w:after="0"/>
        <w:ind w:left="994"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994" w:right="0" w:firstLine="144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Further Limitations on Disposition</w:t>
      </w:r>
      <w:r>
        <w:rPr>
          <w:rFonts w:ascii="Times New Roman;Times;Serif" w:hAnsi="Times New Roman;Times;Serif"/>
          <w:b w:val="false"/>
          <w:i w:val="false"/>
          <w:caps w:val="false"/>
          <w:smallCaps w:val="false"/>
          <w:sz w:val="20"/>
        </w:rPr>
        <w:t>. Without in any way limiting the representations and warranties set forth in this SAFE, the Holder further agrees not to make any disposition of all or any portion of the Securities unless and until the transferee has agreed in writing for the benefit of the Company to make the representations and warranties set out in Section 5 and the undertaking set out in Section 6.11(a) and:</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is then in effect a registration statement under the Securities Act covering such proposed disposition, and such disposition is made in connection with such registration statement; or</w:t>
      </w:r>
    </w:p>
    <w:p>
      <w:pPr>
        <w:pStyle w:val="TextBody"/>
        <w:bidi w:val="0"/>
        <w:spacing w:before="0" w:after="0"/>
        <w:ind w:left="171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Holder has (A) notified the Company of the proposed disposition; (B) furnished the Company with a detailed statement of the circumstances surrounding the proposed disposition; and (C) if requested by the Company, furnished the Company with an opinion of counsel reasonably satisfactory to the Company that such disposition will not require registration under the Securities Act.</w:t>
      </w:r>
    </w:p>
    <w:p>
      <w:pPr>
        <w:pStyle w:val="TextBody"/>
        <w:bidi w:val="0"/>
        <w:spacing w:before="0" w:after="0"/>
        <w:ind w:left="1710" w:right="0" w:firstLine="72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agrees not to make any disposition of any of the Securities to the Company’s competitors, as determined in good faith by the Company.</w:t>
      </w:r>
    </w:p>
    <w:p>
      <w:pPr>
        <w:pStyle w:val="TextBody"/>
        <w:bidi w:val="0"/>
        <w:spacing w:before="0" w:after="0"/>
        <w:ind w:left="994" w:right="0" w:firstLine="144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Holder understands and acknowledges that the Securities may bear the following legend:</w:t>
      </w:r>
    </w:p>
    <w:p>
      <w:pPr>
        <w:pStyle w:val="TextBody"/>
        <w:bidi w:val="0"/>
        <w:spacing w:before="0" w:after="0"/>
        <w:ind w:left="990" w:right="0" w:firstLine="72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AND THE SECURITIES ISSUABLE UPON THE CONVERSION HEREOF HAVE NOT BEEN REGISTERED UNDER THE SECURITIES ACT OF 1933, AS AMENDED (THE “SECURITIES ACT”). THEY MAY NOT BE SOLD, OFFERED FOR SALE, PLEDGED, HYPOTHECATED OR OTHERWISE TRANSFERRED EXCEPT PURSUANT TO AN EFFECTIVE REGISTRATION STATEMENT UNDER THE SECURITIES ACT OR UPON RECEIPT BY THE COMPANY OF AN OPINION OF COUNSEL SATISFACTORY TO THE COMPANY THAT REGISTRATION IS NOT REQUIRED UNDER THE SECURITIES ACT OR UNLESS SOLD PURSUANT TO RULE 144 UNDER THE SECURITIES ACT.</w:t>
      </w:r>
    </w:p>
    <w:p>
      <w:pPr>
        <w:pStyle w:val="TextBody"/>
        <w:bidi w:val="0"/>
        <w:spacing w:before="0" w:after="0"/>
        <w:ind w:left="994" w:right="0" w:firstLine="14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6.12 </w:t>
      </w: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For the avoidance of doubt, it is acknowledged that the Holder will be entitled to the benefit of all adjustments in the number of shares of the Company’s capital stock as a result of any splits, recapitalizations, combinations or other similar transactions affecting the Company’s capital stock underlying the Conversion Shares that occur prior to the conversion of this SAFE.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6.13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From time to time, the parties will execute and deliver such additional documents and will provide such additional information as may reasonably be required to carry out the terms of this SAFE and any agreements executed in connection herewith.</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6.14 </w:t>
      </w:r>
      <w:r>
        <w:rPr>
          <w:rFonts w:ascii="Times New Roman;Times;Serif" w:hAnsi="Times New Roman;Times;Serif"/>
          <w:b w:val="false"/>
          <w:i w:val="false"/>
          <w:caps w:val="false"/>
          <w:smallCaps w:val="false"/>
          <w:sz w:val="20"/>
          <w:u w:val="single"/>
        </w:rPr>
        <w:t>Officers and Directors not Liable</w:t>
      </w:r>
      <w:r>
        <w:rPr>
          <w:rFonts w:ascii="Times New Roman;Times;Serif" w:hAnsi="Times New Roman;Times;Serif"/>
          <w:b w:val="false"/>
          <w:i w:val="false"/>
          <w:caps w:val="false"/>
          <w:smallCaps w:val="false"/>
          <w:sz w:val="20"/>
        </w:rPr>
        <w:t>. In no event will any officer or director of the Company be liable for any amounts due and payable pursuant to this SAFE.</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6.15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HEREBY WAIVES ITS RIGHTS TO A JURY TRIAL OF ANY CLAIM OR CAUSE OF ACTION BASED UPON OR ARISING OUT OF THIS SAFE,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REPRESENTS AND WARRANTS THAT SUCH PARTY HAS REVIEWED THIS WAIVER WITH ITS LEGAL COUNSEL, AND THAT SUCH PARTY KNOWINGLY AND VOLUNTARILY WAIVES ITS JURY TRIAL RIGHTS FOLLOWING CONSULTATION WITH LEGAL COUNSEL.</w:t>
      </w:r>
    </w:p>
    <w:p>
      <w:pPr>
        <w:pStyle w:val="TextBody"/>
        <w:bidi w:val="0"/>
        <w:spacing w:before="0" w:after="0"/>
        <w:ind w:left="45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[signature pageS follow]</w:t>
      </w:r>
    </w:p>
    <w:p>
      <w:pPr>
        <w:pStyle w:val="TextBody"/>
        <w:bidi w:val="0"/>
        <w:spacing w:before="0" w:after="0"/>
        <w:ind w:left="0" w:right="0" w:hanging="0"/>
        <w:jc w:val="center"/>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75"/>
        <w:gridCol w:w="590"/>
        <w:gridCol w:w="2060"/>
      </w:tblGrid>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0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0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r>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Merritt 7 Corporate Park</w:t>
            </w:r>
          </w:p>
        </w:tc>
      </w:tr>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Norwalk, CT 06851</w:t>
            </w:r>
          </w:p>
        </w:tc>
      </w:tr>
    </w:tbl>
    <w:p>
      <w:pPr>
        <w:pStyle w:val="TextBody"/>
        <w:bidi w:val="0"/>
        <w:spacing w:before="0" w:after="0"/>
        <w:ind w:left="4867"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to and accepted:</w:t>
      </w:r>
    </w:p>
    <w:p>
      <w:pPr>
        <w:pStyle w:val="TextBody"/>
        <w:bidi w:val="0"/>
        <w:spacing w:before="0" w:after="0"/>
        <w:ind w:left="5040" w:right="504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UNION SQUARE PARK PARTNERS, LP</w:t>
      </w:r>
    </w:p>
    <w:p>
      <w:pPr>
        <w:pStyle w:val="TextBody"/>
        <w:bidi w:val="0"/>
        <w:spacing w:before="0" w:after="0"/>
        <w:ind w:left="5040" w:right="5040" w:hanging="0"/>
        <w:jc w:val="left"/>
        <w:rPr>
          <w:caps w:val="false"/>
          <w:smallCaps w:val="false"/>
        </w:rPr>
      </w:pPr>
      <w:r>
        <w:rPr>
          <w:caps w:val="false"/>
          <w:smallCaps w:val="false"/>
        </w:rPr>
        <w:t> </w:t>
      </w:r>
    </w:p>
    <w:tbl>
      <w:tblPr>
        <w:tblW w:w="4204" w:type="dxa"/>
        <w:jc w:val="left"/>
        <w:tblInd w:w="0" w:type="dxa"/>
        <w:tblLayout w:type="fixed"/>
        <w:tblCellMar>
          <w:top w:w="0" w:type="dxa"/>
          <w:left w:w="0" w:type="dxa"/>
          <w:bottom w:w="0" w:type="dxa"/>
          <w:right w:w="0" w:type="dxa"/>
        </w:tblCellMar>
      </w:tblPr>
      <w:tblGrid>
        <w:gridCol w:w="1049"/>
        <w:gridCol w:w="3080"/>
        <w:gridCol w:w="75"/>
      </w:tblGrid>
      <w:tr>
        <w:trPr/>
        <w:tc>
          <w:tcPr>
            <w:tcW w:w="10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Leon M. Zaltzman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Leon M. Zaltzman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49"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1120 Avenue of the Americas, 15th Floor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right"/>
        <w:rPr>
          <w:caps w:val="false"/>
          <w:smallCaps w:val="false"/>
        </w:rPr>
      </w:pPr>
      <w:bookmarkStart w:id="853" w:name="ex10-1.htm"/>
      <w:bookmarkStart w:id="854" w:name="ksex101"/>
      <w:bookmarkEnd w:id="853"/>
      <w:bookmarkEnd w:id="85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REED’S INC. INDEMNIFICATION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Indemnification Agreement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________________ is by and between Reed’s,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________________ (the “</w:t>
      </w:r>
      <w:r>
        <w:rPr>
          <w:rFonts w:ascii="Times New Roman;Times;Serif" w:hAnsi="Times New Roman;Times;Serif"/>
          <w:b/>
          <w:i w:val="false"/>
          <w:caps w:val="false"/>
          <w:smallCaps w:val="false"/>
          <w:sz w:val="20"/>
        </w:rPr>
        <w:t>Indemnitee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expects Indemnitee to join the Company as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both the Company and Indemnitee recognize the increased risk of litigation and other claims being asserted against directors and officers of public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has determined that enhancing the ability of the Company to retain and attract as directors and officers the most capable persons is in the best interests of the Company and that the Company therefore should seek to assure such persons that indemnification and insurance coverage is available;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recognition of the need to provide Indemnitee with substantial protection against personal liability, in order to procure Indemnitee’s service as a director of the Company and to enhance Indemnitee’s ability to serve the Company in an effective manner, and in order to provide such protection pursuant to express contract rights (intended to be enforceable irrespective of, among other things, any amendment to the Company’s certificate of incorporation or bylaws (collectively, the “</w:t>
      </w:r>
      <w:r>
        <w:rPr>
          <w:rFonts w:ascii="Times New Roman;Times;Serif" w:hAnsi="Times New Roman;Times;Serif"/>
          <w:b/>
          <w:i w:val="false"/>
          <w:caps w:val="false"/>
          <w:smallCaps w:val="false"/>
          <w:sz w:val="20"/>
        </w:rPr>
        <w:t>Constituent Documents</w:t>
      </w:r>
      <w:r>
        <w:rPr>
          <w:rFonts w:ascii="Times New Roman;Times;Serif" w:hAnsi="Times New Roman;Times;Serif"/>
          <w:b w:val="false"/>
          <w:i w:val="false"/>
          <w:caps w:val="false"/>
          <w:smallCaps w:val="false"/>
          <w:sz w:val="20"/>
        </w:rPr>
        <w:t>”), any change in the composition of the Board or any change in control or business combination transaction relating to the Company), the Company wishes to provide in this Agreement for the indemnification of, and the advancement of Expenses (as defined in Section 1(f) below) to, Indemnitee as set forth in this Agreement and to the extent insurance is maintained for the coverage of Indemnitee under the Company’s directors’ and officers’ liability insurance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Indemnitee’s agreement to provide services to the Company,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shd w:fill="FFFFFF" w:val="clear"/>
        </w:rPr>
        <w:t>Definitions</w:t>
      </w:r>
      <w:r>
        <w:rPr>
          <w:rFonts w:ascii="Times New Roman;Times;Serif" w:hAnsi="Times New Roman;Times;Serif"/>
          <w:b w:val="false"/>
          <w:i w:val="false"/>
          <w:caps w:val="false"/>
          <w:smallCaps w:val="false"/>
          <w:sz w:val="20"/>
        </w:rPr>
        <w:t>. For purposes of this Agreement, the following terms shall have the following meanings: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has the meaning given to the term “beneficial owner” in Rule 13d-3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means the occurrence after the date of this Agreement of any of the following events: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Person is or becomes the Beneficial Owner, directly or indirectly, of securities of the Company representing 50% or more of the Company’s then outstanding Voting Securities unless the change in relative Beneficial Ownership of the Company’s securities by any Person results solely from a reduction in the aggregate number of outstanding shares of securities entitled to vote generally in the election of directors; provided however, neither the conversion of any outstanding securities nor the sale of equity securities in a bona fide financing transaction will be deemed a “Change in Control”.</w:t>
      </w:r>
    </w:p>
    <w:p>
      <w:pPr>
        <w:pStyle w:val="TextBody"/>
        <w:bidi w:val="0"/>
        <w:spacing w:before="0" w:after="0"/>
        <w:ind w:left="144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consummation of a reorganization, merger or consolidation, unless immediately following such reorganization, merger or consolidation, all of the Beneficial Owners of the Voting Securities of the Company immediately prior to such transaction beneficially own, directly or indirectly, more than 50% of the combined voting power of the outstanding Voting Securities of the entity resulting from such transaction;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during any period of two consecutive years, not including any period prior to the execution of this Agreement, individuals who at the beginning of such period constituted the Board (including for this purpose any new directors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at least a majority of the Board;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stockholders of the Company approve a plan of complete liquidation or dissolution of the Company or an agreement for the sale or disposition by the Company of all or substantially all of the Company’s assets.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means: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threatened, pending or completed action, suit, proceeding or alternative dispute resolution mechanism, whether civil, criminal, administrative, arbitrative, investigative or other, and whether made pursuant to federal, state or other law;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inquiry, hearing or investigation that the Indemnitee determines might lead to the institution of any such action, suit, proceeding or alternative dispute resolution mechanism.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Delaware Court</w:t>
      </w:r>
      <w:r>
        <w:rPr>
          <w:rFonts w:ascii="Times New Roman;Times;Serif" w:hAnsi="Times New Roman;Times;Serif"/>
          <w:b w:val="false"/>
          <w:i w:val="false"/>
          <w:caps w:val="false"/>
          <w:smallCaps w:val="false"/>
          <w:sz w:val="20"/>
        </w:rPr>
        <w:t>” shall have the meaning ascribed to it in Section 9(b)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Disinterested Director</w:t>
      </w:r>
      <w:r>
        <w:rPr>
          <w:rFonts w:ascii="Times New Roman;Times;Serif" w:hAnsi="Times New Roman;Times;Serif"/>
          <w:b w:val="false"/>
          <w:i w:val="false"/>
          <w:caps w:val="false"/>
          <w:smallCaps w:val="false"/>
          <w:sz w:val="20"/>
        </w:rPr>
        <w:t>” means a director of the Company who is not and was not a party to the Claim in respect of which indemnification is sought by Indemnitee.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means any and all expenses, including attorneys’ and experts’ fees, court costs, transcript costs, travel expenses, duplicating, printing and binding costs, telephone charges, and all other costs and expenses incurred in connection with investigating, defending, being a witness in or participating in (including on appeal), or preparing to defend, be a witness or participate in, any Claim. Expenses also shall include (i) Expenses incurred in connection with any appeal resulting from any Claim, including without limitation the premium, security for, and other costs relating to any cost bond, supersedeas bond, or other appeal bond or its equivalent, and (ii) for purposes of Section 5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Expense Advance</w:t>
      </w:r>
      <w:r>
        <w:rPr>
          <w:rFonts w:ascii="Times New Roman;Times;Serif" w:hAnsi="Times New Roman;Times;Serif"/>
          <w:b w:val="false"/>
          <w:i w:val="false"/>
          <w:caps w:val="false"/>
          <w:smallCaps w:val="false"/>
          <w:sz w:val="20"/>
        </w:rPr>
        <w:t>” means any payment of Expenses advanced to Indemnitee by the Company pursuant to Section 4 or Section 5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Indemnifiable Event</w:t>
      </w:r>
      <w:r>
        <w:rPr>
          <w:rFonts w:ascii="Times New Roman;Times;Serif" w:hAnsi="Times New Roman;Times;Serif"/>
          <w:b w:val="false"/>
          <w:i w:val="false"/>
          <w:caps w:val="false"/>
          <w:smallCaps w:val="false"/>
          <w:sz w:val="20"/>
        </w:rPr>
        <w:t>” means any event or occurrence, whether occurring before, on or after the date of this Agreement, related to the fact that Indemnitee is or was a director, officer, employee or agent of the Company or any subsidiary of the Company, or is or was serving at the request of the Company as a director, officer, employee, member, manager, trustee or agent of any other corporation, limited liability company, partnership, joint venture, trust or other entity or enterprise (collectively with the Company, “</w:t>
      </w:r>
      <w:r>
        <w:rPr>
          <w:rFonts w:ascii="Times New Roman;Times;Serif" w:hAnsi="Times New Roman;Times;Serif"/>
          <w:b/>
          <w:i w:val="false"/>
          <w:caps w:val="false"/>
          <w:smallCaps w:val="false"/>
          <w:sz w:val="20"/>
        </w:rPr>
        <w:t>Enterprise</w:t>
      </w:r>
      <w:r>
        <w:rPr>
          <w:rFonts w:ascii="Times New Roman;Times;Serif" w:hAnsi="Times New Roman;Times;Serif"/>
          <w:b w:val="false"/>
          <w:i w:val="false"/>
          <w:caps w:val="false"/>
          <w:smallCaps w:val="false"/>
          <w:sz w:val="20"/>
        </w:rPr>
        <w:t>”) or by reason of an action or inaction by Indemnitee in any such capacity (whether or not serving in such capacity at the time any Loss is incurred for which indemnification can be provided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Independent Counsel</w:t>
      </w:r>
      <w:r>
        <w:rPr>
          <w:rFonts w:ascii="Times New Roman;Times;Serif" w:hAnsi="Times New Roman;Times;Serif"/>
          <w:b w:val="false"/>
          <w:i w:val="false"/>
          <w:caps w:val="false"/>
          <w:smallCaps w:val="false"/>
          <w:sz w:val="20"/>
        </w:rPr>
        <w:t>” means a law firm, or a member of a law firm, that is experienced in matters of corporation law and neither presently performs, nor in the past three years has performed, services for either: (i) the Company or Indemnitee (other than in connection with matters concerning Indemnitee under this Agreement or of other indemnitees under similar agreements) or (ii) any other party to the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means any and all Expenses, damages, losses, liabilities, judgments, fines, penalties (whether civil, criminal or other), ERISA excise taxes, amounts paid or payable in settlement, including any interest, assessments and all other charges paid or payable in connection with investigating, defending, being a witness in or participating in (including on appeal), or preparing to defend, be a witness or participate in, any Claim.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firm, partnership, joint venture, limited liability company, estate, trust, business association, organization, governmental entity or other entity and includes the meaning set forth in Sections 13(d) and 14(d) of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Standard of Conduct Determination</w:t>
      </w:r>
      <w:r>
        <w:rPr>
          <w:rFonts w:ascii="Times New Roman;Times;Serif" w:hAnsi="Times New Roman;Times;Serif"/>
          <w:b w:val="false"/>
          <w:i w:val="false"/>
          <w:caps w:val="false"/>
          <w:smallCaps w:val="false"/>
          <w:sz w:val="20"/>
        </w:rPr>
        <w:t>” shall have the meaning ascribed to it in Section 9(b)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Voting Securities</w:t>
      </w:r>
      <w:r>
        <w:rPr>
          <w:rFonts w:ascii="Times New Roman;Times;Serif" w:hAnsi="Times New Roman;Times;Serif"/>
          <w:b w:val="false"/>
          <w:i w:val="false"/>
          <w:caps w:val="false"/>
          <w:smallCaps w:val="false"/>
          <w:sz w:val="20"/>
        </w:rPr>
        <w:t>” means any securities of the Company that vote generally in the election of directors.</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shd w:fill="FFFFFF" w:val="clear"/>
        </w:rPr>
        <w:t>Services to the Company</w:t>
      </w:r>
      <w:r>
        <w:rPr>
          <w:rFonts w:ascii="Times New Roman;Times;Serif" w:hAnsi="Times New Roman;Times;Serif"/>
          <w:b w:val="false"/>
          <w:i w:val="false"/>
          <w:caps w:val="false"/>
          <w:smallCaps w:val="false"/>
          <w:sz w:val="20"/>
        </w:rPr>
        <w:t>. Indemnitee agrees to serve as a director or officer of the Company for so long as Indemnitee is duly elected or appointed or until Indemnitee tenders his resignation or is no longer serving in such capacity. This Agreement shall not be deemed an employment agreement between the Company (or any of its subsidiaries or Enterprise) and Indemnitee. Indemnitee specifically acknowledges that his employment with or service to the Company or any of its subsidiaries or Enterprise is at will and the Indemnitee may be discharged at any time for any reason, with or without cause, except as may be otherwise provided in any written employment agreement between Indemnitee and the Company (or any of its subsidiaries or Enterprise), other applicable formal severance policies duly adopted by the Board or, with respect to service as a director or officer of the Company, by the Company’s Constituent Documents or Delaware law. This Agreement shall continue in force after Indemnitee has ceased to serve as a director or officer of the Company or, at the request of the Company, of any of its subsidiaries or Enterprise, as provided in Section 12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shd w:fill="FFFFFF" w:val="clear"/>
        </w:rPr>
        <w:t>Indemnification</w:t>
      </w:r>
      <w:r>
        <w:rPr>
          <w:rFonts w:ascii="Times New Roman;Times;Serif" w:hAnsi="Times New Roman;Times;Serif"/>
          <w:b w:val="false"/>
          <w:i w:val="false"/>
          <w:caps w:val="false"/>
          <w:smallCaps w:val="false"/>
          <w:sz w:val="20"/>
        </w:rPr>
        <w:t>. Subject to Section 9 and Section 10 of this Agreement, the Company shall indemnify Indemnitee, to the fullest extent permitted by the laws of the State of Delaware in effect on the date hereof, or as such laws may from time to time hereafter be amended to increase the scope of such permitted indemnification, against any and all Losses if Indemnitee was or is or becomes a party to or participant in, or is threatened to be made a party to or participant in, any Claim by reason of or arising in part out of an Indemnifiable Event, including, without limitation, Claims brought by or in the right of the Company, Claims brought by third parties, and Claims in which the Indemnitee is solely a witness.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shd w:fill="FFFFFF" w:val="clear"/>
        </w:rPr>
        <w:t>Advancement of Expenses</w:t>
      </w:r>
      <w:r>
        <w:rPr>
          <w:rFonts w:ascii="Times New Roman;Times;Serif" w:hAnsi="Times New Roman;Times;Serif"/>
          <w:b w:val="false"/>
          <w:i w:val="false"/>
          <w:caps w:val="false"/>
          <w:smallCaps w:val="false"/>
          <w:sz w:val="20"/>
        </w:rPr>
        <w:t>. Indemnitee shall have the right to advancement by the Company, prior to the final disposition of any Claim by final adjudication to which there are no further rights of appeal, of any and all Expenses actually and reasonably paid or incurred by Indemnitee in connection with any Claim arising out of an Indemnifiable Event. Indemnitee’s right to such advancement is not subject to the satisfaction of any standard of conduct. Without limiting the generality or effect of the foregoing, within 30 days after any request by Indemnitee, the Company shall, in accordance with such request, (a) pay such Expenses on behalf of Indemnitee, (b) advance to Indemnitee funds in an amount sufficient to pay such Expenses, or (c) reimburse Indemnitee for such Expenses. In connection with any request for Expense Advances, Indemnitee shall not be required to provide any documentation or information to the extent that the provision thereof would undermine or otherwise jeopardize attorney-client privilege. Execution and delivery to the Company of this Agreement by Indemnitee constitutes an undertaking by the Indemnitee to repay any amounts paid, advanced or reimbursed by the Company pursuant to this Section 4 in respect of Expenses relating to, arising out of or resulting from any Claim in respect of which it shall be determined, pursuant to , following the final disposition of such Claim, that Indemnitee is not entitled to indemnification hereunder. No other form of undertaking shall be required other than the execution of this Agreement.. Indemnitee’s obligation to reimburse the Company for Expense Advances shall be unsecured and no interest shall be charged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shd w:fill="FFFFFF" w:val="clear"/>
        </w:rPr>
        <w:t>Indemnification for Expenses in Enforcing Rights</w:t>
      </w:r>
      <w:r>
        <w:rPr>
          <w:rFonts w:ascii="Times New Roman;Times;Serif" w:hAnsi="Times New Roman;Times;Serif"/>
          <w:b w:val="false"/>
          <w:i w:val="false"/>
          <w:caps w:val="false"/>
          <w:smallCaps w:val="false"/>
          <w:sz w:val="20"/>
        </w:rPr>
        <w:t>. To the fullest extent allowable under applicable law, the Company shall also indemnify against, and, if requested by Indemnitee, shall advance to Indemnitee subject to and in accordance with Section 4, any Expenses actually and reasonably paid or incurred by Indemnitee in connection with any action or proceeding by Indemnitee for (a) indemnification or reimbursement or advance payment of Expenses by the Company under any provision of this Agreement, or under any other agreement or provision of the Constituent Documents now or hereafter in effect relating to Claims relating to Indemnifiable Events, and/or (b) recovery under any directors’ and officers’ liability insurance policies maintained by the Company.However, in the event that Indemnitee is ultimately determined not to be entitled to such indemnification or insurance recovery, as the case may be, then all amounts advanced under this Section 5 shall be repaid. Indemnitee shall be required to reimburse the Company in the event that a final judicial determination is made that such action brought by Indemnitee was frivolous or not made in good faith.</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shd w:fill="FFFFFF" w:val="clear"/>
        </w:rPr>
        <w:t>Partial Indemnity</w:t>
      </w:r>
      <w:r>
        <w:rPr>
          <w:rFonts w:ascii="Times New Roman;Times;Serif" w:hAnsi="Times New Roman;Times;Serif"/>
          <w:b w:val="false"/>
          <w:i w:val="false"/>
          <w:caps w:val="false"/>
          <w:smallCaps w:val="false"/>
          <w:sz w:val="20"/>
        </w:rPr>
        <w:t>. If Indemnitee is entitled under any provision of this Agreement to indemnification by the Company for a portion of any Losses in respect of a Claim related to an Indemnifiable Event but not for the total amount thereof, the Company shall nevertheless indemnify Indemnitee for the portion thereof to which Indemnitee is entitled.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Notification and Defense of Claims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Notification of Claims</w:t>
      </w:r>
      <w:r>
        <w:rPr>
          <w:rFonts w:ascii="Times New Roman;Times;Serif" w:hAnsi="Times New Roman;Times;Serif"/>
          <w:b w:val="false"/>
          <w:i w:val="false"/>
          <w:caps w:val="false"/>
          <w:smallCaps w:val="false"/>
          <w:sz w:val="20"/>
        </w:rPr>
        <w:t xml:space="preserve">. Indemnitee shall notify the Company in writing as soon as practicable of any Claim which could relate to an Indemnifiable Event or for which Indemnitee could seek Expense Advances, including a brief description (based upon information then available to Indemnitee) of the nature of, and the facts underlying, such Claim. The failure by Indemnitee to timely notify the Company hereunder shall not relieve the Company from any liability hereunder </w:t>
      </w:r>
      <w:r>
        <w:rPr>
          <w:rFonts w:ascii="Times New Roman;Times;Serif" w:hAnsi="Times New Roman;Times;Serif"/>
          <w:b/>
          <w:i w:val="false"/>
          <w:caps w:val="false"/>
          <w:smallCaps w:val="false"/>
          <w:sz w:val="20"/>
        </w:rPr>
        <w:t>except that the Company shall not be liable to indemnify Indemnitee under this Agreement with respect to any judicial award in a Claim related to an Indemnifiable Event if the Company was not given a reasonable and timely opportunity to participate at its expense in the defense of such 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Defense of Claims</w:t>
      </w:r>
      <w:r>
        <w:rPr>
          <w:rFonts w:ascii="Times New Roman;Times;Serif" w:hAnsi="Times New Roman;Times;Serif"/>
          <w:b w:val="false"/>
          <w:i w:val="false"/>
          <w:caps w:val="false"/>
          <w:smallCaps w:val="false"/>
          <w:sz w:val="20"/>
        </w:rPr>
        <w:t>. The Company shall be entitled to participate in the defense of any Claim relating to an Indemnifiable Event at its own expense and, except as otherwise provided below, to the extent the Company so wishes, it may assume the defense thereof with counsel reasonably satisfactory to Indemnitee. After notice from the Company to Indemnitee of its election to assume the defense of any such Claim, the Company shall not be liable to Indemnitee under this Agreement or otherwise for any Expenses subsequently directly incurred by Indemnitee in connection with Indemnitee’s defense of such Claim other than reasonable costs of investigation or as otherwise provided below. Indemnitee shall have the right to employ its own legal counsel in such Claim, but all Expenses related to such counsel incurred after notice from the Company of its assumption of the defense shall be at Indemnitee’s own expense; provided, however, that if (i) Indemnitee’s employment of its own legal counsel has been authorized by the Company, (ii) Indemnitee has reasonably determined that there may be a conflict of interest between Indemnitee and the Company in the defense of such Claim, (iii) after a Change in Control, Indemnitee’s employment of its own counsel has been approved by the Independent Counsel or (iv) the Company shall not in fact have employed counsel to assume the defense of such Claim, then Indemnitee shall be entitled to retain its own separate counsel (but not more than one law firm plus, if applicable, local counsel in respect of any such Claim) and all Expenses related to such separate counsel shall be borne by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shd w:fill="FFFFFF" w:val="clear"/>
        </w:rPr>
        <w:t>Procedure upon Application for Indemnification</w:t>
      </w:r>
      <w:r>
        <w:rPr>
          <w:rFonts w:ascii="Times New Roman;Times;Serif" w:hAnsi="Times New Roman;Times;Serif"/>
          <w:b w:val="false"/>
          <w:i w:val="false"/>
          <w:caps w:val="false"/>
          <w:smallCaps w:val="false"/>
          <w:sz w:val="20"/>
        </w:rPr>
        <w:t>. In order to obtain indemnification pursuant to this Agreement, Indemnitee shall submit to the Company a written request therefor, including in such request such documentation and information as is reasonably available to Indemnitee and is reasonably necessary to determine whether and to what extent Indemnitee is entitled to indemnification following the final disposition of the Claim, provided that documentation and information need not be so provided to the extent that the provision thereof would undermine or otherwise jeopardize attorney-client privilege. Indemnification shall be made insofar as the Company determines Indemnitee is entitled to indemnification in accordance with Section 9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shd w:fill="FFFFFF" w:val="clear"/>
        </w:rPr>
        <w:t>Determination of Right to Indemnification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Mandatory Indemnification; Indemnification as a Witness.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that Indemnitee shall have been successful on the merits or otherwise in defense of any Claim relating to an Indemnifiable Event or any portion thereof or in defense of any issue or matter therein, including without limitation dismissal without prejudice, Indemnitee shall be indemnified against all Losses relating to such Claim in accordance with Section 3 to the fullest extent allowable by law.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that Indemnitee’s involvement in a Claim relating to an Indemnifiable Event is to prepare to serve and serve as a witness, and not as a party, the Indemnitee shall be indemnified against all Losses incurred in connection therewith to the fullest extent allowable by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Standard of Conduct</w:t>
      </w:r>
      <w:r>
        <w:rPr>
          <w:rFonts w:ascii="Times New Roman;Times;Serif" w:hAnsi="Times New Roman;Times;Serif"/>
          <w:b w:val="false"/>
          <w:i w:val="false"/>
          <w:caps w:val="false"/>
          <w:smallCaps w:val="false"/>
          <w:sz w:val="20"/>
        </w:rPr>
        <w:t>. To the extent that the provisions of Section 9(a) are inapplicable to a Claim related to an Indemnifiable Event that shall have been finally disposed of, any determination of whether Indemnitee has satisfied any applicable standard of conduct under Delaware law that is a legally required condition to indemnification of Indemnitee hereunder against Losses relating to such Claim and any determination that Expense Advances must be repaid to the Company (a “</w:t>
      </w:r>
      <w:r>
        <w:rPr>
          <w:rFonts w:ascii="Times New Roman;Times;Serif" w:hAnsi="Times New Roman;Times;Serif"/>
          <w:b/>
          <w:i w:val="false"/>
          <w:caps w:val="false"/>
          <w:smallCaps w:val="false"/>
          <w:sz w:val="20"/>
        </w:rPr>
        <w:t>Standard of Conduct Determination</w:t>
      </w:r>
      <w:r>
        <w:rPr>
          <w:rFonts w:ascii="Times New Roman;Times;Serif" w:hAnsi="Times New Roman;Times;Serif"/>
          <w:b w:val="false"/>
          <w:i w:val="false"/>
          <w:caps w:val="false"/>
          <w:smallCaps w:val="false"/>
          <w:sz w:val="20"/>
        </w:rPr>
        <w:t>”) shall be made as follows: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no Change in Control has occurred, (A) by a majority vote of the Disinterested Directors, even if less than a quorum of the Board, (B) by a committee of Disinterested Directors designated by a majority vote of the Disinterested Directors, even though less than a quorum or (C) if there are no such Disinterested Directors, by Independent Counsel in a written opinion addressed to the Board, a copy of which shall be delivered to Indemnitee;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Change in Control shall have occurred, (A) if the Indemnitee so requests in writing, by a majority vote of the Disinterested Directors, even if less than a quorum of the Board or (B) otherwise, by Independent Counsel in a written opinion addressed to the Board, a copy of which shall be delivered to Indemnitee.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and hold harmless Indemnitee against and, if requested by Indemnitee, shall reimburse Indemnitee for, or advance to Indemnitee, within 30 days of such request, any and all Expenses incurred by Indemnitee in cooperating with the person or persons making such Standard of Conduct Determination.</w:t>
      </w:r>
    </w:p>
    <w:p>
      <w:pPr>
        <w:pStyle w:val="TextBody"/>
        <w:bidi w:val="0"/>
        <w:spacing w:before="0" w:after="0"/>
        <w:ind w:left="144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Making the Standard of Conduct Determination</w:t>
      </w:r>
      <w:r>
        <w:rPr>
          <w:rFonts w:ascii="Times New Roman;Times;Serif" w:hAnsi="Times New Roman;Times;Serif"/>
          <w:b w:val="false"/>
          <w:i w:val="false"/>
          <w:caps w:val="false"/>
          <w:smallCaps w:val="false"/>
          <w:sz w:val="20"/>
        </w:rPr>
        <w:t>. The Company shall use its reasonable best efforts to cause any Standard of Conduct Determination required under Section 9(b) to be made as promptly as practicable. If the person or persons designated to make the Standard of Conduct Determination under Section 9(b) shall not have made a determination within 30 days after the later of (A) receipt by the Company of a written request from Indemnitee for indemnification pursuant to Section 8 (the date of such receipt being the “</w:t>
      </w:r>
      <w:r>
        <w:rPr>
          <w:rFonts w:ascii="Times New Roman;Times;Serif" w:hAnsi="Times New Roman;Times;Serif"/>
          <w:b/>
          <w:i w:val="false"/>
          <w:caps w:val="false"/>
          <w:smallCaps w:val="false"/>
          <w:sz w:val="20"/>
        </w:rPr>
        <w:t>Notification Date</w:t>
      </w:r>
      <w:r>
        <w:rPr>
          <w:rFonts w:ascii="Times New Roman;Times;Serif" w:hAnsi="Times New Roman;Times;Serif"/>
          <w:b w:val="false"/>
          <w:i w:val="false"/>
          <w:caps w:val="false"/>
          <w:smallCaps w:val="false"/>
          <w:sz w:val="20"/>
        </w:rPr>
        <w:t>”) and (B) the selection of an Independent Counsel, if such determination is to be made by Independent Counsel, then Indemnitee shall be deemed to have satisfied the applicable standard of conduct; provided that such 30 days may be extended for a reasonable time, not to exceed an additional 30 days, if the person or persons making such determination in good faith requires such additional time to obtain or evaluate information relating thereto. Notwithstanding anything in this Agreement to the contrary, no determination as to entitlement of Indemnitee to indemnification under this Agreement shall be required to be made prior to the final disposition of any Claim.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Payment of Indemnification</w:t>
      </w:r>
      <w:r>
        <w:rPr>
          <w:rFonts w:ascii="Times New Roman;Times;Serif" w:hAnsi="Times New Roman;Times;Serif"/>
          <w:b w:val="false"/>
          <w:i w:val="false"/>
          <w:caps w:val="false"/>
          <w:smallCaps w:val="false"/>
          <w:sz w:val="20"/>
        </w:rPr>
        <w:t>. If, in regard to any Losses: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Indemnitee shall be entitled to indemnification pursuant to Section 9(a);</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Standard Conduct Determination is legally required as a condition to indemnification of Indemnitee hereunder;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Indemnitee has been determined or deemed pursuant to Section 9(b) or Section 9(c) to have satisfied the Standard of Conduct Determination,</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Company shall pay to Indemnitee, within 30 days after the later of (A) the Notification Date or (B) the earliest date on which the applicable criterion specified in clause (i), (ii) or (iii) is satisfied, an amount equal to such Losses.</w:t>
      </w:r>
    </w:p>
    <w:p>
      <w:pPr>
        <w:pStyle w:val="TextBody"/>
        <w:bidi w:val="0"/>
        <w:spacing w:before="0" w:after="0"/>
        <w:ind w:left="144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Selection of Independent Counsel for Standard of Conduct Determination</w:t>
      </w:r>
      <w:r>
        <w:rPr>
          <w:rFonts w:ascii="Times New Roman;Times;Serif" w:hAnsi="Times New Roman;Times;Serif"/>
          <w:b w:val="false"/>
          <w:i w:val="false"/>
          <w:caps w:val="false"/>
          <w:smallCaps w:val="false"/>
          <w:sz w:val="20"/>
        </w:rPr>
        <w:t>. If a Standard of Conduct Determination is to be made by Independent Counsel pursuant to Section 9(b)(i), the Independent Counsel shall be selected by the Board of Directors, and the Company shall give written notice to Indemnitee advising him of the identity of the Independent Counsel so selected. If a Standard of Conduct Determination is to be made by Independent Counsel pursuant to Section 9(b)(ii), the Independent Counsel shall be selected by Indemnitee, and Indemnitee shall give written notice to the Company advising it of the identity of the Independent Counsel so selected. In either case, Indemnitee or the Company, as applicable, may, within 30 days after receiving written notice of selection from the other, deliver to the other a written objection to such selection; provided, however, that such objection may be asserted only on the ground that the Independent Counsel so selected does not satisfy the criteria set forth in the definition of “Independent Counsel” in Section 1(i), and the objection shall set forth with particularity the factual basis of such assertion. Absent a proper and timely objection, the person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the introductory clause of this sentence and numbered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Section 9(e) to make the Standard of Conduct Determination shall have been selected within 30 days after the Company gives its initial notice pursuant to the first sentence of this Section 9(e) or Indemnitee gives its initial notice pursuant to the second sentence of this Section 9(e), as the case may be, either the Company or Indemnitee may petition the Court of Chancery of the State of Delaware (“</w:t>
      </w:r>
      <w:r>
        <w:rPr>
          <w:rFonts w:ascii="Times New Roman;Times;Serif" w:hAnsi="Times New Roman;Times;Serif"/>
          <w:b/>
          <w:i w:val="false"/>
          <w:caps w:val="false"/>
          <w:smallCaps w:val="false"/>
          <w:sz w:val="20"/>
        </w:rPr>
        <w:t>Delaware Court</w:t>
      </w:r>
      <w:r>
        <w:rPr>
          <w:rFonts w:ascii="Times New Roman;Times;Serif" w:hAnsi="Times New Roman;Times;Serif"/>
          <w:b w:val="false"/>
          <w:i w:val="false"/>
          <w:caps w:val="false"/>
          <w:smallCaps w:val="false"/>
          <w:sz w:val="20"/>
        </w:rPr>
        <w:t>”) to resolve any objection which shall have been made by the Company or Indemnitee to the other’s selection of Independent Counsel and/or to appoint as Independent Counsel a person to be selected by the Court or such other person as the Court shall designate, and the person or firm with respect to whom all objections are so resolved or the person or firm so appointed will act as Independent Counsel. In all events, the Company shall pay all of the reasonable fees and expenses of the Independent Counsel incurred in connection with the Independent Counsel’s determination pursuant to Section 9(b).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 xml:space="preserve">Presumptions and Defenses.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Indemnitee’s Entitlement to Indemnification</w:t>
      </w:r>
      <w:r>
        <w:rPr>
          <w:rFonts w:ascii="Times New Roman;Times;Serif" w:hAnsi="Times New Roman;Times;Serif"/>
          <w:b w:val="false"/>
          <w:i w:val="false"/>
          <w:caps w:val="false"/>
          <w:smallCaps w:val="false"/>
          <w:sz w:val="20"/>
        </w:rPr>
        <w:t>. In making any Standard of Conduct Determination, the person or persons making such determination shall presume that Indemnitee has satisfied the applicable standard of conduct and is entitled to indemnification, and the Company shall have the burden of proof to overcome that presumption and establish that Indemnitee is not so entitled. Any Standard of Conduct Determination that is adverse to Indemnitee may be challenged by the Indemnitee in the Delaware Court. No determination by the Company (including by its directors or any Independent Counsel) that Indemnitee has not satisfied any applicable standard of conduct may be used as a defense to any legal proceedings brought by Indemnitee to secure indemnification or reimbursement or advance payment of Expenses by the Company hereunder or create a presumption that Indemnitee has not met any applicable standard of conduct.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Reliance as a Safe Harbor</w:t>
      </w:r>
      <w:r>
        <w:rPr>
          <w:rFonts w:ascii="Times New Roman;Times;Serif" w:hAnsi="Times New Roman;Times;Serif"/>
          <w:b w:val="false"/>
          <w:i w:val="false"/>
          <w:caps w:val="false"/>
          <w:smallCaps w:val="false"/>
          <w:sz w:val="20"/>
        </w:rPr>
        <w:t>. For purposes of this Agreement, and without creating any presumption as to a lack of good faith if the following circumstances do not exist,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pStyle w:val="TextBody"/>
        <w:bidi w:val="0"/>
        <w:spacing w:before="0" w:after="0"/>
        <w:ind w:left="144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8</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No Other Presumptions</w:t>
      </w:r>
      <w:r>
        <w:rPr>
          <w:rFonts w:ascii="Times New Roman;Times;Serif" w:hAnsi="Times New Roman;Times;Serif"/>
          <w:b w:val="false"/>
          <w:i w:val="false"/>
          <w:caps w:val="false"/>
          <w:smallCaps w:val="false"/>
          <w:sz w:val="20"/>
        </w:rPr>
        <w:t>. For purposes of this Agreement, the termination of any Claim by judgment, order, settlement (whether with or without court approval) or conviction, or upon a plea of nolo contendere or its equivalent, will not create a presumption that Indemnitee did not meet any applicable standard of conduct or have any particular belief, or that indemnification hereunder is otherwise not permitted.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Defense to Indemnification and Burden of Proof</w:t>
      </w:r>
      <w:r>
        <w:rPr>
          <w:rFonts w:ascii="Times New Roman;Times;Serif" w:hAnsi="Times New Roman;Times;Serif"/>
          <w:b w:val="false"/>
          <w:i w:val="false"/>
          <w:caps w:val="false"/>
          <w:smallCaps w:val="false"/>
          <w:sz w:val="20"/>
        </w:rPr>
        <w:t>. It shall be a defense to any action brought by Indemnitee against the Company to enforce this Agreement (other than an action brought to enforce a claim for Losses incurred in defending against a Claim related to an Indemnifiable Event in advance of its final disposition) that it is not permissible under applicable law for the Company to indemnify Indemnitee for the amount claimed. In connection with any such action or any related Standard of Conduct Determination, the burden of proving such a defense or that the Indemnitee did not satisfy the applicable standard of conduct shall be on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Resolution of Claims</w:t>
      </w:r>
      <w:r>
        <w:rPr>
          <w:rFonts w:ascii="Times New Roman;Times;Serif" w:hAnsi="Times New Roman;Times;Serif"/>
          <w:b w:val="false"/>
          <w:i w:val="false"/>
          <w:caps w:val="false"/>
          <w:smallCaps w:val="false"/>
          <w:sz w:val="20"/>
        </w:rPr>
        <w:t>. The Company acknowledges that a settlement or other disposition short of final judgment may be successful on the merits or otherwise for purposes of Section 9(a)(i) if it permits a party to avoid expense, delay, distraction, disruption and uncertainty. In the event that any Claim relating to an Indemnifiable Event to which Indemnitee is a party is resolved in any manner other than by adverse judgment against Indemnitee (including, without limitation, settlement of such action, claim or proceeding with our without payment of money or other consideration) it shall be presumed that Indemnitee has been successful on the merits or otherwise for purposes of Section 9(a)(i). The Company shall have the burden of proof to overcome this presumption.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shd w:fill="FFFFFF" w:val="clear"/>
        </w:rPr>
        <w:t>Exclusions from Indemnification</w:t>
      </w:r>
      <w:r>
        <w:rPr>
          <w:rFonts w:ascii="Times New Roman;Times;Serif" w:hAnsi="Times New Roman;Times;Serif"/>
          <w:b w:val="false"/>
          <w:i w:val="false"/>
          <w:caps w:val="false"/>
          <w:smallCaps w:val="false"/>
          <w:sz w:val="20"/>
        </w:rPr>
        <w:t>. Notwithstanding anything in this Agreement to the contrary, the Company shall not be obligated 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indemnify or advance funds to Indemnitee for Expenses or Losses with respect to proceedings initiated by Indemnitee, including any proceedings against the Company or its directors, officers, employees or other indemnitees and not by way of defense, except: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proceedings referenced in Section 5 above (unless a court of competent jurisdiction determines that each of the material assertions made by Indemnitee in such proceeding was not made in good faith or was frivolous);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where the Company has joined in or the Board has consented to the initiation of such proceedings.</w:t>
      </w:r>
    </w:p>
    <w:p>
      <w:pPr>
        <w:pStyle w:val="TextBody"/>
        <w:bidi w:val="0"/>
        <w:spacing w:before="0" w:after="0"/>
        <w:ind w:left="144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indemnify Indemnitee if a final decision by a court of competent jurisdiction determines that such indemnification is prohibited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indemnify Indemnitee for the disgorgement of profits arising from the purchase or sale by Indemnitee of securities of the Company in violation of Section 16(b) of the Exchange Act, or any similar successor statute.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indemnify or advance funds to Indemnitee for Indemnitee’s reimbursement to the Company of any bonus or other incentive-based or equity-based compensation previously received by Indemnitee or payment of any profits realized by Indemnitee from the sale of securities of the Company, as required in each case under the Exchange Act (including any such reimbursements under Section 304 of the Sarbanes-Oxley Act of 2002 in connection with an accounting restatement of the Company or the payment to the Company of profits arising from the purchase or sale by Indemnitee of securities in violation of Section 306 of the Sarbanes-Oxley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shd w:fill="FFFFFF" w:val="clear"/>
        </w:rPr>
        <w:t>Settlement of Claims</w:t>
      </w:r>
      <w:r>
        <w:rPr>
          <w:rFonts w:ascii="Times New Roman;Times;Serif" w:hAnsi="Times New Roman;Times;Serif"/>
          <w:b w:val="false"/>
          <w:i w:val="false"/>
          <w:caps w:val="false"/>
          <w:smallCaps w:val="false"/>
          <w:sz w:val="20"/>
        </w:rPr>
        <w:t>. The Company shall not be liable to Indemnitee under this Agreement for any amounts paid in settlement of any threatened or pending Claim related to an Indemnifiable Event effected without the Company’s prior written consent, which shall not be unreasonably withheld; provided, however, that if a Change in Control has occurred, the Company shall be liable for indemnification of the Indemnitee for amounts paid in settlement if an Independent Counsel has approved the settlement. The Company shall not settle any Claim related to an Indemnifiable Event in any manner that would impose any Losses on the Indemnitee without the Indemnitee’s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shd w:fill="FFFFFF" w:val="clear"/>
        </w:rPr>
        <w:t>Duration</w:t>
      </w:r>
      <w:r>
        <w:rPr>
          <w:rFonts w:ascii="Times New Roman;Times;Serif" w:hAnsi="Times New Roman;Times;Serif"/>
          <w:b w:val="false"/>
          <w:i w:val="false"/>
          <w:caps w:val="false"/>
          <w:smallCaps w:val="false"/>
          <w:sz w:val="20"/>
        </w:rPr>
        <w:t>. All agreements and obligations of the Company contained herein shall continue during the period that Indemnitee is a director or officer of the Company (or is serving at the request of the Company as a director, officer, employee, member, trustee or agent of another Enterprise) and shall continue thereafter (i) so long as Indemnitee may be subject to any possible Claim relating to an Indemnifiable Event (including any rights of appeal thereto) and (ii) throughout the pendency of any proceeding (including any rights of appeal thereto) commenced by Indemnitee to enforce or interpret his or her rights under this Agreement, even if, in either case, he or she may have ceased to serve in such capacity at the time of any such Claim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shd w:fill="FFFFFF" w:val="clear"/>
        </w:rPr>
        <w:t>Non-Exclusivity</w:t>
      </w:r>
      <w:r>
        <w:rPr>
          <w:rFonts w:ascii="Times New Roman;Times;Serif" w:hAnsi="Times New Roman;Times;Serif"/>
          <w:b w:val="false"/>
          <w:i w:val="false"/>
          <w:caps w:val="false"/>
          <w:smallCaps w:val="false"/>
          <w:sz w:val="20"/>
        </w:rPr>
        <w:t>. The rights of Indemnitee hereunder will be in addition to any other rights Indemnitee may have under the Constituent Documents, the General Corporation Law of the State of Delaware, any other contract or otherwise (collectively, “</w:t>
      </w:r>
      <w:r>
        <w:rPr>
          <w:rFonts w:ascii="Times New Roman;Times;Serif" w:hAnsi="Times New Roman;Times;Serif"/>
          <w:b/>
          <w:i w:val="false"/>
          <w:caps w:val="false"/>
          <w:smallCaps w:val="false"/>
          <w:sz w:val="20"/>
        </w:rPr>
        <w:t>Other Indemnity Provisions</w:t>
      </w:r>
      <w:r>
        <w:rPr>
          <w:rFonts w:ascii="Times New Roman;Times;Serif" w:hAnsi="Times New Roman;Times;Serif"/>
          <w:b w:val="false"/>
          <w:i w:val="false"/>
          <w:caps w:val="false"/>
          <w:smallCaps w:val="false"/>
          <w:sz w:val="20"/>
        </w:rPr>
        <w:t>”); provided, however, that (a) to the extent that Indemnitee otherwise would have any greater right to indemnification under any Other Indemnity Provision, Indemnitee will be deemed to have such greater right hereunder and (b) to the extent that any change is made to any Other Indemnity Provision which permits any greater right to indemnification than that provided under this Agreement as of the date hereof, Indemnitee will be deemed to have such greater right hereunder. The Company will not adopt any amendment to any of the Constituent Documents the effect of which would be to deny, diminish or encumber Indemnitee’s right to indemnification under this Agreement or any Other Indemnity Provision.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shd w:fill="FFFFFF" w:val="clear"/>
        </w:rPr>
        <w:t>Liability Insurance</w:t>
      </w:r>
      <w:r>
        <w:rPr>
          <w:rFonts w:ascii="Times New Roman;Times;Serif" w:hAnsi="Times New Roman;Times;Serif"/>
          <w:b w:val="false"/>
          <w:i w:val="false"/>
          <w:caps w:val="false"/>
          <w:smallCaps w:val="false"/>
          <w:sz w:val="20"/>
        </w:rPr>
        <w:t>. For the duration of Indemnitee’s service as a director of the Company, and thereafter for so long as Indemnitee shall be subject to any pending Claim relating to an Indemnifiable Event, the Company shall use commercially reasonable efforts (taking into account the scope and amount of coverage available relative to the cost thereof) to continue to maintain in effect policies of directors’ and officers’ liability insurance providing coverage that is at least substantially comparable in scope and amount to that provided by the Company’s current policies of directors’ and officers’ liability insurance. In all policies of directors’ and officers’ liability insurance maintained by the Company, Indemnitee shall be named as an insured in such a manner as to provide Indemnitee the same rights and benefits as are provided to the most favorably insured of the Company’s directors, if Indemnitee is a director, or of the Company’s officers, if Indemnitee is an officer (and not a director) by such policy. Upon request, the Company will provide to Indemnitee copies of all directors’ and officers’ liability insurance applications, binders, policies, declarations, endorsements and other related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No Duplication of Payments</w:t>
      </w:r>
      <w:r>
        <w:rPr>
          <w:rFonts w:ascii="Times New Roman;Times;Serif" w:hAnsi="Times New Roman;Times;Serif"/>
          <w:b w:val="false"/>
          <w:i w:val="false"/>
          <w:caps w:val="false"/>
          <w:smallCaps w:val="false"/>
          <w:sz w:val="20"/>
        </w:rPr>
        <w:t>. The Company shall not be liable under this Agreement to make any payment to Indemnitee in respect of any Losses to the extent Indemnitee has otherwise received payment under any insurance policy, the Constituent Documents, Other Indemnity Provisions or otherwise of the amounts otherwise indemnifiable by the Company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shd w:fill="FFFFFF" w:val="clear"/>
        </w:rPr>
        <w:t>Subrogation</w:t>
      </w:r>
      <w:r>
        <w:rPr>
          <w:rFonts w:ascii="Times New Roman;Times;Serif" w:hAnsi="Times New Roman;Times;Serif"/>
          <w:b w:val="false"/>
          <w:i w:val="false"/>
          <w:caps w:val="false"/>
          <w:smallCaps w:val="false"/>
          <w:sz w:val="20"/>
        </w:rPr>
        <w:t>. In the event of payment to Indemnitee under this Agreement, the Company shall be subrogated to the extent of such payment to all of the rights of recovery of Indemnitee. Indemnitee shall execute all papers required and shall do everything that may be necessary to secure such rights, including the execution of such documents necessary to enable the Company effectively to bring suit to enforce such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shd w:fill="FFFFFF" w:val="clear"/>
        </w:rPr>
        <w:t>Entire Agreement; Amendments</w:t>
      </w:r>
      <w:r>
        <w:rPr>
          <w:rFonts w:ascii="Times New Roman;Times;Serif" w:hAnsi="Times New Roman;Times;Serif"/>
          <w:b w:val="false"/>
          <w:i w:val="false"/>
          <w:caps w:val="false"/>
          <w:smallCaps w:val="false"/>
          <w:sz w:val="20"/>
        </w:rPr>
        <w:t>. This Agreement supersedes and replaces in their entirety any prior understandings or agreements (written or oral, including all agreements for indemnification previously entered into by and between the parties).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shd w:fill="FFFFFF" w:val="clear"/>
        </w:rPr>
        <w:t>Binding Effect</w:t>
      </w:r>
      <w:r>
        <w:rPr>
          <w:rFonts w:ascii="Times New Roman;Times;Serif" w:hAnsi="Times New Roman;Times;Serif"/>
          <w:b w:val="false"/>
          <w:i w:val="false"/>
          <w:caps w:val="false"/>
          <w:smallCaps w:val="false"/>
          <w:sz w:val="20"/>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substances satisfactory to Indemnitee, expressly to assume and agree to perform this Agreement in the same manner and to the same extent that the Company would be required to perform if no such succession had taken place.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shd w:fill="FFFFFF" w:val="clear"/>
        </w:rPr>
        <w:t>Severability</w:t>
      </w:r>
      <w:r>
        <w:rPr>
          <w:rFonts w:ascii="Times New Roman;Times;Serif" w:hAnsi="Times New Roman;Times;Serif"/>
          <w:b w:val="false"/>
          <w:i w:val="false"/>
          <w:caps w:val="false"/>
          <w:smallCaps w:val="false"/>
          <w:sz w:val="20"/>
        </w:rPr>
        <w:t>. The provisions of this Agreement shall be severable in the event that any of the provisions hereof (including any portion thereof) are held by a court of competent jurisdiction to be invalid, illegal, void or otherwise unenforceable, and the remaining provisions shall remain enforceable to the fullest extent permitted by law.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shd w:fill="FFFFFF" w:val="clear"/>
        </w:rPr>
        <w:t>Notices</w:t>
      </w:r>
      <w:r>
        <w:rPr>
          <w:rFonts w:ascii="Times New Roman;Times;Serif" w:hAnsi="Times New Roman;Times;Serif"/>
          <w:b w:val="false"/>
          <w:i w:val="false"/>
          <w:caps w:val="false"/>
          <w:smallCaps w:val="false"/>
          <w:sz w:val="20"/>
        </w:rPr>
        <w:t>. All notices, requests, demands and other communications hereunder shall be in writing and shall be deemed to have been duly given if delivered by hand, against receipt, or mailed, by postage prepaid, certified or registered mail: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Indemnitee, to the address set forth on the signature page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to: Reed’s, Inc.</w:t>
      </w:r>
    </w:p>
    <w:p>
      <w:pPr>
        <w:pStyle w:val="TextBody"/>
        <w:bidi w:val="0"/>
        <w:spacing w:before="0" w:after="0"/>
        <w:ind w:left="720" w:right="0" w:firstLine="720"/>
        <w:jc w:val="both"/>
        <w:rPr>
          <w:caps w:val="false"/>
          <w:smallCaps w:val="false"/>
        </w:rPr>
      </w:pPr>
      <w:r>
        <w:rPr>
          <w:caps w:val="false"/>
          <w:smallCaps w:val="false"/>
        </w:rPr>
        <w:t> </w:t>
      </w:r>
    </w:p>
    <w:tbl>
      <w:tblPr>
        <w:tblW w:w="5480" w:type="dxa"/>
        <w:jc w:val="left"/>
        <w:tblInd w:w="0" w:type="dxa"/>
        <w:tblLayout w:type="fixed"/>
        <w:tblCellMar>
          <w:top w:w="0" w:type="dxa"/>
          <w:left w:w="0" w:type="dxa"/>
          <w:bottom w:w="0" w:type="dxa"/>
          <w:right w:w="0" w:type="dxa"/>
        </w:tblCellMar>
      </w:tblPr>
      <w:tblGrid>
        <w:gridCol w:w="75"/>
        <w:gridCol w:w="54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Joann Tinnelly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Merritt 7 Corporate Park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Norwalk, CT 06851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With a copy (which copy will not constitute notice on its own) to</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Ruba Qashu,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Barton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 Third Avenue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14th Floor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change of address shall be effective only when given in accordance with this Section. All notices complying with this Section shall be deemed to have been received on the date of hand delivery or on the third business day after mailing.</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shd w:fill="FFFFFF" w:val="clear"/>
        </w:rPr>
        <w:t>Governing Law and Forum</w:t>
      </w:r>
      <w:r>
        <w:rPr>
          <w:rFonts w:ascii="Times New Roman;Times;Serif" w:hAnsi="Times New Roman;Times;Serif"/>
          <w:b w:val="false"/>
          <w:i w:val="false"/>
          <w:caps w:val="false"/>
          <w:smallCaps w:val="false"/>
          <w:sz w:val="20"/>
        </w:rPr>
        <w:t>. This Agreement shall be governed by and construed and enforced in accordance with the laws of the State of Delaware applicable to contracts made and to be performed in such state without giving effect to its principles of conflicts of laws. The Company and Indemnitee hereby irrevocably and unconditionally: (a) agree that any action or proceeding arising out of or in connection with this Agreement shall be brought only in the Delaware Court and not in any other state or federal court in the United States, (b) consent to submit to the exclusive jurisdiction of the Delaware Court for purposes of any action or proceeding arising out of or in connection with this Agreement, (c) appoint, to the extent such party is not otherwise subject to service of process in the State of Delaware, The Corporation Trust Company, 1209 Orange Street, Wilmington, DE 19801, New Castle County as its agent in the State of Delaware for acceptance of legal process in connection with any such action or proceeding against such party with the same legal force and validity as if served upon such party personally within the State of Delaware and (d) waive, and agree not to plead or make, any claim that the Delaware Court lacks venue or that any such action or proceeding brought in the Delaware Court has been brought in an improper or inconvenient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shd w:fill="FFFFFF" w:val="clear"/>
        </w:rPr>
        <w:t>Headings</w:t>
      </w:r>
      <w:r>
        <w:rPr>
          <w:rFonts w:ascii="Times New Roman;Times;Serif" w:hAnsi="Times New Roman;Times;Serif"/>
          <w:b w:val="false"/>
          <w:i w:val="false"/>
          <w:caps w:val="false"/>
          <w:smallCaps w:val="false"/>
          <w:sz w:val="20"/>
        </w:rPr>
        <w:t>. The headings of the sections and paragraphs of this Agreement are inserted for convenience only and shall not be deemed to constitute part of this Agreement or to affect the construction or interpretation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shd w:fill="FFFFFF" w:val="clear"/>
        </w:rPr>
        <w:t>Counterparts</w:t>
      </w:r>
      <w:r>
        <w:rPr>
          <w:rFonts w:ascii="Times New Roman;Times;Serif" w:hAnsi="Times New Roman;Times;Serif"/>
          <w:b w:val="false"/>
          <w:i w:val="false"/>
          <w:caps w:val="false"/>
          <w:smallCaps w:val="false"/>
          <w:sz w:val="20"/>
        </w:rPr>
        <w:t>. This Agreement may be executed in one or more counterparts, each of which shall for all purposes be deemed to be an original, but all of which together shall constitute one and the same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as of the date first above written.</w:t>
      </w:r>
    </w:p>
    <w:p>
      <w:pPr>
        <w:pStyle w:val="TextBody"/>
        <w:bidi w:val="0"/>
        <w:spacing w:before="0" w:after="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left"/>
        <w:rPr>
          <w:caps w:val="false"/>
          <w:smallCaps w:val="false"/>
        </w:rPr>
      </w:pPr>
      <w:r>
        <w:rPr>
          <w:caps w:val="false"/>
          <w:smallCaps w:val="false"/>
        </w:rPr>
        <w:t> </w:t>
      </w:r>
    </w:p>
    <w:tbl>
      <w:tblPr>
        <w:tblW w:w="1295" w:type="dxa"/>
        <w:jc w:val="left"/>
        <w:tblInd w:w="0" w:type="dxa"/>
        <w:tblLayout w:type="fixed"/>
        <w:tblCellMar>
          <w:top w:w="0" w:type="dxa"/>
          <w:left w:w="0" w:type="dxa"/>
          <w:bottom w:w="0" w:type="dxa"/>
          <w:right w:w="0" w:type="dxa"/>
        </w:tblCellMar>
      </w:tblPr>
      <w:tblGrid>
        <w:gridCol w:w="75"/>
        <w:gridCol w:w="12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855" w:name="ex10-2.htm"/>
      <w:bookmarkStart w:id="856" w:name="ksex102"/>
      <w:bookmarkEnd w:id="855"/>
      <w:bookmarkEnd w:id="85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 2020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Amended. December 30, 2021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Purpose of the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is intended to promote the interests of the Company (as defined below) and its shareholders by providing employees non-employee directors, consultants, and other selected service providers of the Company, who are largely responsible for the management, growth, and protection of the business of the Company, with incentives and rewards to encourage them to continue in the service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Definitions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the Plan or in any instrument governing the terms of any award granted under the Plan, the following definitions apply to the terms indicated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“Award Agreement” means a written agreement, in a form determined by the Committee from time to time, entered into by each Participant and the Company, evidencing the grant of a Stock Incentive Award under the Plan.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“Board of Directors” means the Board of Directors of Reed’s, Inc., a Delaware corporation.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“Change in Control” means (i) any one person, or more than one person acting as a group (as defined under Treasury Regulation § 1.409A-3(i)(5)(v)(B)) acquires ownership of stock of the Company that, together with stock held by such person or group, constitutes more than fifty percent of the total fair market value or total Voting Power of the sto3k of the Company; or (ii) any one person, or more than one person acting as a group (as defined under Treasury Regulation § 1.409A-3(i)(5)(v)(B)) acquires (or has acquired during the twelve-month period ending on the date of the most recent acquisition by such person or persons) ownership of stock of the Company possessing thirty percent or more of the total Voting Power of the stock of the Company; or (iii) a majority of members of the Board of Directors is replaced during any twelve-month period by directors whose appointment or election is not endorsed by a majority of the members of the Board of Directors before the date of each appointment or election; or (iv) any one person, or more than one person acting as a group (as defined in Treasury Regulation § 1.409A-3(i)(5)(v)(B)) acquires (or has acquired during the twelve-month period ending on the date of the most recent acquisition by such person or persons) assets from the Company that have a total gross fair market value equal to or more than forty percent of the total gross fair market value of all of the assets of the Company immediately before such acquisition or acquisitions. For purposes of subsection (iv), gross fair market value means the value of the assets of the Company, or the value of the assets being disposed of, determined without regard to any liabilities associated with such assets. The foregoing subsections (i) through (iv) shall be interpreted in a manner that is consistent with the Treasury Regulations promulgated pursuant to section 409A of the Code so that all, and only, such transactions or events that could qualify as a “change-in-control event” within the meaning of Treasury Regulation §1.409A-3(i)(5)(i) will be deemed to be a Change in Control for purposes of this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“Code” means the Internal Revenue Code of 1986, as amended from time to time, and all regulations, interpretations, and administrative guidance issued thereunder.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“Committee” means the Compensation Committee of the Board of Directors or such other committee as the Board of Directors shall appoint from time to time to administer the Plan and to otherwise exercise and perform the authority and functions assigned to the Committee under the terms of the Plan.</w:t>
      </w:r>
    </w:p>
    <w:p>
      <w:pPr>
        <w:pStyle w:val="TextBody"/>
        <w:bidi w:val="0"/>
        <w:spacing w:before="0" w:after="0"/>
        <w:ind w:left="1080" w:right="0" w:hanging="0"/>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4295"/>
        <w:gridCol w:w="155"/>
      </w:tblGrid>
      <w:tr>
        <w:trPr/>
        <w:tc>
          <w:tcPr>
            <w:tcW w:w="4295" w:type="dxa"/>
            <w:tcBorders/>
            <w:vAlign w:val="center"/>
          </w:tcPr>
          <w:p>
            <w:pPr>
              <w:pStyle w:val="TableContents"/>
              <w:bidi w:val="0"/>
              <w:spacing w:before="0" w:after="283"/>
              <w:jc w:val="left"/>
              <w:rPr>
                <w:smallCaps/>
              </w:rPr>
            </w:pPr>
            <w:r>
              <w:rPr>
                <w:smallCaps/>
              </w:rPr>
              <w:t>Reed’s, Inc. 2020 Equity Incentive Plan</w:t>
            </w:r>
          </w:p>
        </w:tc>
        <w:tc>
          <w:tcPr>
            <w:tcW w:w="155" w:type="dxa"/>
            <w:tcBorders/>
            <w:vAlign w:val="center"/>
          </w:tcPr>
          <w:p>
            <w:pPr>
              <w:pStyle w:val="TableContents"/>
              <w:bidi w:val="0"/>
              <w:spacing w:before="0" w:after="283"/>
              <w:jc w:val="right"/>
              <w:rPr/>
            </w:pPr>
            <w:r>
              <w:rPr/>
              <w:t>1</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As Amended. December 30, 2021</w:t>
            </w:r>
          </w:p>
        </w:tc>
        <w:tc>
          <w:tcPr>
            <w:tcW w:w="15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“Common Stock” means Reed’s, Inc. common stock, $0.0001 par value per share, or any other security into which the common stock shall be changed pursuant to the adjustment provisions of Section 9. of the Plan.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“Company” means Reed’s, Inc., a Delaware corporation (and any successor thereto).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“Effective Date” means September 16, 2020.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“Employment” means the period during which an individual is classified or treated by the Company as an employee, non-employee director, consultant, or other service provider of the Company, as applicable.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“Exchange Act” means the Securities Exchange Act of 1934, as amended.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“Fair Market Value” means, with respect to a share of Common Stock, as of the applicable date of determination or if the market is not open for trading on such date, the immediately preceding day on which the market is open for trading, the closing price as reported on the date of determination on the principal securities exchange on which shares of Common Stock are then listed or admitted to trading (or if shares of Common Stock are then principally traded on a national securities exchange, in the reported “composite transactions” for such exchange). In the event that the price of a share of Common Stock shall not be so reported, the Fair Market Value of a share of Common Stock shall be determined by the Committee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“Option” means a stock option to purchase shares of Common Stock granted to a Participant pursuant to Section 6.</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“Other Stock-Based Award” means an award granted to a Participant pursuant to Section 7.</w:t>
      </w:r>
    </w:p>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“Participant” means an employee, consultant or director of the Company who is eligible to participate in the Plan and to whom one or more Stock Incentive Awards have been granted pursuant to the Plan and have not been fully settled or cancelled and, following the death of any such Person, his successors, heirs, executors, and administrators, as the case may be.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“Person” means a “person” as such term is used in section 13(d) and 14(d) of the Exchange Act, including any “group” within the meaning of section 13(d)(3) under the Exchange Act.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“Plan” means the 2020 Reed’s, Inc. Equity Incentive Plan, as amended December 30, 2021 and as it may be further amended from time to time.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“Securities Act” means the Securities Act of 1933, as amended.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“Stock Incentive Award” means an Option or Other Stock-Based Award granted pursuant to the terms of the Plan.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“Voting Power” means the number of votes available to be cast (determined by reference to the maximum number of votes entitled to be cast by the holders of Voting Securities, or by the holders of any Voting Securities for which other Voting Securities may be convertible, exercisable, or exchangeable, upon any matter submitted to shareholders where the holders of all Voting Securities vote together as a single class) by the holders of Voting Securities.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“Voting Securities” means any securities or other ownership interests of an entity entitled, or which may be entitled, to matters submitted to Persons holding such securities or other ownership interests in such entity generally (whether or not entitled to vote in the general election of directors), or securities or other ownership interests which are convertible into, or exercisable in exchange for, such Voting Securities, whether or not subject to the passage of time or any contingency.</w:t>
      </w:r>
    </w:p>
    <w:p>
      <w:pPr>
        <w:pStyle w:val="TextBody"/>
        <w:bidi w:val="0"/>
        <w:spacing w:before="0" w:after="0"/>
        <w:ind w:left="0" w:right="0" w:hanging="0"/>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4295"/>
        <w:gridCol w:w="155"/>
      </w:tblGrid>
      <w:tr>
        <w:trPr/>
        <w:tc>
          <w:tcPr>
            <w:tcW w:w="4295" w:type="dxa"/>
            <w:tcBorders/>
            <w:vAlign w:val="center"/>
          </w:tcPr>
          <w:p>
            <w:pPr>
              <w:pStyle w:val="TableContents"/>
              <w:bidi w:val="0"/>
              <w:spacing w:before="0" w:after="283"/>
              <w:jc w:val="left"/>
              <w:rPr>
                <w:smallCaps/>
              </w:rPr>
            </w:pPr>
            <w:r>
              <w:rPr>
                <w:smallCaps/>
              </w:rPr>
              <w:t>Reed’s, Inc. 2020 Equity Incentive Plan</w:t>
            </w:r>
          </w:p>
        </w:tc>
        <w:tc>
          <w:tcPr>
            <w:tcW w:w="155" w:type="dxa"/>
            <w:tcBorders/>
            <w:vAlign w:val="center"/>
          </w:tcPr>
          <w:p>
            <w:pPr>
              <w:pStyle w:val="TableContents"/>
              <w:bidi w:val="0"/>
              <w:spacing w:before="0" w:after="283"/>
              <w:jc w:val="right"/>
              <w:rPr/>
            </w:pPr>
            <w:r>
              <w:rPr/>
              <w:t>2</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As Amended. December 30, 2021</w:t>
            </w:r>
          </w:p>
        </w:tc>
        <w:tc>
          <w:tcPr>
            <w:tcW w:w="15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Stock Subject to the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Subject to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shares of Common Stock that may be covered by Stock Incentive Awards granted under the Plan shall not exceed 15,000,000 shares of Common Stock in the aggregate. Out of such aggregate, the maximum number of shares of Common Stock that may be covered by Options that are designated as “incentive stock options” within the meaning of section 422 of the Code shall not exceed 14,500,0000 shares of Common Stock. The maximum number of shares referred to in the preceding sentences of this Section 3.(a) shall in each case be subject to adjustment as provided in Section 9. and the following provisions of this Section 3. Of the shares described, one hundred percent may be delivered in connection with “full-value Awards,” meaning Stock Incentive Awards other than Options or stock appreciation rights. Any shares granted under Options or stock appreciation rights shall be counted against the share limit on a one-for-one basis and any shares granted as full-value Stock Incentive Awards shall be counted against the share limit on a one-for-one basis. Shares of Common Stock issued under the Plan may be authorized and unissued shares, treasury shares, shares purchased by the Company in the open market, or any combination of the preceding categories as the Committee determines in its sole discretion.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preceding paragraph, shares of Common Stock covered by Stock Incentive Awards shall only be counted as used to the extent they are actually issued and delivered to a Participant (or such Participant’s permitted transferees as described in the Plan) pursuant to the Plan; provided, however, that if a Stock Incentive Award is settled for cash or if shares of Common Stock are withheld to pay the exercise price of an Option or to satisfy any tax withholding requirement in connection with a Stock Incentive Award, the shares issued (if any) in connection with such settlement, the shares in respect of which the Stock Incentive Award was cash-settled, and the shares withheld, will be deemed delivered for purposes of determining the number of shares of Common Stock that are available for delivery under the Plan. In addition, if shares of Common Stock are issued subject to conditions which may result in the forfeiture, cancellation, or return of such shares to the Company, any portion of the shares forfeited, cancelled or returned shall be treated as not issued pursuant to the Plan. In addition, if shares of Common Stock owned by a Participant (or such Participant’s permitted transferees as described in the Plan) are tendered (either actually or through attestation) to the Company in payment of any obligation in connection with a Stock Incentive Award, the number of shares tendered shall be added to the number of shares of Common Stock that are available for delivery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covered by Stock Incentive Awards granted pursuant to the Plan in connection with the assumption, replacement, conversion, or adjustment of outstanding equity-based awards in the context of a corporate acquisition or merger (within the meaning of Nasdaq Listing Rule 5635) shall not count as used under the Plan for purposes of this Section 3.</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Individual Award Limits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 as provided in Section 8., the maximum number of shares of Common Stock that may be covered by Stock Incentive Awards granted under the Plan to any Participant in any calendar year shall not exceed 2,000,000 shares.</w:t>
      </w:r>
    </w:p>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Non-Employee Director Limits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 as provided in Section 8., the maximum number of shares of Common Stock that may be covered by Stock Incentive Awards granted under the Plan to any non-employee director in any calendar year shall not exceed 500,000 shares.</w:t>
      </w:r>
    </w:p>
    <w:p>
      <w:pPr>
        <w:pStyle w:val="TextBody"/>
        <w:bidi w:val="0"/>
        <w:spacing w:before="0" w:after="0"/>
        <w:ind w:left="720" w:right="0" w:firstLine="360"/>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4295"/>
        <w:gridCol w:w="155"/>
      </w:tblGrid>
      <w:tr>
        <w:trPr/>
        <w:tc>
          <w:tcPr>
            <w:tcW w:w="4295" w:type="dxa"/>
            <w:tcBorders/>
            <w:vAlign w:val="center"/>
          </w:tcPr>
          <w:p>
            <w:pPr>
              <w:pStyle w:val="TableContents"/>
              <w:bidi w:val="0"/>
              <w:spacing w:before="0" w:after="283"/>
              <w:jc w:val="left"/>
              <w:rPr>
                <w:smallCaps/>
              </w:rPr>
            </w:pPr>
            <w:r>
              <w:rPr>
                <w:smallCaps/>
              </w:rPr>
              <w:t>Reed’s, Inc. 2020 Equity Incentive Plan</w:t>
            </w:r>
          </w:p>
        </w:tc>
        <w:tc>
          <w:tcPr>
            <w:tcW w:w="155" w:type="dxa"/>
            <w:tcBorders/>
            <w:vAlign w:val="center"/>
          </w:tcPr>
          <w:p>
            <w:pPr>
              <w:pStyle w:val="TableContents"/>
              <w:bidi w:val="0"/>
              <w:spacing w:before="0" w:after="283"/>
              <w:jc w:val="right"/>
              <w:rPr/>
            </w:pPr>
            <w:r>
              <w:rPr/>
              <w:t>3</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As Amended. December 30, 2021</w:t>
            </w:r>
          </w:p>
        </w:tc>
        <w:tc>
          <w:tcPr>
            <w:tcW w:w="15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Administration of the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administered by a Committee of the Board of Directors consisting of two or more persons, each of whom qualifies as a “non-employee director” (within the meaning of Rule 16b-3 promulgated under section 16 of the Exchange Act) and as “independent” as required by Nasdaq or any security exchange on which the Common Stock is listed, in each case if and to the extent required by applicable law or necessary to meet the requirements of such rule, section or listing requirement at the time of determination. The Committee shall, consistent with the terms of the Plan, from time to time designate those individuals who shall be granted Stock Incentive Awards under the Plan and the amount, type, and other terms and conditions of such Stock Incentive Awards. All of the powers and responsibilities of the Committee under the Plan may be delegated by the Committee, in writing, to any subcommittee thereof, in which case the acts of such subcommittee shall be deemed to be acts of the Committee hereunder. The Committee may also from time to time authorize a subcommittee consisting of one or more members of the Board of Directors (including members who are employees of the Company) or employees of the Company to grant Stock Incentive Awards to persons who are not “executive officers” of the Company (within the meaning of Rule 16a-1 under the Exchange Act), subject to such restrictions and limitations as the Committee may specify and to the requirements of section 157 of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have full discretionary authority to administer the Plan, including discretionary authority to interpret and construe any and all provisions of the Plan and any Award Agreement thereunder, and to adopt, amend, and rescind from time to time such rules and regulations for the administration of the Plan, including rules and regulations related to sub-plans established for the purpose of satisfying applicable foreign laws and/or qualifying for preferred tax treatment under applicable foreign tax laws, as the Committee may deem necessary or appropriate. Decisions of the Committee shall be final, binding, and conclusive on all parties. For the avoidance of doubt, the Committee may exercise all discretion granted to it under the Plan in a non-uniform manner among Participants.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delegate the administration of the Plan to one or more officers or employees of the Company, and such administrator(s) may have the authority to execute and distribute Award Agreements, to maintain records relating to Stock Incentive Awards, to process or oversee the issuance of Common Stock under Stock Incentive Awards, to interpret and administer the terms of Stock Incentive Awards, and to take such other actions as may be necessary or appropriate for the administration of the Plan and of Stock Incentive Awards under the Plan, provided that in no case shall any such administrator be authorized (i) to grant Stock Incentive Awards under the Plan (except in connection with any delegation made by the Committee pursuant to the first paragraph of this Section 4.), (ii) to take any action inconsistent with section 409A of the Code, or (iii) to take any action inconsistent with applicable provisions of the Delaware General Corporation Law. Any action by any such administrator within the scope of its delegation shall be deemed for all purposes to have been taken by the Committee and, except as otherwise specifically provided, references in this Plan to the Committee shall include any such administrator. The Committee and, to the extent it so provides, any subcommittee, shall have sole authority to determine whether to review any actions and/or interpretations of any such administrator, and if the Committee shall decide to conduct such a review, any such actions and/or interpretations of any such administrator shall be subject to approval, disapproval, or modification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date of grant of an Incentive Award under the Plan, the Committee may (i) accelerate the date on which any such Incentive Award becomes vested, exercisable or transferable, as the case may be, (ii) extend the term of any such Incentive Award, including, without limitation, extending the period following a termination of a Participant’s Employment during which any such Incentive Award may remain outstanding, (iii) waive any conditions to the vesting, exercisability or transferability, as the case may be, of any such Incentive Award or (iv) provide for the payment of dividends or dividend equivalents with respect to any such Incentive Award; provided, that the Committee shall not have any such authority to the extent that the grant of such authority would cause any tax to become due under Section 409A of the Code. Notwithstanding anything herein to the contrary, the Company shall not reprice any stock option (within the meaning of Nasdaq Listing Rule 5635(c) and any other formal or informal guidance issued by Nasdaq) without the approval of the shareholders of the Company, nor shall the Company purchase any underwater options for cash. No member of the Committee shall be liable for any action, omission, or determination relating to the Plan, and the Company shall indemnify and hold harmless each member of the Committee and each other director or employee of the Company to whom any duty or power relating to the administration or interpretation of the Plan has been delegated, against any cost or expense (including counsel fees) or liability (including any sum paid in settlement of a claim with the approval of the Committee) arising out of any action, omission, or determination relating to the Plan, unless, in either case, such action, omission, or determination was taken or made by such member, director, or employee in bad faith and without reasonable belief that it was in the best interests of the Company.</w:t>
      </w:r>
    </w:p>
    <w:p>
      <w:pPr>
        <w:pStyle w:val="TextBody"/>
        <w:bidi w:val="0"/>
        <w:spacing w:before="0" w:after="0"/>
        <w:ind w:left="720" w:right="0" w:hanging="0"/>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4295"/>
        <w:gridCol w:w="155"/>
      </w:tblGrid>
      <w:tr>
        <w:trPr/>
        <w:tc>
          <w:tcPr>
            <w:tcW w:w="4295" w:type="dxa"/>
            <w:tcBorders/>
            <w:vAlign w:val="center"/>
          </w:tcPr>
          <w:p>
            <w:pPr>
              <w:pStyle w:val="TableContents"/>
              <w:bidi w:val="0"/>
              <w:spacing w:before="0" w:after="283"/>
              <w:jc w:val="left"/>
              <w:rPr>
                <w:smallCaps/>
              </w:rPr>
            </w:pPr>
            <w:r>
              <w:rPr>
                <w:smallCaps/>
              </w:rPr>
              <w:t>Reed’s, Inc. 2020 Equity Incentive Plan</w:t>
            </w:r>
          </w:p>
        </w:tc>
        <w:tc>
          <w:tcPr>
            <w:tcW w:w="155" w:type="dxa"/>
            <w:tcBorders/>
            <w:vAlign w:val="center"/>
          </w:tcPr>
          <w:p>
            <w:pPr>
              <w:pStyle w:val="TableContents"/>
              <w:bidi w:val="0"/>
              <w:spacing w:before="0" w:after="283"/>
              <w:jc w:val="right"/>
              <w:rPr/>
            </w:pPr>
            <w:r>
              <w:rPr/>
              <w:t>4</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As Amended. December 30, 2021</w:t>
            </w:r>
          </w:p>
        </w:tc>
        <w:tc>
          <w:tcPr>
            <w:tcW w:w="15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Eligibility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Persons who shall be eligible to receive Stock Incentive Awards pursuant to the Plan shall be those employees non-employee directors, consultants and other selected service providers of the Company whom the Committee shall select from time to time, including officers of the Company, whether or not they are directors. Each Stock Incentive Award granted under the Plan shall be evidenced by an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Options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from time to time grant Options on such terms as it shall determine, subject to the terms and conditions set forth in the Plan. The Award Agreement shall clearly identify such Option as either an “incentive stock option” within the meaning of section 422 of the Code or as a non-qualified stock option.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Price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per share of Common Stock covered by any Option shall be not less than one hundred percent of the Fair Market Value of a share of Common Stock on the date on which such Option is granted, other than assumptions in accordance with a corporate acquisition or merger as described in Section 3.</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 and Exercise of Options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Each Option shall become vested and exercisable on such date or dates, during such period and for such number of shares of Common Stock as shall be determined by the Committee on or after the date such Option is granted, subject to Approval as provided in Section 21.;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 Option shall be exercisable after the expiration of ten years from the date such Option is granted;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each Option shall be subject to earlier termination, expiration, or cancellation as provided in the Plan or the Award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Each Option shall be exercisable in whole or in part;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partial exercise of an Option shall be for an aggregate exercise price of less than $1,000. The partial exercise of an Option shall not cause the expiration, termination, or cancellation of the remaining portion thereof.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 Option shall be exercised by such methods and procedures as the Committee determines from time to time, including without limitation through net physical settlement or other method of cashless exercise.</w:t>
      </w:r>
    </w:p>
    <w:p>
      <w:pPr>
        <w:pStyle w:val="TextBody"/>
        <w:bidi w:val="0"/>
        <w:spacing w:before="0" w:after="0"/>
        <w:ind w:left="0" w:right="0" w:hanging="0"/>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4295"/>
        <w:gridCol w:w="155"/>
      </w:tblGrid>
      <w:tr>
        <w:trPr/>
        <w:tc>
          <w:tcPr>
            <w:tcW w:w="4295" w:type="dxa"/>
            <w:tcBorders/>
            <w:vAlign w:val="center"/>
          </w:tcPr>
          <w:p>
            <w:pPr>
              <w:pStyle w:val="TableContents"/>
              <w:bidi w:val="0"/>
              <w:spacing w:before="0" w:after="283"/>
              <w:jc w:val="left"/>
              <w:rPr>
                <w:smallCaps/>
              </w:rPr>
            </w:pPr>
            <w:r>
              <w:rPr>
                <w:smallCaps/>
              </w:rPr>
              <w:t>Reed’s, Inc. 2020 Equity Incentive Plan</w:t>
            </w:r>
          </w:p>
        </w:tc>
        <w:tc>
          <w:tcPr>
            <w:tcW w:w="155" w:type="dxa"/>
            <w:tcBorders/>
            <w:vAlign w:val="center"/>
          </w:tcPr>
          <w:p>
            <w:pPr>
              <w:pStyle w:val="TableContents"/>
              <w:bidi w:val="0"/>
              <w:spacing w:before="0" w:after="283"/>
              <w:jc w:val="right"/>
              <w:rPr/>
            </w:pPr>
            <w:r>
              <w:rPr/>
              <w:t>5</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As Amended. December 30, 2021</w:t>
            </w:r>
          </w:p>
        </w:tc>
        <w:tc>
          <w:tcPr>
            <w:tcW w:w="15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Special Rules for Incentive Stock Options</w:t>
      </w:r>
    </w:p>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aggregate Fair Market Value of shares of Common Stock with respect to which “incentive stock options” (within the meaning of section 422 of the Code) are exercisable for the first time by a Participant during any calendar year under the Plan and any other stock option plan of the Company or any of its “subsidiaries” (within the meaning of section 424 of the Code) shall not exceed $100,000. Such Fair Market Value shall be determined as of the date on which each such stock option is granted. In the event that the aggregate Fair Market Value of shares of Common Stock with respect to such incentive stock options exceeds $100,000, then incentive stock options granted hereunder to such Participant shall, to the extent and in the order required by regulations promulgated under the Code (or any other authority having the force of regulations), automatically be deemed to be non-qualified stock options, but all other terms and provisions of such stock options shall remain unchanged. In the absence of such regulations (and authority), or in the event such regulations (or authority) require or permit a designation of the Options which shall cease to constitute incentive stock options, incentive stock options granted hereunder shall, to the extent of such excess and in the order in which they were granted, automatically be deemed to be non-qualified stock options, but all other terms and provisions of such stock options shall remain unchanged.</w:t>
      </w:r>
    </w:p>
    <w:p>
      <w:pPr>
        <w:pStyle w:val="TextBody"/>
        <w:bidi w:val="0"/>
        <w:spacing w:before="0" w:after="0"/>
        <w:ind w:left="1440" w:right="0" w:firstLine="36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Incentive stock options may only be granted to individuals who are employees of the Company. No incentive stock option may be granted to an individual if, at the time of the proposed grant, such individual owns stock possessing more than ten percent of the total combined Voting Power of all classes of stock of the Company or any of its “subsidiaries” (within the meaning of section 424 of the Code), unless (i) the exercise price of such incentive stock option is at least 110 percent of the Fair Market Value of a share of Common Stock at the time such incentive stock option is granted and (ii) such incentive stock option is not exercisable after the expiration of five years from the date such incentive stock option is granted.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Other Stock-Based Awards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Committee may from time to time grant equity-based or equity-related awards not otherwise described herein in such amounts and on such terms as it shall determine, subject to the terms and conditions set forth in the Plan, including Approval requirement set forth in Section 21. Without limiting the generality of the preceding sentence, each such Other Stock-Based Award may (i) involve the transfer of actual shares of Common Stock to Participants,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and (iv) be designed to comply with applicable laws of jurisdictions other than the United States;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each Other Stock-Based Award shall be denominated in, or shall have a value determined by reference to, a number of shares of Common Stock that is specified at the time of the grant of such Stock Incentive Award.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Adjustment upon Certain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action by the shareholders of Company required by law, applicable tax rules or the rules of any exchange on which shares of common stock of Company are listed for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Shares Available for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change in the number of shares of Common Stock outstanding by reason of any stock dividend or split, recapitalization, merger, consolidation, combination, or exchange of shares or similar corporate change, the maximum aggregate number or type of shares of Common Stock with respect to which the Committee may grant Stock Incentive Awards, the maximum number of shares of Common Stock that may be covered by Options that are designated as “incentive stock options” within the meaning of section 422 of the Code and the maximum aggregate number of shares of Common Stock with respect to which the Committee may grant Stock Incentive Awards to any individual Participant in any year and to any non-employee director shall be appropriately adjusted or substituted by the Committee. In the event of any change in the type or number of shares of Common Stock of Company outstanding by reason of any other event or transaction, the Committee shall, to the extent deemed appropriate by the Committee, make such adjustments to the type or number of shares of Common Stock with respect to which Stock Incentive Awards may be granted.</w:t>
      </w:r>
    </w:p>
    <w:p>
      <w:pPr>
        <w:pStyle w:val="TextBody"/>
        <w:bidi w:val="0"/>
        <w:spacing w:before="0" w:after="0"/>
        <w:ind w:left="0" w:right="0" w:hanging="0"/>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4295"/>
        <w:gridCol w:w="155"/>
      </w:tblGrid>
      <w:tr>
        <w:trPr/>
        <w:tc>
          <w:tcPr>
            <w:tcW w:w="4295" w:type="dxa"/>
            <w:tcBorders/>
            <w:vAlign w:val="center"/>
          </w:tcPr>
          <w:p>
            <w:pPr>
              <w:pStyle w:val="TableContents"/>
              <w:bidi w:val="0"/>
              <w:spacing w:before="0" w:after="283"/>
              <w:jc w:val="left"/>
              <w:rPr>
                <w:smallCaps/>
              </w:rPr>
            </w:pPr>
            <w:r>
              <w:rPr>
                <w:smallCaps/>
              </w:rPr>
              <w:t>Reed’s, Inc. 2020 Equity Incentive Plan</w:t>
            </w:r>
          </w:p>
        </w:tc>
        <w:tc>
          <w:tcPr>
            <w:tcW w:w="155" w:type="dxa"/>
            <w:tcBorders/>
            <w:vAlign w:val="center"/>
          </w:tcPr>
          <w:p>
            <w:pPr>
              <w:pStyle w:val="TableContents"/>
              <w:bidi w:val="0"/>
              <w:spacing w:before="0" w:after="283"/>
              <w:jc w:val="right"/>
              <w:rPr/>
            </w:pPr>
            <w:r>
              <w:rPr/>
              <w:t>6</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As Amended. December 30, 2021</w:t>
            </w:r>
          </w:p>
        </w:tc>
        <w:tc>
          <w:tcPr>
            <w:tcW w:w="15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Increase or Decrease in Issued Shares Without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increase or decrease in the number of issued shares of Common Stock resulting from a subdivision or consolidation of shares of Common Stock or the payment of a stock dividend (but only on the shares of Common Stock), or any other increase or decrease in the number of such shares effected without receipt or payment of consideration by the Company, the Committee shall, to the extent deemed appropriate by the Committee, adjust the type or number of shares of Common Stock subject to each outstanding Stock Incentive Award and the exercise price per share of Common Stock of each such Stock Incentive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Certain Mergers and Other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merger, consolidation, or similar transaction as a result of which the holders of shares of Common Stock receive consideration consisting exclusively of securities of the surviving corporation in such transaction, the Committee shall, to the extent deemed appropriate by the Committee, adjust each Stock Incentive Award outstanding on the date of such merger or consolidation so that it pertains and applies to the securities which a holder of the number of shares of Common Stock subject to such Stock Incentive Award would have received in such merger or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(i) a dissolution or liquidation of Company, (ii) a sale of all or substantially all of the Company’s assets (on a consolidated basis), (iii) a merger, consolidation, or similar transaction involving Company in which the holders of shares of Common Stock receive securities and/or other property, including cash, the Committee shall, to the extent deemed appropriate by the Committee, have the power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cancel, effective immediately prior to the occurrence of such event, each Stock Incentive Award (whether or not then exercisable or vested), and, in full consideration of such cancellation, pay to the Participant to whom such Stock Incentive Award was granted an amount in cash, for each share of Common Stock subject to such Stock Incentive Award, equal to the value, as determined by the Committee, of such Stock Incentive Award, provided that with respect to any outstanding Option such value shall be equal to the excess of (A) the value, as determined by the Committee, of the property (including cash) received by the holder of a share of Common Stock as a result of such event over (B) the exercise price of such Option; or</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provide for the exchange of each Stock Incentive Award (whether or not then exercisable or vested) for a Stock Incentive Award with respect to (A) some or all of the property which a holder of the number of shares of Common Stock subject to such Stock Incentive Award would have received in such transaction or (B) securities of the acquiror or surviving entity and, incident thereto, make an equitable adjustment as determined by the Committee in the exercise price of the Stock Incentive Award, or the number of shares or amount of property subject to the Stock Incentive Award or provide for a payment (in cash or other property) to the Participant to whom such Stock Incentive Award was granted in partial consideration for the exchange of the Stock Incentive Award.</w:t>
      </w:r>
    </w:p>
    <w:p>
      <w:pPr>
        <w:pStyle w:val="TextBody"/>
        <w:bidi w:val="0"/>
        <w:spacing w:before="0" w:after="0"/>
        <w:ind w:left="1800" w:right="0" w:hanging="0"/>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4295"/>
        <w:gridCol w:w="155"/>
      </w:tblGrid>
      <w:tr>
        <w:trPr/>
        <w:tc>
          <w:tcPr>
            <w:tcW w:w="4295" w:type="dxa"/>
            <w:tcBorders/>
            <w:vAlign w:val="center"/>
          </w:tcPr>
          <w:p>
            <w:pPr>
              <w:pStyle w:val="TableContents"/>
              <w:bidi w:val="0"/>
              <w:spacing w:before="0" w:after="283"/>
              <w:jc w:val="left"/>
              <w:rPr>
                <w:smallCaps/>
              </w:rPr>
            </w:pPr>
            <w:r>
              <w:rPr>
                <w:smallCaps/>
              </w:rPr>
              <w:t>Reed’s, Inc. 2020 Equity Incentive Plan</w:t>
            </w:r>
          </w:p>
        </w:tc>
        <w:tc>
          <w:tcPr>
            <w:tcW w:w="155" w:type="dxa"/>
            <w:tcBorders/>
            <w:vAlign w:val="center"/>
          </w:tcPr>
          <w:p>
            <w:pPr>
              <w:pStyle w:val="TableContents"/>
              <w:bidi w:val="0"/>
              <w:spacing w:before="0" w:after="283"/>
              <w:jc w:val="right"/>
              <w:rPr/>
            </w:pPr>
            <w:r>
              <w:rPr/>
              <w:t>7</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As Amended. December 30, 2021</w:t>
            </w:r>
          </w:p>
        </w:tc>
        <w:tc>
          <w:tcPr>
            <w:tcW w:w="15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Other Changes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change in the capitalization of Company, corporate change, corporate transaction or other event other than those specifically referred to in Sections 9(a), (b) or (c), the Committee shall, to the extent deemed appropriate by the Committee, make such adjustments in the number and class of shares subject to Stock Incentive Awards outstanding on the date on which such change occurs and in such other terms of such Stock Incentive Awards as the Committee deems appropriate.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Other Rights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provided in the Plan or any Award Agreement, no Participant shall have any rights by reason of any subdivision or consolidation of shares of stock of any class, the payment of any dividends or dividend equivalents, any increase or decrease in the number of shares of stock of any class or any dissolution, liquidation, merger, or consolidation of the Company or any other corporation.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Stock Incentive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Savings Clause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Section 8. shall be given effect to the extent that such provision would cause any tax to become due under section 409A of the Code.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Change in Control; Termination of Employment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Change in Control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an Award Agreement, in the event of a Change in Control of the Company to the extent the successor company does not assume or substitute for a Stock Incentive Award (or in which the Company is the ultimate parent corporation and does not continue the Stock Incentive Award), then immediately prior to the Change in Control: (i) those Options and stock appreciation rights outstanding as of the date of the Change in Control that are not assumed or substituted for (or continued) shall immediately vest and become fully exercisable, and (ii) the restrictions, other limitations and other conditions applicable to any Other Stock-Based Awards or any other Awards that are not assumed or substituted for (or continued) shall lapse, and such Other Stock-Based Awards or such other Awards shall become free of all restrictions, limitations, and conditions and become fully vested and transferable to the full extent of the original grant.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Termination of Employment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Except as to any awards constituting stock rights subject to section 409A of the Code, termination of Employment shall mean a separation from service within the meaning of section 409A of the Code, unless the Participant is retained as a consultant pursuant to a written agreement and such agreement provides otherwise. Without limiting the generality of the foregoing, the Committee shall determine whether an authorized leave of absence, or absence in military or government service, shall constitute termination of Employment, provided that a Participant who is an employee will not be deemed to cease employment in the case of any leave of absence approved by the Company. Furthermore, no payment shall be made with respect to any Stock Incentive Awards under the Plan that are subject to section 409A of the Code as a result of any such authorized leave of absence or absence in military or government service unless such authorized leave of absence constitutes a separation from service for purposes of section 409A of the Code and the regulations promulgated thereunder.</w:t>
      </w:r>
    </w:p>
    <w:p>
      <w:pPr>
        <w:pStyle w:val="TextBody"/>
        <w:bidi w:val="0"/>
        <w:spacing w:before="0" w:after="0"/>
        <w:ind w:left="1080" w:right="0" w:hanging="0"/>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4295"/>
        <w:gridCol w:w="155"/>
      </w:tblGrid>
      <w:tr>
        <w:trPr/>
        <w:tc>
          <w:tcPr>
            <w:tcW w:w="4295" w:type="dxa"/>
            <w:tcBorders/>
            <w:vAlign w:val="center"/>
          </w:tcPr>
          <w:p>
            <w:pPr>
              <w:pStyle w:val="TableContents"/>
              <w:bidi w:val="0"/>
              <w:spacing w:before="0" w:after="283"/>
              <w:jc w:val="left"/>
              <w:rPr>
                <w:smallCaps/>
              </w:rPr>
            </w:pPr>
            <w:r>
              <w:rPr>
                <w:smallCaps/>
              </w:rPr>
              <w:t>Reed’s, Inc. 2020 Equity Incentive Plan</w:t>
            </w:r>
          </w:p>
        </w:tc>
        <w:tc>
          <w:tcPr>
            <w:tcW w:w="155" w:type="dxa"/>
            <w:tcBorders/>
            <w:vAlign w:val="center"/>
          </w:tcPr>
          <w:p>
            <w:pPr>
              <w:pStyle w:val="TableContents"/>
              <w:bidi w:val="0"/>
              <w:spacing w:before="0" w:after="283"/>
              <w:jc w:val="right"/>
              <w:rPr/>
            </w:pPr>
            <w:r>
              <w:rPr/>
              <w:t>8</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As Amended. December 30, 2021</w:t>
            </w:r>
          </w:p>
        </w:tc>
        <w:tc>
          <w:tcPr>
            <w:tcW w:w="15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Award Agreement shall specify the consequences with respect to such Stock Incentive Awards of the termination of Employment of the Participant holding the Stock Incentive Awards.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Participant who ceases to be an employee of the Company but continues, or simultaneously commences, services as a director of the Company shall be deemed to continue Employment for purposes of the Plan.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Rights Under the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have any rights as a shareholder with respect to any shares of Common Stock covered by or relating to any Stock Incentive Award until the date of the issuance of such shares on the books and records of the Company Except as otherwise expressly provided in Section 8. hereof, no adjustment of any Stock Incentive Award shall be made for dividends or other rights for which the record date occurs prior to the date of such issuance. Nothing in this Section 10. is intended, or should be construed, to limit authority of the Committee to cause the Company to make payments based on the dividends that would be payable with respect to any share of Common Stock if it were issued or outstanding, or from granting rights related to such dividends.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No Special Employment Rights; No Right to Stock Incentive Awards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Nothing contained in the Plan, or any Award Agreement, shall confer upon any Participant any right with respect to the continuation of his or her Employment by the Company or interfere in any way with the right of the Company at any time to terminate such Employment or to increase or decrease the compensation of the Participant from the rate in existence at the time of the grant of a Stock Incentive Award.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person shall have any claim or right to receive a Stock Incentive Award hereunder. The Committee’s granting of a Stock Incentive Award to a Participant at any time shall neither require the Committee to grant a Stock Incentive Award to such Participant or any other Participant or other person at any time nor preclude the Committee from making subsequent grants to such Participant or any other Participant or other person.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Securities Matters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be under no obligation to affect the registration pursuant to the Securities Act of any shares of Common Stock to be issued hereunder or to effect similar compliance under any state or local laws. Notwithstanding anything herein to the contrary, the Company shall not be obligated to cause to be issued shares of Common Stock pursuant to the Plan unless and until the Company is advised by its counsel that the issuance is in compliance with all applicable laws, regulations of governmental authority, and the requirements of any securities exchange on which shares of Common Stock are traded. The Committee may require, as a condition to the issuance of shares of Common Stock pursuant to the terms hereof, that the recipient of such shares make such covenants, agreements, and representations, and that any related certificates representing such shares bear such legends, as the Committee, in its sole discretion, deems necessary or desirable.</w:t>
      </w:r>
    </w:p>
    <w:p>
      <w:pPr>
        <w:pStyle w:val="TextBody"/>
        <w:bidi w:val="0"/>
        <w:spacing w:before="0" w:after="0"/>
        <w:ind w:left="720" w:right="0" w:hanging="0"/>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4295"/>
        <w:gridCol w:w="155"/>
      </w:tblGrid>
      <w:tr>
        <w:trPr/>
        <w:tc>
          <w:tcPr>
            <w:tcW w:w="4295" w:type="dxa"/>
            <w:tcBorders/>
            <w:vAlign w:val="center"/>
          </w:tcPr>
          <w:p>
            <w:pPr>
              <w:pStyle w:val="TableContents"/>
              <w:bidi w:val="0"/>
              <w:spacing w:before="0" w:after="283"/>
              <w:jc w:val="left"/>
              <w:rPr>
                <w:smallCaps/>
              </w:rPr>
            </w:pPr>
            <w:r>
              <w:rPr>
                <w:smallCaps/>
              </w:rPr>
              <w:t>Reed’s, Inc. 2020 Equity Incentive Plan</w:t>
            </w:r>
          </w:p>
        </w:tc>
        <w:tc>
          <w:tcPr>
            <w:tcW w:w="155" w:type="dxa"/>
            <w:tcBorders/>
            <w:vAlign w:val="center"/>
          </w:tcPr>
          <w:p>
            <w:pPr>
              <w:pStyle w:val="TableContents"/>
              <w:bidi w:val="0"/>
              <w:spacing w:before="0" w:after="283"/>
              <w:jc w:val="right"/>
              <w:rPr/>
            </w:pPr>
            <w:r>
              <w:rPr/>
              <w:t>9</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As Amended. December 30, 2021</w:t>
            </w:r>
          </w:p>
        </w:tc>
        <w:tc>
          <w:tcPr>
            <w:tcW w:w="15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exercise or settlement of any Stock Incentive Award (including, without limitation, any Option) granted hereunder shall only be effective at such time as counsel to Company shall have determined that the issuance and delivery of shares of Common Stock pursuant to such exercise is in compliance with all applicable laws, regulations of governmental authority, and the requirements of any securities exchange on which shares of Common Stock are traded. Company may, in its sole discretion, defer the effectiveness of any exercise or settlement of a Stock Incentive Award granted hereunder in order to allow the issuance of shares pursuant thereto to be made pursuant to registration or an exemption from registration or other methods for compliance available under federal or state or local securities laws. Company shall inform the Participant in writing of its decision to defer the effectiveness of the exercise or settlement of a Stock Incentive Award granted hereunder. During the period that the effectiveness of the exercise of a Stock Incentive Award has been deferred, the Participant may, by written notice, withdraw such exercise and obtain the refund of any amount paid with respect thereto.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Withholding Taxes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Cash Remittance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withholding tax obligations are incurred in connection with any Stock Incentive Award, the Company shall have the right to require the Participant to remit to the Company in cash an amount sufficient to satisfy federal, state, and local withholding tax requirements, if any, attributable to such event. In addition, upon the exercise or settlement of any Stock Incentive Award in cash, or the making of any other payment with respect to any Stock Incentive Award (other than in shares of Common Stock), the Company shall have the right to withhold from any payment required to be made pursuant thereto an amount sufficient to satisfy the federal, state, and local withholding tax requirements, if any, attributable to such exercise, settlement, or payment.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Stock Remittance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election of the Participant, subject to the approval of the Committee, whenever withholding tax obligations are incurred in connection with any Stock Incentive Award, the Participant may tender to the Company (including by attestation) a number of shares of Common Stock having a Fair Market Value at the tender date determined by the Committee to be sufficient to satisfy the minimum federal, state, and local withholding tax requirements, if any, attributable to such event. Such election shall satisfy the Participant’s obligations under Section 13.(a) hereof, if any.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Stock Withholding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election of the Participant, subject to the approval of the Committee, whenever withholding tax obligations are incurred in connection with any Stock Incentive Award, the Company shall withhold a number of such shares having a Fair Market Value determined by the Committee to be sufficient to satisfy the minimum federal, state, and local withholding tax requirements, if any, attributable to such event. Such election shall satisfy the Participant’s obligations under Section 13.(a) hereof, if any.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No Obligation to Exercise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to a Participant of a Stock Incentive Award shall impose no obligation upon such Participant to exercise such Stock Incentive Award.</w:t>
      </w:r>
    </w:p>
    <w:p>
      <w:pPr>
        <w:pStyle w:val="TextBody"/>
        <w:bidi w:val="0"/>
        <w:spacing w:before="0" w:after="0"/>
        <w:ind w:left="720" w:right="0" w:hanging="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4295"/>
        <w:gridCol w:w="275"/>
      </w:tblGrid>
      <w:tr>
        <w:trPr/>
        <w:tc>
          <w:tcPr>
            <w:tcW w:w="4295" w:type="dxa"/>
            <w:tcBorders/>
            <w:vAlign w:val="center"/>
          </w:tcPr>
          <w:p>
            <w:pPr>
              <w:pStyle w:val="TableContents"/>
              <w:bidi w:val="0"/>
              <w:spacing w:before="0" w:after="283"/>
              <w:jc w:val="left"/>
              <w:rPr>
                <w:smallCaps/>
              </w:rPr>
            </w:pPr>
            <w:r>
              <w:rPr>
                <w:smallCaps/>
              </w:rPr>
              <w:t>Reed’s, Inc. 2020 Equity Incentive Plan</w:t>
            </w:r>
          </w:p>
        </w:tc>
        <w:tc>
          <w:tcPr>
            <w:tcW w:w="275" w:type="dxa"/>
            <w:tcBorders/>
            <w:vAlign w:val="center"/>
          </w:tcPr>
          <w:p>
            <w:pPr>
              <w:pStyle w:val="TableContents"/>
              <w:bidi w:val="0"/>
              <w:spacing w:before="0" w:after="283"/>
              <w:jc w:val="right"/>
              <w:rPr/>
            </w:pPr>
            <w:r>
              <w:rPr/>
              <w:t>10</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As Amended. December 30, 2021</w:t>
            </w:r>
          </w:p>
        </w:tc>
        <w:tc>
          <w:tcPr>
            <w:tcW w:w="2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Transfers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 Incentive Awards may not be sold, pledged, assigned, hypothecated, transferred, or disposed of in any manner other than by will or by the laws of descent or distribution and may be exercised, during the lifetime of a Participant, only by the Participant;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Committee may permit Options or other Stock Incentive Awards that are not incentive stock options to be sold, pledged, assigned, hypothecated, transferred, or disposed of, on a general or specific basis, subject to such conditions and limitations as the Committee may determine. Upon the death of a Participant, outstanding Stock Incentive Awards granted to such Participant may be exercised only by the executors or administrators of the Participant’s estate or by any person or persons who shall have acquired such right to exercise by will or by the laws of descent and distribution. No transfer by will or the laws of descent and distribution of any Stock Incentive Award, or the right to exercise any Stock Incentive Award,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Stock Incentive Award that are or would have been applicable to the Participant and to be bound by the acknowledgements made by the Participant in connection with the grant of the Stock Incentive Award.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Expenses and Receipts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of the Plan shall be paid by the Company. Any proceeds received by the Company in connection with any Stock Incentive Award will be used for general corporate purposes.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Failure to Comply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remedies of the Company elsewhere provided for herein, failure by a Participant to comply with any of the terms and conditions of the Plan or any Award Agreement, unless such failure is remedied by such Participant within ten days after having been notified of such failure by the Committee, shall be grounds for the cancellation and forfeiture of such Stock Incentive Award, in whole or in part, as the Committee, in its absolute discretion, may determine.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Relationship to Other Benefits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payment with respect to any Stock Incentive Awards under the Plan shall be taken into account in determining any benefits under any pension, retirement, profit sharing, group insurance, or other benefit plan of the Company except as otherwise specifically provided in such other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Governing Law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and the rights of all persons under the Plan shall be construed and administered in accordance with the laws of the State of Delaware without regard to its conflict of law principles.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Severability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or any part of this Plan is declared by any court or governmental authority to be unlawful or invalid, such unlawfulness or invalidity shall not serve to invalidate any portion of this Plan not declared to be unlawful or invalid. Any Section or part of a Section so declared to be unlawful or invalid shall, if possible, be construed in a manner that will give effect to the terms of such Section or part of a Section to the fullest extent possible while remaining lawful and valid.</w:t>
      </w:r>
    </w:p>
    <w:p>
      <w:pPr>
        <w:pStyle w:val="TextBody"/>
        <w:bidi w:val="0"/>
        <w:spacing w:before="0" w:after="0"/>
        <w:ind w:left="720" w:right="0" w:hanging="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4295"/>
        <w:gridCol w:w="275"/>
      </w:tblGrid>
      <w:tr>
        <w:trPr/>
        <w:tc>
          <w:tcPr>
            <w:tcW w:w="4295" w:type="dxa"/>
            <w:tcBorders/>
            <w:vAlign w:val="center"/>
          </w:tcPr>
          <w:p>
            <w:pPr>
              <w:pStyle w:val="TableContents"/>
              <w:bidi w:val="0"/>
              <w:spacing w:before="0" w:after="283"/>
              <w:jc w:val="left"/>
              <w:rPr>
                <w:smallCaps/>
              </w:rPr>
            </w:pPr>
            <w:r>
              <w:rPr>
                <w:smallCaps/>
              </w:rPr>
              <w:t>Reed’s, Inc. 2020 Equity Incentive Plan</w:t>
            </w:r>
          </w:p>
        </w:tc>
        <w:tc>
          <w:tcPr>
            <w:tcW w:w="275" w:type="dxa"/>
            <w:tcBorders/>
            <w:vAlign w:val="center"/>
          </w:tcPr>
          <w:p>
            <w:pPr>
              <w:pStyle w:val="TableContents"/>
              <w:bidi w:val="0"/>
              <w:spacing w:before="0" w:after="283"/>
              <w:jc w:val="right"/>
              <w:rPr/>
            </w:pPr>
            <w:r>
              <w:rPr/>
              <w:t>11</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As Amended. December 30, 2021</w:t>
            </w:r>
          </w:p>
        </w:tc>
        <w:tc>
          <w:tcPr>
            <w:tcW w:w="2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Effective Date and Term of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Date of the Plan is September 16, 2020, subject to the approval of the Plan by the shareholders of Company within 12 months of the Effective Date (“Approval”). Only Options could be granted prior to Approval, provided no Option granted prior to Approval could be exercisable, in whole or in part, prior to Approval, and the Plan would have been unwound, and all outstanding Options forfeited and cancelled, if Approval was not obtained. Shareholder approval was also obtained on December 30, 2021 to amend the Plan. No grants of Stock Incentive Awards may be made under the Plan after September 16,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Amendment or Termination of the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may at any time suspend or discontinue the Plan or revise or amend it or any Stock Incentive Award in any respect whatsoever;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any applicable law, tax requirement, or rule of a stock exchange requires shareholder approval in order for any such revision or amendment to be effective, such revision or amendment shall not be effective without such approval. The preceding sentence shall not restrict the Committee’s ability to exercise its discretionary authority hereunder pursuant to Section 4. hereof, which discretion may be exercised without amendment to the Plan. No provision of this Section 22. shall be given effect to the extent that such provision would cause any tax to become due under section 409A of the Code. Except as expressly provided in the Plan, no action hereunder may, without the consent of a Participant, adversely affect the Participant’s rights under any previously granted and outstanding Stock Incentive Award. Nothing in the Plan shall limit the right of the Company to pay compensation of any kind outside the terms of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Recoupment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Plan or in any Award Agreement to the contrary, the Company will be entitled to the extent permitted or required by applicable law, Company policy and/or the requirements of an exchange on which the Company’s shares are listed for trading, in each case, as in effect from time to time to recoup compensation of whatever kind paid by the Company at any time to a Participant under this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December 30, 2021</w:t>
      </w:r>
    </w:p>
    <w:p>
      <w:pPr>
        <w:pStyle w:val="TextBody"/>
        <w:bidi w:val="0"/>
        <w:spacing w:before="0" w:after="0"/>
        <w:ind w:left="360" w:right="0" w:hanging="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4295"/>
        <w:gridCol w:w="275"/>
      </w:tblGrid>
      <w:tr>
        <w:trPr/>
        <w:tc>
          <w:tcPr>
            <w:tcW w:w="4295" w:type="dxa"/>
            <w:tcBorders/>
            <w:vAlign w:val="center"/>
          </w:tcPr>
          <w:p>
            <w:pPr>
              <w:pStyle w:val="TableContents"/>
              <w:bidi w:val="0"/>
              <w:spacing w:before="0" w:after="283"/>
              <w:jc w:val="left"/>
              <w:rPr>
                <w:smallCaps/>
              </w:rPr>
            </w:pPr>
            <w:r>
              <w:rPr>
                <w:smallCaps/>
              </w:rPr>
              <w:t>Reed’s, Inc. 2020 Equity Incentive Plan</w:t>
            </w:r>
          </w:p>
        </w:tc>
        <w:tc>
          <w:tcPr>
            <w:tcW w:w="275" w:type="dxa"/>
            <w:tcBorders/>
            <w:vAlign w:val="center"/>
          </w:tcPr>
          <w:p>
            <w:pPr>
              <w:pStyle w:val="TableContents"/>
              <w:bidi w:val="0"/>
              <w:spacing w:before="0" w:after="283"/>
              <w:jc w:val="right"/>
              <w:rPr/>
            </w:pPr>
            <w:r>
              <w:rPr/>
              <w:t>12</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As Amended. December 30, 2021</w:t>
            </w:r>
          </w:p>
        </w:tc>
        <w:tc>
          <w:tcPr>
            <w:tcW w:w="275"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857" w:name="ex10-3.htm"/>
      <w:bookmarkStart w:id="858" w:name="ksex103"/>
      <w:bookmarkEnd w:id="857"/>
      <w:bookmarkEnd w:id="85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 2024 INDUCEMENT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Purpose; Eligibility</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General Purpose</w:t>
      </w:r>
      <w:r>
        <w:rPr>
          <w:rFonts w:ascii="Times New Roman;Times;Serif" w:hAnsi="Times New Roman;Times;Serif"/>
          <w:b w:val="false"/>
          <w:i w:val="false"/>
          <w:caps w:val="false"/>
          <w:smallCaps w:val="false"/>
          <w:sz w:val="20"/>
        </w:rPr>
        <w:t>. The name of this plan is the Reed’s, Inc. 2024 Inducement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The purposes of the Plan are to (a) enable Reed’s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any Affiliate to attract and retain the types of Employees, and Consultants and Non-Employee Directors who will contribute to the Company’s long range success; (b) provide incentives that align the interests of Employees, Consultants and Non-Employee Directors with those of the shareholders of the Company; and (c) promote the success of the Company’s business.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Eligible Award Recipients</w:t>
      </w:r>
      <w:r>
        <w:rPr>
          <w:rFonts w:ascii="Times New Roman;Times;Serif" w:hAnsi="Times New Roman;Times;Serif"/>
          <w:b w:val="false"/>
          <w:i w:val="false"/>
          <w:caps w:val="false"/>
          <w:smallCaps w:val="false"/>
          <w:sz w:val="20"/>
        </w:rPr>
        <w:t>. The persons eligible to receive Awards are the Employees, Consultants and Non-Employee Directors of the Company and its Affiliates and such other individuals designated by the Committee who are reasonably expected to become Employees, Consultants and Non-Employee Directors after the receipt of Awards.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Available Awards</w:t>
      </w:r>
      <w:r>
        <w:rPr>
          <w:rFonts w:ascii="Times New Roman;Times;Serif" w:hAnsi="Times New Roman;Times;Serif"/>
          <w:b w:val="false"/>
          <w:i w:val="false"/>
          <w:caps w:val="false"/>
          <w:smallCaps w:val="false"/>
          <w:sz w:val="20"/>
        </w:rPr>
        <w:t>. Awards that may be granted under the Plan include: Non-qualified Stock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 corporation or other entity that, directly or through one or more intermediaries, controls, is controlled by or is under common control with, the Company.</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Laws</w:t>
      </w:r>
      <w:r>
        <w:rPr>
          <w:rFonts w:ascii="Times New Roman;Times;Serif" w:hAnsi="Times New Roman;Times;Serif"/>
          <w:b w:val="false"/>
          <w:i w:val="false"/>
          <w:caps w:val="false"/>
          <w:smallCaps w:val="false"/>
          <w:sz w:val="20"/>
        </w:rPr>
        <w:t>” means the requirements related to or implicated by the administration of the Plan under applicable state corporate law, United States federal and state securities laws, the Code, any stock exchange or quotation system on which the shares of Common Stock are listed or quoted, and the applicable laws of any foreign country or jurisdiction where Awards are granted under the Plan.</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Award</w:t>
      </w:r>
      <w:r>
        <w:rPr>
          <w:rFonts w:ascii="Times New Roman;Times;Serif" w:hAnsi="Times New Roman;Times;Serif"/>
          <w:b w:val="false"/>
          <w:i w:val="false"/>
          <w:caps w:val="false"/>
          <w:smallCaps w:val="false"/>
          <w:sz w:val="20"/>
        </w:rPr>
        <w:t>” means a Non-qualified Stock Option.</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Award Agreement</w:t>
      </w:r>
      <w:r>
        <w:rPr>
          <w:rFonts w:ascii="Times New Roman;Times;Serif" w:hAnsi="Times New Roman;Times;Serif"/>
          <w:b w:val="false"/>
          <w:i w:val="false"/>
          <w:caps w:val="false"/>
          <w:smallCaps w:val="false"/>
          <w:sz w:val="20"/>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Company, as constituted at any time.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means: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Employee or Consultant, unless the applicable Award Agreement states otherwise: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Employee or Consultant is a party to an employment or service agreement with the Company or its Affiliates and such agreement provides for a definition of Cause, the definition contained therein; or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no such agreement exists, or if such agreement does not define Cause: (i) the commission of, or plea of guilty or no contest to, a felony or a crime involving moral turpitude or the commission of any other act involving willful malfeasance or material fiduciary breach with respect to the Company or an Affiliate; (ii) conduct that brings or is reasonably likely to bring the Company or an Affiliate negative publicity or into public disgrace, embarrassment, or disrepute; (iii) gross negligence or willful misconduct with respect to the Company or an Affiliate; (iv) material violation of state or federal securities laws; or (v) material violation of the Company’s written policies or codes of conduct, including written policies related to discrimination, harassment, performance of illegal or unethical activities, and ethical misconduct.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Director, unless the applicable Award Agreement states otherwise, a determination by a majority of the disinterested Board members that the Director has engaged in any of the following: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malfeasance in office;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gross misconduct or neglect;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false or fraudulent misrepresentation inducing the director’s appointment;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willful conversion of corporate funds; or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repeated failure to participate in Board meetings on a regular basis despite having received proper notice of the meetings in advance.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in its absolute discretion, shall determine the effect of all matters and questions relating to whether a Participant has been discharged for Cause.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means</w:t>
      </w:r>
      <w:r>
        <w:rPr>
          <w:rFonts w:ascii="Times New Roman;Times;Serif" w:hAnsi="Times New Roman;Times;Serif"/>
          <w:b/>
          <w:i w:val="false"/>
          <w:caps w:val="false"/>
          <w:smallCaps w:val="false"/>
          <w:sz w:val="20"/>
        </w:rPr>
        <w: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One Person (or more than one Person acting as a group) acquires ownership of stock of the Company that, together with the stock held by such person or group, constitutes more than 50% of the total fair market value or total voting power of the stock of the Company; provided, that, a Change in Control shall not occur if any Person (or more than one Person acting as a group) acquires stock in a bonafide financing transaction with the Company, which transaction is approved by the Board;</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majority of the members of the Board are replaced during any twelve-month period by directors whose appointment or election is not endorsed by a majority of the Board before the date of appointment or election;</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One person (or more than one person acting as a group), acquires (or has acquired during the twelve-month period ending on the date of the most recent acquisition) assets from the Company that have a total gross fair market value equal to or more than 50% of the total gross fair market value of all of the assets of the Company immediately before such acquisition(s); or</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otherwise determined by the Committee in its sole discretion.</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it may be amended from time to time. Any reference to a section of the Code shall be deemed to include a reference to any regulations promulgated thereunder.</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means the Compensation Committee of the Board Section 3.3 and Section 3.4.</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common stock, $0.0001 par value per share, of the Company, or such other securities of the Company as may be designated by the Committee from time to time in substitution thereof.</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Reed’s, Inc., a Delaware corporation, and any successor thereto.</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Consultant</w:t>
      </w:r>
      <w:r>
        <w:rPr>
          <w:rFonts w:ascii="Times New Roman;Times;Serif" w:hAnsi="Times New Roman;Times;Serif"/>
          <w:b w:val="false"/>
          <w:i w:val="false"/>
          <w:caps w:val="false"/>
          <w:smallCaps w:val="false"/>
          <w:sz w:val="20"/>
        </w:rPr>
        <w:t>” means any individual or entity which performs bona fide services to the Company or an Affiliate, other than as an Employee or Director, and who may be offered securities registerable pursuant to a registration statement on Form S-8 under the Securities Act.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Continuous Service</w:t>
      </w:r>
      <w:r>
        <w:rPr>
          <w:rFonts w:ascii="Times New Roman;Times;Serif" w:hAnsi="Times New Roman;Times;Serif"/>
          <w:b w:val="false"/>
          <w:i w:val="false"/>
          <w:caps w:val="false"/>
          <w:smallCaps w:val="false"/>
          <w:sz w:val="20"/>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there is no interruption or termination of the Participant’s Continuous Service.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means, unless the applicable Award Agreement says otherwise, that the Participant is unable to engage in any substantial gainful activity by reason of any medically determinable physical or mental impairment. The determination of whether an individual has a Disability shall be determined under procedures established by the Committee. The Committee may rely on any determination that a Participant is disabled for purposes of benefits under any long-term disability plan maintained by the Company or any Affiliate in which a Participant participates.</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shall mean January 13, 2024, the date as of which this Plan is adopted by the Board.</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means any person, including an Officer or Director, employed by the Company or an Affiliate. Mere service as a Director or payment of a director’s fee by the Company or an Affiliate shall not be sufficient to constitute “employment” by the Company or an Affiliate.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as of any date, the value of the Common Stock as determined below. If the Common Stock is listed on any established stock exchange or a national market system, including without limitation, the New York Stock Exchange or the Nasdaq Stock Market ,or quoted on the OTCQX or OTCQB, the Fair Market Value shall be the closing price of a share of Common Stock (or if no sales were reported the closing price on the date immediately preceding such date) as quoted on such exchange or system on the day of determination. In the absence of an established market for the Common Stock, the Fair Market Value shall be determined in good faith by the Committee and such determination shall be conclusive and binding on all persons.</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means the Company’s fiscal year.</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Grant Date</w:t>
      </w:r>
      <w:r>
        <w:rPr>
          <w:rFonts w:ascii="Times New Roman;Times;Serif" w:hAnsi="Times New Roman;Times;Serif"/>
          <w:b w:val="false"/>
          <w:i w:val="false"/>
          <w:caps w:val="false"/>
          <w:smallCaps w:val="false"/>
          <w:sz w:val="20"/>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Incumbent Directors</w:t>
      </w:r>
      <w:r>
        <w:rPr>
          <w:rFonts w:ascii="Times New Roman;Times;Serif" w:hAnsi="Times New Roman;Times;Serif"/>
          <w:b w:val="false"/>
          <w:i w:val="false"/>
          <w:caps w:val="false"/>
          <w:smallCaps w:val="false"/>
          <w:sz w:val="20"/>
        </w:rPr>
        <w:t xml:space="preserve">” means individuals who, on the Effective Date, constitute the Board,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Non-Employee Director</w:t>
      </w:r>
      <w:r>
        <w:rPr>
          <w:rFonts w:ascii="Times New Roman;Times;Serif" w:hAnsi="Times New Roman;Times;Serif"/>
          <w:b w:val="false"/>
          <w:i w:val="false"/>
          <w:caps w:val="false"/>
          <w:smallCaps w:val="false"/>
          <w:sz w:val="20"/>
        </w:rPr>
        <w:t>” means a Director who is a “non-employee director” within the meaning of Rule 16b-3.</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Non-qualified Stock Option</w:t>
      </w:r>
      <w:r>
        <w:rPr>
          <w:rFonts w:ascii="Times New Roman;Times;Serif" w:hAnsi="Times New Roman;Times;Serif"/>
          <w:b w:val="false"/>
          <w:i w:val="false"/>
          <w:caps w:val="false"/>
          <w:smallCaps w:val="false"/>
          <w:sz w:val="20"/>
        </w:rPr>
        <w:t>” means an Option that by its terms constituted “nonqualified deferred compensation” within the meaning of Section 409A of the Code and the terms of such Option do not satisfy the requirements of Section 409A of the Code.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a person who is an officer of the Company within the meaning of Section 16 of the Exchange Act and the rules and regulations promulgated thereunder.</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means a Non-qualified Stock Option granted pursuant to the Plan.</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Optionholder</w:t>
      </w:r>
      <w:r>
        <w:rPr>
          <w:rFonts w:ascii="Times New Roman;Times;Serif" w:hAnsi="Times New Roman;Times;Serif"/>
          <w:b w:val="false"/>
          <w:i w:val="false"/>
          <w:caps w:val="false"/>
          <w:smallCaps w:val="false"/>
          <w:sz w:val="20"/>
        </w:rPr>
        <w:t>” means a person to whom an Option is granted pursuant to the Plan or, if applicable, such other person who holds an outstanding Option.</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 Exercise Price</w:t>
      </w:r>
      <w:r>
        <w:rPr>
          <w:rFonts w:ascii="Times New Roman;Times;Serif" w:hAnsi="Times New Roman;Times;Serif"/>
          <w:b w:val="false"/>
          <w:i w:val="false"/>
          <w:caps w:val="false"/>
          <w:smallCaps w:val="false"/>
          <w:sz w:val="20"/>
        </w:rPr>
        <w:t>” means the price at which a share of Common Stock may be purchased upon the exercise of an Option.</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means an eligible person to whom an Award is granted pursuant to the Plan or, if applicable, such other person who holds an outstanding Award.</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Transferee</w:t>
      </w:r>
      <w:r>
        <w:rPr>
          <w:rFonts w:ascii="Times New Roman;Times;Serif" w:hAnsi="Times New Roman;Times;Serif"/>
          <w:b w:val="false"/>
          <w:i w:val="false"/>
          <w:caps w:val="false"/>
          <w:smallCaps w:val="false"/>
          <w:sz w:val="20"/>
        </w:rPr>
        <w:t>” means: (a) a member of the Optionholder’s immediate family (child, stepchild, grandchild, parent, stepparent, grandparent, spouse, former spouse, sibling, niece, nephew, mother-in-law, father-in-law, son-in-law, daughter-in-law, brother-in-law, or sister-in-law, including adoptive relationships), any person sharing the Optionholder’s household (other than a tenant or employee), a trust in which these persons have more than 50% of the beneficial interest, a foundation in which these persons (or the Optionholder) control the management of assets, and any other entity in which these persons (or the Optionholder) own more than 50% of the voting interests; and (b) such other transferees as may be permitted by the Committee in its sole discretion.</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Person” </w:t>
      </w:r>
      <w:r>
        <w:rPr>
          <w:rFonts w:ascii="Times New Roman;Times;Serif" w:hAnsi="Times New Roman;Times;Serif"/>
          <w:b w:val="false"/>
          <w:i w:val="false"/>
          <w:caps w:val="false"/>
          <w:smallCaps w:val="false"/>
          <w:sz w:val="20"/>
        </w:rPr>
        <w:t>means a person as defined in Section 13(d)(3) of the Exchange Act.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means this Reed’s, Inc. 2024 Inducement Plan, as amended and/or amended and restated from time to time.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16b-3</w:t>
      </w:r>
      <w:r>
        <w:rPr>
          <w:rFonts w:ascii="Times New Roman;Times;Serif" w:hAnsi="Times New Roman;Times;Serif"/>
          <w:b w:val="false"/>
          <w:i w:val="false"/>
          <w:caps w:val="false"/>
          <w:smallCaps w:val="false"/>
          <w:sz w:val="20"/>
        </w:rPr>
        <w:t>” means Rule 16b-3 promulgated under the Exchange Act or any successor to Rule 16b-3, as in effect from time to time.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 for Stock Exchange</w:t>
      </w:r>
      <w:r>
        <w:rPr>
          <w:rFonts w:ascii="Times New Roman;Times;Serif" w:hAnsi="Times New Roman;Times;Serif"/>
          <w:b w:val="false"/>
          <w:i w:val="false"/>
          <w:caps w:val="false"/>
          <w:smallCaps w:val="false"/>
          <w:sz w:val="20"/>
        </w:rPr>
        <w:t>” has the meaning set forth in Section 6.2.</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Total Share Reserve</w:t>
      </w:r>
      <w:r>
        <w:rPr>
          <w:rFonts w:ascii="Times New Roman;Times;Serif" w:hAnsi="Times New Roman;Times;Serif"/>
          <w:b w:val="false"/>
          <w:i w:val="false"/>
          <w:caps w:val="false"/>
          <w:smallCaps w:val="false"/>
          <w:sz w:val="20"/>
        </w:rPr>
        <w:t>” has the meaning set forth in Section 4.1.</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Administration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Authority of Committee</w:t>
      </w:r>
      <w:r>
        <w:rPr>
          <w:rFonts w:ascii="Times New Roman;Times;Serif" w:hAnsi="Times New Roman;Times;Serif"/>
          <w:b w:val="false"/>
          <w:i w:val="false"/>
          <w:caps w:val="false"/>
          <w:smallCaps w:val="false"/>
          <w:sz w:val="20"/>
        </w:rPr>
        <w:t>. The Plan shall be administered by the Committee. Subject to the terms of the Plan, the Committee’s charter and Applicable Laws, and in addition to other express powers and authorization conferred by the Plan, the Committee shall have the authority: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008"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construe and interpret the Plan and apply its provisions;</w:t>
      </w:r>
    </w:p>
    <w:p>
      <w:pPr>
        <w:pStyle w:val="TextBody"/>
        <w:bidi w:val="0"/>
        <w:spacing w:before="0" w:after="0"/>
        <w:ind w:left="1008" w:right="0" w:firstLine="720"/>
        <w:jc w:val="both"/>
        <w:rPr>
          <w:caps w:val="false"/>
          <w:smallCaps w:val="false"/>
        </w:rPr>
      </w:pPr>
      <w:r>
        <w:rPr>
          <w:caps w:val="false"/>
          <w:smallCaps w:val="false"/>
        </w:rPr>
        <w:t> </w:t>
      </w:r>
    </w:p>
    <w:p>
      <w:pPr>
        <w:pStyle w:val="TextBody"/>
        <w:bidi w:val="0"/>
        <w:spacing w:before="0" w:after="0"/>
        <w:ind w:left="1008"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promulgate, amend, and rescind rules and regulations relating to the administration of the Plan;</w:t>
      </w:r>
    </w:p>
    <w:p>
      <w:pPr>
        <w:pStyle w:val="TextBody"/>
        <w:bidi w:val="0"/>
        <w:spacing w:before="0" w:after="0"/>
        <w:ind w:left="1008" w:right="0" w:firstLine="720"/>
        <w:jc w:val="both"/>
        <w:rPr>
          <w:caps w:val="false"/>
          <w:smallCaps w:val="false"/>
        </w:rPr>
      </w:pPr>
      <w:r>
        <w:rPr>
          <w:caps w:val="false"/>
          <w:smallCaps w:val="false"/>
        </w:rPr>
        <w:t> </w:t>
      </w:r>
    </w:p>
    <w:p>
      <w:pPr>
        <w:pStyle w:val="TextBody"/>
        <w:bidi w:val="0"/>
        <w:spacing w:before="0" w:after="0"/>
        <w:ind w:left="1008"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authorize any person to execute, on behalf of the Company, any instrument required to carry out the purposes of the Plan;</w:t>
      </w:r>
    </w:p>
    <w:p>
      <w:pPr>
        <w:pStyle w:val="TextBody"/>
        <w:bidi w:val="0"/>
        <w:spacing w:before="0" w:after="0"/>
        <w:ind w:left="1008" w:right="0" w:firstLine="720"/>
        <w:jc w:val="both"/>
        <w:rPr>
          <w:caps w:val="false"/>
          <w:smallCaps w:val="false"/>
        </w:rPr>
      </w:pPr>
      <w:r>
        <w:rPr>
          <w:caps w:val="false"/>
          <w:smallCaps w:val="false"/>
        </w:rPr>
        <w:t> </w:t>
      </w:r>
    </w:p>
    <w:p>
      <w:pPr>
        <w:pStyle w:val="TextBody"/>
        <w:bidi w:val="0"/>
        <w:spacing w:before="0" w:after="0"/>
        <w:ind w:left="1008"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delegate its authority to one or more Officers of the Company with respect to Awards that do not involve “insiders” within the meaning of Section 16 of the Exchange Act;</w:t>
      </w:r>
    </w:p>
    <w:p>
      <w:pPr>
        <w:pStyle w:val="TextBody"/>
        <w:bidi w:val="0"/>
        <w:spacing w:before="0" w:after="0"/>
        <w:ind w:left="1008" w:right="0" w:firstLine="720"/>
        <w:jc w:val="both"/>
        <w:rPr>
          <w:caps w:val="false"/>
          <w:smallCaps w:val="false"/>
        </w:rPr>
      </w:pPr>
      <w:r>
        <w:rPr>
          <w:caps w:val="false"/>
          <w:smallCaps w:val="false"/>
        </w:rPr>
        <w:t> </w:t>
      </w:r>
    </w:p>
    <w:p>
      <w:pPr>
        <w:pStyle w:val="TextBody"/>
        <w:bidi w:val="0"/>
        <w:spacing w:before="0" w:after="0"/>
        <w:ind w:left="1008"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determine when Awards are to be granted under the Plan and the applicable Grant Date;</w:t>
      </w:r>
    </w:p>
    <w:p>
      <w:pPr>
        <w:pStyle w:val="TextBody"/>
        <w:bidi w:val="0"/>
        <w:spacing w:before="0" w:after="0"/>
        <w:ind w:left="1008" w:right="0" w:firstLine="720"/>
        <w:jc w:val="both"/>
        <w:rPr>
          <w:caps w:val="false"/>
          <w:smallCaps w:val="false"/>
        </w:rPr>
      </w:pPr>
      <w:r>
        <w:rPr>
          <w:caps w:val="false"/>
          <w:smallCaps w:val="false"/>
        </w:rPr>
        <w:t> </w:t>
      </w:r>
    </w:p>
    <w:p>
      <w:pPr>
        <w:pStyle w:val="TextBody"/>
        <w:bidi w:val="0"/>
        <w:spacing w:before="0" w:after="0"/>
        <w:ind w:left="1008"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from time to time to select, subject to the limitations set forth in this Plan, those eligible Award recipients to whom Awards shall be granted;</w:t>
      </w:r>
    </w:p>
    <w:p>
      <w:pPr>
        <w:pStyle w:val="TextBody"/>
        <w:bidi w:val="0"/>
        <w:spacing w:before="0" w:after="0"/>
        <w:ind w:left="1008" w:right="0" w:firstLine="720"/>
        <w:jc w:val="both"/>
        <w:rPr>
          <w:caps w:val="false"/>
          <w:smallCaps w:val="false"/>
        </w:rPr>
      </w:pPr>
      <w:r>
        <w:rPr>
          <w:caps w:val="false"/>
          <w:smallCaps w:val="false"/>
        </w:rPr>
        <w:t> </w:t>
      </w:r>
    </w:p>
    <w:p>
      <w:pPr>
        <w:pStyle w:val="TextBody"/>
        <w:bidi w:val="0"/>
        <w:spacing w:before="0" w:after="0"/>
        <w:ind w:left="1008"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determine the number of shares of Common Stock to be made subject to each Award;</w:t>
      </w:r>
    </w:p>
    <w:p>
      <w:pPr>
        <w:pStyle w:val="TextBody"/>
        <w:bidi w:val="0"/>
        <w:spacing w:before="0" w:after="0"/>
        <w:ind w:left="1008" w:right="0" w:firstLine="720"/>
        <w:jc w:val="both"/>
        <w:rPr>
          <w:caps w:val="false"/>
          <w:smallCaps w:val="false"/>
        </w:rPr>
      </w:pPr>
      <w:r>
        <w:rPr>
          <w:caps w:val="false"/>
          <w:smallCaps w:val="false"/>
        </w:rPr>
        <w:t> </w:t>
      </w:r>
    </w:p>
    <w:p>
      <w:pPr>
        <w:pStyle w:val="TextBody"/>
        <w:bidi w:val="0"/>
        <w:spacing w:before="0" w:after="0"/>
        <w:ind w:left="1008"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prescribe the terms and conditions of each Award, including, without limitation, the exercise price and medium of payment and vesting provisions, and to specify the provisions of the Award Agreement relating to such grant;</w:t>
      </w:r>
    </w:p>
    <w:p>
      <w:pPr>
        <w:pStyle w:val="TextBody"/>
        <w:bidi w:val="0"/>
        <w:spacing w:before="0" w:after="0"/>
        <w:ind w:left="1008" w:right="0" w:firstLine="720"/>
        <w:jc w:val="both"/>
        <w:rPr>
          <w:caps w:val="false"/>
          <w:smallCaps w:val="false"/>
        </w:rPr>
      </w:pPr>
      <w:r>
        <w:rPr>
          <w:caps w:val="false"/>
          <w:smallCaps w:val="false"/>
        </w:rPr>
        <w:t> </w:t>
      </w:r>
    </w:p>
    <w:p>
      <w:pPr>
        <w:pStyle w:val="TextBody"/>
        <w:bidi w:val="0"/>
        <w:spacing w:before="0" w:after="0"/>
        <w:ind w:left="1008"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amend any outstanding Awards, including for the purpose of modifying the time or manner of vesting, or the term of any outstanding Award;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pStyle w:val="TextBody"/>
        <w:bidi w:val="0"/>
        <w:spacing w:before="0" w:after="0"/>
        <w:ind w:left="1008" w:right="0" w:firstLine="720"/>
        <w:jc w:val="both"/>
        <w:rPr>
          <w:caps w:val="false"/>
          <w:smallCaps w:val="false"/>
        </w:rPr>
      </w:pPr>
      <w:r>
        <w:rPr>
          <w:caps w:val="false"/>
          <w:smallCaps w:val="false"/>
        </w:rPr>
        <w:t> </w:t>
      </w:r>
    </w:p>
    <w:p>
      <w:pPr>
        <w:pStyle w:val="TextBody"/>
        <w:bidi w:val="0"/>
        <w:spacing w:before="0" w:after="0"/>
        <w:ind w:left="1008"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pStyle w:val="TextBody"/>
        <w:bidi w:val="0"/>
        <w:spacing w:before="0" w:after="0"/>
        <w:ind w:left="1008" w:right="0" w:firstLine="720"/>
        <w:jc w:val="both"/>
        <w:rPr>
          <w:caps w:val="false"/>
          <w:smallCaps w:val="false"/>
        </w:rPr>
      </w:pPr>
      <w:r>
        <w:rPr>
          <w:caps w:val="false"/>
          <w:smallCaps w:val="false"/>
        </w:rPr>
        <w:t> </w:t>
      </w:r>
    </w:p>
    <w:p>
      <w:pPr>
        <w:pStyle w:val="TextBody"/>
        <w:bidi w:val="0"/>
        <w:spacing w:before="0" w:after="0"/>
        <w:ind w:left="1008"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make decisions with respect to outstanding Awards that may become necessary upon a change in corporate control or an event that triggers anti-dilution adjustments;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08"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interpret, administer, reconcile any inconsistency in, correct any defect in and/or supply any omission in the Plan and any instrument or agreement relating to, or Award granted under, the Plan; and</w:t>
      </w:r>
    </w:p>
    <w:p>
      <w:pPr>
        <w:pStyle w:val="TextBody"/>
        <w:bidi w:val="0"/>
        <w:spacing w:before="0" w:after="0"/>
        <w:ind w:left="1008" w:right="0" w:firstLine="720"/>
        <w:jc w:val="both"/>
        <w:rPr>
          <w:caps w:val="false"/>
          <w:smallCaps w:val="false"/>
        </w:rPr>
      </w:pPr>
      <w:r>
        <w:rPr>
          <w:caps w:val="false"/>
          <w:smallCaps w:val="false"/>
        </w:rPr>
        <w:t> </w:t>
      </w:r>
    </w:p>
    <w:p>
      <w:pPr>
        <w:pStyle w:val="TextBody"/>
        <w:bidi w:val="0"/>
        <w:spacing w:before="0" w:after="0"/>
        <w:ind w:left="1008"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exercise discretion to make any and all other determinations which it determines to be necessary or advisable for the administration of the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008"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also may modify the purchase price or the exercise price of any outstanding Award.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Committee Decisions Final</w:t>
      </w:r>
      <w:r>
        <w:rPr>
          <w:rFonts w:ascii="Times New Roman;Times;Serif" w:hAnsi="Times New Roman;Times;Serif"/>
          <w:b w:val="false"/>
          <w:i w:val="false"/>
          <w:caps w:val="false"/>
          <w:smallCaps w:val="false"/>
          <w:sz w:val="20"/>
        </w:rPr>
        <w:t>. All decisions made by the Committee pursuant to the provisions of the Plan shall be final and binding on the Company and the Participants, unless such decisions are determined by a court having jurisdiction to be arbitrary and capricious.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Delegation</w:t>
      </w:r>
      <w:r>
        <w:rPr>
          <w:rFonts w:ascii="Times New Roman;Times;Serif" w:hAnsi="Times New Roman;Times;Serif"/>
          <w:b w:val="false"/>
          <w:i w:val="false"/>
          <w:caps w:val="false"/>
          <w:smallCaps w:val="false"/>
          <w:sz w:val="20"/>
        </w:rPr>
        <w:t>. The Committee or, if no Committee has been appointed, the Board may delegate administration of the Plan to a committee or committees of one or more members of the Board, and the term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Committee Composition</w:t>
      </w:r>
      <w:r>
        <w:rPr>
          <w:rFonts w:ascii="Times New Roman;Times;Serif" w:hAnsi="Times New Roman;Times;Serif"/>
          <w:b w:val="false"/>
          <w:i w:val="false"/>
          <w:caps w:val="false"/>
          <w:smallCaps w:val="false"/>
          <w:sz w:val="20"/>
        </w:rPr>
        <w:t>.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 committee of one or more members of the Board who are not Non-Employee Directors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Shares Subject to the Plan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Subject to adjustment in accordance with Section 10, no more than 250,000 shares of Common Stock shall be available for the grant of Awards under the Plan (the “</w:t>
      </w:r>
      <w:r>
        <w:rPr>
          <w:rFonts w:ascii="Times New Roman;Times;Serif" w:hAnsi="Times New Roman;Times;Serif"/>
          <w:b/>
          <w:i w:val="false"/>
          <w:caps w:val="false"/>
          <w:smallCaps w:val="false"/>
          <w:sz w:val="20"/>
        </w:rPr>
        <w:t>Total Share Reserve</w:t>
      </w:r>
      <w:r>
        <w:rPr>
          <w:rFonts w:ascii="Times New Roman;Times;Serif" w:hAnsi="Times New Roman;Times;Serif"/>
          <w:b w:val="false"/>
          <w:i w:val="false"/>
          <w:caps w:val="false"/>
          <w:smallCaps w:val="false"/>
          <w:sz w:val="20"/>
        </w:rPr>
        <w:t>”). Shares of Common Stock underlying Options shall be counted against this limit as one (1) share for every one (1) Option awarded. During the terms of the Awards, the Company shall keep available at all times the number of shares of Common Stock required to satisfy such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Shares of Common Stock available for distribution under the Plan may consist, in whole or in part, of authorized and unissued shares, treasury shares or shares reacquired by the Company in any manner.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Any shares of Common Stock subject to an Award that expires or is canceled, forfeited, or terminated without issuance of the full number of shares of Common Stock to which the Award related will again be available for issuance under the Plan. Notwithstanding anything to the contrary contained herein: shares subject to an Award under the Plan shall not again be made available for issuance or delivery under the Plan if such shares are (a) shares tendered in payment of an Option or (b) shares delivered or withheld by the Company to satisfy any tax withholding obligation.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Eligibility for Specific Awards</w:t>
      </w:r>
      <w:r>
        <w:rPr>
          <w:rFonts w:ascii="Times New Roman;Times;Serif" w:hAnsi="Times New Roman;Times;Serif"/>
          <w:b w:val="false"/>
          <w:i w:val="false"/>
          <w:caps w:val="false"/>
          <w:smallCaps w:val="false"/>
          <w:sz w:val="20"/>
        </w:rPr>
        <w:t>. Awards may be granted to Employees, Consultants and Non-Employee Directors and those individuals whom the Committee determines are reasonably expected to become Employees, Consultants and Directors following the Grant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Option Provisions</w:t>
      </w:r>
      <w:r>
        <w:rPr>
          <w:rFonts w:ascii="Times New Roman;Times;Serif" w:hAnsi="Times New Roman;Times;Serif"/>
          <w:b w:val="false"/>
          <w:i w:val="false"/>
          <w:caps w:val="false"/>
          <w:smallCaps w:val="false"/>
          <w:sz w:val="20"/>
        </w:rPr>
        <w:t>. Each Option granted under the Plan shall be evidenced by an Award Agreement. Each Option so granted shall be subject to the conditions set forth in this Section 6, and to such other conditions not inconsistent with the Plan as may be reflected in the applicable Award Agreement. The provisions of separate Options need not be identical, but each Option shall include (through incorporation of provisions hereof by reference in the Option or otherwise) the substance of each of the following provisions: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The term of a Non-qualified Stock Option granted under the Plan shall be determined by the Committee;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no Non-qualified Stock Option shall be exercisable after the expiration of 10 years from the Grant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Option Exercise Price of each Non-qualified Stock Option shall be not less than 100% of the Fair Market Value of the Common Stock subject to the Option on the Grant Date.</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Consideration</w:t>
      </w:r>
      <w:r>
        <w:rPr>
          <w:rFonts w:ascii="Times New Roman;Times;Serif" w:hAnsi="Times New Roman;Times;Serif"/>
          <w:b w:val="false"/>
          <w:i w:val="false"/>
          <w:caps w:val="false"/>
          <w:smallCaps w:val="false"/>
          <w:sz w:val="20"/>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Times;Serif" w:hAnsi="Times New Roman;Times;Serif"/>
          <w:b/>
          <w:i w:val="false"/>
          <w:caps w:val="false"/>
          <w:smallCaps w:val="false"/>
          <w:sz w:val="20"/>
        </w:rPr>
        <w:t>Stock for Stock Exchange</w:t>
      </w:r>
      <w:r>
        <w:rPr>
          <w:rFonts w:ascii="Times New Roman;Times;Serif" w:hAnsi="Times New Roman;Times;Serif"/>
          <w:b w:val="false"/>
          <w:i w:val="false"/>
          <w:caps w:val="false"/>
          <w:smallCaps w:val="false"/>
          <w:sz w:val="20"/>
        </w:rPr>
        <w:t>”); (ii) a “cashless” exercise program established with a broker; (iii) by reduction in the number of shares of Common Stock otherwise deliverable upon exercise of such Option with a Fair Market Value equal to the aggregate Option Exercise Price at the time of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Common Stock acquired, directly or indirectly from the Company, shall be paid only by shares of the Common Stock of the Company that have been held for more than six months (or such longer or shorter period of time required to avoid a charge to earnings for financial accounting purposes). Notwithstanding the foregoing, during any period for which the Common Stock is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Transferability of a Non-qualified Stock Option</w:t>
      </w:r>
      <w:r>
        <w:rPr>
          <w:rFonts w:ascii="Times New Roman;Times;Serif" w:hAnsi="Times New Roman;Times;Serif"/>
          <w:b w:val="false"/>
          <w:i w:val="false"/>
          <w:caps w:val="false"/>
          <w:smallCaps w:val="false"/>
          <w:sz w:val="20"/>
        </w:rPr>
        <w:t>. A Non-qualified Stock Option may, in the sole discretion of the Committee, be transferable to a Permitted Transferee, 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Vesting of Options</w:t>
      </w:r>
      <w:r>
        <w:rPr>
          <w:rFonts w:ascii="Times New Roman;Times;Serif" w:hAnsi="Times New Roman;Times;Serif"/>
          <w:b w:val="false"/>
          <w:i w:val="false"/>
          <w:caps w:val="false"/>
          <w:smallCaps w:val="false"/>
          <w:sz w:val="20"/>
        </w:rPr>
        <w:t>. Each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 of Common Stock. The Committee may, but shall not be required to, provide for an acceleration of vesting and exercisability in the terms of any Award Agreement upon the occurrence of a specified event.</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Termination of Continuous Service</w:t>
      </w:r>
      <w:r>
        <w:rPr>
          <w:rFonts w:ascii="Times New Roman;Times;Serif" w:hAnsi="Times New Roman;Times;Serif"/>
          <w:b w:val="false"/>
          <w:i w:val="false"/>
          <w:caps w:val="false"/>
          <w:smallCaps w:val="false"/>
          <w:sz w:val="20"/>
        </w:rPr>
        <w:t xml:space="preserve">. Unless otherwise provided in an Award Agreement or in an employment agreement the terms of which have been approved by the Committee,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(a) the date three months following the termination of the Optionholder’s Continuous Service or (b) the expiration of the term of the Option as set forth in the Award Agreement;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if the termination of Continuous Service is by the Company for Cause, all outstanding Options (whether or not vested) shall immediately terminate and cease to be exercisable. If, after termination, the Optionholder does not exercise his or her Option within the time specified in the Award Agreement, the Option shall terminate.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val="false"/>
          <w:caps w:val="false"/>
          <w:smallCaps w:val="false"/>
          <w:sz w:val="20"/>
          <w:u w:val="single"/>
        </w:rPr>
        <w:t>Extension of Termination Date</w:t>
      </w:r>
      <w:r>
        <w:rPr>
          <w:rFonts w:ascii="Times New Roman;Times;Serif" w:hAnsi="Times New Roman;Times;Serif"/>
          <w:b w:val="false"/>
          <w:i w:val="false"/>
          <w:caps w:val="false"/>
          <w:smallCaps w:val="false"/>
          <w:sz w:val="20"/>
        </w:rPr>
        <w:t>. An Optionholder’s Award Agreement may also provide that if the exercise of the Option following the termination of the Optionholder’s Continuous Service for any reason would be prohibited at any time because the issuance of shares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val="false"/>
          <w:caps w:val="false"/>
          <w:smallCaps w:val="false"/>
          <w:sz w:val="20"/>
          <w:u w:val="single"/>
        </w:rPr>
        <w:t>Disability of Optionholder</w:t>
      </w:r>
      <w:r>
        <w:rPr>
          <w:rFonts w:ascii="Times New Roman;Times;Serif" w:hAnsi="Times New Roman;Times;Serif"/>
          <w:b w:val="false"/>
          <w:i w:val="false"/>
          <w:caps w:val="false"/>
          <w:smallCaps w:val="false"/>
          <w:sz w:val="20"/>
        </w:rPr>
        <w:t>. Unless otherwise provided in an Award Agreement, in the event that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(a) the date 6 months following such termination or (b) the expiration of the term of the Option as set forth in the Award Agreement. If, after termination, the Optionholder does not exercise his or her Option within the time specified herein or in the Award Agreement, the Option shall terminate.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val="false"/>
          <w:caps w:val="false"/>
          <w:smallCaps w:val="false"/>
          <w:sz w:val="20"/>
          <w:u w:val="single"/>
        </w:rPr>
        <w:t>Death of Optionholder</w:t>
      </w:r>
      <w:r>
        <w:rPr>
          <w:rFonts w:ascii="Times New Roman;Times;Serif" w:hAnsi="Times New Roman;Times;Serif"/>
          <w:b w:val="false"/>
          <w:i w:val="false"/>
          <w:caps w:val="false"/>
          <w:smallCaps w:val="false"/>
          <w:sz w:val="20"/>
        </w:rPr>
        <w:t>. Unless otherwise provided in an Award Agreement, in the event an Optionholder’s Continuous Service terminates as a result of the Optionholder’s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(a) the date 12 months following the date of death or (b) the expiration of the term of such Option as set forth in the Award Agreement. If, after the Optionholder’s death, the Option is not exercised within the time specified herein or in the Award Agreement, the Option shall terminate.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Securities Law Compliance</w:t>
      </w:r>
      <w:r>
        <w:rPr>
          <w:rFonts w:ascii="Times New Roman;Times;Serif" w:hAnsi="Times New Roman;Times;Serif"/>
          <w:b w:val="false"/>
          <w:i w:val="false"/>
          <w:caps w:val="false"/>
          <w:smallCaps w:val="false"/>
          <w:sz w:val="20"/>
        </w:rPr>
        <w:t xml:space="preserve">. Each Award Agreement shall provide that no shares of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shares of Common Stock upon exercise of the Awards;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Use of Proceeds from Stock</w:t>
      </w:r>
      <w:r>
        <w:rPr>
          <w:rFonts w:ascii="Times New Roman;Times;Serif" w:hAnsi="Times New Roman;Times;Serif"/>
          <w:b w:val="false"/>
          <w:i w:val="false"/>
          <w:caps w:val="false"/>
          <w:smallCaps w:val="false"/>
          <w:sz w:val="20"/>
        </w:rPr>
        <w:t>. Proceeds from the sale of Common Stock pursuant to Awards, or upon exercise thereof, shall constitute general funds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Acceleration of Exercisability and Vesting</w:t>
      </w:r>
      <w:r>
        <w:rPr>
          <w:rFonts w:ascii="Times New Roman;Times;Serif" w:hAnsi="Times New Roman;Times;Serif"/>
          <w:b w:val="false"/>
          <w:i w:val="false"/>
          <w:caps w:val="false"/>
          <w:smallCaps w:val="false"/>
          <w:sz w:val="20"/>
        </w:rPr>
        <w:t>. The Committee shall have the power 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Shareholder Rights</w:t>
      </w:r>
      <w:r>
        <w:rPr>
          <w:rFonts w:ascii="Times New Roman;Times;Serif" w:hAnsi="Times New Roman;Times;Serif"/>
          <w:b w:val="false"/>
          <w:i w:val="false"/>
          <w:caps w:val="false"/>
          <w:smallCaps w:val="false"/>
          <w:sz w:val="20"/>
        </w:rPr>
        <w:t>. Except as provided in the Plan or an Award Agreement, no Participant shall be deemed to be the holder of, or to have any of the rights of a holder with respect to, any shares of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Section 10 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No Employment or Other Service Rights</w:t>
      </w:r>
      <w:r>
        <w:rPr>
          <w:rFonts w:ascii="Times New Roman;Times;Serif" w:hAnsi="Times New Roman;Times;Serif"/>
          <w:b w:val="false"/>
          <w:i w:val="false"/>
          <w:caps w:val="false"/>
          <w:smallCaps w:val="false"/>
          <w:sz w:val="20"/>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val="false"/>
          <w:caps w:val="false"/>
          <w:smallCaps w:val="false"/>
          <w:sz w:val="20"/>
          <w:u w:val="single"/>
        </w:rPr>
        <w:t>Transfer; Approved Leave of Absence</w:t>
      </w:r>
      <w:r>
        <w:rPr>
          <w:rFonts w:ascii="Times New Roman;Times;Serif" w:hAnsi="Times New Roman;Times;Serif"/>
          <w:b w:val="false"/>
          <w:i w:val="false"/>
          <w:caps w:val="false"/>
          <w:smallCaps w:val="false"/>
          <w:sz w:val="20"/>
        </w:rPr>
        <w:t>. For purposes of the Plan, no termination of employment by an Employee shall be deemed to result from either (a) a transfer of employment to the Company from an Affiliate or from the Company to an Affiliate, or from one Affiliate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val="false"/>
          <w:i w:val="false"/>
          <w:caps w:val="false"/>
          <w:smallCaps w:val="false"/>
          <w:sz w:val="20"/>
          <w:u w:val="single"/>
        </w:rPr>
        <w:t>Withholding Obligations</w:t>
      </w:r>
      <w:r>
        <w:rPr>
          <w:rFonts w:ascii="Times New Roman;Times;Serif" w:hAnsi="Times New Roman;Times;Serif"/>
          <w:b w:val="false"/>
          <w:i w:val="false"/>
          <w:caps w:val="false"/>
          <w:smallCaps w:val="false"/>
          <w:sz w:val="20"/>
        </w:rPr>
        <w:t xml:space="preserve">.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 (b) authorizing the Company to withhold shares of Common Stock from the shares of Common Stock otherwise issuable to the Participant as a result of the exercise or acquisition of Common Stock under the Award,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shares of Common Stock are withheld with a value exceeding the maximum amount of tax required to be withheld by law; or (c) delivering to the Company previously owned and unencumbered shares of Common Stock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Adjustments Upon Changes in Stock</w:t>
      </w:r>
      <w:r>
        <w:rPr>
          <w:rFonts w:ascii="Times New Roman;Times;Serif" w:hAnsi="Times New Roman;Times;Serif"/>
          <w:b w:val="false"/>
          <w:i w:val="false"/>
          <w:caps w:val="false"/>
          <w:smallCaps w:val="false"/>
          <w:sz w:val="20"/>
        </w:rPr>
        <w:t>.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the maximum number of shares of Common Stock subject to all Awards stated in Section 4 will be equitably adjusted or substituted, as to the number, price or kind of a share of Common Stock or other consideration subject to such Awards to the extent necessary to preserve the economic intent of such Award. Any adjustments made under this Section 14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Effect of Change in Control</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Unless otherwise provided in an Award Agreement, notwithstanding any provision of the Plan to the contrary: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of a Change in Control, all outstanding Options shall become immediately exercisable with respect to 100% of the shares subject to such Options.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In addition, in the event of a Change in Control, the Committee may in its discretion and upon at least 10 days’ advance notice to the affected persons, cancel any outstanding Awards and pay to the holders thereof, in cash or stock, or any combination thereof, the value of such Awards based upon the price per share of Common Stock received or to be received by other shareholders of the Company in the event..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Amendment of the Plan and Awards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 </w:t>
      </w:r>
      <w:r>
        <w:rPr>
          <w:rFonts w:ascii="Times New Roman;Times;Serif" w:hAnsi="Times New Roman;Times;Serif"/>
          <w:b w:val="false"/>
          <w:i w:val="false"/>
          <w:caps w:val="false"/>
          <w:smallCaps w:val="false"/>
          <w:sz w:val="20"/>
          <w:u w:val="single"/>
        </w:rPr>
        <w:t>Amendment of Plan</w:t>
      </w:r>
      <w:r>
        <w:rPr>
          <w:rFonts w:ascii="Times New Roman;Times;Serif" w:hAnsi="Times New Roman;Times;Serif"/>
          <w:b w:val="false"/>
          <w:i w:val="false"/>
          <w:caps w:val="false"/>
          <w:smallCaps w:val="false"/>
          <w:sz w:val="20"/>
        </w:rPr>
        <w:t>. The Board at any time, and from time to time, may amend or terminate the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 </w:t>
      </w:r>
      <w:r>
        <w:rPr>
          <w:rFonts w:ascii="Times New Roman;Times;Serif" w:hAnsi="Times New Roman;Times;Serif"/>
          <w:b w:val="false"/>
          <w:i w:val="false"/>
          <w:caps w:val="false"/>
          <w:smallCaps w:val="false"/>
          <w:sz w:val="20"/>
          <w:u w:val="single"/>
        </w:rPr>
        <w:t>No Impairment of Rights</w:t>
      </w:r>
      <w:r>
        <w:rPr>
          <w:rFonts w:ascii="Times New Roman;Times;Serif" w:hAnsi="Times New Roman;Times;Serif"/>
          <w:b w:val="false"/>
          <w:i w:val="false"/>
          <w:caps w:val="false"/>
          <w:smallCaps w:val="false"/>
          <w:sz w:val="20"/>
        </w:rPr>
        <w:t>. Rights under any Award granted before amendment of the Plan shall not be impaired by any amendment of the Plan unless (a) the Company requests the consent of the Participant and (b) the Participant consents in writing.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12.3 </w:t>
      </w:r>
      <w:r>
        <w:rPr>
          <w:rFonts w:ascii="Times New Roman;Times;Serif" w:hAnsi="Times New Roman;Times;Serif"/>
          <w:b w:val="false"/>
          <w:i w:val="false"/>
          <w:caps w:val="false"/>
          <w:smallCaps w:val="false"/>
          <w:sz w:val="20"/>
          <w:u w:val="single"/>
        </w:rPr>
        <w:t>Amendment of Awards</w:t>
      </w:r>
      <w:r>
        <w:rPr>
          <w:rFonts w:ascii="Times New Roman;Times;Serif" w:hAnsi="Times New Roman;Times;Serif"/>
          <w:b w:val="false"/>
          <w:i w:val="false"/>
          <w:caps w:val="false"/>
          <w:smallCaps w:val="false"/>
          <w:sz w:val="20"/>
        </w:rPr>
        <w:t xml:space="preserve">. The Committee at any time, and from time to time, may amend the terms of any one or more Awards;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Committee may not affect any amendment which would otherwise constitute an impairment of the rights under any Award unless (a) the Company requests the consent of the Participant and (b) the Participant consents in writing.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 </w:t>
      </w:r>
      <w:r>
        <w:rPr>
          <w:rFonts w:ascii="Times New Roman;Times;Serif" w:hAnsi="Times New Roman;Times;Serif"/>
          <w:b w:val="false"/>
          <w:i w:val="false"/>
          <w:caps w:val="false"/>
          <w:smallCaps w:val="false"/>
          <w:sz w:val="20"/>
          <w:u w:val="single"/>
        </w:rPr>
        <w:t>Forfeiture Events</w:t>
      </w:r>
      <w:r>
        <w:rPr>
          <w:rFonts w:ascii="Times New Roman;Times;Serif" w:hAnsi="Times New Roman;Times;Serif"/>
          <w:b w:val="false"/>
          <w:i w:val="false"/>
          <w:caps w:val="false"/>
          <w:smallCaps w:val="false"/>
          <w:sz w:val="20"/>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13.2 </w:t>
      </w:r>
      <w:r>
        <w:rPr>
          <w:rFonts w:ascii="Times New Roman;Times;Serif" w:hAnsi="Times New Roman;Times;Serif"/>
          <w:b w:val="false"/>
          <w:i w:val="false"/>
          <w:caps w:val="false"/>
          <w:smallCaps w:val="false"/>
          <w:sz w:val="20"/>
          <w:u w:val="single"/>
        </w:rPr>
        <w:t>Clawback</w:t>
      </w:r>
      <w:r>
        <w:rPr>
          <w:rFonts w:ascii="Times New Roman;Times;Serif" w:hAnsi="Times New Roman;Times;Serif"/>
          <w:b w:val="false"/>
          <w:i w:val="false"/>
          <w:caps w:val="false"/>
          <w:smallCaps w:val="false"/>
          <w:sz w:val="20"/>
        </w:rPr>
        <w:t>. Notwithstanding any other provisions in this Plan, the Company may cancel any Award, require reimbursement of any Award by a Participant, and effect any other right of recoupment of equity or other compensation provided under the Plan in accordance with any Company policies that may be adopted and/or modified from time to time (“</w:t>
      </w:r>
      <w:r>
        <w:rPr>
          <w:rFonts w:ascii="Times New Roman;Times;Serif" w:hAnsi="Times New Roman;Times;Serif"/>
          <w:b/>
          <w:i w:val="false"/>
          <w:caps w:val="false"/>
          <w:smallCaps w:val="false"/>
          <w:sz w:val="20"/>
        </w:rPr>
        <w:t>Clawback Policy”</w:t>
      </w:r>
      <w:r>
        <w:rPr>
          <w:rFonts w:ascii="Times New Roman;Times;Serif" w:hAnsi="Times New Roman;Times;Serif"/>
          <w:b w:val="false"/>
          <w:i w:val="false"/>
          <w:caps w:val="false"/>
          <w:smallCaps w:val="false"/>
          <w:sz w:val="20"/>
        </w:rPr>
        <w:t>). In addition, a Participant may be required to repay to the Company previously paid compensation, whether provided pursuant to the Plan or an Award Agreement, in accordance with the Clawback Policy. By accepting an Award, the Participant is agreeing to be bound by the Clawback Policy, as in effect or as may be adopted and/or modified from time to time by the Company in its discretion (including, without limitation, to comply with applicable law or stock exchange listing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13.3 </w:t>
      </w:r>
      <w:r>
        <w:rPr>
          <w:rFonts w:ascii="Times New Roman;Times;Serif" w:hAnsi="Times New Roman;Times;Serif"/>
          <w:b w:val="false"/>
          <w:i w:val="false"/>
          <w:caps w:val="false"/>
          <w:smallCaps w:val="false"/>
          <w:sz w:val="20"/>
          <w:u w:val="single"/>
        </w:rPr>
        <w:t>Other Compensation Arrangements</w:t>
      </w:r>
      <w:r>
        <w:rPr>
          <w:rFonts w:ascii="Times New Roman;Times;Serif" w:hAnsi="Times New Roman;Times;Serif"/>
          <w:b w:val="false"/>
          <w:i w:val="false"/>
          <w:caps w:val="false"/>
          <w:smallCaps w:val="false"/>
          <w:sz w:val="20"/>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13.4 </w:t>
      </w:r>
      <w:r>
        <w:rPr>
          <w:rFonts w:ascii="Times New Roman;Times;Serif" w:hAnsi="Times New Roman;Times;Serif"/>
          <w:b w:val="false"/>
          <w:i w:val="false"/>
          <w:caps w:val="false"/>
          <w:smallCaps w:val="false"/>
          <w:sz w:val="20"/>
          <w:u w:val="single"/>
        </w:rPr>
        <w:t>Unfunded Plan</w:t>
      </w:r>
      <w:r>
        <w:rPr>
          <w:rFonts w:ascii="Times New Roman;Times;Serif" w:hAnsi="Times New Roman;Times;Serif"/>
          <w:b w:val="false"/>
          <w:i w:val="false"/>
          <w:caps w:val="false"/>
          <w:smallCaps w:val="false"/>
          <w:sz w:val="20"/>
        </w:rPr>
        <w:t>. The Plan shall be unfunded. Neither the Company, the Board nor the Committee shall be required to establish any special or separate fund or to segregate any assets to assure the performance of its obligations under the Plan.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13.5 </w:t>
      </w:r>
      <w:r>
        <w:rPr>
          <w:rFonts w:ascii="Times New Roman;Times;Serif" w:hAnsi="Times New Roman;Times;Serif"/>
          <w:b w:val="false"/>
          <w:i w:val="false"/>
          <w:caps w:val="false"/>
          <w:smallCaps w:val="false"/>
          <w:sz w:val="20"/>
          <w:u w:val="single"/>
        </w:rPr>
        <w:t>Recapitalizations</w:t>
      </w:r>
      <w:r>
        <w:rPr>
          <w:rFonts w:ascii="Times New Roman;Times;Serif" w:hAnsi="Times New Roman;Times;Serif"/>
          <w:b w:val="false"/>
          <w:i w:val="false"/>
          <w:caps w:val="false"/>
          <w:smallCaps w:val="false"/>
          <w:sz w:val="20"/>
        </w:rPr>
        <w:t>. Each Award Agreement shall contain provisions required to reflect the provisions of Section 10.</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13.6 </w:t>
      </w:r>
      <w:r>
        <w:rPr>
          <w:rFonts w:ascii="Times New Roman;Times;Serif" w:hAnsi="Times New Roman;Times;Serif"/>
          <w:b w:val="false"/>
          <w:i w:val="false"/>
          <w:caps w:val="false"/>
          <w:smallCaps w:val="false"/>
          <w:sz w:val="20"/>
          <w:u w:val="single"/>
        </w:rPr>
        <w:t>Delivery</w:t>
      </w:r>
      <w:r>
        <w:rPr>
          <w:rFonts w:ascii="Times New Roman;Times;Serif" w:hAnsi="Times New Roman;Times;Serif"/>
          <w:b w:val="false"/>
          <w:i w:val="false"/>
          <w:caps w:val="false"/>
          <w:smallCaps w:val="false"/>
          <w:sz w:val="20"/>
        </w:rPr>
        <w:t>. Upon exercise of a right granted under this Plan, the Company shall issue Common Stock or pay any amounts due within a reasonable period of time thereafter. Subject to any statutory or regulatory obligations the Company may otherwise have, for purposes of this Plan, 30 days shall be considered a reasonable period of time.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13.7 </w:t>
      </w:r>
      <w:r>
        <w:rPr>
          <w:rFonts w:ascii="Times New Roman;Times;Serif" w:hAnsi="Times New Roman;Times;Serif"/>
          <w:b w:val="false"/>
          <w:i w:val="false"/>
          <w:caps w:val="false"/>
          <w:smallCaps w:val="false"/>
          <w:sz w:val="20"/>
          <w:u w:val="single"/>
        </w:rPr>
        <w:t>No Fractional Shares</w:t>
      </w:r>
      <w:r>
        <w:rPr>
          <w:rFonts w:ascii="Times New Roman;Times;Serif" w:hAnsi="Times New Roman;Times;Serif"/>
          <w:b w:val="false"/>
          <w:i w:val="false"/>
          <w:caps w:val="false"/>
          <w:smallCaps w:val="false"/>
          <w:sz w:val="20"/>
        </w:rPr>
        <w:t>. No fractional shares of Common Stock shall be issued or delivered pursuant to the Plan. Fractional shares will be forfeited.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13.8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 The Award Agreements authorized under the Plan may contain such other provisions not inconsistent with this Plan, including, without limitation, restrictions upon the exercise of Awards, as the Committee may deem advisable.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13.9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Section 13.9, such provision to the extent possible shall be interpreted and/or deemed amended so as to avoid such conflict.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13.10 </w:t>
      </w:r>
      <w:r>
        <w:rPr>
          <w:rFonts w:ascii="Times New Roman;Times;Serif" w:hAnsi="Times New Roman;Times;Serif"/>
          <w:b w:val="false"/>
          <w:i w:val="false"/>
          <w:caps w:val="false"/>
          <w:smallCaps w:val="false"/>
          <w:sz w:val="20"/>
          <w:u w:val="single"/>
        </w:rPr>
        <w:t>Beneficiary Designation</w:t>
      </w:r>
      <w:r>
        <w:rPr>
          <w:rFonts w:ascii="Times New Roman;Times;Serif" w:hAnsi="Times New Roman;Times;Serif"/>
          <w:b w:val="false"/>
          <w:i w:val="false"/>
          <w:caps w:val="false"/>
          <w:smallCaps w:val="false"/>
          <w:sz w:val="20"/>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13.11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costs of administering the Plan shall be paid by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13.13 </w:t>
      </w:r>
      <w:r>
        <w:rPr>
          <w:rFonts w:ascii="Times New Roman;Times;Serif" w:hAnsi="Times New Roman;Times;Serif"/>
          <w:b w:val="false"/>
          <w:i w:val="false"/>
          <w:caps w:val="false"/>
          <w:smallCaps w:val="false"/>
          <w:sz w:val="20"/>
          <w:u w:val="single"/>
        </w:rPr>
        <w:t>Plan Headings</w:t>
      </w:r>
      <w:r>
        <w:rPr>
          <w:rFonts w:ascii="Times New Roman;Times;Serif" w:hAnsi="Times New Roman;Times;Serif"/>
          <w:b w:val="false"/>
          <w:i w:val="false"/>
          <w:caps w:val="false"/>
          <w:smallCaps w:val="false"/>
          <w:sz w:val="20"/>
        </w:rPr>
        <w:t>. The headings in the Plan are for purposes of convenience only and are not intended to define or limit the construction of the provisions 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13.14 </w:t>
      </w:r>
      <w:r>
        <w:rPr>
          <w:rFonts w:ascii="Times New Roman;Times;Serif" w:hAnsi="Times New Roman;Times;Serif"/>
          <w:b w:val="false"/>
          <w:i w:val="false"/>
          <w:caps w:val="false"/>
          <w:smallCaps w:val="false"/>
          <w:sz w:val="20"/>
          <w:u w:val="single"/>
        </w:rPr>
        <w:t>Non-Uniform Treatment</w:t>
      </w:r>
      <w:r>
        <w:rPr>
          <w:rFonts w:ascii="Times New Roman;Times;Serif" w:hAnsi="Times New Roman;Times;Serif"/>
          <w:b w:val="false"/>
          <w:i w:val="false"/>
          <w:caps w:val="false"/>
          <w:smallCaps w:val="false"/>
          <w:sz w:val="20"/>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Effective Date of Plan</w:t>
      </w:r>
      <w:r>
        <w:rPr>
          <w:rFonts w:ascii="Times New Roman;Times;Serif" w:hAnsi="Times New Roman;Times;Serif"/>
          <w:b w:val="false"/>
          <w:i w:val="false"/>
          <w:caps w:val="false"/>
          <w:smallCaps w:val="false"/>
          <w:sz w:val="20"/>
        </w:rPr>
        <w:t>. The Plan shall become effective as of the Effective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Termination or Suspension of the Plan</w:t>
      </w:r>
      <w:r>
        <w:rPr>
          <w:rFonts w:ascii="Times New Roman;Times;Serif" w:hAnsi="Times New Roman;Times;Serif"/>
          <w:b w:val="false"/>
          <w:i w:val="false"/>
          <w:caps w:val="false"/>
          <w:smallCaps w:val="false"/>
          <w:sz w:val="20"/>
        </w:rPr>
        <w:t>. The Plan shall terminate automatically on January 13, 2034. No Award shall be granted pursuant to the Plan after such date, but Awards theretofore granted may extend beyond that date. The Board may suspend or terminate the Plan at any earlier date pursuant to Section 12.1 hereof. No Awards may be granted under the Plan while the Plan is suspended or after it is terminated.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Choice of Law</w:t>
      </w:r>
      <w:r>
        <w:rPr>
          <w:rFonts w:ascii="Times New Roman;Times;Serif" w:hAnsi="Times New Roman;Times;Serif"/>
          <w:b w:val="false"/>
          <w:i w:val="false"/>
          <w:caps w:val="false"/>
          <w:smallCaps w:val="false"/>
          <w:sz w:val="20"/>
        </w:rPr>
        <w:t>. The law of the State of Delaware shall govern all questions concerning the construction, validity and interpretation of this Plan, without regard to such state’s conflict of law rules.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adopted by the Board of Directors of Reed’s, Inc. on January 13, 2024.</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859" w:name="ex10-23.htm"/>
      <w:bookmarkStart w:id="860" w:name="ksex1023"/>
      <w:bookmarkEnd w:id="859"/>
      <w:bookmarkEnd w:id="860"/>
      <w:r>
        <w:rPr>
          <w:caps w:val="false"/>
          <w:smallCaps w:val="false"/>
        </w:rPr>
        <w:t> </w:t>
      </w:r>
      <w:r>
        <w:br w:type="page"/>
      </w:r>
    </w:p>
    <w:p>
      <w:pPr>
        <w:pStyle w:val="TextBody"/>
        <w:shd w:fill="FFFFFF" w:val="clear"/>
        <w:bidi w:val="0"/>
        <w:spacing w:before="0" w:after="0"/>
        <w:ind w:left="0" w:right="0" w:firstLine="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10.23</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identified information has been excluded from the exhibit because it both (i) is not material and (ii) would be competitively harmful if publicly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FIFTH AMENDMENT TO THE 10% SECURED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FIFTH AMENDMENT TO THE 10% SECURED CONVERTIBLE NOTES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dated and effective as of October 5, 2023 between REED’S,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Holders party hereto, and WILMINGTON SAVINGS FUND SOCIETY, FSB, as Holder Representative and Collateral Agent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Incorporation of Terms</w:t>
      </w:r>
      <w:r>
        <w:rPr>
          <w:rFonts w:ascii="Times New Roman;Times;Serif" w:hAnsi="Times New Roman;Times;Serif"/>
          <w:b w:val="false"/>
          <w:i w:val="false"/>
          <w:caps w:val="false"/>
          <w:smallCaps w:val="false"/>
          <w:sz w:val="20"/>
        </w:rPr>
        <w:t>. All capitalized terms not otherwise defined herein shall have the same meaning as in that certain Note Purchase Agreement, dated as of May 9, 2022, as amended (the “</w:t>
      </w:r>
      <w:r>
        <w:rPr>
          <w:rFonts w:ascii="Times New Roman;Times;Serif" w:hAnsi="Times New Roman;Times;Serif"/>
          <w:b/>
          <w:i w:val="false"/>
          <w:caps w:val="false"/>
          <w:smallCaps w:val="false"/>
          <w:sz w:val="20"/>
        </w:rPr>
        <w:t>Note Purchase Agreement</w:t>
      </w:r>
      <w:r>
        <w:rPr>
          <w:rFonts w:ascii="Times New Roman;Times;Serif" w:hAnsi="Times New Roman;Times;Serif"/>
          <w:b w:val="false"/>
          <w:i w:val="false"/>
          <w:caps w:val="false"/>
          <w:smallCaps w:val="false"/>
          <w:sz w:val="20"/>
        </w:rPr>
        <w:t>”), between the Company, the Holder Representative and each purchaser on the schedule of purchasers thereto, or in the 10% Secured Convertible Notes, as amended (each, a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issued by the Company pursuant to the Note Purchase Agreement,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hereby represents and warrants that after giving effect to this Agreement, all representations and warranties contained in the Notes are true and correct, in all material respects, on and as of the date hereof, except (a) to the extent that such representations and warranties specifically refer to an earlier date, in which case they shall be true and correct as of such earlier date, and (b) in the case of any representation and warranty qualified by materiality, they shall be true and correct in all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Amendments to the Notes</w:t>
      </w:r>
      <w:r>
        <w:rPr>
          <w:rFonts w:ascii="Times New Roman;Times;Serif" w:hAnsi="Times New Roman;Times;Serif"/>
          <w:b w:val="false"/>
          <w:i w:val="false"/>
          <w:caps w:val="false"/>
          <w:smallCaps w:val="false"/>
          <w:sz w:val="20"/>
        </w:rPr>
        <w:t>. The Company, the Agent and the Holders agree to amend all Notes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Maturity Date</w:t>
      </w:r>
      <w:r>
        <w:rPr>
          <w:rFonts w:ascii="Times New Roman;Times;Serif" w:hAnsi="Times New Roman;Times;Serif"/>
          <w:b w:val="false"/>
          <w:i w:val="false"/>
          <w:caps w:val="false"/>
          <w:smallCaps w:val="false"/>
          <w:sz w:val="20"/>
        </w:rPr>
        <w:t>. The definition of the term “Maturity Date” of each Purchased Third Option Note shall be amended by replacing “September 29, 2023” with “November 28, 2023”.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3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Regarding Strategic Alternatives Analysis</w:t>
      </w:r>
      <w:r>
        <w:rPr>
          <w:rFonts w:ascii="Times New Roman;Times;Serif" w:hAnsi="Times New Roman;Times;Serif"/>
          <w:b w:val="false"/>
          <w:i w:val="false"/>
          <w:caps w:val="false"/>
          <w:smallCaps w:val="false"/>
          <w:sz w:val="20"/>
        </w:rPr>
        <w:t>. Section 7(kk) of the Notes is amended and restated in its entirety as follows:</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The terms and provisions hereof shall be binding upon and inure to the benefit of the parties hereto and their heirs, representatives, successors and assigns.</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Reaffirmation of Obligations</w:t>
      </w:r>
      <w:r>
        <w:rPr>
          <w:rFonts w:ascii="Times New Roman;Times;Serif" w:hAnsi="Times New Roman;Times;Serif"/>
          <w:b w:val="false"/>
          <w:i w:val="false"/>
          <w:caps w:val="false"/>
          <w:smallCaps w:val="false"/>
          <w:sz w:val="20"/>
        </w:rPr>
        <w:t>. The Company hereby ratifies the Note Documents and acknowledges and reaffirms (a) that it is bound by all terms of the Note Documents applicable to it and (b) that it is responsible for the observance and full performance of its respective Obligations.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Note Document</w:t>
      </w:r>
      <w:r>
        <w:rPr>
          <w:rFonts w:ascii="Times New Roman;Times;Serif" w:hAnsi="Times New Roman;Times;Serif"/>
          <w:b w:val="false"/>
          <w:i w:val="false"/>
          <w:caps w:val="false"/>
          <w:smallCaps w:val="false"/>
          <w:sz w:val="20"/>
        </w:rPr>
        <w:t>. This Agreement shall constitute a Note Document under the terms of each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Multiple Counterparts</w:t>
      </w:r>
      <w:r>
        <w:rPr>
          <w:rFonts w:ascii="Times New Roman;Times;Serif" w:hAnsi="Times New Roman;Times;Serif"/>
          <w:b w:val="false"/>
          <w:i w:val="false"/>
          <w:caps w:val="false"/>
          <w:smallCaps w:val="false"/>
          <w:sz w:val="20"/>
        </w:rPr>
        <w:t>. 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telecopy, pdf or other electronic transmission shall be as effective as delivery of a manually executed counterpart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ANY CLAIMS, CONTROVERSY, DISPUTE OR CAUSE OF ACTION, WHETHER IN LAW OR EQUITY, WHETHER IN CONTRACT OR IN TORT OR OTHERWISE BASED UPON, ARISING OUT OF OR RELATING TO THIS AGREEMENT AND THE TRANSACTIONS CONTEMPLATED HEREBY SHALL BE GOVERNED BY, AND CONSTRUED IN ACCORDANCE WITH, THE LAW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Consent to Jurisdiction; Service of Process; Agreement of Jury Trial</w:t>
      </w:r>
      <w:r>
        <w:rPr>
          <w:rFonts w:ascii="Times New Roman;Times;Serif" w:hAnsi="Times New Roman;Times;Serif"/>
          <w:b w:val="false"/>
          <w:i w:val="false"/>
          <w:caps w:val="false"/>
          <w:smallCaps w:val="false"/>
          <w:sz w:val="20"/>
        </w:rPr>
        <w:t>. The jurisdiction, service of process and waiver of jury trial provisions set forth in subsections 13(h) and 13(i) of the Notes are hereby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Agent Authorization</w:t>
      </w:r>
      <w:r>
        <w:rPr>
          <w:rFonts w:ascii="Times New Roman;Times;Serif" w:hAnsi="Times New Roman;Times;Serif"/>
          <w:b w:val="false"/>
          <w:i w:val="false"/>
          <w:caps w:val="false"/>
          <w:smallCaps w:val="false"/>
          <w:sz w:val="20"/>
        </w:rPr>
        <w:t>. Each of the undersigned Holders hereby authorizes and directs Agent to execute and deliver this Agreement on its behalf and, by its execution below, each of the undersigned Holders agrees to be bound by the terms and conditions of this Agreement. In executing this Agreement, the Agent shall be entitled to all of the rights, benefits, protections, indemnities and immunities afforded to it pursuant to the Note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Fifth Amendment of the 10% Secured Convertible Notes has been duly executed and delivered by each of the parties hereto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6749" w:type="dxa"/>
        <w:jc w:val="left"/>
        <w:tblInd w:w="0" w:type="dxa"/>
        <w:tblLayout w:type="fixed"/>
        <w:tblCellMar>
          <w:top w:w="0" w:type="dxa"/>
          <w:left w:w="0" w:type="dxa"/>
          <w:bottom w:w="0" w:type="dxa"/>
          <w:right w:w="0" w:type="dxa"/>
        </w:tblCellMar>
      </w:tblPr>
      <w:tblGrid>
        <w:gridCol w:w="560"/>
        <w:gridCol w:w="2045"/>
        <w:gridCol w:w="60"/>
        <w:gridCol w:w="905"/>
        <w:gridCol w:w="3179"/>
      </w:tblGrid>
      <w:tr>
        <w:trPr/>
        <w:tc>
          <w:tcPr>
            <w:tcW w:w="26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 REPRESENTATIVE:</w:t>
            </w:r>
          </w:p>
        </w:tc>
      </w:tr>
      <w:tr>
        <w:trPr/>
        <w:tc>
          <w:tcPr>
            <w:tcW w:w="26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6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84" w:type="dxa"/>
            <w:gridSpan w:val="2"/>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in its capacity as the Holder Representative</w:t>
            </w:r>
          </w:p>
        </w:tc>
      </w:tr>
      <w:tr>
        <w:trPr/>
        <w:tc>
          <w:tcPr>
            <w:tcW w:w="26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7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Raye Goldsborough</w:t>
            </w:r>
          </w:p>
        </w:tc>
      </w:tr>
      <w:tr>
        <w:trPr/>
        <w:tc>
          <w:tcPr>
            <w:tcW w:w="5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Raye Goldsborough</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1"/>
        <w:gridCol w:w="2471"/>
        <w:gridCol w:w="60"/>
        <w:gridCol w:w="1530"/>
        <w:gridCol w:w="5363"/>
      </w:tblGrid>
      <w:tr>
        <w:trPr/>
        <w:tc>
          <w:tcPr>
            <w:tcW w:w="3252"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93"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COLLATERAL AGENT:</w:t>
            </w:r>
          </w:p>
        </w:tc>
      </w:tr>
      <w:tr>
        <w:trPr/>
        <w:tc>
          <w:tcPr>
            <w:tcW w:w="325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93"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252"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Whitebox Multi-Strategy Partners,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9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 solely in its capacity as the Collateral Agent</w:t>
            </w:r>
          </w:p>
        </w:tc>
      </w:tr>
      <w:tr>
        <w:trPr/>
        <w:tc>
          <w:tcPr>
            <w:tcW w:w="781" w:type="dxa"/>
            <w:tcBorders/>
            <w:vAlign w:val="center"/>
          </w:tcPr>
          <w:p>
            <w:pPr>
              <w:pStyle w:val="TableContents"/>
              <w:bidi w:val="0"/>
              <w:spacing w:before="0" w:after="283"/>
              <w:jc w:val="left"/>
              <w:rPr>
                <w:caps w:val="false"/>
                <w:smallCaps w:val="false"/>
              </w:rPr>
            </w:pPr>
            <w:r>
              <w:rPr>
                <w:caps w:val="false"/>
                <w:smallCaps w:val="false"/>
              </w:rPr>
              <w:t> </w:t>
            </w:r>
          </w:p>
        </w:tc>
        <w:tc>
          <w:tcPr>
            <w:tcW w:w="247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0" w:type="dxa"/>
            <w:tcBorders/>
            <w:vAlign w:val="center"/>
          </w:tcPr>
          <w:p>
            <w:pPr>
              <w:pStyle w:val="TableContents"/>
              <w:bidi w:val="0"/>
              <w:spacing w:before="0" w:after="283"/>
              <w:jc w:val="left"/>
              <w:rPr>
                <w:caps w:val="false"/>
                <w:smallCaps w:val="false"/>
              </w:rPr>
            </w:pPr>
            <w:r>
              <w:rPr>
                <w:caps w:val="false"/>
                <w:smallCaps w:val="false"/>
              </w:rPr>
              <w:t> </w:t>
            </w:r>
          </w:p>
        </w:tc>
        <w:tc>
          <w:tcPr>
            <w:tcW w:w="536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7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Jacob Mercer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36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Raye Goldsborough</w:t>
            </w:r>
          </w:p>
        </w:tc>
      </w:tr>
      <w:tr>
        <w:trPr/>
        <w:tc>
          <w:tcPr>
            <w:tcW w:w="7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Jacob Mercer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Raye Goldsborough</w:t>
            </w:r>
          </w:p>
        </w:tc>
      </w:tr>
      <w:tr>
        <w:trPr/>
        <w:tc>
          <w:tcPr>
            <w:tcW w:w="7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785"/>
        <w:gridCol w:w="2489"/>
        <w:gridCol w:w="75"/>
      </w:tblGrid>
      <w:tr>
        <w:trPr/>
        <w:tc>
          <w:tcPr>
            <w:tcW w:w="32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Whitebox Relative Value Partners, 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Jacob Mercer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Jacob Mercer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2489"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Pandora Select Partners, 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Jacob Mercer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Jacob Mercer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2489"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Whitebox GT Fund, 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Jacob Mercer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Jacob Mercer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861" w:name="ex14.htm"/>
      <w:bookmarkStart w:id="862" w:name="ksex14"/>
      <w:bookmarkEnd w:id="861"/>
      <w:bookmarkEnd w:id="86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Company’s reputation for honesty and integrity is the sum of the personal reputations of our directors, officers and employees. To protect this reputation and to promote compliance with laws, rules and regulations, this Code of Ethics (the “Code”) has been adopted by our Board of Directors. This Code is only one aspect of our commitment. You must also be familiar with and comply with all other policies contained in our employee policy manual or otherwise made available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Code sets out the basic standards of ethics and conduct to which all of our directors, officers and employees are held. These standards are designed to deter wrongdoing and to promote honest and ethical conduct, but will not cover all situations. If a law conflicts with a policy in this Code, you must comply with the law; however, if a local custom or policy conflicts with this Code, you must comply with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doubts whatsoever as to the propriety of a particular situation, you should submit it in writing to any director who is neither an employee of the Company nor a consultant to the Company (“Outside Director”), who will review the situation and take appropriate action in keeping with this Code, our other corporate policies and the applicable law. If your concern relates to that individual, you should submit your concern, in writing, to the President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violate the standards set out in this Code will be subject to disciplinary action.</w:t>
      </w:r>
    </w:p>
    <w:p>
      <w:pPr>
        <w:pStyle w:val="TextBody"/>
        <w:bidi w:val="0"/>
        <w:spacing w:before="0" w:after="0"/>
        <w:ind w:left="0" w:right="0" w:hanging="0"/>
        <w:jc w:val="left"/>
        <w:rPr>
          <w:caps w:val="false"/>
          <w:smallCaps w:val="false"/>
        </w:rPr>
      </w:pPr>
      <w:r>
        <w:rPr>
          <w:caps w:val="false"/>
          <w:smallCaps w:val="false"/>
        </w:rPr>
        <w:t> </w:t>
      </w:r>
    </w:p>
    <w:tbl>
      <w:tblPr>
        <w:tblW w:w="715" w:type="dxa"/>
        <w:jc w:val="left"/>
        <w:tblInd w:w="0" w:type="dxa"/>
        <w:tblLayout w:type="fixed"/>
        <w:tblCellMar>
          <w:top w:w="0" w:type="dxa"/>
          <w:left w:w="0" w:type="dxa"/>
          <w:bottom w:w="0" w:type="dxa"/>
          <w:right w:w="0" w:type="dxa"/>
        </w:tblCellMar>
      </w:tblPr>
      <w:tblGrid>
        <w:gridCol w:w="185"/>
        <w:gridCol w:w="53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5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Scope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director, officer or employee (including temporary employee or independent contractor) of the Company or any of its subsidiaries, you are subject to this Code.</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185"/>
        <w:gridCol w:w="239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3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Honest and Ethical Conduct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 a Company, require honest and ethical conduct from everyone subject to this Code. Each of you has a responsibility to all other directors, officers and employees of our Company, and to our Company itself, to act in good faith, responsibly, with due care, competence and diligence, without misrepresenting material facts or allowing your independent judgment to be subordinated and otherwise to conduct yourself in a manner that meets with our ethical and legal standards.</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185"/>
        <w:gridCol w:w="392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39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Laws, Rules and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required to comply with all applicable governmental laws, rules and regulations, both in letter and in spirit. Although you are not expected to know the details of all the applicable laws, rules and regulations, we expect you to seek advice from an Outside Director if you have any questions about whether the requirement applies to the situation or what conduct may be required to comply with any law, rule or regulation.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Outside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Outside Directors are responsible for overseeing our compliance system. Our Outside Directors ensure that there is broad application and consistent interpretation of our standards in the Company. Any Outside Director shall report to either or both the Audit Committee or the Nominating and Corporate Governance Committee, as such Outside Director deems appropriate in each specific matter.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185"/>
        <w:gridCol w:w="16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Conflicts of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 handle in an ethical manner any actual or apparent conflict of interest between your personal and business relationships. Conflicts of interest are prohibited as a matter of policy. Even the appearance of a conflict may damage your reputation or that of the Company. A “conflict of interest” exists when a person’s private interest interferes in any way with the interests of our Company. For example, a conflict situation arises if you take actions or have interests that interfere with your ability to perform your work for our Company objectively and effectively. Conflicts of interest also may arise if you, or a member of your family, receive an improper personal benefit as a result of your position with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become aware of any transaction or relationship that reasonably could be expected to give rise to a conflict of interest, you should report it promptly to an Outside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 are prohibited as a matter of Company policy, except under guidelines approved by the Board of Directors. The standards apply to certain common situations where potential conflicts of interest may arise. Although we do not intend to restrict the application of our policies by being too specific, we are describing below certain situations in which a conflict of interest may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Gifts and Entertainment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gifts and entertainment offered by persons doing business with our Company may be accepted when offered in the ordinary and normal course of the business relationship. However, the frequency and cost of any such gifts or entertainment may not be so excessive that your ability to exercise independent judgment on behalf of our Company is or may appear to be compromised.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situation where a cash gift is offered or the value of a gift given exceeds $100, you must disclose all such gifts to an Outside Director. The Outside Director will report such gifts to the Company’s Nominating and Corporate Governance Committee which will determine how such gifts should be handled.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Financial Interests In Other Organizations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whether any outside investment, financial arrangement or other interest in another organization is improper depends on the facts and circumstances of each case. Your ownership of an interest in another organization may be inappropriate if the other organization has a material business relationship with, or is a direct competitor of, our Company and your financial interest is of such a size that your ability to exercise independent judgment on behalf of our Company is or may appear to be compromised. As a general rule, a passive investment would not likely be considered improper if it: (i) is in publicly traded shares; (ii) represents less than 1% of the outstanding equity of the organization in question; and (iii) represents less than 5% of your net worth. Other interests also may not be improper, depending on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Outside Business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whether any outside position an employee may hold is improper will depend on the facts and circumstances of each case. Your involvement in trade associations, professional societies, and charitable and similar organizations will not normally be viewed as improper. However, if those activities are likely to take substantial time from or otherwise conflict with your responsibilities to our Company, you should obtain prior approval from your supervisor. Other outside associations or activities in which you may be involved are likely to be viewed as improper only if they would interfere with your ability to devote proper time and attention to your responsibilities to our Company or if your involvement is with another Company with which our Company does business or competes. For a director, employment or affiliation with a Company with which our Company does business or competes must be fully disclosed to our Company’s Board of Directors or the Nominating and Corporate Governance Committee of the Board of Directors and must satisfy any other standards established by applicable law, rule (including rule of any applicable stock exchange or market on which our Company’s securities trade) or regulation and any other corporate governance guidelines that our Company may establish.</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Indirect Violations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indirectly, through a spouse, family member, affiliate, friend, partner, or associate, have any interest or engage in any activity that would violate this Code if you directly had the interest or engaged in the activity. Any such relationship should be fully disclosed to an Outside Director or the President of the Company (or the Board of Directors or the Nominating and Corporate Governance Committee of the Board of Directors if you are a director of our Company), who will make a determination as to whether the relationship is inappropriate, based upon the standards set forth in this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Corporate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prohibited from taking for yourself, personally, opportunities that are discovered through the use of corporate property, information or position, unless the Board of Directors has specifically declined to pursue the opportunity. You may not use corporate property, information, or position for personal gain, or to compete with our Company. You owe a duty to our Company to advance its legitimate interests whenever the opportunity to do so arises.</w:t>
      </w:r>
    </w:p>
    <w:p>
      <w:pPr>
        <w:pStyle w:val="TextBody"/>
        <w:bidi w:val="0"/>
        <w:spacing w:before="0" w:after="0"/>
        <w:ind w:left="0" w:right="0" w:hanging="0"/>
        <w:jc w:val="left"/>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185"/>
        <w:gridCol w:w="111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1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Dealing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endeavor to deal fairly with our Company’s suppliers, competitors and employees and with other persons with whom our Company does business. You should not take unfair advantage of anyone through manipulation, concealment, abuse of privileged information, misrepresentation of material facts, or any other unfair-dealing practice.</w:t>
      </w:r>
    </w:p>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185"/>
        <w:gridCol w:w="15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5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Disclosures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our Company’s policy to provide full, fair, accurate, timely, and understandable disclosure in all reports and documents that we file with, or submit to, the Securities and Exchange Commission and in all other public communications made by our Company.</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85"/>
        <w:gridCol w:w="31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31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Reporting Responsibilities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it is of critical importance that our Company’s filings with the Securities and Exchange Commission be accurate and timely. Depending on their position with the Company, employees may be called upon to provide information to assure that the Company’s public reports are complete, fair and understandable. We expect all of our personnel to take this responsibility very seriously and to provide prompt and accurate answers to inquiries related to the Company’s public disclosure requirements.</w:t>
      </w:r>
    </w:p>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185"/>
        <w:gridCol w:w="13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maintain the confidentiality of all confidential information entrusted to you by our Company or by persons with whom our Company does business, except when disclosure is authorized or legally mandated. Confidential information includes all non-public information that might be of use to competitors of, or harmful to, our Company or persons with whom our Company does business, if disclosed.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185"/>
        <w:gridCol w:w="13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13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access to material, non-public information concerning our Company, you are not permitted to use or share that information for stock trading purposes, or for any other purpose except the conduct of our Company’s business. All non-public information about our Company should be considered confidential information. Insider trading, which is the use of material, non-public information for personal financial benefit or to “tip” others who might make an investment decision on the basis of this information, is not only unethical but also illegal. The prohibition on insider trading applies not only to our Company’s securities, but also to securities of other companies if you learn of material non-public information about these companies in the course of your duties to the Company. Violations of this prohibition against “insider trading” may subject you to criminal or civil liability, in addition to disciplinary action by our Company.</w:t>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90"/>
        <w:gridCol w:w="39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39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Protection and Proper Use of Company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protect our Company’s assets and promote their efficient use. Theft, carelessness, and waste have a direct impact on our Company’s profitability. All corporate assets should be used for legitimate business purposes. The obligation of employees to protect the Company’s assets includes its proprietary information. Proprietary information includes intellectual property such as trade secrets, patents, trademarks, and copyrights, as well as business, marketing and service plans, engineering and manufacturing ideas, designs, databases, records, salary information and any unpublished financial data and reports. Unauthorized use or distribution of this information would violate Company policy. It could also be illegal and result in civil or even criminal penalties.</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90"/>
        <w:gridCol w:w="42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4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Interpretations and Waivers of the Code of Ethics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uncertain whether a particular activity or relationship is improper under this Code or requires a waiver of this Code, you should disclose it to an Outside Director (or the Board of Directors or Nominating and Corporate Governance Committee if you are a director or senior executive officer), who will make a determination as to whether a waiver of this Code is required and, if required, whether a waiver will be granted. You may be required to agree to conditions before a waiver or a continuing waiver is granted. However, any waiver of this Code for an executive officer or director may be made only by our Board of Directors and will be promptly disclosed to the extent required by applicable law, rule (including any rule of any applicable stock exchange) or regulation.</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290"/>
        <w:gridCol w:w="37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37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 any Illegal or Unethical Behavior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desires to promote ethical behavior. Employees are encouraged to talk to supervisors, managers or other appropriate personnel when in doubt about the best course of action in a particular situation. Additionally, employees should promptly report violations of laws, rules, regulations or this Code to an Outside Director. Any report or allegation of a violation of applicable laws, rules, regulations or this Code need not be signed and may be sent anonymously. All reports of violations of this Code, including reports sent anonymously, will be promptly investigated and, if found to be accurate, acted upon in a timely manner. If any report of wrongdoing relates to accounting or financial reporting matters, or relates to persons involved in the development or implementation of our Company’s system of internal controls, a copy of the report will be promptly provided to the Chairman of the Audit Committee of the Board of Directors, which may participate in the investigation and resolution of the matter. It is the policy of our Company not to allow actual or threatened retaliation, harassment or discrimination due to reports of misconduct by others made in good faith by employees. Employees are expected to cooperate in internal investigations of misconduct. We believe that confidentiality is a priority and every effort will be made to protect your identity whenever you interact with any element of the compliance system. In some instances, it may be impossible to keep your identity confidential because of the demands of conducting a thorough investigation or because of certain legal requirements.</w:t>
      </w:r>
    </w:p>
    <w:p>
      <w:pPr>
        <w:pStyle w:val="TextBody"/>
        <w:bidi w:val="0"/>
        <w:spacing w:before="0" w:after="0"/>
        <w:ind w:left="0" w:right="0" w:firstLine="72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90"/>
        <w:gridCol w:w="123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2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 of any of the standards contained in this Code, or in any other policy, practice or instruction of our Company, can result in disciplinary actions, including dismissal and civil or criminal action against the violator. This Code should not be construed as a contract of employment and does not change any person’s status as an at-will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Code is for the benefit of our Company, and no other person is entitled to enforce this Code. This Code does not, and should not be construed to, create any private cause of action or remedy in any other person for a violation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Resolution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19, 2006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863" w:name="ex21.htm"/>
      <w:bookmarkStart w:id="864" w:name="ksex21"/>
      <w:bookmarkEnd w:id="863"/>
      <w:bookmarkEnd w:id="86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of Reed’s,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865" w:name="ex23.htm"/>
      <w:bookmarkStart w:id="866" w:name="ksex23"/>
      <w:bookmarkEnd w:id="865"/>
      <w:bookmarkEnd w:id="866"/>
      <w:r>
        <w:rPr/>
        <w:t> </w:t>
      </w:r>
      <w:r>
        <w:br w:type="page"/>
      </w:r>
    </w:p>
    <w:p>
      <w:pPr>
        <w:pStyle w:val="TextBody"/>
        <w:bidi w:val="0"/>
        <w:jc w:val="right"/>
        <w:rPr>
          <w:b/>
        </w:rPr>
      </w:pPr>
      <w:r>
        <w:rPr>
          <w:b/>
        </w:rPr>
        <w:t>Exhibit 23</w:t>
      </w:r>
    </w:p>
    <w:p>
      <w:pPr>
        <w:pStyle w:val="TextBody"/>
        <w:bidi w:val="0"/>
        <w:jc w:val="center"/>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We consent to the incorporation by reference in the Registration Statements on Form S-8 (File Nos. 333-276982, 333-263319 and 333-235851) and Form S-1 (File Nos. 333-274035 and 333-274034)</w:t>
      </w:r>
      <w:r>
        <w:rPr>
          <w:rFonts w:ascii="Times New Roman;Times;Serif" w:hAnsi="Times New Roman;Times;Serif"/>
          <w:b w:val="false"/>
          <w:i w:val="false"/>
          <w:caps w:val="false"/>
          <w:smallCaps w:val="false"/>
          <w:sz w:val="20"/>
        </w:rPr>
        <w:t>, of our report dated April 1, 2024, relating to the financial statements of Reed’s, Inc. as of December 31, 2023 and 2022 and for the years then ended, included in this Annual Report on Form 10-K for the year ended December 31,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/s/Weinberg &amp; Company, P.A.</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2024</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right"/>
        <w:rPr>
          <w:caps w:val="false"/>
          <w:smallCaps w:val="false"/>
        </w:rPr>
      </w:pPr>
      <w:bookmarkStart w:id="867" w:name="ex31-1.htm"/>
      <w:bookmarkStart w:id="868" w:name="ksex311"/>
      <w:bookmarkEnd w:id="867"/>
      <w:bookmarkEnd w:id="868"/>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Norman E. Snyder, Jr., certify that: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of Reed’s,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fourth fiscal quarter]that has materially affected, or is reasonably likely to materially affect, the registrant’s internal control over financial reporting;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 2024</w:t>
      </w:r>
    </w:p>
    <w:p>
      <w:pPr>
        <w:pStyle w:val="TextBody"/>
        <w:bidi w:val="0"/>
        <w:spacing w:before="0" w:after="0"/>
        <w:ind w:left="720" w:right="0" w:hanging="0"/>
        <w:jc w:val="both"/>
        <w:rPr>
          <w:caps w:val="false"/>
          <w:smallCaps w:val="false"/>
        </w:rPr>
      </w:pPr>
      <w:r>
        <w:rPr>
          <w:caps w:val="false"/>
          <w:smallCaps w:val="false"/>
        </w:rPr>
        <w:t> </w:t>
      </w:r>
    </w:p>
    <w:tbl>
      <w:tblPr>
        <w:tblW w:w="2525" w:type="dxa"/>
        <w:jc w:val="left"/>
        <w:tblInd w:w="0" w:type="dxa"/>
        <w:tblLayout w:type="fixed"/>
        <w:tblCellMar>
          <w:top w:w="0" w:type="dxa"/>
          <w:left w:w="0" w:type="dxa"/>
          <w:bottom w:w="0" w:type="dxa"/>
          <w:right w:w="0" w:type="dxa"/>
        </w:tblCellMar>
      </w:tblPr>
      <w:tblGrid>
        <w:gridCol w:w="75"/>
        <w:gridCol w:w="24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Norman E. Snyder, Jr.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caps w:val="false"/>
          <w:smallCaps w:val="false"/>
        </w:rPr>
      </w:pPr>
      <w:bookmarkStart w:id="869" w:name="ex31-2.htm"/>
      <w:bookmarkStart w:id="870" w:name="ksex312"/>
      <w:bookmarkEnd w:id="869"/>
      <w:bookmarkEnd w:id="870"/>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Joann Tinnelly, certify that: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of Reed’s,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fourth fiscal quarter]that has materially affected, or is reasonably likely to materially affect, the registrant’s internal control over financial reporting;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 2024</w:t>
      </w:r>
    </w:p>
    <w:p>
      <w:pPr>
        <w:pStyle w:val="TextBody"/>
        <w:bidi w:val="0"/>
        <w:spacing w:before="0" w:after="0"/>
        <w:ind w:left="720" w:right="0" w:hanging="0"/>
        <w:jc w:val="both"/>
        <w:rPr>
          <w:caps w:val="false"/>
          <w:smallCaps w:val="false"/>
        </w:rPr>
      </w:pPr>
      <w:r>
        <w:rPr>
          <w:caps w:val="false"/>
          <w:smallCaps w:val="false"/>
        </w:rPr>
        <w:t> </w:t>
      </w:r>
    </w:p>
    <w:tbl>
      <w:tblPr>
        <w:tblW w:w="2465" w:type="dxa"/>
        <w:jc w:val="left"/>
        <w:tblInd w:w="0" w:type="dxa"/>
        <w:tblLayout w:type="fixed"/>
        <w:tblCellMar>
          <w:top w:w="0" w:type="dxa"/>
          <w:left w:w="0" w:type="dxa"/>
          <w:bottom w:w="0" w:type="dxa"/>
          <w:right w:w="0" w:type="dxa"/>
        </w:tblCellMar>
      </w:tblPr>
      <w:tblGrid>
        <w:gridCol w:w="75"/>
        <w:gridCol w:w="2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Joann Tinnelly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Joann Tinnelly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caps w:val="false"/>
          <w:smallCaps w:val="false"/>
        </w:rPr>
      </w:pPr>
      <w:bookmarkStart w:id="871" w:name="ex32-1.htm"/>
      <w:bookmarkStart w:id="872" w:name="ksex321"/>
      <w:bookmarkEnd w:id="871"/>
      <w:bookmarkEnd w:id="872"/>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 18 U.S.C. Section 1350 as Adopted Pursuant to 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18 U.S.C. Section 1350, as adopted pursuant to Section 906 of the Sarbanes-Oxley Act of 2002, I, Norman E. Snyder, Jr., the Chief Executive Officer of Reed’s,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certify, that, to my knowledge: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Annual Report on Form 10-K for the year ended December 31, 2023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of the Company fully complies with the requirements of Section 13(a) of the Securities Exchange Act of 1934;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 2024</w:t>
      </w:r>
    </w:p>
    <w:p>
      <w:pPr>
        <w:pStyle w:val="TextBody"/>
        <w:bidi w:val="0"/>
        <w:spacing w:before="0" w:after="0"/>
        <w:ind w:left="720" w:right="0" w:hanging="0"/>
        <w:jc w:val="left"/>
        <w:rPr>
          <w:caps w:val="false"/>
          <w:smallCaps w:val="false"/>
        </w:rPr>
      </w:pPr>
      <w:r>
        <w:rPr>
          <w:caps w:val="false"/>
          <w:smallCaps w:val="false"/>
        </w:rPr>
        <w:t> </w:t>
      </w:r>
    </w:p>
    <w:tbl>
      <w:tblPr>
        <w:tblW w:w="2525" w:type="dxa"/>
        <w:jc w:val="left"/>
        <w:tblInd w:w="0" w:type="dxa"/>
        <w:tblLayout w:type="fixed"/>
        <w:tblCellMar>
          <w:top w:w="0" w:type="dxa"/>
          <w:left w:w="0" w:type="dxa"/>
          <w:bottom w:w="0" w:type="dxa"/>
          <w:right w:w="0" w:type="dxa"/>
        </w:tblCellMar>
      </w:tblPr>
      <w:tblGrid>
        <w:gridCol w:w="75"/>
        <w:gridCol w:w="24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Norman E. Snyder, Jr.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bookmarkStart w:id="873" w:name="ex32-2.htm"/>
      <w:bookmarkStart w:id="874" w:name="ksex322"/>
      <w:bookmarkEnd w:id="873"/>
      <w:bookmarkEnd w:id="87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 18 U.S.C. Section 1350 as Adopted Pursuant to 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18 U.S.C. Section 1350, as adopted pursuant to Section 906 of the Sarbanes-Oxley Act of 2002, I, Joann Tinnelly, the Chief Financial Officer of Reed’s,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certify, that, to my knowledge: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Annual Report on Form 10-K for the year ended December 31, 2023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of the Company fully complies with the requirements of Section 13(a) of the Securities Exchange Act of 1934;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 2024</w:t>
      </w:r>
    </w:p>
    <w:p>
      <w:pPr>
        <w:pStyle w:val="TextBody"/>
        <w:bidi w:val="0"/>
        <w:spacing w:before="0" w:after="0"/>
        <w:ind w:left="720" w:right="0" w:hanging="0"/>
        <w:jc w:val="left"/>
        <w:rPr>
          <w:caps w:val="false"/>
          <w:smallCaps w:val="false"/>
        </w:rPr>
      </w:pPr>
      <w:r>
        <w:rPr>
          <w:caps w:val="false"/>
          <w:smallCaps w:val="false"/>
        </w:rPr>
        <w:t> </w:t>
      </w:r>
    </w:p>
    <w:tbl>
      <w:tblPr>
        <w:tblW w:w="2465" w:type="dxa"/>
        <w:jc w:val="left"/>
        <w:tblInd w:w="0" w:type="dxa"/>
        <w:tblLayout w:type="fixed"/>
        <w:tblCellMar>
          <w:top w:w="0" w:type="dxa"/>
          <w:left w:w="0" w:type="dxa"/>
          <w:bottom w:w="0" w:type="dxa"/>
          <w:right w:w="0" w:type="dxa"/>
        </w:tblCellMar>
      </w:tblPr>
      <w:tblGrid>
        <w:gridCol w:w="75"/>
        <w:gridCol w:w="23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9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Joann Tinnelly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Joann Tinnelly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caps w:val="false"/>
          <w:smallCaps w:val="false"/>
        </w:rPr>
      </w:pPr>
      <w:bookmarkStart w:id="875" w:name="ex97.htm"/>
      <w:bookmarkStart w:id="876" w:name="ksex97"/>
      <w:bookmarkEnd w:id="875"/>
      <w:bookmarkEnd w:id="876"/>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97</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Introduction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Reed’s,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This Policy is designed to comply with Section 10D of the Securities Exchange Act of 1934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Nasdaq Listing Rule 5608 (the “</w:t>
      </w:r>
      <w:r>
        <w:rPr>
          <w:rFonts w:ascii="Times New Roman;Times;Serif" w:hAnsi="Times New Roman;Times;Serif"/>
          <w:b/>
          <w:i w:val="false"/>
          <w:caps w:val="false"/>
          <w:smallCaps w:val="false"/>
          <w:sz w:val="20"/>
        </w:rPr>
        <w:t>Clawback Listing Standards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Administration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administered by the Compensation Committee of the Board. Any determinations made by the Compensation Committee shall be final and binding on all affected individuals.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Covered Executives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the Company’s current and former executive officers, as determined by the Compensation Committee in accordance with the definition in Section 10D of the Exchange Act and the Clawback Listing Standards, and such other senior executives or employees who may from time to time be deemed subject to the Policy by the Compensation Committee (“</w:t>
      </w:r>
      <w:r>
        <w:rPr>
          <w:rFonts w:ascii="Times New Roman;Times;Serif" w:hAnsi="Times New Roman;Times;Serif"/>
          <w:b/>
          <w:i w:val="false"/>
          <w:caps w:val="false"/>
          <w:smallCaps w:val="false"/>
          <w:sz w:val="20"/>
        </w:rPr>
        <w:t>Covered Executives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Recoupment; Accounting Restatement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is required to prepare an accounting restatement of its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Compensation Committee will require reimbursement or forfeiture of any excess Incentive Compensation received by any Covered Executive during the three completed fiscal years immediately preceding the date on which the Company is required to prepare an accounting restatement.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Incentive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Incentive Compensation means any of the following; provided that, such compensation is granted, earned, or vested based wholly or in part on the attainment of a financial reporting measure:</w:t>
      </w:r>
    </w:p>
    <w:p>
      <w:pPr>
        <w:pStyle w:val="TextBody"/>
        <w:bidi w:val="0"/>
        <w:spacing w:before="0" w:after="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bonuses and other short- and long-term cash incentives.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appreciation rights.</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170"/>
        <w:gridCol w:w="1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units.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reporting measures include:</w:t>
      </w:r>
    </w:p>
    <w:p>
      <w:pPr>
        <w:pStyle w:val="TextBody"/>
        <w:bidi w:val="0"/>
        <w:spacing w:before="0" w:after="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stock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 return.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before interest, taxes, depreciation, and amortization (EBITDA).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from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measures such as working capital or operating cash flow.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measures such as return on invested capital or return on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measures such as earnings per share.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Excess Incentive Compensation: Amount Subject to Recovery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Compensation Committee, without regard to any taxes paid by the Covered Executive in respect of the Incentive Compensation paid based on the erroneous data.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Compensation Committee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Method of Recoupment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will determine, in its sole discretion, the method for recouping Incentive Compensation hereunder which may include, without limitation: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requiring reimbursement of cash Incentive Compensation previously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seeking recovery of any gain realized on the vesting, exercise, settlement, sale, transfer, or other disposition of any equity-based awards;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offsetting the recouped amount from any compensation otherwise owed by the Company to the Covered Executive;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cancelling outstanding vested or unvested equity awards; and/or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taking any other remedial and recovery action permitted by law, as determined by the Compensation Committee.</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Indemnification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indemnify any Covered Executives against the loss of any incorrectly awarded Incentive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Interpretation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any applicable rules or standards adopted by the Securities and Exchange Commission, and the Clawback Listing Standards.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Effective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effective as of the date it is adopted by the Board(the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and shall apply to Incentive Compensation that is received by Covered Executives on or after October 2, 2023, even if such Incentive Compensation was approved, awarded, or granted to Covered Executives prior to October 2,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Amendment; Termination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may amend this Policy from time to time in its discretion and shall amend this Policy as it deems necessary to reflect final regulations adopted by the Securities and Exchange Commission under Section 10D of the Exchange Act and to comply with the Clawback Listing Standards and any other rules or standards adopted by a national securities exchange on which the Company’s securities are listed. The Board may terminate this Policy at any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Other Recoupment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Relationship to Other Plans and Agreements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intends that this Policy will be applied to the fullest extent of the law. The Compensation Committee may require that any employment agreement, equity award agreement, or similar agreement entered into on or after the Effective Date shall, as a condition to the grant of any benefit thereunder, require a Covered Executive to agree to abide by the terms of this Policy. In the event of any inconsistency between the terms of the Policy and the terms of any employment agreement, equity award agreement, or similar agreement under which Incentive Compensation has been granted, awarded, earned or paid to a Covered Executive, whether or not deferred, the terms of the Policy shall govern.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Acknowledgment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Covered Executive shall sign an acknowledgment form in the form attached hereto as Exhibit A in which they acknowledge that they have read and understand the terms of the Policy and are bound by the Policy.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Impracticability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shall recover any excess Incentive Compensation in accordance with this Policy unless such recovery would be impracticable, as determined by the Compensation Committee in accordance with Rule 10D-1 of the Exchange Act and the listing standards of the national securities exchange on which the Company’s securities are listed.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Successors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binding and enforceable against all Covered Executives and their beneficiaries, heirs, executors, administrators or other legal representatives.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 ACKNOWLEDGMENT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Reed’s, Inc. has adopted the Reed’s, Inc. Clawback Policy (“Clawback Policy”) which is applicable to the Company’s Covered Executives.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undersigned, acknowledge that I have received a copy of the Clawback Policy, as it may be amended, restated, supplemented or modified from time to time, and that I have read it, understand it, and acknowledge that I am fully bound by, and subject to, all of the terms and conditions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inconsistency between the terms of the Clawback Policy and the terms of any employment agreement to which I am a party, or the terms of any compensation plan, program, or arrangement under which Incentive Compensation has been granted, awarded, earned, or paid to me, whether or not deferred, the terms of the Clawback Policy shall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Compensation Committee determines that any Incentive Compensation I have received must be forfeited, repaid, or otherwise recovered by the Company, I shall promptly take whatever action is necessary to effectuate such forfeiture, repayment, or recovery.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acknowledge that I am not entitled to indemnification in connection with the Company’s enforcement of the Clawback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understand that any delay or failure by the Company to enforce any requirement contained in the Clawback Policy will not constitute a waiver of the Company’s right to do so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capitalized terms used in this Acknowledgment that are not otherwise defined shall have the meaning ascribed to them in the Clawback Policy.</w:t>
      </w:r>
    </w:p>
    <w:p>
      <w:pPr>
        <w:pStyle w:val="TextBody"/>
        <w:bidi w:val="0"/>
        <w:spacing w:before="0" w:after="0"/>
        <w:jc w:val="both"/>
        <w:rPr>
          <w:caps w:val="false"/>
          <w:smallCaps w:val="false"/>
        </w:rPr>
      </w:pPr>
      <w:r>
        <w:rPr>
          <w:caps w:val="false"/>
          <w:smallCaps w:val="false"/>
        </w:rPr>
        <w:t> </w:t>
      </w:r>
    </w:p>
    <w:tbl>
      <w:tblPr>
        <w:tblW w:w="2330" w:type="dxa"/>
        <w:jc w:val="left"/>
        <w:tblInd w:w="0" w:type="dxa"/>
        <w:tblLayout w:type="fixed"/>
        <w:tblCellMar>
          <w:top w:w="0" w:type="dxa"/>
          <w:left w:w="0" w:type="dxa"/>
          <w:bottom w:w="0" w:type="dxa"/>
          <w:right w:w="0" w:type="dxa"/>
        </w:tblCellMar>
      </w:tblPr>
      <w:tblGrid>
        <w:gridCol w:w="75"/>
        <w:gridCol w:w="2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(Executive’s Signature)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(Executive’s Printed Name)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MT">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40215/000149315223017571/ex3i.htm" TargetMode="External"/><Relationship Id="rId3" Type="http://schemas.openxmlformats.org/officeDocument/2006/relationships/hyperlink" Target="https://www.sec.gov/Archives/edgar/data/1140215/000149315220006033/ex3-8.htm" TargetMode="External"/><Relationship Id="rId4" Type="http://schemas.openxmlformats.org/officeDocument/2006/relationships/hyperlink" Target="https://www.sec.gov/Archives/edgar/data/1140215/000149315221007217/ex4-10.htm" TargetMode="External"/><Relationship Id="rId5" Type="http://schemas.openxmlformats.org/officeDocument/2006/relationships/hyperlink" Target="https://www.sec.gov/Archives/edgar/data/1140215/000149315222007411/ex4-1.htm" TargetMode="External"/><Relationship Id="rId6" Type="http://schemas.openxmlformats.org/officeDocument/2006/relationships/hyperlink" Target="https://www.sec.gov/Archives/edgar/data/1140215/000149315222006788/ex4-1.htm" TargetMode="External"/><Relationship Id="rId7" Type="http://schemas.openxmlformats.org/officeDocument/2006/relationships/hyperlink" Target="https://www.sec.gov/Archives/edgar/data/1140215/000149315222012624/ex4-1.htm" TargetMode="External"/><Relationship Id="rId8" Type="http://schemas.openxmlformats.org/officeDocument/2006/relationships/hyperlink" Target="https://www.sec.gov/Archives/edgar/data/1140215/000149315223019681/ex4-1.htm" TargetMode="External"/><Relationship Id="rId9" Type="http://schemas.openxmlformats.org/officeDocument/2006/relationships/hyperlink" Target="https://www.sec.gov/Archives/edgar/data/1140215/000149315223019681/ex4-2.htm" TargetMode="External"/><Relationship Id="rId10" Type="http://schemas.openxmlformats.org/officeDocument/2006/relationships/hyperlink" Target="https://www.sec.gov/Archives/edgar/data/1140215/000149315221007217/ex10-2.htm" TargetMode="External"/><Relationship Id="rId11" Type="http://schemas.openxmlformats.org/officeDocument/2006/relationships/hyperlink" Target="https://www.sec.gov/Archives/edgar/data/1140215/000149315218015883/ex10-7.htm" TargetMode="External"/><Relationship Id="rId12" Type="http://schemas.openxmlformats.org/officeDocument/2006/relationships/hyperlink" Target="https://www.sec.gov/Archives/edgar/data/1140215/000149315222006788/ex10-1.htm" TargetMode="External"/><Relationship Id="rId13" Type="http://schemas.openxmlformats.org/officeDocument/2006/relationships/hyperlink" Target="https://www.sec.gov/Archives/edgar/data/1140215/000149315222006788/ex10-2.htm" TargetMode="External"/><Relationship Id="rId14" Type="http://schemas.openxmlformats.org/officeDocument/2006/relationships/hyperlink" Target="https://www.sec.gov/Archives/edgar/data/1140215/000149315222010137/ex10-31.htm" TargetMode="External"/><Relationship Id="rId15" Type="http://schemas.openxmlformats.org/officeDocument/2006/relationships/hyperlink" Target="https://www.sec.gov/Archives/edgar/data/1140215/000149315222012624/ex10-1.htm" TargetMode="External"/><Relationship Id="rId16" Type="http://schemas.openxmlformats.org/officeDocument/2006/relationships/hyperlink" Target="https://www.sec.gov/Archives/edgar/data/1140215/000149315222012624/ex10-2.htm" TargetMode="External"/><Relationship Id="rId17" Type="http://schemas.openxmlformats.org/officeDocument/2006/relationships/hyperlink" Target="https://www.sec.gov/Archives/edgar/data/1140215/000149315222012624/ex10-3.htm" TargetMode="External"/><Relationship Id="rId18" Type="http://schemas.openxmlformats.org/officeDocument/2006/relationships/hyperlink" Target="https://www.sec.gov/Archives/edgar/data/1140215/000149315222032238/ex10-3.htm" TargetMode="External"/><Relationship Id="rId19" Type="http://schemas.openxmlformats.org/officeDocument/2006/relationships/hyperlink" Target="https://www.sec.gov/Archives/edgar/data/1140215/000149315223017571/ex10-19.htm" TargetMode="External"/><Relationship Id="rId20" Type="http://schemas.openxmlformats.org/officeDocument/2006/relationships/hyperlink" Target="https://www.sec.gov/Archives/edgar/data/1140215/000149315223017571/ex10-20.htm" TargetMode="External"/><Relationship Id="rId21" Type="http://schemas.openxmlformats.org/officeDocument/2006/relationships/hyperlink" Target="https://www.sec.gov/Archives/edgar/data/1140215/000149315223017571/ex10-19.htm" TargetMode="External"/><Relationship Id="rId22" Type="http://schemas.openxmlformats.org/officeDocument/2006/relationships/hyperlink" Target="https://www.sec.gov/Archives/edgar/data/1140215/000149315223017571/ex10-22.htm" TargetMode="External"/><Relationship Id="rId23" Type="http://schemas.openxmlformats.org/officeDocument/2006/relationships/hyperlink" Target="https://www.sec.gov/Archives/edgar/data/1140215/000149315223019681/ex10-1.htm" TargetMode="External"/><Relationship Id="rId24" Type="http://schemas.openxmlformats.org/officeDocument/2006/relationships/hyperlink" Target="https://www.sec.gov/Archives/edgar/data/1140215/000149315223019681/ex10-2.htm" TargetMode="External"/><Relationship Id="rId25" Type="http://schemas.openxmlformats.org/officeDocument/2006/relationships/hyperlink" Target="https://www.sec.gov/Archives/edgar/data/1140215/000149315223019681/ex10-3.htm" TargetMode="External"/><Relationship Id="rId26" Type="http://schemas.openxmlformats.org/officeDocument/2006/relationships/hyperlink" Target="https://www.sec.gov/Archives/edgar/data/1140215/000149315223019681/ex10-4.htm" TargetMode="External"/><Relationship Id="rId27" Type="http://schemas.openxmlformats.org/officeDocument/2006/relationships/hyperlink" Target="https://www.sec.gov/Archives/edgar/data/1140215/000149315223019681/ex10-5.htm" TargetMode="External"/><Relationship Id="rId28" Type="http://schemas.openxmlformats.org/officeDocument/2006/relationships/hyperlink" Target="https://www.sec.gov/Archives/edgar/data/1140215/000149315223019681/ex10-6.htm" TargetMode="External"/><Relationship Id="rId29" Type="http://schemas.openxmlformats.org/officeDocument/2006/relationships/hyperlink" Target="https://www.sec.gov/Archives/edgar/data/1140215/000149315224005973/ex10-3.htm"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85137</Words>
  <Characters>453211</Characters>
  <CharactersWithSpaces>540847</CharactersWithSpaces>
  <Paragraphs>10308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