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294640</wp:posOffset>
            </wp:positionV>
            <wp:extent cx="7132320" cy="431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4318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346075</wp:posOffset>
            </wp:positionV>
            <wp:extent cx="71323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17145"/>
                    </a:xfrm>
                    <a:prstGeom prst="rect">
                      <a:avLst/>
                    </a:prstGeom>
                    <a:noFill/>
                  </pic:spPr>
                </pic:pic>
              </a:graphicData>
            </a:graphic>
          </wp:anchor>
        </w:drawing>
        <w:t>UNITED STATES</w:t>
      </w:r>
    </w:p>
    <w:p>
      <w:pPr>
        <w:spacing w:after="0" w:line="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16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10-Q</w:t>
      </w:r>
    </w:p>
    <w:p>
      <w:pPr>
        <w:spacing w:after="0" w:line="241" w:lineRule="exact"/>
        <w:rPr>
          <w:sz w:val="24"/>
          <w:szCs w:val="24"/>
          <w:color w:val="auto"/>
        </w:rPr>
      </w:pPr>
    </w:p>
    <w:p>
      <w:pPr>
        <w:jc w:val="center"/>
        <w:ind w:left="3940" w:right="1480" w:hanging="2451"/>
        <w:spacing w:after="0" w:line="477" w:lineRule="auto"/>
        <w:tabs>
          <w:tab w:leader="none" w:pos="1701"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QUARTERLY REPORT UNDER SECTION 13 OR 15(d) OF THE SECURITIES EXCHANGE ACT OF 1934 For the quarterly period ended March 31, 2024</w:t>
      </w:r>
    </w:p>
    <w:p>
      <w:pPr>
        <w:spacing w:after="0" w:line="41" w:lineRule="exact"/>
        <w:rPr>
          <w:sz w:val="24"/>
          <w:szCs w:val="24"/>
          <w:color w:val="auto"/>
        </w:rPr>
      </w:pPr>
    </w:p>
    <w:p>
      <w:pPr>
        <w:ind w:left="3780" w:right="2000" w:hanging="1766"/>
        <w:spacing w:after="0" w:line="500" w:lineRule="auto"/>
        <w:tabs>
          <w:tab w:leader="none" w:pos="221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TRANSITION REPORT UNDER SECTION 13 OR 15(d) OF THE EXCHANGE ACT OF 1934 For the transition period from _______ to _______</w:t>
      </w:r>
    </w:p>
    <w:p>
      <w:pPr>
        <w:spacing w:after="0" w:line="1" w:lineRule="exact"/>
        <w:rPr>
          <w:rFonts w:ascii="MS PGothic" w:cs="MS PGothic" w:eastAsia="MS PGothic" w:hAnsi="MS PGothic"/>
          <w:sz w:val="18"/>
          <w:szCs w:val="18"/>
          <w:color w:val="auto"/>
        </w:rPr>
      </w:pPr>
    </w:p>
    <w:p>
      <w:pPr>
        <w:ind w:left="4300"/>
        <w:spacing w:after="0"/>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Commission file number: 001-32501</w:t>
      </w:r>
    </w:p>
    <w:p>
      <w:pPr>
        <w:spacing w:after="0" w:line="196" w:lineRule="exact"/>
        <w:rPr>
          <w:sz w:val="24"/>
          <w:szCs w:val="24"/>
          <w:color w:val="auto"/>
        </w:rPr>
      </w:pPr>
    </w:p>
    <w:tbl>
      <w:tblPr>
        <w:tblLayout w:type="fixed"/>
        <w:tblInd w:w="0" w:type="dxa"/>
        <w:tblCellMar>
          <w:top w:w="0" w:type="dxa"/>
          <w:left w:w="0" w:type="dxa"/>
          <w:bottom w:w="0" w:type="dxa"/>
          <w:right w:w="0" w:type="dxa"/>
        </w:tblCellMar>
      </w:tblPr>
      <w:tr>
        <w:trPr>
          <w:trHeight w:val="393"/>
        </w:trPr>
        <w:tc>
          <w:tcPr>
            <w:tcW w:w="3500" w:type="dxa"/>
            <w:vAlign w:val="bottom"/>
          </w:tcPr>
          <w:p>
            <w:pPr>
              <w:spacing w:after="0"/>
              <w:rPr>
                <w:sz w:val="24"/>
                <w:szCs w:val="24"/>
                <w:color w:val="auto"/>
              </w:rPr>
            </w:pPr>
          </w:p>
        </w:tc>
        <w:tc>
          <w:tcPr>
            <w:tcW w:w="7740" w:type="dxa"/>
            <w:vAlign w:val="bottom"/>
            <w:gridSpan w:val="3"/>
          </w:tcPr>
          <w:p>
            <w:pPr>
              <w:jc w:val="center"/>
              <w:ind w:right="3390"/>
              <w:spacing w:after="0"/>
              <w:rPr>
                <w:sz w:val="20"/>
                <w:szCs w:val="20"/>
                <w:color w:val="auto"/>
              </w:rPr>
            </w:pPr>
            <w:r>
              <w:rPr>
                <w:rFonts w:ascii="Times New Roman" w:cs="Times New Roman" w:eastAsia="Times New Roman" w:hAnsi="Times New Roman"/>
                <w:sz w:val="32"/>
                <w:szCs w:val="32"/>
                <w:b w:val="1"/>
                <w:bCs w:val="1"/>
                <w:color w:val="auto"/>
              </w:rPr>
              <w:t>REED’S, INC.</w:t>
            </w:r>
          </w:p>
        </w:tc>
      </w:tr>
      <w:tr>
        <w:trPr>
          <w:trHeight w:val="234"/>
        </w:trPr>
        <w:tc>
          <w:tcPr>
            <w:tcW w:w="3500" w:type="dxa"/>
            <w:vAlign w:val="bottom"/>
          </w:tcPr>
          <w:p>
            <w:pPr>
              <w:spacing w:after="0"/>
              <w:rPr>
                <w:sz w:val="20"/>
                <w:szCs w:val="20"/>
                <w:color w:val="auto"/>
              </w:rPr>
            </w:pPr>
          </w:p>
        </w:tc>
        <w:tc>
          <w:tcPr>
            <w:tcW w:w="7740" w:type="dxa"/>
            <w:vAlign w:val="bottom"/>
            <w:gridSpan w:val="3"/>
          </w:tcPr>
          <w:p>
            <w:pPr>
              <w:jc w:val="center"/>
              <w:ind w:right="3410"/>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tc>
      </w:tr>
      <w:tr>
        <w:trPr>
          <w:trHeight w:val="439"/>
        </w:trPr>
        <w:tc>
          <w:tcPr>
            <w:tcW w:w="3500" w:type="dxa"/>
            <w:vAlign w:val="bottom"/>
          </w:tcPr>
          <w:p>
            <w:pPr>
              <w:jc w:val="center"/>
              <w:ind w:left="1930"/>
              <w:spacing w:after="0"/>
              <w:rPr>
                <w:sz w:val="20"/>
                <w:szCs w:val="20"/>
                <w:color w:val="auto"/>
              </w:rPr>
            </w:pPr>
            <w:r>
              <w:rPr>
                <w:rFonts w:ascii="Times New Roman" w:cs="Times New Roman" w:eastAsia="Times New Roman" w:hAnsi="Times New Roman"/>
                <w:sz w:val="18"/>
                <w:szCs w:val="18"/>
                <w:color w:val="auto"/>
                <w:w w:val="98"/>
              </w:rPr>
              <w:t>Delaware</w:t>
            </w:r>
          </w:p>
        </w:tc>
        <w:tc>
          <w:tcPr>
            <w:tcW w:w="7740" w:type="dxa"/>
            <w:vAlign w:val="bottom"/>
            <w:gridSpan w:val="3"/>
          </w:tcPr>
          <w:p>
            <w:pPr>
              <w:jc w:val="center"/>
              <w:ind w:left="2140"/>
              <w:spacing w:after="0"/>
              <w:rPr>
                <w:sz w:val="20"/>
                <w:szCs w:val="20"/>
                <w:color w:val="auto"/>
              </w:rPr>
            </w:pPr>
            <w:r>
              <w:rPr>
                <w:rFonts w:ascii="Times New Roman" w:cs="Times New Roman" w:eastAsia="Times New Roman" w:hAnsi="Times New Roman"/>
                <w:sz w:val="18"/>
                <w:szCs w:val="18"/>
                <w:color w:val="auto"/>
                <w:w w:val="98"/>
              </w:rPr>
              <w:t>35-2177773</w:t>
            </w:r>
          </w:p>
        </w:tc>
      </w:tr>
      <w:tr>
        <w:trPr>
          <w:trHeight w:val="198"/>
        </w:trPr>
        <w:tc>
          <w:tcPr>
            <w:tcW w:w="3500" w:type="dxa"/>
            <w:vAlign w:val="bottom"/>
            <w:tcBorders>
              <w:top w:val="single" w:sz="8" w:color="auto"/>
            </w:tcBorders>
          </w:tcPr>
          <w:p>
            <w:pPr>
              <w:jc w:val="center"/>
              <w:ind w:left="1930"/>
              <w:spacing w:after="0" w:line="198" w:lineRule="exact"/>
              <w:rPr>
                <w:sz w:val="20"/>
                <w:szCs w:val="20"/>
                <w:color w:val="auto"/>
              </w:rPr>
            </w:pPr>
            <w:r>
              <w:rPr>
                <w:rFonts w:ascii="Times New Roman" w:cs="Times New Roman" w:eastAsia="Times New Roman" w:hAnsi="Times New Roman"/>
                <w:sz w:val="18"/>
                <w:szCs w:val="18"/>
                <w:color w:val="auto"/>
                <w:w w:val="97"/>
              </w:rPr>
              <w:t>(State of</w:t>
            </w:r>
          </w:p>
        </w:tc>
        <w:tc>
          <w:tcPr>
            <w:tcW w:w="202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5500" w:type="dxa"/>
            <w:vAlign w:val="bottom"/>
            <w:tcBorders>
              <w:top w:val="single" w:sz="8" w:color="auto"/>
            </w:tcBorders>
          </w:tcPr>
          <w:p>
            <w:pPr>
              <w:jc w:val="center"/>
              <w:spacing w:after="0" w:line="198" w:lineRule="exact"/>
              <w:rPr>
                <w:sz w:val="20"/>
                <w:szCs w:val="20"/>
                <w:color w:val="auto"/>
              </w:rPr>
            </w:pPr>
            <w:r>
              <w:rPr>
                <w:rFonts w:ascii="Times New Roman" w:cs="Times New Roman" w:eastAsia="Times New Roman" w:hAnsi="Times New Roman"/>
                <w:sz w:val="18"/>
                <w:szCs w:val="18"/>
                <w:color w:val="auto"/>
                <w:w w:val="99"/>
              </w:rPr>
              <w:t>(I.R.S. Employer</w:t>
            </w:r>
          </w:p>
        </w:tc>
      </w:tr>
      <w:tr>
        <w:trPr>
          <w:trHeight w:val="234"/>
        </w:trPr>
        <w:tc>
          <w:tcPr>
            <w:tcW w:w="3500" w:type="dxa"/>
            <w:vAlign w:val="bottom"/>
          </w:tcPr>
          <w:p>
            <w:pPr>
              <w:jc w:val="center"/>
              <w:ind w:left="1930"/>
              <w:spacing w:after="0"/>
              <w:rPr>
                <w:sz w:val="20"/>
                <w:szCs w:val="20"/>
                <w:color w:val="auto"/>
              </w:rPr>
            </w:pPr>
            <w:r>
              <w:rPr>
                <w:rFonts w:ascii="Times New Roman" w:cs="Times New Roman" w:eastAsia="Times New Roman" w:hAnsi="Times New Roman"/>
                <w:sz w:val="18"/>
                <w:szCs w:val="18"/>
                <w:color w:val="auto"/>
              </w:rPr>
              <w:t>incorporation)</w:t>
            </w:r>
          </w:p>
        </w:tc>
        <w:tc>
          <w:tcPr>
            <w:tcW w:w="20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5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Identification No.)</w:t>
            </w:r>
          </w:p>
        </w:tc>
      </w:tr>
      <w:tr>
        <w:trPr>
          <w:trHeight w:val="414"/>
        </w:trPr>
        <w:tc>
          <w:tcPr>
            <w:tcW w:w="3500" w:type="dxa"/>
            <w:vAlign w:val="bottom"/>
          </w:tcPr>
          <w:p>
            <w:pPr>
              <w:spacing w:after="0"/>
              <w:rPr>
                <w:sz w:val="24"/>
                <w:szCs w:val="24"/>
                <w:color w:val="auto"/>
              </w:rPr>
            </w:pPr>
          </w:p>
        </w:tc>
        <w:tc>
          <w:tcPr>
            <w:tcW w:w="7740" w:type="dxa"/>
            <w:vAlign w:val="bottom"/>
            <w:gridSpan w:val="3"/>
          </w:tcPr>
          <w:p>
            <w:pPr>
              <w:jc w:val="center"/>
              <w:ind w:right="3390"/>
              <w:spacing w:after="0"/>
              <w:rPr>
                <w:sz w:val="20"/>
                <w:szCs w:val="20"/>
                <w:color w:val="auto"/>
              </w:rPr>
            </w:pPr>
            <w:r>
              <w:rPr>
                <w:rFonts w:ascii="Times New Roman" w:cs="Times New Roman" w:eastAsia="Times New Roman" w:hAnsi="Times New Roman"/>
                <w:sz w:val="18"/>
                <w:szCs w:val="18"/>
                <w:color w:val="auto"/>
                <w:w w:val="99"/>
              </w:rPr>
              <w:t>201 Merritt 7, Norwalk, CT. 06851</w:t>
            </w:r>
          </w:p>
        </w:tc>
      </w:tr>
      <w:tr>
        <w:trPr>
          <w:trHeight w:val="234"/>
        </w:trPr>
        <w:tc>
          <w:tcPr>
            <w:tcW w:w="3500" w:type="dxa"/>
            <w:vAlign w:val="bottom"/>
          </w:tcPr>
          <w:p>
            <w:pPr>
              <w:spacing w:after="0"/>
              <w:rPr>
                <w:sz w:val="20"/>
                <w:szCs w:val="20"/>
                <w:color w:val="auto"/>
              </w:rPr>
            </w:pPr>
          </w:p>
        </w:tc>
        <w:tc>
          <w:tcPr>
            <w:tcW w:w="7740" w:type="dxa"/>
            <w:vAlign w:val="bottom"/>
            <w:gridSpan w:val="3"/>
          </w:tcPr>
          <w:p>
            <w:pPr>
              <w:jc w:val="center"/>
              <w:ind w:right="3390"/>
              <w:spacing w:after="0"/>
              <w:rPr>
                <w:sz w:val="20"/>
                <w:szCs w:val="20"/>
                <w:color w:val="auto"/>
              </w:rPr>
            </w:pPr>
            <w:r>
              <w:rPr>
                <w:rFonts w:ascii="Times New Roman" w:cs="Times New Roman" w:eastAsia="Times New Roman" w:hAnsi="Times New Roman"/>
                <w:sz w:val="18"/>
                <w:szCs w:val="18"/>
                <w:color w:val="auto"/>
              </w:rPr>
              <w:t>(Address of principal executive offices) (Zip Code)</w:t>
            </w:r>
          </w:p>
        </w:tc>
      </w:tr>
      <w:tr>
        <w:trPr>
          <w:trHeight w:val="414"/>
        </w:trPr>
        <w:tc>
          <w:tcPr>
            <w:tcW w:w="3500" w:type="dxa"/>
            <w:vAlign w:val="bottom"/>
          </w:tcPr>
          <w:p>
            <w:pPr>
              <w:spacing w:after="0"/>
              <w:rPr>
                <w:sz w:val="24"/>
                <w:szCs w:val="24"/>
                <w:color w:val="auto"/>
              </w:rPr>
            </w:pPr>
          </w:p>
        </w:tc>
        <w:tc>
          <w:tcPr>
            <w:tcW w:w="7740" w:type="dxa"/>
            <w:vAlign w:val="bottom"/>
            <w:gridSpan w:val="3"/>
          </w:tcPr>
          <w:p>
            <w:pPr>
              <w:jc w:val="center"/>
              <w:ind w:right="3410"/>
              <w:spacing w:after="0"/>
              <w:rPr>
                <w:sz w:val="20"/>
                <w:szCs w:val="20"/>
                <w:color w:val="auto"/>
              </w:rPr>
            </w:pPr>
            <w:r>
              <w:rPr>
                <w:rFonts w:ascii="Times New Roman" w:cs="Times New Roman" w:eastAsia="Times New Roman" w:hAnsi="Times New Roman"/>
                <w:sz w:val="18"/>
                <w:szCs w:val="18"/>
                <w:color w:val="auto"/>
                <w:w w:val="99"/>
              </w:rPr>
              <w:t>(800) 997-3337</w:t>
            </w:r>
          </w:p>
        </w:tc>
      </w:tr>
      <w:tr>
        <w:trPr>
          <w:trHeight w:val="234"/>
        </w:trPr>
        <w:tc>
          <w:tcPr>
            <w:tcW w:w="3500" w:type="dxa"/>
            <w:vAlign w:val="bottom"/>
          </w:tcPr>
          <w:p>
            <w:pPr>
              <w:spacing w:after="0"/>
              <w:rPr>
                <w:sz w:val="20"/>
                <w:szCs w:val="20"/>
                <w:color w:val="auto"/>
              </w:rPr>
            </w:pPr>
          </w:p>
        </w:tc>
        <w:tc>
          <w:tcPr>
            <w:tcW w:w="7740" w:type="dxa"/>
            <w:vAlign w:val="bottom"/>
            <w:gridSpan w:val="3"/>
          </w:tcPr>
          <w:p>
            <w:pPr>
              <w:jc w:val="center"/>
              <w:ind w:right="3410"/>
              <w:spacing w:after="0"/>
              <w:rPr>
                <w:sz w:val="20"/>
                <w:szCs w:val="20"/>
                <w:color w:val="auto"/>
              </w:rPr>
            </w:pPr>
            <w:r>
              <w:rPr>
                <w:rFonts w:ascii="Times New Roman" w:cs="Times New Roman" w:eastAsia="Times New Roman" w:hAnsi="Times New Roman"/>
                <w:sz w:val="18"/>
                <w:szCs w:val="18"/>
                <w:color w:val="auto"/>
                <w:w w:val="99"/>
              </w:rPr>
              <w:t>(Registrant’s telephone number, including area code)</w:t>
            </w:r>
          </w:p>
        </w:tc>
      </w:tr>
    </w:tbl>
    <w:p>
      <w:pPr>
        <w:spacing w:after="0" w:line="198"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 None</w:t>
      </w:r>
    </w:p>
    <w:p>
      <w:pPr>
        <w:spacing w:after="0" w:line="221" w:lineRule="exact"/>
        <w:rPr>
          <w:sz w:val="24"/>
          <w:szCs w:val="24"/>
          <w:color w:val="auto"/>
        </w:rPr>
      </w:pPr>
    </w:p>
    <w:p>
      <w:pPr>
        <w:ind w:left="1080"/>
        <w:spacing w:after="0"/>
        <w:tabs>
          <w:tab w:leader="none" w:pos="4320" w:val="left"/>
          <w:tab w:leader="none" w:pos="7040" w:val="left"/>
        </w:tabs>
        <w:rPr>
          <w:sz w:val="20"/>
          <w:szCs w:val="20"/>
          <w:color w:val="auto"/>
        </w:rPr>
      </w:pPr>
      <w:r>
        <w:rPr>
          <w:rFonts w:ascii="Times New Roman" w:cs="Times New Roman" w:eastAsia="Times New Roman" w:hAnsi="Times New Roman"/>
          <w:sz w:val="18"/>
          <w:szCs w:val="18"/>
          <w:b w:val="1"/>
          <w:bCs w:val="1"/>
          <w:color w:val="auto"/>
        </w:rPr>
        <w:t>Title of Each Class</w:t>
      </w:r>
      <w:r>
        <w:rPr>
          <w:sz w:val="20"/>
          <w:szCs w:val="20"/>
          <w:color w:val="auto"/>
        </w:rPr>
        <w:tab/>
      </w:r>
      <w:r>
        <w:rPr>
          <w:rFonts w:ascii="Times New Roman" w:cs="Times New Roman" w:eastAsia="Times New Roman" w:hAnsi="Times New Roman"/>
          <w:sz w:val="18"/>
          <w:szCs w:val="18"/>
          <w:b w:val="1"/>
          <w:bCs w:val="1"/>
          <w:color w:val="auto"/>
        </w:rPr>
        <w:t>Trading Symbol</w:t>
      </w:r>
      <w:r>
        <w:rPr>
          <w:sz w:val="20"/>
          <w:szCs w:val="20"/>
          <w:color w:val="auto"/>
        </w:rPr>
        <w:tab/>
      </w:r>
      <w:r>
        <w:rPr>
          <w:rFonts w:ascii="Times New Roman" w:cs="Times New Roman" w:eastAsia="Times New Roman" w:hAnsi="Times New Roman"/>
          <w:sz w:val="18"/>
          <w:szCs w:val="18"/>
          <w:b w:val="1"/>
          <w:bCs w:val="1"/>
          <w:color w:val="auto"/>
        </w:rPr>
        <w:t>Names of each exchange on which registered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4"/>
          <w:szCs w:val="24"/>
          <w:color w:val="auto"/>
        </w:rPr>
      </w:pPr>
    </w:p>
    <w:p>
      <w:pPr>
        <w:spacing w:after="0" w:line="252" w:lineRule="exact"/>
        <w:rPr>
          <w:sz w:val="24"/>
          <w:szCs w:val="24"/>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Indicate the number of shares outstanding of each of the issuer’s classes of common stock, as of the latest practicable date: There were a total of 4,187,291 shares of Common Stock outstanding as of May 10, 2024.</w:t>
      </w:r>
    </w:p>
    <w:p>
      <w:pPr>
        <w:spacing w:after="0" w:line="162" w:lineRule="exact"/>
        <w:rPr>
          <w:sz w:val="24"/>
          <w:szCs w:val="24"/>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spacing w:after="0" w:line="135"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266" w:lineRule="exact"/>
        <w:rPr>
          <w:sz w:val="24"/>
          <w:szCs w:val="24"/>
          <w:color w:val="auto"/>
        </w:rPr>
      </w:pPr>
    </w:p>
    <w:p>
      <w:pPr>
        <w:jc w:val="both"/>
        <w:spacing w:after="0" w:line="232"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171" w:lineRule="exact"/>
        <w:rPr>
          <w:sz w:val="24"/>
          <w:szCs w:val="24"/>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a smaller reporting company or an emerging growth company. See definitions of “large accelerated filer,” “accelerated filer,” “smaller reporting company” and “emerging growth company” in Rule 12b-2 of the Exchange Act.:</w:t>
      </w:r>
    </w:p>
    <w:p>
      <w:pPr>
        <w:sectPr>
          <w:pgSz w:w="11900" w:h="16838" w:orient="portrait"/>
          <w:cols w:equalWidth="0" w:num="1">
            <w:col w:w="11240"/>
          </w:cols>
          <w:pgMar w:left="320" w:top="740" w:right="339" w:bottom="1440" w:gutter="0" w:footer="0" w:header="0"/>
        </w:sectPr>
      </w:pPr>
    </w:p>
    <w:p>
      <w:pPr>
        <w:spacing w:after="0" w:line="135" w:lineRule="exact"/>
        <w:rPr>
          <w:sz w:val="24"/>
          <w:szCs w:val="24"/>
          <w:color w:val="auto"/>
        </w:rPr>
      </w:pPr>
    </w:p>
    <w:p>
      <w:pPr>
        <w:ind w:right="380"/>
        <w:spacing w:after="0" w:line="260" w:lineRule="exact"/>
        <w:rPr>
          <w:sz w:val="20"/>
          <w:szCs w:val="20"/>
          <w:color w:val="auto"/>
        </w:rPr>
      </w:pPr>
      <w:r>
        <w:rPr>
          <w:rFonts w:ascii="Times New Roman" w:cs="Times New Roman" w:eastAsia="Times New Roman" w:hAnsi="Times New Roman"/>
          <w:sz w:val="17"/>
          <w:szCs w:val="17"/>
          <w:color w:val="auto"/>
        </w:rPr>
        <w:t xml:space="preserve">Large Accelerated Filer </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 xml:space="preserve"> Smaller Reporting Company </w:t>
      </w:r>
      <w:r>
        <w:rPr>
          <w:rFonts w:ascii="MS PGothic" w:cs="MS PGothic" w:eastAsia="MS PGothic" w:hAnsi="MS PGothic"/>
          <w:sz w:val="17"/>
          <w:szCs w:val="17"/>
          <w:color w:val="auto"/>
        </w:rPr>
        <w:t>☒</w:t>
      </w:r>
    </w:p>
    <w:p>
      <w:pPr>
        <w:spacing w:after="0" w:line="20" w:lineRule="exact"/>
        <w:rPr>
          <w:sz w:val="24"/>
          <w:szCs w:val="24"/>
          <w:color w:val="auto"/>
        </w:rPr>
      </w:pPr>
      <w:r>
        <w:rPr>
          <w:sz w:val="24"/>
          <w:szCs w:val="24"/>
          <w:color w:val="auto"/>
        </w:rPr>
        <w:br w:type="column"/>
      </w:r>
    </w:p>
    <w:p>
      <w:pPr>
        <w:spacing w:after="0" w:line="115"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Accelerated Filer </w:t>
      </w:r>
      <w:r>
        <w:rPr>
          <w:rFonts w:ascii="MS PGothic" w:cs="MS PGothic" w:eastAsia="MS PGothic" w:hAnsi="MS PGothic"/>
          <w:sz w:val="18"/>
          <w:szCs w:val="18"/>
          <w:color w:val="auto"/>
        </w:rPr>
        <w:t>☐</w:t>
      </w:r>
    </w:p>
    <w:p>
      <w:pPr>
        <w:spacing w:after="0" w:line="70" w:lineRule="exact"/>
        <w:rPr>
          <w:sz w:val="24"/>
          <w:szCs w:val="24"/>
          <w:color w:val="auto"/>
        </w:rPr>
      </w:pPr>
    </w:p>
    <w:p>
      <w:pPr>
        <w:spacing w:after="0" w:line="196" w:lineRule="exact"/>
        <w:rPr>
          <w:sz w:val="20"/>
          <w:szCs w:val="20"/>
          <w:color w:val="auto"/>
        </w:rPr>
      </w:pPr>
      <w:r>
        <w:rPr>
          <w:rFonts w:ascii="Times New Roman" w:cs="Times New Roman" w:eastAsia="Times New Roman" w:hAnsi="Times New Roman"/>
          <w:sz w:val="17"/>
          <w:szCs w:val="17"/>
          <w:color w:val="auto"/>
        </w:rPr>
        <w:t xml:space="preserve">Emerging Growth Company </w:t>
      </w:r>
      <w:r>
        <w:rPr>
          <w:rFonts w:ascii="MS PGothic" w:cs="MS PGothic" w:eastAsia="MS PGothic" w:hAnsi="MS PGothic"/>
          <w:sz w:val="17"/>
          <w:szCs w:val="17"/>
          <w:color w:val="auto"/>
        </w:rPr>
        <w:t>☐</w:t>
      </w:r>
    </w:p>
    <w:p>
      <w:pPr>
        <w:spacing w:after="0" w:line="20" w:lineRule="exact"/>
        <w:rPr>
          <w:sz w:val="24"/>
          <w:szCs w:val="24"/>
          <w:color w:val="auto"/>
        </w:rPr>
      </w:pPr>
      <w:r>
        <w:rPr>
          <w:sz w:val="24"/>
          <w:szCs w:val="24"/>
          <w:color w:val="auto"/>
        </w:rPr>
        <w:br w:type="column"/>
      </w:r>
    </w:p>
    <w:p>
      <w:pPr>
        <w:spacing w:after="0" w:line="115" w:lineRule="exact"/>
        <w:rPr>
          <w:sz w:val="24"/>
          <w:szCs w:val="24"/>
          <w:color w:val="auto"/>
        </w:rPr>
      </w:pPr>
    </w:p>
    <w:p>
      <w:pPr>
        <w:spacing w:after="0" w:line="196" w:lineRule="exact"/>
        <w:rPr>
          <w:sz w:val="20"/>
          <w:szCs w:val="20"/>
          <w:color w:val="auto"/>
        </w:rPr>
      </w:pPr>
      <w:r>
        <w:rPr>
          <w:rFonts w:ascii="Times New Roman" w:cs="Times New Roman" w:eastAsia="Times New Roman" w:hAnsi="Times New Roman"/>
          <w:sz w:val="17"/>
          <w:szCs w:val="17"/>
          <w:color w:val="auto"/>
        </w:rPr>
        <w:t xml:space="preserve">Non-Accelerated Filer </w:t>
      </w:r>
      <w:r>
        <w:rPr>
          <w:rFonts w:ascii="MS PGothic" w:cs="MS PGothic" w:eastAsia="MS PGothic" w:hAnsi="MS PGothic"/>
          <w:sz w:val="17"/>
          <w:szCs w:val="17"/>
          <w:color w:val="auto"/>
        </w:rPr>
        <w:t>☒</w:t>
      </w:r>
    </w:p>
    <w:p>
      <w:pPr>
        <w:spacing w:after="0" w:line="493" w:lineRule="exact"/>
        <w:rPr>
          <w:sz w:val="24"/>
          <w:szCs w:val="24"/>
          <w:color w:val="auto"/>
        </w:rPr>
      </w:pPr>
    </w:p>
    <w:p>
      <w:pPr>
        <w:sectPr>
          <w:pgSz w:w="11900" w:h="16838" w:orient="portrait"/>
          <w:cols w:equalWidth="0" w:num="3">
            <w:col w:w="2660" w:space="720"/>
            <w:col w:w="2660" w:space="720"/>
            <w:col w:w="4480"/>
          </w:cols>
          <w:pgMar w:left="320" w:top="740" w:right="339" w:bottom="1440" w:gutter="0" w:footer="0" w:header="0"/>
          <w:type w:val="continuous"/>
        </w:sectPr>
      </w:pPr>
    </w:p>
    <w:p>
      <w:pPr>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30"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Indicate by check mark whether the issuer is a shell company (as defined in Rule 12b-2 of the Exchange Act).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There are 4,187,291 shares outstanding as of May 10</w:t>
      </w:r>
      <w:r>
        <w:rPr>
          <w:rFonts w:ascii="Times New Roman" w:cs="Times New Roman" w:eastAsia="Times New Roman" w:hAnsi="Times New Roman"/>
          <w:sz w:val="29"/>
          <w:szCs w:val="29"/>
          <w:color w:val="auto"/>
          <w:vertAlign w:val="superscript"/>
        </w:rPr>
        <w:t>th</w:t>
      </w:r>
      <w:r>
        <w:rPr>
          <w:rFonts w:ascii="Times New Roman" w:cs="Times New Roman" w:eastAsia="Times New Roman" w:hAnsi="Times New Roman"/>
          <w:sz w:val="18"/>
          <w:szCs w:val="18"/>
          <w:color w:val="auto"/>
        </w:rPr>
        <w:t>, 2024.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132080</wp:posOffset>
            </wp:positionV>
            <wp:extent cx="7132320" cy="4318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4318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448945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40" w:right="339"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38"/>
        </w:trPr>
        <w:tc>
          <w:tcPr>
            <w:tcW w:w="1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080" w:type="dxa"/>
            <w:vAlign w:val="bottom"/>
            <w:gridSpan w:val="9"/>
          </w:tcPr>
          <w:p>
            <w:pPr>
              <w:jc w:val="center"/>
              <w:ind w:right="1720"/>
              <w:spacing w:after="0"/>
              <w:rPr>
                <w:sz w:val="20"/>
                <w:szCs w:val="20"/>
                <w:color w:val="auto"/>
              </w:rPr>
            </w:pPr>
            <w:r>
              <w:rPr>
                <w:rFonts w:ascii="Times New Roman" w:cs="Times New Roman" w:eastAsia="Times New Roman" w:hAnsi="Times New Roman"/>
                <w:sz w:val="18"/>
                <w:szCs w:val="18"/>
                <w:b w:val="1"/>
                <w:bCs w:val="1"/>
                <w:color w:val="auto"/>
                <w:w w:val="98"/>
              </w:rPr>
              <w:t>TABLE OF CONTENTS</w:t>
            </w:r>
          </w:p>
        </w:tc>
        <w:tc>
          <w:tcPr>
            <w:tcW w:w="1220" w:type="dxa"/>
            <w:vAlign w:val="bottom"/>
          </w:tcPr>
          <w:p>
            <w:pPr>
              <w:spacing w:after="0"/>
              <w:rPr>
                <w:sz w:val="20"/>
                <w:szCs w:val="20"/>
                <w:color w:val="auto"/>
              </w:rPr>
            </w:pPr>
          </w:p>
        </w:tc>
      </w:tr>
      <w:tr>
        <w:trPr>
          <w:trHeight w:val="216"/>
        </w:trPr>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20" w:type="dxa"/>
            <w:vAlign w:val="bottom"/>
          </w:tcPr>
          <w:p>
            <w:pPr>
              <w:spacing w:after="0"/>
              <w:rPr>
                <w:sz w:val="18"/>
                <w:szCs w:val="18"/>
                <w:color w:val="auto"/>
              </w:rPr>
            </w:pPr>
          </w:p>
        </w:tc>
      </w:tr>
      <w:tr>
        <w:trPr>
          <w:trHeight w:val="196"/>
        </w:trPr>
        <w:tc>
          <w:tcPr>
            <w:tcW w:w="10020" w:type="dxa"/>
            <w:vAlign w:val="bottom"/>
            <w:gridSpan w:val="19"/>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PART I - FINANCIAL INFORMATION</w:t>
            </w:r>
          </w:p>
        </w:tc>
        <w:tc>
          <w:tcPr>
            <w:tcW w:w="1220" w:type="dxa"/>
            <w:vAlign w:val="bottom"/>
            <w:shd w:val="clear" w:color="auto" w:fill="CCEEFF"/>
          </w:tcPr>
          <w:p>
            <w:pPr>
              <w:jc w:val="center"/>
              <w:ind w:left="490"/>
              <w:spacing w:after="0" w:line="176" w:lineRule="exact"/>
              <w:rPr>
                <w:sz w:val="20"/>
                <w:szCs w:val="20"/>
                <w:color w:val="auto"/>
              </w:rPr>
            </w:pPr>
            <w:r>
              <w:rPr>
                <w:rFonts w:ascii="Times New Roman" w:cs="Times New Roman" w:eastAsia="Times New Roman" w:hAnsi="Times New Roman"/>
                <w:sz w:val="18"/>
                <w:szCs w:val="18"/>
                <w:color w:val="auto"/>
                <w:w w:val="95"/>
              </w:rPr>
              <w:t>F-1</w:t>
            </w:r>
          </w:p>
        </w:tc>
      </w:tr>
      <w:tr>
        <w:trPr>
          <w:trHeight w:val="216"/>
        </w:trPr>
        <w:tc>
          <w:tcPr>
            <w:tcW w:w="180" w:type="dxa"/>
            <w:vAlign w:val="bottom"/>
            <w:tcBorders>
              <w:top w:val="single" w:sz="8" w:color="0000EE"/>
            </w:tcBorders>
          </w:tcPr>
          <w:p>
            <w:pPr>
              <w:spacing w:after="0"/>
              <w:rPr>
                <w:sz w:val="18"/>
                <w:szCs w:val="18"/>
                <w:color w:val="auto"/>
              </w:rPr>
            </w:pPr>
          </w:p>
        </w:tc>
        <w:tc>
          <w:tcPr>
            <w:tcW w:w="98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28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96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180" w:type="dxa"/>
            <w:vAlign w:val="bottom"/>
            <w:tcBorders>
              <w:top w:val="single" w:sz="8" w:color="CCEEFF"/>
            </w:tcBorders>
          </w:tcPr>
          <w:p>
            <w:pPr>
              <w:spacing w:after="0"/>
              <w:rPr>
                <w:sz w:val="18"/>
                <w:szCs w:val="18"/>
                <w:color w:val="auto"/>
              </w:rPr>
            </w:pPr>
          </w:p>
        </w:tc>
        <w:tc>
          <w:tcPr>
            <w:tcW w:w="920" w:type="dxa"/>
            <w:vAlign w:val="bottom"/>
            <w:tcBorders>
              <w:top w:val="single" w:sz="8" w:color="CCEEFF"/>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1540" w:type="dxa"/>
            <w:vAlign w:val="bottom"/>
            <w:tcBorders>
              <w:top w:val="single" w:sz="8" w:color="CCEEFF"/>
            </w:tcBorders>
          </w:tcPr>
          <w:p>
            <w:pPr>
              <w:spacing w:after="0"/>
              <w:rPr>
                <w:sz w:val="18"/>
                <w:szCs w:val="18"/>
                <w:color w:val="auto"/>
              </w:rPr>
            </w:pPr>
          </w:p>
        </w:tc>
        <w:tc>
          <w:tcPr>
            <w:tcW w:w="780" w:type="dxa"/>
            <w:vAlign w:val="bottom"/>
            <w:tcBorders>
              <w:top w:val="single" w:sz="8" w:color="CCEEFF"/>
            </w:tcBorders>
          </w:tcPr>
          <w:p>
            <w:pPr>
              <w:spacing w:after="0"/>
              <w:rPr>
                <w:sz w:val="18"/>
                <w:szCs w:val="18"/>
                <w:color w:val="auto"/>
              </w:rPr>
            </w:pPr>
          </w:p>
        </w:tc>
        <w:tc>
          <w:tcPr>
            <w:tcW w:w="1220" w:type="dxa"/>
            <w:vAlign w:val="bottom"/>
            <w:tcBorders>
              <w:top w:val="single" w:sz="8" w:color="CCEEFF"/>
            </w:tcBorders>
          </w:tcPr>
          <w:p>
            <w:pPr>
              <w:spacing w:after="0"/>
              <w:rPr>
                <w:sz w:val="18"/>
                <w:szCs w:val="18"/>
                <w:color w:val="auto"/>
              </w:rPr>
            </w:pPr>
          </w:p>
        </w:tc>
      </w:tr>
      <w:tr>
        <w:trPr>
          <w:trHeight w:val="196"/>
        </w:trPr>
        <w:tc>
          <w:tcPr>
            <w:tcW w:w="10020" w:type="dxa"/>
            <w:vAlign w:val="bottom"/>
            <w:gridSpan w:val="19"/>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Item 1. Condensed Financial Statements</w:t>
            </w:r>
          </w:p>
        </w:tc>
        <w:tc>
          <w:tcPr>
            <w:tcW w:w="1220" w:type="dxa"/>
            <w:vAlign w:val="bottom"/>
            <w:shd w:val="clear" w:color="auto" w:fill="CCEEFF"/>
          </w:tcPr>
          <w:p>
            <w:pPr>
              <w:jc w:val="center"/>
              <w:ind w:left="490"/>
              <w:spacing w:after="0" w:line="176" w:lineRule="exact"/>
              <w:rPr>
                <w:sz w:val="20"/>
                <w:szCs w:val="20"/>
                <w:color w:val="auto"/>
              </w:rPr>
            </w:pPr>
            <w:r>
              <w:rPr>
                <w:rFonts w:ascii="Times New Roman" w:cs="Times New Roman" w:eastAsia="Times New Roman" w:hAnsi="Times New Roman"/>
                <w:sz w:val="18"/>
                <w:szCs w:val="18"/>
                <w:color w:val="auto"/>
                <w:w w:val="95"/>
              </w:rPr>
              <w:t>F-1</w:t>
            </w:r>
          </w:p>
        </w:tc>
      </w:tr>
      <w:tr>
        <w:trPr>
          <w:trHeight w:val="216"/>
        </w:trPr>
        <w:tc>
          <w:tcPr>
            <w:tcW w:w="180" w:type="dxa"/>
            <w:vAlign w:val="bottom"/>
            <w:tcBorders>
              <w:top w:val="single" w:sz="8" w:color="0000EE"/>
            </w:tcBorders>
          </w:tcPr>
          <w:p>
            <w:pPr>
              <w:spacing w:after="0"/>
              <w:rPr>
                <w:sz w:val="18"/>
                <w:szCs w:val="18"/>
                <w:color w:val="auto"/>
              </w:rPr>
            </w:pPr>
          </w:p>
        </w:tc>
        <w:tc>
          <w:tcPr>
            <w:tcW w:w="98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28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96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180" w:type="dxa"/>
            <w:vAlign w:val="bottom"/>
            <w:tcBorders>
              <w:top w:val="single" w:sz="8" w:color="CCEEFF"/>
            </w:tcBorders>
          </w:tcPr>
          <w:p>
            <w:pPr>
              <w:spacing w:after="0"/>
              <w:rPr>
                <w:sz w:val="18"/>
                <w:szCs w:val="18"/>
                <w:color w:val="auto"/>
              </w:rPr>
            </w:pPr>
          </w:p>
        </w:tc>
        <w:tc>
          <w:tcPr>
            <w:tcW w:w="920" w:type="dxa"/>
            <w:vAlign w:val="bottom"/>
            <w:tcBorders>
              <w:top w:val="single" w:sz="8" w:color="CCEEFF"/>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1540" w:type="dxa"/>
            <w:vAlign w:val="bottom"/>
            <w:tcBorders>
              <w:top w:val="single" w:sz="8" w:color="CCEEFF"/>
            </w:tcBorders>
          </w:tcPr>
          <w:p>
            <w:pPr>
              <w:spacing w:after="0"/>
              <w:rPr>
                <w:sz w:val="18"/>
                <w:szCs w:val="18"/>
                <w:color w:val="auto"/>
              </w:rPr>
            </w:pPr>
          </w:p>
        </w:tc>
        <w:tc>
          <w:tcPr>
            <w:tcW w:w="780" w:type="dxa"/>
            <w:vAlign w:val="bottom"/>
            <w:tcBorders>
              <w:top w:val="single" w:sz="8" w:color="CCEEFF"/>
            </w:tcBorders>
          </w:tcPr>
          <w:p>
            <w:pPr>
              <w:spacing w:after="0"/>
              <w:rPr>
                <w:sz w:val="18"/>
                <w:szCs w:val="18"/>
                <w:color w:val="auto"/>
              </w:rPr>
            </w:pPr>
          </w:p>
        </w:tc>
        <w:tc>
          <w:tcPr>
            <w:tcW w:w="1220" w:type="dxa"/>
            <w:vAlign w:val="bottom"/>
            <w:tcBorders>
              <w:top w:val="single" w:sz="8" w:color="CCEEFF"/>
            </w:tcBorders>
          </w:tcPr>
          <w:p>
            <w:pPr>
              <w:spacing w:after="0"/>
              <w:rPr>
                <w:sz w:val="18"/>
                <w:szCs w:val="18"/>
                <w:color w:val="auto"/>
              </w:rPr>
            </w:pPr>
          </w:p>
        </w:tc>
      </w:tr>
      <w:tr>
        <w:trPr>
          <w:trHeight w:val="196"/>
        </w:trPr>
        <w:tc>
          <w:tcPr>
            <w:tcW w:w="180" w:type="dxa"/>
            <w:vAlign w:val="bottom"/>
            <w:shd w:val="clear" w:color="auto" w:fill="CCEEFF"/>
          </w:tcPr>
          <w:p>
            <w:pPr>
              <w:spacing w:after="0"/>
              <w:rPr>
                <w:sz w:val="17"/>
                <w:szCs w:val="17"/>
                <w:color w:val="auto"/>
              </w:rPr>
            </w:pPr>
          </w:p>
        </w:tc>
        <w:tc>
          <w:tcPr>
            <w:tcW w:w="9840" w:type="dxa"/>
            <w:vAlign w:val="bottom"/>
            <w:gridSpan w:val="18"/>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Condensed Balance Sheets - March 31, 2024 (Unaudited) and December 31, 2023</w:t>
            </w:r>
          </w:p>
        </w:tc>
        <w:tc>
          <w:tcPr>
            <w:tcW w:w="1220" w:type="dxa"/>
            <w:vAlign w:val="bottom"/>
            <w:shd w:val="clear" w:color="auto" w:fill="CCEEFF"/>
          </w:tcPr>
          <w:p>
            <w:pPr>
              <w:jc w:val="center"/>
              <w:ind w:left="490"/>
              <w:spacing w:after="0" w:line="176" w:lineRule="exact"/>
              <w:rPr>
                <w:sz w:val="20"/>
                <w:szCs w:val="20"/>
                <w:color w:val="auto"/>
              </w:rPr>
            </w:pPr>
            <w:r>
              <w:rPr>
                <w:rFonts w:ascii="Times New Roman" w:cs="Times New Roman" w:eastAsia="Times New Roman" w:hAnsi="Times New Roman"/>
                <w:sz w:val="18"/>
                <w:szCs w:val="18"/>
                <w:color w:val="auto"/>
                <w:w w:val="95"/>
              </w:rPr>
              <w:t>F-1</w:t>
            </w:r>
          </w:p>
        </w:tc>
      </w:tr>
      <w:tr>
        <w:trPr>
          <w:trHeight w:val="216"/>
        </w:trPr>
        <w:tc>
          <w:tcPr>
            <w:tcW w:w="180" w:type="dxa"/>
            <w:vAlign w:val="bottom"/>
            <w:tcBorders>
              <w:top w:val="single" w:sz="8" w:color="CCEEFF"/>
            </w:tcBorders>
          </w:tcPr>
          <w:p>
            <w:pPr>
              <w:spacing w:after="0"/>
              <w:rPr>
                <w:sz w:val="18"/>
                <w:szCs w:val="18"/>
                <w:color w:val="auto"/>
              </w:rPr>
            </w:pPr>
          </w:p>
        </w:tc>
        <w:tc>
          <w:tcPr>
            <w:tcW w:w="98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28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96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180" w:type="dxa"/>
            <w:vAlign w:val="bottom"/>
            <w:tcBorders>
              <w:top w:val="single" w:sz="8" w:color="0000EE"/>
            </w:tcBorders>
          </w:tcPr>
          <w:p>
            <w:pPr>
              <w:spacing w:after="0"/>
              <w:rPr>
                <w:sz w:val="18"/>
                <w:szCs w:val="18"/>
                <w:color w:val="auto"/>
              </w:rPr>
            </w:pPr>
          </w:p>
        </w:tc>
        <w:tc>
          <w:tcPr>
            <w:tcW w:w="920" w:type="dxa"/>
            <w:vAlign w:val="bottom"/>
            <w:tcBorders>
              <w:top w:val="single" w:sz="8" w:color="CCEEFF"/>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1540" w:type="dxa"/>
            <w:vAlign w:val="bottom"/>
            <w:tcBorders>
              <w:top w:val="single" w:sz="8" w:color="CCEEFF"/>
            </w:tcBorders>
          </w:tcPr>
          <w:p>
            <w:pPr>
              <w:spacing w:after="0"/>
              <w:rPr>
                <w:sz w:val="18"/>
                <w:szCs w:val="18"/>
                <w:color w:val="auto"/>
              </w:rPr>
            </w:pPr>
          </w:p>
        </w:tc>
        <w:tc>
          <w:tcPr>
            <w:tcW w:w="780" w:type="dxa"/>
            <w:vAlign w:val="bottom"/>
            <w:tcBorders>
              <w:top w:val="single" w:sz="8" w:color="CCEEFF"/>
            </w:tcBorders>
          </w:tcPr>
          <w:p>
            <w:pPr>
              <w:spacing w:after="0"/>
              <w:rPr>
                <w:sz w:val="18"/>
                <w:szCs w:val="18"/>
                <w:color w:val="auto"/>
              </w:rPr>
            </w:pPr>
          </w:p>
        </w:tc>
        <w:tc>
          <w:tcPr>
            <w:tcW w:w="1220" w:type="dxa"/>
            <w:vAlign w:val="bottom"/>
            <w:tcBorders>
              <w:top w:val="single" w:sz="8" w:color="CCEEFF"/>
            </w:tcBorders>
          </w:tcPr>
          <w:p>
            <w:pPr>
              <w:spacing w:after="0"/>
              <w:rPr>
                <w:sz w:val="18"/>
                <w:szCs w:val="18"/>
                <w:color w:val="auto"/>
              </w:rPr>
            </w:pPr>
          </w:p>
        </w:tc>
      </w:tr>
      <w:tr>
        <w:trPr>
          <w:trHeight w:val="196"/>
        </w:trPr>
        <w:tc>
          <w:tcPr>
            <w:tcW w:w="180" w:type="dxa"/>
            <w:vAlign w:val="bottom"/>
            <w:shd w:val="clear" w:color="auto" w:fill="CCEEFF"/>
          </w:tcPr>
          <w:p>
            <w:pPr>
              <w:spacing w:after="0"/>
              <w:rPr>
                <w:sz w:val="17"/>
                <w:szCs w:val="17"/>
                <w:color w:val="auto"/>
              </w:rPr>
            </w:pPr>
          </w:p>
        </w:tc>
        <w:tc>
          <w:tcPr>
            <w:tcW w:w="9840" w:type="dxa"/>
            <w:vAlign w:val="bottom"/>
            <w:gridSpan w:val="18"/>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Condensed Statements of Operations for the three months ended March 31, 2024 and 2023 (Unaudited)</w:t>
            </w:r>
          </w:p>
        </w:tc>
        <w:tc>
          <w:tcPr>
            <w:tcW w:w="1220" w:type="dxa"/>
            <w:vAlign w:val="bottom"/>
            <w:shd w:val="clear" w:color="auto" w:fill="CCEEFF"/>
          </w:tcPr>
          <w:p>
            <w:pPr>
              <w:jc w:val="center"/>
              <w:ind w:left="490"/>
              <w:spacing w:after="0" w:line="176" w:lineRule="exact"/>
              <w:rPr>
                <w:sz w:val="20"/>
                <w:szCs w:val="20"/>
                <w:color w:val="auto"/>
              </w:rPr>
            </w:pPr>
            <w:r>
              <w:rPr>
                <w:rFonts w:ascii="Times New Roman" w:cs="Times New Roman" w:eastAsia="Times New Roman" w:hAnsi="Times New Roman"/>
                <w:sz w:val="18"/>
                <w:szCs w:val="18"/>
                <w:color w:val="auto"/>
                <w:w w:val="95"/>
              </w:rPr>
              <w:t>F-2</w:t>
            </w:r>
          </w:p>
        </w:tc>
      </w:tr>
      <w:tr>
        <w:trPr>
          <w:trHeight w:val="216"/>
        </w:trPr>
        <w:tc>
          <w:tcPr>
            <w:tcW w:w="180" w:type="dxa"/>
            <w:vAlign w:val="bottom"/>
            <w:tcBorders>
              <w:top w:val="single" w:sz="8" w:color="CCEEFF"/>
            </w:tcBorders>
          </w:tcPr>
          <w:p>
            <w:pPr>
              <w:spacing w:after="0"/>
              <w:rPr>
                <w:sz w:val="18"/>
                <w:szCs w:val="18"/>
                <w:color w:val="auto"/>
              </w:rPr>
            </w:pPr>
          </w:p>
        </w:tc>
        <w:tc>
          <w:tcPr>
            <w:tcW w:w="98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28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96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180" w:type="dxa"/>
            <w:vAlign w:val="bottom"/>
            <w:tcBorders>
              <w:top w:val="single" w:sz="8" w:color="0000EE"/>
            </w:tcBorders>
          </w:tcPr>
          <w:p>
            <w:pPr>
              <w:spacing w:after="0"/>
              <w:rPr>
                <w:sz w:val="18"/>
                <w:szCs w:val="18"/>
                <w:color w:val="auto"/>
              </w:rPr>
            </w:pPr>
          </w:p>
        </w:tc>
        <w:tc>
          <w:tcPr>
            <w:tcW w:w="92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1540" w:type="dxa"/>
            <w:vAlign w:val="bottom"/>
            <w:tcBorders>
              <w:top w:val="single" w:sz="8" w:color="CCEEFF"/>
            </w:tcBorders>
          </w:tcPr>
          <w:p>
            <w:pPr>
              <w:spacing w:after="0"/>
              <w:rPr>
                <w:sz w:val="18"/>
                <w:szCs w:val="18"/>
                <w:color w:val="auto"/>
              </w:rPr>
            </w:pPr>
          </w:p>
        </w:tc>
        <w:tc>
          <w:tcPr>
            <w:tcW w:w="780" w:type="dxa"/>
            <w:vAlign w:val="bottom"/>
            <w:tcBorders>
              <w:top w:val="single" w:sz="8" w:color="CCEEFF"/>
            </w:tcBorders>
          </w:tcPr>
          <w:p>
            <w:pPr>
              <w:spacing w:after="0"/>
              <w:rPr>
                <w:sz w:val="18"/>
                <w:szCs w:val="18"/>
                <w:color w:val="auto"/>
              </w:rPr>
            </w:pPr>
          </w:p>
        </w:tc>
        <w:tc>
          <w:tcPr>
            <w:tcW w:w="1220" w:type="dxa"/>
            <w:vAlign w:val="bottom"/>
            <w:tcBorders>
              <w:top w:val="single" w:sz="8" w:color="CCEEFF"/>
            </w:tcBorders>
          </w:tcPr>
          <w:p>
            <w:pPr>
              <w:spacing w:after="0"/>
              <w:rPr>
                <w:sz w:val="18"/>
                <w:szCs w:val="18"/>
                <w:color w:val="auto"/>
              </w:rPr>
            </w:pPr>
          </w:p>
        </w:tc>
      </w:tr>
      <w:tr>
        <w:trPr>
          <w:trHeight w:val="196"/>
        </w:trPr>
        <w:tc>
          <w:tcPr>
            <w:tcW w:w="180" w:type="dxa"/>
            <w:vAlign w:val="bottom"/>
            <w:shd w:val="clear" w:color="auto" w:fill="CCEEFF"/>
          </w:tcPr>
          <w:p>
            <w:pPr>
              <w:spacing w:after="0"/>
              <w:rPr>
                <w:sz w:val="17"/>
                <w:szCs w:val="17"/>
                <w:color w:val="auto"/>
              </w:rPr>
            </w:pPr>
          </w:p>
        </w:tc>
        <w:tc>
          <w:tcPr>
            <w:tcW w:w="9840" w:type="dxa"/>
            <w:vAlign w:val="bottom"/>
            <w:gridSpan w:val="18"/>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Condensed Statements of Changes in Stockholders’ Deficit for the three months ended March 31, 2024 and 2023 (Unaudited)</w:t>
            </w:r>
          </w:p>
        </w:tc>
        <w:tc>
          <w:tcPr>
            <w:tcW w:w="1220" w:type="dxa"/>
            <w:vAlign w:val="bottom"/>
            <w:shd w:val="clear" w:color="auto" w:fill="CCEEFF"/>
          </w:tcPr>
          <w:p>
            <w:pPr>
              <w:jc w:val="center"/>
              <w:ind w:left="490"/>
              <w:spacing w:after="0" w:line="176" w:lineRule="exact"/>
              <w:rPr>
                <w:sz w:val="20"/>
                <w:szCs w:val="20"/>
                <w:color w:val="auto"/>
              </w:rPr>
            </w:pPr>
            <w:r>
              <w:rPr>
                <w:rFonts w:ascii="Times New Roman" w:cs="Times New Roman" w:eastAsia="Times New Roman" w:hAnsi="Times New Roman"/>
                <w:sz w:val="18"/>
                <w:szCs w:val="18"/>
                <w:color w:val="auto"/>
                <w:w w:val="95"/>
              </w:rPr>
              <w:t>F-3</w:t>
            </w:r>
          </w:p>
        </w:tc>
      </w:tr>
      <w:tr>
        <w:trPr>
          <w:trHeight w:val="216"/>
        </w:trPr>
        <w:tc>
          <w:tcPr>
            <w:tcW w:w="180" w:type="dxa"/>
            <w:vAlign w:val="bottom"/>
            <w:tcBorders>
              <w:top w:val="single" w:sz="8" w:color="CCEEFF"/>
            </w:tcBorders>
          </w:tcPr>
          <w:p>
            <w:pPr>
              <w:spacing w:after="0"/>
              <w:rPr>
                <w:sz w:val="18"/>
                <w:szCs w:val="18"/>
                <w:color w:val="auto"/>
              </w:rPr>
            </w:pPr>
          </w:p>
        </w:tc>
        <w:tc>
          <w:tcPr>
            <w:tcW w:w="98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28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96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180" w:type="dxa"/>
            <w:vAlign w:val="bottom"/>
            <w:tcBorders>
              <w:top w:val="single" w:sz="8" w:color="0000EE"/>
            </w:tcBorders>
          </w:tcPr>
          <w:p>
            <w:pPr>
              <w:spacing w:after="0"/>
              <w:rPr>
                <w:sz w:val="18"/>
                <w:szCs w:val="18"/>
                <w:color w:val="auto"/>
              </w:rPr>
            </w:pPr>
          </w:p>
        </w:tc>
        <w:tc>
          <w:tcPr>
            <w:tcW w:w="92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1540" w:type="dxa"/>
            <w:vAlign w:val="bottom"/>
            <w:tcBorders>
              <w:top w:val="single" w:sz="8" w:color="0000EE"/>
            </w:tcBorders>
          </w:tcPr>
          <w:p>
            <w:pPr>
              <w:spacing w:after="0"/>
              <w:rPr>
                <w:sz w:val="18"/>
                <w:szCs w:val="18"/>
                <w:color w:val="auto"/>
              </w:rPr>
            </w:pPr>
          </w:p>
        </w:tc>
        <w:tc>
          <w:tcPr>
            <w:tcW w:w="780" w:type="dxa"/>
            <w:vAlign w:val="bottom"/>
            <w:tcBorders>
              <w:top w:val="single" w:sz="8" w:color="CCEEFF"/>
            </w:tcBorders>
          </w:tcPr>
          <w:p>
            <w:pPr>
              <w:spacing w:after="0"/>
              <w:rPr>
                <w:sz w:val="18"/>
                <w:szCs w:val="18"/>
                <w:color w:val="auto"/>
              </w:rPr>
            </w:pPr>
          </w:p>
        </w:tc>
        <w:tc>
          <w:tcPr>
            <w:tcW w:w="1220" w:type="dxa"/>
            <w:vAlign w:val="bottom"/>
            <w:tcBorders>
              <w:top w:val="single" w:sz="8" w:color="CCEEFF"/>
            </w:tcBorders>
          </w:tcPr>
          <w:p>
            <w:pPr>
              <w:spacing w:after="0"/>
              <w:rPr>
                <w:sz w:val="18"/>
                <w:szCs w:val="18"/>
                <w:color w:val="auto"/>
              </w:rPr>
            </w:pPr>
          </w:p>
        </w:tc>
      </w:tr>
      <w:tr>
        <w:trPr>
          <w:trHeight w:val="196"/>
        </w:trPr>
        <w:tc>
          <w:tcPr>
            <w:tcW w:w="180" w:type="dxa"/>
            <w:vAlign w:val="bottom"/>
            <w:shd w:val="clear" w:color="auto" w:fill="CCEEFF"/>
          </w:tcPr>
          <w:p>
            <w:pPr>
              <w:spacing w:after="0"/>
              <w:rPr>
                <w:sz w:val="17"/>
                <w:szCs w:val="17"/>
                <w:color w:val="auto"/>
              </w:rPr>
            </w:pPr>
          </w:p>
        </w:tc>
        <w:tc>
          <w:tcPr>
            <w:tcW w:w="9840" w:type="dxa"/>
            <w:vAlign w:val="bottom"/>
            <w:gridSpan w:val="18"/>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Condensed Statements of Cash Flows for the three months ended March 31, 2024 and 2023 (Unaudited)</w:t>
            </w:r>
          </w:p>
        </w:tc>
        <w:tc>
          <w:tcPr>
            <w:tcW w:w="1220" w:type="dxa"/>
            <w:vAlign w:val="bottom"/>
            <w:shd w:val="clear" w:color="auto" w:fill="CCEEFF"/>
          </w:tcPr>
          <w:p>
            <w:pPr>
              <w:jc w:val="center"/>
              <w:ind w:left="490"/>
              <w:spacing w:after="0" w:line="176" w:lineRule="exact"/>
              <w:rPr>
                <w:sz w:val="20"/>
                <w:szCs w:val="20"/>
                <w:color w:val="auto"/>
              </w:rPr>
            </w:pPr>
            <w:r>
              <w:rPr>
                <w:rFonts w:ascii="Times New Roman" w:cs="Times New Roman" w:eastAsia="Times New Roman" w:hAnsi="Times New Roman"/>
                <w:sz w:val="18"/>
                <w:szCs w:val="18"/>
                <w:color w:val="auto"/>
                <w:w w:val="95"/>
              </w:rPr>
              <w:t>F-4</w:t>
            </w:r>
          </w:p>
        </w:tc>
      </w:tr>
      <w:tr>
        <w:trPr>
          <w:trHeight w:val="216"/>
        </w:trPr>
        <w:tc>
          <w:tcPr>
            <w:tcW w:w="180" w:type="dxa"/>
            <w:vAlign w:val="bottom"/>
            <w:tcBorders>
              <w:top w:val="single" w:sz="8" w:color="CCEEFF"/>
            </w:tcBorders>
          </w:tcPr>
          <w:p>
            <w:pPr>
              <w:spacing w:after="0"/>
              <w:rPr>
                <w:sz w:val="18"/>
                <w:szCs w:val="18"/>
                <w:color w:val="auto"/>
              </w:rPr>
            </w:pPr>
          </w:p>
        </w:tc>
        <w:tc>
          <w:tcPr>
            <w:tcW w:w="98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28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96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180" w:type="dxa"/>
            <w:vAlign w:val="bottom"/>
            <w:tcBorders>
              <w:top w:val="single" w:sz="8" w:color="0000EE"/>
            </w:tcBorders>
          </w:tcPr>
          <w:p>
            <w:pPr>
              <w:spacing w:after="0"/>
              <w:rPr>
                <w:sz w:val="18"/>
                <w:szCs w:val="18"/>
                <w:color w:val="auto"/>
              </w:rPr>
            </w:pPr>
          </w:p>
        </w:tc>
        <w:tc>
          <w:tcPr>
            <w:tcW w:w="92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1540" w:type="dxa"/>
            <w:vAlign w:val="bottom"/>
            <w:tcBorders>
              <w:top w:val="single" w:sz="8" w:color="CCEEFF"/>
            </w:tcBorders>
          </w:tcPr>
          <w:p>
            <w:pPr>
              <w:spacing w:after="0"/>
              <w:rPr>
                <w:sz w:val="18"/>
                <w:szCs w:val="18"/>
                <w:color w:val="auto"/>
              </w:rPr>
            </w:pPr>
          </w:p>
        </w:tc>
        <w:tc>
          <w:tcPr>
            <w:tcW w:w="780" w:type="dxa"/>
            <w:vAlign w:val="bottom"/>
            <w:tcBorders>
              <w:top w:val="single" w:sz="8" w:color="CCEEFF"/>
            </w:tcBorders>
          </w:tcPr>
          <w:p>
            <w:pPr>
              <w:spacing w:after="0"/>
              <w:rPr>
                <w:sz w:val="18"/>
                <w:szCs w:val="18"/>
                <w:color w:val="auto"/>
              </w:rPr>
            </w:pPr>
          </w:p>
        </w:tc>
        <w:tc>
          <w:tcPr>
            <w:tcW w:w="1220" w:type="dxa"/>
            <w:vAlign w:val="bottom"/>
            <w:tcBorders>
              <w:top w:val="single" w:sz="8" w:color="CCEEFF"/>
            </w:tcBorders>
          </w:tcPr>
          <w:p>
            <w:pPr>
              <w:spacing w:after="0"/>
              <w:rPr>
                <w:sz w:val="18"/>
                <w:szCs w:val="18"/>
                <w:color w:val="auto"/>
              </w:rPr>
            </w:pPr>
          </w:p>
        </w:tc>
      </w:tr>
      <w:tr>
        <w:trPr>
          <w:trHeight w:val="196"/>
        </w:trPr>
        <w:tc>
          <w:tcPr>
            <w:tcW w:w="180" w:type="dxa"/>
            <w:vAlign w:val="bottom"/>
            <w:shd w:val="clear" w:color="auto" w:fill="CCEEFF"/>
          </w:tcPr>
          <w:p>
            <w:pPr>
              <w:spacing w:after="0"/>
              <w:rPr>
                <w:sz w:val="17"/>
                <w:szCs w:val="17"/>
                <w:color w:val="auto"/>
              </w:rPr>
            </w:pPr>
          </w:p>
        </w:tc>
        <w:tc>
          <w:tcPr>
            <w:tcW w:w="9840" w:type="dxa"/>
            <w:vAlign w:val="bottom"/>
            <w:gridSpan w:val="18"/>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Notes to Condensed Financial Statements three months ended March 31, 2024 and 2023 (Unaudited)</w:t>
            </w:r>
          </w:p>
        </w:tc>
        <w:tc>
          <w:tcPr>
            <w:tcW w:w="1220" w:type="dxa"/>
            <w:vAlign w:val="bottom"/>
            <w:shd w:val="clear" w:color="auto" w:fill="CCEEFF"/>
          </w:tcPr>
          <w:p>
            <w:pPr>
              <w:jc w:val="center"/>
              <w:ind w:left="490"/>
              <w:spacing w:after="0" w:line="176" w:lineRule="exact"/>
              <w:rPr>
                <w:sz w:val="20"/>
                <w:szCs w:val="20"/>
                <w:color w:val="auto"/>
              </w:rPr>
            </w:pPr>
            <w:r>
              <w:rPr>
                <w:rFonts w:ascii="Times New Roman" w:cs="Times New Roman" w:eastAsia="Times New Roman" w:hAnsi="Times New Roman"/>
                <w:sz w:val="18"/>
                <w:szCs w:val="18"/>
                <w:color w:val="auto"/>
                <w:w w:val="95"/>
              </w:rPr>
              <w:t>F-5</w:t>
            </w:r>
          </w:p>
        </w:tc>
      </w:tr>
      <w:tr>
        <w:trPr>
          <w:trHeight w:val="216"/>
        </w:trPr>
        <w:tc>
          <w:tcPr>
            <w:tcW w:w="180" w:type="dxa"/>
            <w:vAlign w:val="bottom"/>
            <w:tcBorders>
              <w:top w:val="single" w:sz="8" w:color="CCEEFF"/>
            </w:tcBorders>
          </w:tcPr>
          <w:p>
            <w:pPr>
              <w:spacing w:after="0"/>
              <w:rPr>
                <w:sz w:val="18"/>
                <w:szCs w:val="18"/>
                <w:color w:val="auto"/>
              </w:rPr>
            </w:pPr>
          </w:p>
        </w:tc>
        <w:tc>
          <w:tcPr>
            <w:tcW w:w="98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28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96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180" w:type="dxa"/>
            <w:vAlign w:val="bottom"/>
            <w:tcBorders>
              <w:top w:val="single" w:sz="8" w:color="0000EE"/>
            </w:tcBorders>
          </w:tcPr>
          <w:p>
            <w:pPr>
              <w:spacing w:after="0"/>
              <w:rPr>
                <w:sz w:val="18"/>
                <w:szCs w:val="18"/>
                <w:color w:val="auto"/>
              </w:rPr>
            </w:pPr>
          </w:p>
        </w:tc>
        <w:tc>
          <w:tcPr>
            <w:tcW w:w="92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1540" w:type="dxa"/>
            <w:vAlign w:val="bottom"/>
            <w:tcBorders>
              <w:top w:val="single" w:sz="8" w:color="CCEEFF"/>
            </w:tcBorders>
          </w:tcPr>
          <w:p>
            <w:pPr>
              <w:spacing w:after="0"/>
              <w:rPr>
                <w:sz w:val="18"/>
                <w:szCs w:val="18"/>
                <w:color w:val="auto"/>
              </w:rPr>
            </w:pPr>
          </w:p>
        </w:tc>
        <w:tc>
          <w:tcPr>
            <w:tcW w:w="780" w:type="dxa"/>
            <w:vAlign w:val="bottom"/>
            <w:tcBorders>
              <w:top w:val="single" w:sz="8" w:color="CCEEFF"/>
            </w:tcBorders>
          </w:tcPr>
          <w:p>
            <w:pPr>
              <w:spacing w:after="0"/>
              <w:rPr>
                <w:sz w:val="18"/>
                <w:szCs w:val="18"/>
                <w:color w:val="auto"/>
              </w:rPr>
            </w:pPr>
          </w:p>
        </w:tc>
        <w:tc>
          <w:tcPr>
            <w:tcW w:w="1220" w:type="dxa"/>
            <w:vAlign w:val="bottom"/>
            <w:tcBorders>
              <w:top w:val="single" w:sz="8" w:color="CCEEFF"/>
            </w:tcBorders>
          </w:tcPr>
          <w:p>
            <w:pPr>
              <w:spacing w:after="0"/>
              <w:rPr>
                <w:sz w:val="18"/>
                <w:szCs w:val="18"/>
                <w:color w:val="auto"/>
              </w:rPr>
            </w:pPr>
          </w:p>
        </w:tc>
      </w:tr>
      <w:tr>
        <w:trPr>
          <w:trHeight w:val="196"/>
        </w:trPr>
        <w:tc>
          <w:tcPr>
            <w:tcW w:w="10020" w:type="dxa"/>
            <w:vAlign w:val="bottom"/>
            <w:gridSpan w:val="19"/>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Item 2. Management’s Discussion and Analysis of Financial Condition and Results of Operations</w:t>
            </w:r>
          </w:p>
        </w:tc>
        <w:tc>
          <w:tcPr>
            <w:tcW w:w="1220" w:type="dxa"/>
            <w:vAlign w:val="bottom"/>
            <w:shd w:val="clear" w:color="auto" w:fill="CCEEFF"/>
          </w:tcPr>
          <w:p>
            <w:pPr>
              <w:jc w:val="center"/>
              <w:ind w:left="490"/>
              <w:spacing w:after="0" w:line="176" w:lineRule="exact"/>
              <w:rPr>
                <w:sz w:val="20"/>
                <w:szCs w:val="20"/>
                <w:color w:val="auto"/>
              </w:rPr>
            </w:pPr>
            <w:r>
              <w:rPr>
                <w:rFonts w:ascii="Times New Roman" w:cs="Times New Roman" w:eastAsia="Times New Roman" w:hAnsi="Times New Roman"/>
                <w:sz w:val="18"/>
                <w:szCs w:val="18"/>
                <w:color w:val="auto"/>
                <w:w w:val="88"/>
              </w:rPr>
              <w:t>1</w:t>
            </w:r>
          </w:p>
        </w:tc>
      </w:tr>
      <w:tr>
        <w:trPr>
          <w:trHeight w:val="216"/>
        </w:trPr>
        <w:tc>
          <w:tcPr>
            <w:tcW w:w="180" w:type="dxa"/>
            <w:vAlign w:val="bottom"/>
            <w:tcBorders>
              <w:top w:val="single" w:sz="8" w:color="0000EE"/>
            </w:tcBorders>
          </w:tcPr>
          <w:p>
            <w:pPr>
              <w:spacing w:after="0"/>
              <w:rPr>
                <w:sz w:val="18"/>
                <w:szCs w:val="18"/>
                <w:color w:val="auto"/>
              </w:rPr>
            </w:pPr>
          </w:p>
        </w:tc>
        <w:tc>
          <w:tcPr>
            <w:tcW w:w="98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28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96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180" w:type="dxa"/>
            <w:vAlign w:val="bottom"/>
            <w:tcBorders>
              <w:top w:val="single" w:sz="8" w:color="0000EE"/>
            </w:tcBorders>
          </w:tcPr>
          <w:p>
            <w:pPr>
              <w:spacing w:after="0"/>
              <w:rPr>
                <w:sz w:val="18"/>
                <w:szCs w:val="18"/>
                <w:color w:val="auto"/>
              </w:rPr>
            </w:pPr>
          </w:p>
        </w:tc>
        <w:tc>
          <w:tcPr>
            <w:tcW w:w="920" w:type="dxa"/>
            <w:vAlign w:val="bottom"/>
            <w:tcBorders>
              <w:top w:val="single" w:sz="8" w:color="0000EE"/>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1540" w:type="dxa"/>
            <w:vAlign w:val="bottom"/>
            <w:tcBorders>
              <w:top w:val="single" w:sz="8" w:color="CCEEFF"/>
            </w:tcBorders>
          </w:tcPr>
          <w:p>
            <w:pPr>
              <w:spacing w:after="0"/>
              <w:rPr>
                <w:sz w:val="18"/>
                <w:szCs w:val="18"/>
                <w:color w:val="auto"/>
              </w:rPr>
            </w:pPr>
          </w:p>
        </w:tc>
        <w:tc>
          <w:tcPr>
            <w:tcW w:w="780" w:type="dxa"/>
            <w:vAlign w:val="bottom"/>
            <w:tcBorders>
              <w:top w:val="single" w:sz="8" w:color="CCEEFF"/>
            </w:tcBorders>
          </w:tcPr>
          <w:p>
            <w:pPr>
              <w:spacing w:after="0"/>
              <w:rPr>
                <w:sz w:val="18"/>
                <w:szCs w:val="18"/>
                <w:color w:val="auto"/>
              </w:rPr>
            </w:pPr>
          </w:p>
        </w:tc>
        <w:tc>
          <w:tcPr>
            <w:tcW w:w="1220" w:type="dxa"/>
            <w:vAlign w:val="bottom"/>
            <w:tcBorders>
              <w:top w:val="single" w:sz="8" w:color="CCEEFF"/>
            </w:tcBorders>
          </w:tcPr>
          <w:p>
            <w:pPr>
              <w:spacing w:after="0"/>
              <w:rPr>
                <w:sz w:val="18"/>
                <w:szCs w:val="18"/>
                <w:color w:val="auto"/>
              </w:rPr>
            </w:pPr>
          </w:p>
        </w:tc>
      </w:tr>
      <w:tr>
        <w:trPr>
          <w:trHeight w:val="196"/>
        </w:trPr>
        <w:tc>
          <w:tcPr>
            <w:tcW w:w="10020" w:type="dxa"/>
            <w:vAlign w:val="bottom"/>
            <w:gridSpan w:val="19"/>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Item 3. Quantitative and Qualitative Disclosures About Market Risk</w:t>
            </w:r>
          </w:p>
        </w:tc>
        <w:tc>
          <w:tcPr>
            <w:tcW w:w="1220" w:type="dxa"/>
            <w:vAlign w:val="bottom"/>
            <w:shd w:val="clear" w:color="auto" w:fill="CCEEFF"/>
          </w:tcPr>
          <w:p>
            <w:pPr>
              <w:jc w:val="center"/>
              <w:ind w:left="490"/>
              <w:spacing w:after="0" w:line="176" w:lineRule="exact"/>
              <w:rPr>
                <w:sz w:val="20"/>
                <w:szCs w:val="20"/>
                <w:color w:val="auto"/>
              </w:rPr>
            </w:pPr>
            <w:r>
              <w:rPr>
                <w:rFonts w:ascii="Times New Roman" w:cs="Times New Roman" w:eastAsia="Times New Roman" w:hAnsi="Times New Roman"/>
                <w:sz w:val="18"/>
                <w:szCs w:val="18"/>
                <w:color w:val="auto"/>
                <w:w w:val="88"/>
              </w:rPr>
              <w:t>6</w:t>
            </w:r>
          </w:p>
        </w:tc>
      </w:tr>
      <w:tr>
        <w:trPr>
          <w:trHeight w:val="216"/>
        </w:trPr>
        <w:tc>
          <w:tcPr>
            <w:tcW w:w="180" w:type="dxa"/>
            <w:vAlign w:val="bottom"/>
            <w:tcBorders>
              <w:top w:val="single" w:sz="8" w:color="0000EE"/>
            </w:tcBorders>
          </w:tcPr>
          <w:p>
            <w:pPr>
              <w:spacing w:after="0"/>
              <w:rPr>
                <w:sz w:val="18"/>
                <w:szCs w:val="18"/>
                <w:color w:val="auto"/>
              </w:rPr>
            </w:pPr>
          </w:p>
        </w:tc>
        <w:tc>
          <w:tcPr>
            <w:tcW w:w="98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28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96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180" w:type="dxa"/>
            <w:vAlign w:val="bottom"/>
            <w:tcBorders>
              <w:top w:val="single" w:sz="8" w:color="CCEEFF"/>
            </w:tcBorders>
          </w:tcPr>
          <w:p>
            <w:pPr>
              <w:spacing w:after="0"/>
              <w:rPr>
                <w:sz w:val="18"/>
                <w:szCs w:val="18"/>
                <w:color w:val="auto"/>
              </w:rPr>
            </w:pPr>
          </w:p>
        </w:tc>
        <w:tc>
          <w:tcPr>
            <w:tcW w:w="920" w:type="dxa"/>
            <w:vAlign w:val="bottom"/>
            <w:tcBorders>
              <w:top w:val="single" w:sz="8" w:color="CCEEFF"/>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1540" w:type="dxa"/>
            <w:vAlign w:val="bottom"/>
            <w:tcBorders>
              <w:top w:val="single" w:sz="8" w:color="CCEEFF"/>
            </w:tcBorders>
          </w:tcPr>
          <w:p>
            <w:pPr>
              <w:spacing w:after="0"/>
              <w:rPr>
                <w:sz w:val="18"/>
                <w:szCs w:val="18"/>
                <w:color w:val="auto"/>
              </w:rPr>
            </w:pPr>
          </w:p>
        </w:tc>
        <w:tc>
          <w:tcPr>
            <w:tcW w:w="780" w:type="dxa"/>
            <w:vAlign w:val="bottom"/>
            <w:tcBorders>
              <w:top w:val="single" w:sz="8" w:color="CCEEFF"/>
            </w:tcBorders>
          </w:tcPr>
          <w:p>
            <w:pPr>
              <w:spacing w:after="0"/>
              <w:rPr>
                <w:sz w:val="18"/>
                <w:szCs w:val="18"/>
                <w:color w:val="auto"/>
              </w:rPr>
            </w:pPr>
          </w:p>
        </w:tc>
        <w:tc>
          <w:tcPr>
            <w:tcW w:w="1220" w:type="dxa"/>
            <w:vAlign w:val="bottom"/>
            <w:tcBorders>
              <w:top w:val="single" w:sz="8" w:color="CCEEFF"/>
            </w:tcBorders>
          </w:tcPr>
          <w:p>
            <w:pPr>
              <w:spacing w:after="0"/>
              <w:rPr>
                <w:sz w:val="18"/>
                <w:szCs w:val="18"/>
                <w:color w:val="auto"/>
              </w:rPr>
            </w:pPr>
          </w:p>
        </w:tc>
      </w:tr>
      <w:tr>
        <w:trPr>
          <w:trHeight w:val="196"/>
        </w:trPr>
        <w:tc>
          <w:tcPr>
            <w:tcW w:w="10020" w:type="dxa"/>
            <w:vAlign w:val="bottom"/>
            <w:gridSpan w:val="19"/>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Item 4. Controls and Procedures</w:t>
            </w:r>
          </w:p>
        </w:tc>
        <w:tc>
          <w:tcPr>
            <w:tcW w:w="1220" w:type="dxa"/>
            <w:vAlign w:val="bottom"/>
            <w:shd w:val="clear" w:color="auto" w:fill="CCEEFF"/>
          </w:tcPr>
          <w:p>
            <w:pPr>
              <w:jc w:val="center"/>
              <w:ind w:left="490"/>
              <w:spacing w:after="0" w:line="176" w:lineRule="exact"/>
              <w:rPr>
                <w:sz w:val="20"/>
                <w:szCs w:val="20"/>
                <w:color w:val="auto"/>
              </w:rPr>
            </w:pPr>
            <w:r>
              <w:rPr>
                <w:rFonts w:ascii="Times New Roman" w:cs="Times New Roman" w:eastAsia="Times New Roman" w:hAnsi="Times New Roman"/>
                <w:sz w:val="18"/>
                <w:szCs w:val="18"/>
                <w:color w:val="auto"/>
                <w:w w:val="88"/>
              </w:rPr>
              <w:t>6</w:t>
            </w:r>
          </w:p>
        </w:tc>
      </w:tr>
      <w:tr>
        <w:trPr>
          <w:trHeight w:val="216"/>
        </w:trPr>
        <w:tc>
          <w:tcPr>
            <w:tcW w:w="180" w:type="dxa"/>
            <w:vAlign w:val="bottom"/>
            <w:tcBorders>
              <w:top w:val="single" w:sz="8" w:color="0000EE"/>
            </w:tcBorders>
          </w:tcPr>
          <w:p>
            <w:pPr>
              <w:spacing w:after="0"/>
              <w:rPr>
                <w:sz w:val="18"/>
                <w:szCs w:val="18"/>
                <w:color w:val="auto"/>
              </w:rPr>
            </w:pPr>
          </w:p>
        </w:tc>
        <w:tc>
          <w:tcPr>
            <w:tcW w:w="98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28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96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180" w:type="dxa"/>
            <w:vAlign w:val="bottom"/>
            <w:tcBorders>
              <w:top w:val="single" w:sz="8" w:color="CCEEFF"/>
            </w:tcBorders>
          </w:tcPr>
          <w:p>
            <w:pPr>
              <w:spacing w:after="0"/>
              <w:rPr>
                <w:sz w:val="18"/>
                <w:szCs w:val="18"/>
                <w:color w:val="auto"/>
              </w:rPr>
            </w:pPr>
          </w:p>
        </w:tc>
        <w:tc>
          <w:tcPr>
            <w:tcW w:w="920" w:type="dxa"/>
            <w:vAlign w:val="bottom"/>
            <w:tcBorders>
              <w:top w:val="single" w:sz="8" w:color="CCEEFF"/>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1540" w:type="dxa"/>
            <w:vAlign w:val="bottom"/>
            <w:tcBorders>
              <w:top w:val="single" w:sz="8" w:color="CCEEFF"/>
            </w:tcBorders>
          </w:tcPr>
          <w:p>
            <w:pPr>
              <w:spacing w:after="0"/>
              <w:rPr>
                <w:sz w:val="18"/>
                <w:szCs w:val="18"/>
                <w:color w:val="auto"/>
              </w:rPr>
            </w:pPr>
          </w:p>
        </w:tc>
        <w:tc>
          <w:tcPr>
            <w:tcW w:w="780" w:type="dxa"/>
            <w:vAlign w:val="bottom"/>
            <w:tcBorders>
              <w:top w:val="single" w:sz="8" w:color="CCEEFF"/>
            </w:tcBorders>
          </w:tcPr>
          <w:p>
            <w:pPr>
              <w:spacing w:after="0"/>
              <w:rPr>
                <w:sz w:val="18"/>
                <w:szCs w:val="18"/>
                <w:color w:val="auto"/>
              </w:rPr>
            </w:pPr>
          </w:p>
        </w:tc>
        <w:tc>
          <w:tcPr>
            <w:tcW w:w="1220" w:type="dxa"/>
            <w:vAlign w:val="bottom"/>
            <w:tcBorders>
              <w:top w:val="single" w:sz="8" w:color="CCEEFF"/>
            </w:tcBorders>
          </w:tcPr>
          <w:p>
            <w:pPr>
              <w:spacing w:after="0"/>
              <w:rPr>
                <w:sz w:val="18"/>
                <w:szCs w:val="18"/>
                <w:color w:val="auto"/>
              </w:rPr>
            </w:pPr>
          </w:p>
        </w:tc>
      </w:tr>
      <w:tr>
        <w:trPr>
          <w:trHeight w:val="196"/>
        </w:trPr>
        <w:tc>
          <w:tcPr>
            <w:tcW w:w="10020" w:type="dxa"/>
            <w:vAlign w:val="bottom"/>
            <w:gridSpan w:val="19"/>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PART II – OTHER INFORMATION</w:t>
            </w:r>
          </w:p>
        </w:tc>
        <w:tc>
          <w:tcPr>
            <w:tcW w:w="1220" w:type="dxa"/>
            <w:vAlign w:val="bottom"/>
            <w:shd w:val="clear" w:color="auto" w:fill="CCEEFF"/>
          </w:tcPr>
          <w:p>
            <w:pPr>
              <w:jc w:val="center"/>
              <w:ind w:left="490"/>
              <w:spacing w:after="0" w:line="176" w:lineRule="exact"/>
              <w:rPr>
                <w:sz w:val="20"/>
                <w:szCs w:val="20"/>
                <w:color w:val="auto"/>
              </w:rPr>
            </w:pPr>
            <w:r>
              <w:rPr>
                <w:rFonts w:ascii="Times New Roman" w:cs="Times New Roman" w:eastAsia="Times New Roman" w:hAnsi="Times New Roman"/>
                <w:sz w:val="18"/>
                <w:szCs w:val="18"/>
                <w:color w:val="auto"/>
                <w:w w:val="88"/>
              </w:rPr>
              <w:t>7</w:t>
            </w:r>
          </w:p>
        </w:tc>
      </w:tr>
      <w:tr>
        <w:trPr>
          <w:trHeight w:val="216"/>
        </w:trPr>
        <w:tc>
          <w:tcPr>
            <w:tcW w:w="180" w:type="dxa"/>
            <w:vAlign w:val="bottom"/>
            <w:tcBorders>
              <w:top w:val="single" w:sz="8" w:color="0000EE"/>
            </w:tcBorders>
          </w:tcPr>
          <w:p>
            <w:pPr>
              <w:spacing w:after="0"/>
              <w:rPr>
                <w:sz w:val="18"/>
                <w:szCs w:val="18"/>
                <w:color w:val="auto"/>
              </w:rPr>
            </w:pPr>
          </w:p>
        </w:tc>
        <w:tc>
          <w:tcPr>
            <w:tcW w:w="98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28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96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180" w:type="dxa"/>
            <w:vAlign w:val="bottom"/>
            <w:tcBorders>
              <w:top w:val="single" w:sz="8" w:color="CCEEFF"/>
            </w:tcBorders>
          </w:tcPr>
          <w:p>
            <w:pPr>
              <w:spacing w:after="0"/>
              <w:rPr>
                <w:sz w:val="18"/>
                <w:szCs w:val="18"/>
                <w:color w:val="auto"/>
              </w:rPr>
            </w:pPr>
          </w:p>
        </w:tc>
        <w:tc>
          <w:tcPr>
            <w:tcW w:w="920" w:type="dxa"/>
            <w:vAlign w:val="bottom"/>
            <w:tcBorders>
              <w:top w:val="single" w:sz="8" w:color="CCEEFF"/>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1540" w:type="dxa"/>
            <w:vAlign w:val="bottom"/>
            <w:tcBorders>
              <w:top w:val="single" w:sz="8" w:color="CCEEFF"/>
            </w:tcBorders>
          </w:tcPr>
          <w:p>
            <w:pPr>
              <w:spacing w:after="0"/>
              <w:rPr>
                <w:sz w:val="18"/>
                <w:szCs w:val="18"/>
                <w:color w:val="auto"/>
              </w:rPr>
            </w:pPr>
          </w:p>
        </w:tc>
        <w:tc>
          <w:tcPr>
            <w:tcW w:w="780" w:type="dxa"/>
            <w:vAlign w:val="bottom"/>
            <w:tcBorders>
              <w:top w:val="single" w:sz="8" w:color="CCEEFF"/>
            </w:tcBorders>
          </w:tcPr>
          <w:p>
            <w:pPr>
              <w:spacing w:after="0"/>
              <w:rPr>
                <w:sz w:val="18"/>
                <w:szCs w:val="18"/>
                <w:color w:val="auto"/>
              </w:rPr>
            </w:pPr>
          </w:p>
        </w:tc>
        <w:tc>
          <w:tcPr>
            <w:tcW w:w="1220" w:type="dxa"/>
            <w:vAlign w:val="bottom"/>
            <w:tcBorders>
              <w:top w:val="single" w:sz="8" w:color="CCEEFF"/>
            </w:tcBorders>
          </w:tcPr>
          <w:p>
            <w:pPr>
              <w:spacing w:after="0"/>
              <w:rPr>
                <w:sz w:val="18"/>
                <w:szCs w:val="18"/>
                <w:color w:val="auto"/>
              </w:rPr>
            </w:pPr>
          </w:p>
        </w:tc>
      </w:tr>
      <w:tr>
        <w:trPr>
          <w:trHeight w:val="196"/>
        </w:trPr>
        <w:tc>
          <w:tcPr>
            <w:tcW w:w="10020" w:type="dxa"/>
            <w:vAlign w:val="bottom"/>
            <w:gridSpan w:val="19"/>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Item 1. Legal Proceedings</w:t>
            </w:r>
          </w:p>
        </w:tc>
        <w:tc>
          <w:tcPr>
            <w:tcW w:w="1220" w:type="dxa"/>
            <w:vAlign w:val="bottom"/>
            <w:shd w:val="clear" w:color="auto" w:fill="CCEEFF"/>
          </w:tcPr>
          <w:p>
            <w:pPr>
              <w:jc w:val="center"/>
              <w:ind w:left="490"/>
              <w:spacing w:after="0" w:line="176" w:lineRule="exact"/>
              <w:rPr>
                <w:sz w:val="20"/>
                <w:szCs w:val="20"/>
                <w:color w:val="auto"/>
              </w:rPr>
            </w:pPr>
            <w:r>
              <w:rPr>
                <w:rFonts w:ascii="Times New Roman" w:cs="Times New Roman" w:eastAsia="Times New Roman" w:hAnsi="Times New Roman"/>
                <w:sz w:val="18"/>
                <w:szCs w:val="18"/>
                <w:color w:val="auto"/>
                <w:w w:val="88"/>
              </w:rPr>
              <w:t>7</w:t>
            </w:r>
          </w:p>
        </w:tc>
      </w:tr>
      <w:tr>
        <w:trPr>
          <w:trHeight w:val="216"/>
        </w:trPr>
        <w:tc>
          <w:tcPr>
            <w:tcW w:w="180" w:type="dxa"/>
            <w:vAlign w:val="bottom"/>
            <w:tcBorders>
              <w:top w:val="single" w:sz="8" w:color="0000EE"/>
            </w:tcBorders>
          </w:tcPr>
          <w:p>
            <w:pPr>
              <w:spacing w:after="0"/>
              <w:rPr>
                <w:sz w:val="18"/>
                <w:szCs w:val="18"/>
                <w:color w:val="auto"/>
              </w:rPr>
            </w:pPr>
          </w:p>
        </w:tc>
        <w:tc>
          <w:tcPr>
            <w:tcW w:w="98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28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96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180" w:type="dxa"/>
            <w:vAlign w:val="bottom"/>
            <w:tcBorders>
              <w:top w:val="single" w:sz="8" w:color="CCEEFF"/>
            </w:tcBorders>
          </w:tcPr>
          <w:p>
            <w:pPr>
              <w:spacing w:after="0"/>
              <w:rPr>
                <w:sz w:val="18"/>
                <w:szCs w:val="18"/>
                <w:color w:val="auto"/>
              </w:rPr>
            </w:pPr>
          </w:p>
        </w:tc>
        <w:tc>
          <w:tcPr>
            <w:tcW w:w="920" w:type="dxa"/>
            <w:vAlign w:val="bottom"/>
            <w:tcBorders>
              <w:top w:val="single" w:sz="8" w:color="CCEEFF"/>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1540" w:type="dxa"/>
            <w:vAlign w:val="bottom"/>
            <w:tcBorders>
              <w:top w:val="single" w:sz="8" w:color="CCEEFF"/>
            </w:tcBorders>
          </w:tcPr>
          <w:p>
            <w:pPr>
              <w:spacing w:after="0"/>
              <w:rPr>
                <w:sz w:val="18"/>
                <w:szCs w:val="18"/>
                <w:color w:val="auto"/>
              </w:rPr>
            </w:pPr>
          </w:p>
        </w:tc>
        <w:tc>
          <w:tcPr>
            <w:tcW w:w="780" w:type="dxa"/>
            <w:vAlign w:val="bottom"/>
            <w:tcBorders>
              <w:top w:val="single" w:sz="8" w:color="CCEEFF"/>
            </w:tcBorders>
          </w:tcPr>
          <w:p>
            <w:pPr>
              <w:spacing w:after="0"/>
              <w:rPr>
                <w:sz w:val="18"/>
                <w:szCs w:val="18"/>
                <w:color w:val="auto"/>
              </w:rPr>
            </w:pPr>
          </w:p>
        </w:tc>
        <w:tc>
          <w:tcPr>
            <w:tcW w:w="1220" w:type="dxa"/>
            <w:vAlign w:val="bottom"/>
            <w:tcBorders>
              <w:top w:val="single" w:sz="8" w:color="CCEEFF"/>
            </w:tcBorders>
          </w:tcPr>
          <w:p>
            <w:pPr>
              <w:spacing w:after="0"/>
              <w:rPr>
                <w:sz w:val="18"/>
                <w:szCs w:val="18"/>
                <w:color w:val="auto"/>
              </w:rPr>
            </w:pPr>
          </w:p>
        </w:tc>
      </w:tr>
      <w:tr>
        <w:trPr>
          <w:trHeight w:val="196"/>
        </w:trPr>
        <w:tc>
          <w:tcPr>
            <w:tcW w:w="10020" w:type="dxa"/>
            <w:vAlign w:val="bottom"/>
            <w:gridSpan w:val="19"/>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Item 1A. Risk Factors</w:t>
            </w:r>
          </w:p>
        </w:tc>
        <w:tc>
          <w:tcPr>
            <w:tcW w:w="1220" w:type="dxa"/>
            <w:vAlign w:val="bottom"/>
            <w:shd w:val="clear" w:color="auto" w:fill="CCEEFF"/>
          </w:tcPr>
          <w:p>
            <w:pPr>
              <w:jc w:val="center"/>
              <w:ind w:left="490"/>
              <w:spacing w:after="0" w:line="176" w:lineRule="exact"/>
              <w:rPr>
                <w:sz w:val="20"/>
                <w:szCs w:val="20"/>
                <w:color w:val="auto"/>
              </w:rPr>
            </w:pPr>
            <w:r>
              <w:rPr>
                <w:rFonts w:ascii="Times New Roman" w:cs="Times New Roman" w:eastAsia="Times New Roman" w:hAnsi="Times New Roman"/>
                <w:sz w:val="18"/>
                <w:szCs w:val="18"/>
                <w:color w:val="auto"/>
                <w:w w:val="88"/>
              </w:rPr>
              <w:t>7</w:t>
            </w:r>
          </w:p>
        </w:tc>
      </w:tr>
      <w:tr>
        <w:trPr>
          <w:trHeight w:val="216"/>
        </w:trPr>
        <w:tc>
          <w:tcPr>
            <w:tcW w:w="180" w:type="dxa"/>
            <w:vAlign w:val="bottom"/>
            <w:tcBorders>
              <w:top w:val="single" w:sz="8" w:color="0000EE"/>
            </w:tcBorders>
          </w:tcPr>
          <w:p>
            <w:pPr>
              <w:spacing w:after="0"/>
              <w:rPr>
                <w:sz w:val="18"/>
                <w:szCs w:val="18"/>
                <w:color w:val="auto"/>
              </w:rPr>
            </w:pPr>
          </w:p>
        </w:tc>
        <w:tc>
          <w:tcPr>
            <w:tcW w:w="98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96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180" w:type="dxa"/>
            <w:vAlign w:val="bottom"/>
            <w:tcBorders>
              <w:top w:val="single" w:sz="8" w:color="CCEEFF"/>
            </w:tcBorders>
          </w:tcPr>
          <w:p>
            <w:pPr>
              <w:spacing w:after="0"/>
              <w:rPr>
                <w:sz w:val="18"/>
                <w:szCs w:val="18"/>
                <w:color w:val="auto"/>
              </w:rPr>
            </w:pPr>
          </w:p>
        </w:tc>
        <w:tc>
          <w:tcPr>
            <w:tcW w:w="920" w:type="dxa"/>
            <w:vAlign w:val="bottom"/>
            <w:tcBorders>
              <w:top w:val="single" w:sz="8" w:color="CCEEFF"/>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1540" w:type="dxa"/>
            <w:vAlign w:val="bottom"/>
            <w:tcBorders>
              <w:top w:val="single" w:sz="8" w:color="CCEEFF"/>
            </w:tcBorders>
          </w:tcPr>
          <w:p>
            <w:pPr>
              <w:spacing w:after="0"/>
              <w:rPr>
                <w:sz w:val="18"/>
                <w:szCs w:val="18"/>
                <w:color w:val="auto"/>
              </w:rPr>
            </w:pPr>
          </w:p>
        </w:tc>
        <w:tc>
          <w:tcPr>
            <w:tcW w:w="780" w:type="dxa"/>
            <w:vAlign w:val="bottom"/>
            <w:tcBorders>
              <w:top w:val="single" w:sz="8" w:color="CCEEFF"/>
            </w:tcBorders>
          </w:tcPr>
          <w:p>
            <w:pPr>
              <w:spacing w:after="0"/>
              <w:rPr>
                <w:sz w:val="18"/>
                <w:szCs w:val="18"/>
                <w:color w:val="auto"/>
              </w:rPr>
            </w:pPr>
          </w:p>
        </w:tc>
        <w:tc>
          <w:tcPr>
            <w:tcW w:w="1220" w:type="dxa"/>
            <w:vAlign w:val="bottom"/>
            <w:tcBorders>
              <w:top w:val="single" w:sz="8" w:color="CCEEFF"/>
            </w:tcBorders>
          </w:tcPr>
          <w:p>
            <w:pPr>
              <w:spacing w:after="0"/>
              <w:rPr>
                <w:sz w:val="18"/>
                <w:szCs w:val="18"/>
                <w:color w:val="auto"/>
              </w:rPr>
            </w:pPr>
          </w:p>
        </w:tc>
      </w:tr>
      <w:tr>
        <w:trPr>
          <w:trHeight w:val="196"/>
        </w:trPr>
        <w:tc>
          <w:tcPr>
            <w:tcW w:w="10020" w:type="dxa"/>
            <w:vAlign w:val="bottom"/>
            <w:gridSpan w:val="19"/>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Item 2. Unregistered Sales of Equity Securities and Use of Proceeds</w:t>
            </w:r>
          </w:p>
        </w:tc>
        <w:tc>
          <w:tcPr>
            <w:tcW w:w="1220" w:type="dxa"/>
            <w:vAlign w:val="bottom"/>
            <w:shd w:val="clear" w:color="auto" w:fill="CCEEFF"/>
          </w:tcPr>
          <w:p>
            <w:pPr>
              <w:jc w:val="center"/>
              <w:ind w:left="490"/>
              <w:spacing w:after="0" w:line="176" w:lineRule="exact"/>
              <w:rPr>
                <w:sz w:val="20"/>
                <w:szCs w:val="20"/>
                <w:color w:val="auto"/>
              </w:rPr>
            </w:pPr>
            <w:r>
              <w:rPr>
                <w:rFonts w:ascii="Times New Roman" w:cs="Times New Roman" w:eastAsia="Times New Roman" w:hAnsi="Times New Roman"/>
                <w:sz w:val="18"/>
                <w:szCs w:val="18"/>
                <w:color w:val="auto"/>
                <w:w w:val="88"/>
              </w:rPr>
              <w:t>7</w:t>
            </w:r>
          </w:p>
        </w:tc>
      </w:tr>
      <w:tr>
        <w:trPr>
          <w:trHeight w:val="216"/>
        </w:trPr>
        <w:tc>
          <w:tcPr>
            <w:tcW w:w="180" w:type="dxa"/>
            <w:vAlign w:val="bottom"/>
            <w:tcBorders>
              <w:top w:val="single" w:sz="8" w:color="0000EE"/>
            </w:tcBorders>
          </w:tcPr>
          <w:p>
            <w:pPr>
              <w:spacing w:after="0"/>
              <w:rPr>
                <w:sz w:val="18"/>
                <w:szCs w:val="18"/>
                <w:color w:val="auto"/>
              </w:rPr>
            </w:pPr>
          </w:p>
        </w:tc>
        <w:tc>
          <w:tcPr>
            <w:tcW w:w="98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28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960" w:type="dxa"/>
            <w:vAlign w:val="bottom"/>
            <w:tcBorders>
              <w:top w:val="single" w:sz="8" w:color="0000EE"/>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180" w:type="dxa"/>
            <w:vAlign w:val="bottom"/>
            <w:tcBorders>
              <w:top w:val="single" w:sz="8" w:color="CCEEFF"/>
            </w:tcBorders>
          </w:tcPr>
          <w:p>
            <w:pPr>
              <w:spacing w:after="0"/>
              <w:rPr>
                <w:sz w:val="18"/>
                <w:szCs w:val="18"/>
                <w:color w:val="auto"/>
              </w:rPr>
            </w:pPr>
          </w:p>
        </w:tc>
        <w:tc>
          <w:tcPr>
            <w:tcW w:w="920" w:type="dxa"/>
            <w:vAlign w:val="bottom"/>
            <w:tcBorders>
              <w:top w:val="single" w:sz="8" w:color="CCEEFF"/>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1540" w:type="dxa"/>
            <w:vAlign w:val="bottom"/>
            <w:tcBorders>
              <w:top w:val="single" w:sz="8" w:color="CCEEFF"/>
            </w:tcBorders>
          </w:tcPr>
          <w:p>
            <w:pPr>
              <w:spacing w:after="0"/>
              <w:rPr>
                <w:sz w:val="18"/>
                <w:szCs w:val="18"/>
                <w:color w:val="auto"/>
              </w:rPr>
            </w:pPr>
          </w:p>
        </w:tc>
        <w:tc>
          <w:tcPr>
            <w:tcW w:w="780" w:type="dxa"/>
            <w:vAlign w:val="bottom"/>
            <w:tcBorders>
              <w:top w:val="single" w:sz="8" w:color="CCEEFF"/>
            </w:tcBorders>
          </w:tcPr>
          <w:p>
            <w:pPr>
              <w:spacing w:after="0"/>
              <w:rPr>
                <w:sz w:val="18"/>
                <w:szCs w:val="18"/>
                <w:color w:val="auto"/>
              </w:rPr>
            </w:pPr>
          </w:p>
        </w:tc>
        <w:tc>
          <w:tcPr>
            <w:tcW w:w="1220" w:type="dxa"/>
            <w:vAlign w:val="bottom"/>
            <w:tcBorders>
              <w:top w:val="single" w:sz="8" w:color="CCEEFF"/>
            </w:tcBorders>
          </w:tcPr>
          <w:p>
            <w:pPr>
              <w:spacing w:after="0"/>
              <w:rPr>
                <w:sz w:val="18"/>
                <w:szCs w:val="18"/>
                <w:color w:val="auto"/>
              </w:rPr>
            </w:pPr>
          </w:p>
        </w:tc>
      </w:tr>
      <w:tr>
        <w:trPr>
          <w:trHeight w:val="196"/>
        </w:trPr>
        <w:tc>
          <w:tcPr>
            <w:tcW w:w="10020" w:type="dxa"/>
            <w:vAlign w:val="bottom"/>
            <w:gridSpan w:val="19"/>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Item 3. Defaults Upon Senior Securities</w:t>
            </w:r>
          </w:p>
        </w:tc>
        <w:tc>
          <w:tcPr>
            <w:tcW w:w="1220" w:type="dxa"/>
            <w:vAlign w:val="bottom"/>
            <w:shd w:val="clear" w:color="auto" w:fill="CCEEFF"/>
          </w:tcPr>
          <w:p>
            <w:pPr>
              <w:jc w:val="center"/>
              <w:ind w:left="490"/>
              <w:spacing w:after="0" w:line="176" w:lineRule="exact"/>
              <w:rPr>
                <w:sz w:val="20"/>
                <w:szCs w:val="20"/>
                <w:color w:val="auto"/>
              </w:rPr>
            </w:pPr>
            <w:r>
              <w:rPr>
                <w:rFonts w:ascii="Times New Roman" w:cs="Times New Roman" w:eastAsia="Times New Roman" w:hAnsi="Times New Roman"/>
                <w:sz w:val="18"/>
                <w:szCs w:val="18"/>
                <w:color w:val="auto"/>
                <w:w w:val="88"/>
              </w:rPr>
              <w:t>7</w:t>
            </w:r>
          </w:p>
        </w:tc>
      </w:tr>
      <w:tr>
        <w:trPr>
          <w:trHeight w:val="216"/>
        </w:trPr>
        <w:tc>
          <w:tcPr>
            <w:tcW w:w="180" w:type="dxa"/>
            <w:vAlign w:val="bottom"/>
            <w:tcBorders>
              <w:top w:val="single" w:sz="8" w:color="0000EE"/>
            </w:tcBorders>
          </w:tcPr>
          <w:p>
            <w:pPr>
              <w:spacing w:after="0"/>
              <w:rPr>
                <w:sz w:val="18"/>
                <w:szCs w:val="18"/>
                <w:color w:val="auto"/>
              </w:rPr>
            </w:pPr>
          </w:p>
        </w:tc>
        <w:tc>
          <w:tcPr>
            <w:tcW w:w="98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28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96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180" w:type="dxa"/>
            <w:vAlign w:val="bottom"/>
            <w:tcBorders>
              <w:top w:val="single" w:sz="8" w:color="CCEEFF"/>
            </w:tcBorders>
          </w:tcPr>
          <w:p>
            <w:pPr>
              <w:spacing w:after="0"/>
              <w:rPr>
                <w:sz w:val="18"/>
                <w:szCs w:val="18"/>
                <w:color w:val="auto"/>
              </w:rPr>
            </w:pPr>
          </w:p>
        </w:tc>
        <w:tc>
          <w:tcPr>
            <w:tcW w:w="920" w:type="dxa"/>
            <w:vAlign w:val="bottom"/>
            <w:tcBorders>
              <w:top w:val="single" w:sz="8" w:color="CCEEFF"/>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1540" w:type="dxa"/>
            <w:vAlign w:val="bottom"/>
            <w:tcBorders>
              <w:top w:val="single" w:sz="8" w:color="CCEEFF"/>
            </w:tcBorders>
          </w:tcPr>
          <w:p>
            <w:pPr>
              <w:spacing w:after="0"/>
              <w:rPr>
                <w:sz w:val="18"/>
                <w:szCs w:val="18"/>
                <w:color w:val="auto"/>
              </w:rPr>
            </w:pPr>
          </w:p>
        </w:tc>
        <w:tc>
          <w:tcPr>
            <w:tcW w:w="780" w:type="dxa"/>
            <w:vAlign w:val="bottom"/>
            <w:tcBorders>
              <w:top w:val="single" w:sz="8" w:color="CCEEFF"/>
            </w:tcBorders>
          </w:tcPr>
          <w:p>
            <w:pPr>
              <w:spacing w:after="0"/>
              <w:rPr>
                <w:sz w:val="18"/>
                <w:szCs w:val="18"/>
                <w:color w:val="auto"/>
              </w:rPr>
            </w:pPr>
          </w:p>
        </w:tc>
        <w:tc>
          <w:tcPr>
            <w:tcW w:w="1220" w:type="dxa"/>
            <w:vAlign w:val="bottom"/>
            <w:tcBorders>
              <w:top w:val="single" w:sz="8" w:color="CCEEFF"/>
            </w:tcBorders>
          </w:tcPr>
          <w:p>
            <w:pPr>
              <w:spacing w:after="0"/>
              <w:rPr>
                <w:sz w:val="18"/>
                <w:szCs w:val="18"/>
                <w:color w:val="auto"/>
              </w:rPr>
            </w:pPr>
          </w:p>
        </w:tc>
      </w:tr>
      <w:tr>
        <w:trPr>
          <w:trHeight w:val="196"/>
        </w:trPr>
        <w:tc>
          <w:tcPr>
            <w:tcW w:w="10020" w:type="dxa"/>
            <w:vAlign w:val="bottom"/>
            <w:gridSpan w:val="19"/>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Item 4. Mine Safety Disclosures</w:t>
            </w:r>
          </w:p>
        </w:tc>
        <w:tc>
          <w:tcPr>
            <w:tcW w:w="1220" w:type="dxa"/>
            <w:vAlign w:val="bottom"/>
            <w:shd w:val="clear" w:color="auto" w:fill="CCEEFF"/>
          </w:tcPr>
          <w:p>
            <w:pPr>
              <w:jc w:val="center"/>
              <w:ind w:left="490"/>
              <w:spacing w:after="0" w:line="176" w:lineRule="exact"/>
              <w:rPr>
                <w:sz w:val="20"/>
                <w:szCs w:val="20"/>
                <w:color w:val="auto"/>
              </w:rPr>
            </w:pPr>
            <w:r>
              <w:rPr>
                <w:rFonts w:ascii="Times New Roman" w:cs="Times New Roman" w:eastAsia="Times New Roman" w:hAnsi="Times New Roman"/>
                <w:sz w:val="18"/>
                <w:szCs w:val="18"/>
                <w:color w:val="auto"/>
                <w:w w:val="88"/>
              </w:rPr>
              <w:t>7</w:t>
            </w:r>
          </w:p>
        </w:tc>
      </w:tr>
      <w:tr>
        <w:trPr>
          <w:trHeight w:val="216"/>
        </w:trPr>
        <w:tc>
          <w:tcPr>
            <w:tcW w:w="180" w:type="dxa"/>
            <w:vAlign w:val="bottom"/>
            <w:tcBorders>
              <w:top w:val="single" w:sz="8" w:color="0000EE"/>
            </w:tcBorders>
          </w:tcPr>
          <w:p>
            <w:pPr>
              <w:spacing w:after="0"/>
              <w:rPr>
                <w:sz w:val="18"/>
                <w:szCs w:val="18"/>
                <w:color w:val="auto"/>
              </w:rPr>
            </w:pPr>
          </w:p>
        </w:tc>
        <w:tc>
          <w:tcPr>
            <w:tcW w:w="98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28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96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180" w:type="dxa"/>
            <w:vAlign w:val="bottom"/>
            <w:tcBorders>
              <w:top w:val="single" w:sz="8" w:color="CCEEFF"/>
            </w:tcBorders>
          </w:tcPr>
          <w:p>
            <w:pPr>
              <w:spacing w:after="0"/>
              <w:rPr>
                <w:sz w:val="18"/>
                <w:szCs w:val="18"/>
                <w:color w:val="auto"/>
              </w:rPr>
            </w:pPr>
          </w:p>
        </w:tc>
        <w:tc>
          <w:tcPr>
            <w:tcW w:w="920" w:type="dxa"/>
            <w:vAlign w:val="bottom"/>
            <w:tcBorders>
              <w:top w:val="single" w:sz="8" w:color="CCEEFF"/>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1540" w:type="dxa"/>
            <w:vAlign w:val="bottom"/>
            <w:tcBorders>
              <w:top w:val="single" w:sz="8" w:color="CCEEFF"/>
            </w:tcBorders>
          </w:tcPr>
          <w:p>
            <w:pPr>
              <w:spacing w:after="0"/>
              <w:rPr>
                <w:sz w:val="18"/>
                <w:szCs w:val="18"/>
                <w:color w:val="auto"/>
              </w:rPr>
            </w:pPr>
          </w:p>
        </w:tc>
        <w:tc>
          <w:tcPr>
            <w:tcW w:w="780" w:type="dxa"/>
            <w:vAlign w:val="bottom"/>
            <w:tcBorders>
              <w:top w:val="single" w:sz="8" w:color="CCEEFF"/>
            </w:tcBorders>
          </w:tcPr>
          <w:p>
            <w:pPr>
              <w:spacing w:after="0"/>
              <w:rPr>
                <w:sz w:val="18"/>
                <w:szCs w:val="18"/>
                <w:color w:val="auto"/>
              </w:rPr>
            </w:pPr>
          </w:p>
        </w:tc>
        <w:tc>
          <w:tcPr>
            <w:tcW w:w="1220" w:type="dxa"/>
            <w:vAlign w:val="bottom"/>
            <w:tcBorders>
              <w:top w:val="single" w:sz="8" w:color="CCEEFF"/>
            </w:tcBorders>
          </w:tcPr>
          <w:p>
            <w:pPr>
              <w:spacing w:after="0"/>
              <w:rPr>
                <w:sz w:val="18"/>
                <w:szCs w:val="18"/>
                <w:color w:val="auto"/>
              </w:rPr>
            </w:pPr>
          </w:p>
        </w:tc>
      </w:tr>
      <w:tr>
        <w:trPr>
          <w:trHeight w:val="196"/>
        </w:trPr>
        <w:tc>
          <w:tcPr>
            <w:tcW w:w="10020" w:type="dxa"/>
            <w:vAlign w:val="bottom"/>
            <w:gridSpan w:val="19"/>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Item 5. Other Information</w:t>
            </w:r>
          </w:p>
        </w:tc>
        <w:tc>
          <w:tcPr>
            <w:tcW w:w="1220" w:type="dxa"/>
            <w:vAlign w:val="bottom"/>
            <w:shd w:val="clear" w:color="auto" w:fill="CCEEFF"/>
          </w:tcPr>
          <w:p>
            <w:pPr>
              <w:jc w:val="center"/>
              <w:ind w:left="490"/>
              <w:spacing w:after="0" w:line="176" w:lineRule="exact"/>
              <w:rPr>
                <w:sz w:val="20"/>
                <w:szCs w:val="20"/>
                <w:color w:val="auto"/>
              </w:rPr>
            </w:pPr>
            <w:r>
              <w:rPr>
                <w:rFonts w:ascii="Times New Roman" w:cs="Times New Roman" w:eastAsia="Times New Roman" w:hAnsi="Times New Roman"/>
                <w:sz w:val="18"/>
                <w:szCs w:val="18"/>
                <w:color w:val="auto"/>
                <w:w w:val="88"/>
              </w:rPr>
              <w:t>7</w:t>
            </w:r>
          </w:p>
        </w:tc>
      </w:tr>
      <w:tr>
        <w:trPr>
          <w:trHeight w:val="216"/>
        </w:trPr>
        <w:tc>
          <w:tcPr>
            <w:tcW w:w="180" w:type="dxa"/>
            <w:vAlign w:val="bottom"/>
            <w:tcBorders>
              <w:top w:val="single" w:sz="8" w:color="0000EE"/>
            </w:tcBorders>
          </w:tcPr>
          <w:p>
            <w:pPr>
              <w:spacing w:after="0"/>
              <w:rPr>
                <w:sz w:val="18"/>
                <w:szCs w:val="18"/>
                <w:color w:val="auto"/>
              </w:rPr>
            </w:pPr>
          </w:p>
        </w:tc>
        <w:tc>
          <w:tcPr>
            <w:tcW w:w="98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280" w:type="dxa"/>
            <w:vAlign w:val="bottom"/>
            <w:tcBorders>
              <w:top w:val="single" w:sz="8" w:color="0000EE"/>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96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180" w:type="dxa"/>
            <w:vAlign w:val="bottom"/>
            <w:tcBorders>
              <w:top w:val="single" w:sz="8" w:color="CCEEFF"/>
            </w:tcBorders>
          </w:tcPr>
          <w:p>
            <w:pPr>
              <w:spacing w:after="0"/>
              <w:rPr>
                <w:sz w:val="18"/>
                <w:szCs w:val="18"/>
                <w:color w:val="auto"/>
              </w:rPr>
            </w:pPr>
          </w:p>
        </w:tc>
        <w:tc>
          <w:tcPr>
            <w:tcW w:w="920" w:type="dxa"/>
            <w:vAlign w:val="bottom"/>
            <w:tcBorders>
              <w:top w:val="single" w:sz="8" w:color="CCEEFF"/>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1540" w:type="dxa"/>
            <w:vAlign w:val="bottom"/>
            <w:tcBorders>
              <w:top w:val="single" w:sz="8" w:color="CCEEFF"/>
            </w:tcBorders>
          </w:tcPr>
          <w:p>
            <w:pPr>
              <w:spacing w:after="0"/>
              <w:rPr>
                <w:sz w:val="18"/>
                <w:szCs w:val="18"/>
                <w:color w:val="auto"/>
              </w:rPr>
            </w:pPr>
          </w:p>
        </w:tc>
        <w:tc>
          <w:tcPr>
            <w:tcW w:w="780" w:type="dxa"/>
            <w:vAlign w:val="bottom"/>
            <w:tcBorders>
              <w:top w:val="single" w:sz="8" w:color="CCEEFF"/>
            </w:tcBorders>
          </w:tcPr>
          <w:p>
            <w:pPr>
              <w:spacing w:after="0"/>
              <w:rPr>
                <w:sz w:val="18"/>
                <w:szCs w:val="18"/>
                <w:color w:val="auto"/>
              </w:rPr>
            </w:pPr>
          </w:p>
        </w:tc>
        <w:tc>
          <w:tcPr>
            <w:tcW w:w="1220" w:type="dxa"/>
            <w:vAlign w:val="bottom"/>
            <w:tcBorders>
              <w:top w:val="single" w:sz="8" w:color="CCEEFF"/>
            </w:tcBorders>
          </w:tcPr>
          <w:p>
            <w:pPr>
              <w:spacing w:after="0"/>
              <w:rPr>
                <w:sz w:val="18"/>
                <w:szCs w:val="18"/>
                <w:color w:val="auto"/>
              </w:rPr>
            </w:pPr>
          </w:p>
        </w:tc>
      </w:tr>
      <w:tr>
        <w:trPr>
          <w:trHeight w:val="196"/>
        </w:trPr>
        <w:tc>
          <w:tcPr>
            <w:tcW w:w="10020" w:type="dxa"/>
            <w:vAlign w:val="bottom"/>
            <w:gridSpan w:val="19"/>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Item 6. Exhibits</w:t>
            </w:r>
          </w:p>
        </w:tc>
        <w:tc>
          <w:tcPr>
            <w:tcW w:w="1220" w:type="dxa"/>
            <w:vAlign w:val="bottom"/>
            <w:shd w:val="clear" w:color="auto" w:fill="CCEEFF"/>
          </w:tcPr>
          <w:p>
            <w:pPr>
              <w:jc w:val="center"/>
              <w:ind w:left="490"/>
              <w:spacing w:after="0" w:line="176" w:lineRule="exact"/>
              <w:rPr>
                <w:sz w:val="20"/>
                <w:szCs w:val="20"/>
                <w:color w:val="auto"/>
              </w:rPr>
            </w:pPr>
            <w:r>
              <w:rPr>
                <w:rFonts w:ascii="Times New Roman" w:cs="Times New Roman" w:eastAsia="Times New Roman" w:hAnsi="Times New Roman"/>
                <w:sz w:val="18"/>
                <w:szCs w:val="18"/>
                <w:color w:val="auto"/>
                <w:w w:val="88"/>
              </w:rPr>
              <w:t>7</w:t>
            </w:r>
          </w:p>
        </w:tc>
      </w:tr>
      <w:tr>
        <w:trPr>
          <w:trHeight w:val="439"/>
        </w:trPr>
        <w:tc>
          <w:tcPr>
            <w:tcW w:w="180" w:type="dxa"/>
            <w:vAlign w:val="bottom"/>
            <w:tcBorders>
              <w:top w:val="single" w:sz="8" w:color="0000EE"/>
              <w:bottom w:val="single" w:sz="8" w:color="auto"/>
            </w:tcBorders>
          </w:tcPr>
          <w:p>
            <w:pPr>
              <w:spacing w:after="0"/>
              <w:rPr>
                <w:sz w:val="24"/>
                <w:szCs w:val="24"/>
                <w:color w:val="auto"/>
              </w:rPr>
            </w:pPr>
          </w:p>
        </w:tc>
        <w:tc>
          <w:tcPr>
            <w:tcW w:w="980" w:type="dxa"/>
            <w:vAlign w:val="bottom"/>
            <w:tcBorders>
              <w:top w:val="single" w:sz="8" w:color="0000EE"/>
              <w:bottom w:val="single" w:sz="8" w:color="auto"/>
            </w:tcBorders>
          </w:tcPr>
          <w:p>
            <w:pPr>
              <w:spacing w:after="0"/>
              <w:rPr>
                <w:sz w:val="24"/>
                <w:szCs w:val="24"/>
                <w:color w:val="auto"/>
              </w:rPr>
            </w:pPr>
          </w:p>
        </w:tc>
        <w:tc>
          <w:tcPr>
            <w:tcW w:w="440" w:type="dxa"/>
            <w:vAlign w:val="bottom"/>
            <w:tcBorders>
              <w:top w:val="single" w:sz="8" w:color="CCEEFF"/>
              <w:bottom w:val="single" w:sz="8" w:color="auto"/>
            </w:tcBorders>
          </w:tcPr>
          <w:p>
            <w:pPr>
              <w:spacing w:after="0"/>
              <w:rPr>
                <w:sz w:val="24"/>
                <w:szCs w:val="24"/>
                <w:color w:val="auto"/>
              </w:rPr>
            </w:pPr>
          </w:p>
        </w:tc>
        <w:tc>
          <w:tcPr>
            <w:tcW w:w="280" w:type="dxa"/>
            <w:vAlign w:val="bottom"/>
            <w:tcBorders>
              <w:top w:val="single" w:sz="8" w:color="CCEEFF"/>
              <w:bottom w:val="single" w:sz="8" w:color="auto"/>
            </w:tcBorders>
          </w:tcPr>
          <w:p>
            <w:pPr>
              <w:spacing w:after="0"/>
              <w:rPr>
                <w:sz w:val="24"/>
                <w:szCs w:val="24"/>
                <w:color w:val="auto"/>
              </w:rPr>
            </w:pPr>
          </w:p>
        </w:tc>
        <w:tc>
          <w:tcPr>
            <w:tcW w:w="20" w:type="dxa"/>
            <w:vAlign w:val="bottom"/>
            <w:tcBorders>
              <w:top w:val="single" w:sz="8" w:color="CCEEFF"/>
              <w:bottom w:val="single" w:sz="8" w:color="auto"/>
            </w:tcBorders>
          </w:tcPr>
          <w:p>
            <w:pPr>
              <w:spacing w:after="0"/>
              <w:rPr>
                <w:sz w:val="24"/>
                <w:szCs w:val="24"/>
                <w:color w:val="auto"/>
              </w:rPr>
            </w:pPr>
          </w:p>
        </w:tc>
        <w:tc>
          <w:tcPr>
            <w:tcW w:w="440" w:type="dxa"/>
            <w:vAlign w:val="bottom"/>
            <w:tcBorders>
              <w:top w:val="single" w:sz="8" w:color="CCEEFF"/>
              <w:bottom w:val="single" w:sz="8" w:color="auto"/>
            </w:tcBorders>
          </w:tcPr>
          <w:p>
            <w:pPr>
              <w:spacing w:after="0"/>
              <w:rPr>
                <w:sz w:val="24"/>
                <w:szCs w:val="24"/>
                <w:color w:val="auto"/>
              </w:rPr>
            </w:pPr>
          </w:p>
        </w:tc>
        <w:tc>
          <w:tcPr>
            <w:tcW w:w="320" w:type="dxa"/>
            <w:vAlign w:val="bottom"/>
            <w:tcBorders>
              <w:top w:val="single" w:sz="8" w:color="CCEEFF"/>
              <w:bottom w:val="single" w:sz="8" w:color="auto"/>
            </w:tcBorders>
          </w:tcPr>
          <w:p>
            <w:pPr>
              <w:spacing w:after="0"/>
              <w:rPr>
                <w:sz w:val="24"/>
                <w:szCs w:val="24"/>
                <w:color w:val="auto"/>
              </w:rPr>
            </w:pPr>
          </w:p>
        </w:tc>
        <w:tc>
          <w:tcPr>
            <w:tcW w:w="220" w:type="dxa"/>
            <w:vAlign w:val="bottom"/>
            <w:tcBorders>
              <w:top w:val="single" w:sz="8" w:color="CCEEFF"/>
              <w:bottom w:val="single" w:sz="8" w:color="auto"/>
            </w:tcBorders>
          </w:tcPr>
          <w:p>
            <w:pPr>
              <w:spacing w:after="0"/>
              <w:rPr>
                <w:sz w:val="24"/>
                <w:szCs w:val="24"/>
                <w:color w:val="auto"/>
              </w:rPr>
            </w:pPr>
          </w:p>
        </w:tc>
        <w:tc>
          <w:tcPr>
            <w:tcW w:w="40" w:type="dxa"/>
            <w:vAlign w:val="bottom"/>
            <w:tcBorders>
              <w:top w:val="single" w:sz="8" w:color="CCEEFF"/>
              <w:bottom w:val="single" w:sz="8" w:color="auto"/>
            </w:tcBorders>
          </w:tcPr>
          <w:p>
            <w:pPr>
              <w:spacing w:after="0"/>
              <w:rPr>
                <w:sz w:val="24"/>
                <w:szCs w:val="24"/>
                <w:color w:val="auto"/>
              </w:rPr>
            </w:pPr>
          </w:p>
        </w:tc>
        <w:tc>
          <w:tcPr>
            <w:tcW w:w="20" w:type="dxa"/>
            <w:vAlign w:val="bottom"/>
            <w:tcBorders>
              <w:top w:val="single" w:sz="8" w:color="CCEEFF"/>
              <w:bottom w:val="single" w:sz="8" w:color="auto"/>
            </w:tcBorders>
          </w:tcPr>
          <w:p>
            <w:pPr>
              <w:spacing w:after="0"/>
              <w:rPr>
                <w:sz w:val="24"/>
                <w:szCs w:val="24"/>
                <w:color w:val="auto"/>
              </w:rPr>
            </w:pPr>
          </w:p>
        </w:tc>
        <w:tc>
          <w:tcPr>
            <w:tcW w:w="1960" w:type="dxa"/>
            <w:vAlign w:val="bottom"/>
            <w:tcBorders>
              <w:top w:val="single" w:sz="8" w:color="CCEEFF"/>
              <w:bottom w:val="single" w:sz="8" w:color="auto"/>
            </w:tcBorders>
          </w:tcPr>
          <w:p>
            <w:pPr>
              <w:spacing w:after="0"/>
              <w:rPr>
                <w:sz w:val="24"/>
                <w:szCs w:val="24"/>
                <w:color w:val="auto"/>
              </w:rPr>
            </w:pPr>
          </w:p>
        </w:tc>
        <w:tc>
          <w:tcPr>
            <w:tcW w:w="20" w:type="dxa"/>
            <w:vAlign w:val="bottom"/>
            <w:tcBorders>
              <w:top w:val="single" w:sz="8" w:color="CCEEFF"/>
              <w:bottom w:val="single" w:sz="8" w:color="auto"/>
            </w:tcBorders>
          </w:tcPr>
          <w:p>
            <w:pPr>
              <w:spacing w:after="0"/>
              <w:rPr>
                <w:sz w:val="24"/>
                <w:szCs w:val="24"/>
                <w:color w:val="auto"/>
              </w:rPr>
            </w:pPr>
          </w:p>
        </w:tc>
        <w:tc>
          <w:tcPr>
            <w:tcW w:w="5100" w:type="dxa"/>
            <w:vAlign w:val="bottom"/>
            <w:tcBorders>
              <w:top w:val="single" w:sz="8" w:color="CCEEFF"/>
              <w:bottom w:val="single" w:sz="8" w:color="auto"/>
            </w:tcBorders>
            <w:gridSpan w:val="7"/>
          </w:tcPr>
          <w:p>
            <w:pPr>
              <w:jc w:val="center"/>
              <w:ind w:right="3700"/>
              <w:spacing w:after="0"/>
              <w:rPr>
                <w:sz w:val="20"/>
                <w:szCs w:val="20"/>
                <w:color w:val="auto"/>
              </w:rPr>
            </w:pPr>
            <w:r>
              <w:rPr>
                <w:rFonts w:ascii="Times New Roman" w:cs="Times New Roman" w:eastAsia="Times New Roman" w:hAnsi="Times New Roman"/>
                <w:sz w:val="18"/>
                <w:szCs w:val="18"/>
                <w:color w:val="auto"/>
                <w:w w:val="78"/>
              </w:rPr>
              <w:t>i</w:t>
            </w:r>
          </w:p>
        </w:tc>
        <w:tc>
          <w:tcPr>
            <w:tcW w:w="1220" w:type="dxa"/>
            <w:vAlign w:val="bottom"/>
            <w:tcBorders>
              <w:top w:val="single" w:sz="8" w:color="CCEEFF"/>
              <w:bottom w:val="single" w:sz="8" w:color="auto"/>
            </w:tcBorders>
          </w:tcPr>
          <w:p>
            <w:pPr>
              <w:spacing w:after="0"/>
              <w:rPr>
                <w:sz w:val="24"/>
                <w:szCs w:val="24"/>
                <w:color w:val="auto"/>
              </w:rPr>
            </w:pPr>
          </w:p>
        </w:tc>
      </w:tr>
    </w:tbl>
    <w:p>
      <w:pPr>
        <w:sectPr>
          <w:pgSz w:w="11900" w:h="16838" w:orient="portrait"/>
          <w:cols w:equalWidth="0" w:num="1">
            <w:col w:w="11240"/>
          </w:cols>
          <w:pgMar w:left="320" w:top="657" w:right="3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CAUTIONARY STATEMENT REGARDING FORWARD-LOOKING STATEMENTS AND INFORMATION</w:t>
      </w:r>
    </w:p>
    <w:p>
      <w:pPr>
        <w:spacing w:after="0" w:line="22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i w:val="1"/>
          <w:iCs w:val="1"/>
          <w:color w:val="auto"/>
        </w:rPr>
        <w:t>This report contains statements reflecting our views about our future performance that constitute “forward-looking statements” within the meaning of the Private Securities Litigation Reform Act of 1995 (Reform Act). Statements that constitute forward-looking statements within the meaning of the Reform Act are generally identified through the inclusion of words such as “aim,” “anticipate,” “believe,” “drive,” “estimate,” “expect,” “expressed confidence,” “forecast,” “future,” “goal,” “guidance,” “intend,” “may,” “objective,” “outlook,” “plan,” “position,” “potential,” “project,” “seek,” “should,” “strategy,” “target,” “will” or similar statements or variations of such words and other similar expressions. All statements addressing our future operating performance, and statements addressing events and developments that we expect or anticipate will occur in the future, are forward-looking statements within the meaning of the Reform Act. These forward-looking statements are based on currently available information, operating plans and projections about future events and trends. They inherently involve risks and uncertainties that could cause actual results to differ materially from those predicted in any such forward-looking statement. These risks and uncertainties include, but are not limited to, those described in “Part I, Item 1A. Risk Factors” of our Annual Report on Form 10-K for the fiscal year ended December 31, 2023 (“2023 Form 10-K”) as updated by “Part II, Item 1A” of this report should be considered when evaluating our trends and future results. Investors are cautioned not to place undue reliance on any such forward-looking statements, which speak only as of the date they are made. We undertake no obligation to update any forward-looking statement, whether as a result of new information, future events or otherwise. The discussion of risks in this report is by no means all-inclusive but is designed to highlight what we believe are important factors to consider when evaluating our future performance.</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38"/>
        </w:trPr>
        <w:tc>
          <w:tcPr>
            <w:tcW w:w="77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Part I – FINANCIAL INFORMATION</w:t>
            </w:r>
          </w:p>
        </w:tc>
        <w:tc>
          <w:tcPr>
            <w:tcW w:w="1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432"/>
        </w:trPr>
        <w:tc>
          <w:tcPr>
            <w:tcW w:w="77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Item 1. Financial Statements</w:t>
            </w: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410"/>
        </w:trPr>
        <w:tc>
          <w:tcPr>
            <w:tcW w:w="7720" w:type="dxa"/>
            <w:vAlign w:val="bottom"/>
          </w:tcPr>
          <w:p>
            <w:pPr>
              <w:jc w:val="center"/>
              <w:ind w:left="3430"/>
              <w:spacing w:after="0"/>
              <w:rPr>
                <w:sz w:val="20"/>
                <w:szCs w:val="20"/>
                <w:color w:val="auto"/>
              </w:rPr>
            </w:pPr>
            <w:r>
              <w:rPr>
                <w:rFonts w:ascii="Times New Roman" w:cs="Times New Roman" w:eastAsia="Times New Roman" w:hAnsi="Times New Roman"/>
                <w:sz w:val="18"/>
                <w:szCs w:val="18"/>
                <w:b w:val="1"/>
                <w:bCs w:val="1"/>
                <w:color w:val="auto"/>
                <w:w w:val="99"/>
              </w:rPr>
              <w:t>REED’S, INC,</w:t>
            </w: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216"/>
        </w:trPr>
        <w:tc>
          <w:tcPr>
            <w:tcW w:w="7720" w:type="dxa"/>
            <w:vAlign w:val="bottom"/>
          </w:tcPr>
          <w:p>
            <w:pPr>
              <w:jc w:val="center"/>
              <w:ind w:left="3430"/>
              <w:spacing w:after="0"/>
              <w:rPr>
                <w:sz w:val="20"/>
                <w:szCs w:val="20"/>
                <w:color w:val="auto"/>
              </w:rPr>
            </w:pPr>
            <w:r>
              <w:rPr>
                <w:rFonts w:ascii="Times New Roman" w:cs="Times New Roman" w:eastAsia="Times New Roman" w:hAnsi="Times New Roman"/>
                <w:sz w:val="18"/>
                <w:szCs w:val="18"/>
                <w:b w:val="1"/>
                <w:bCs w:val="1"/>
                <w:color w:val="auto"/>
                <w:w w:val="99"/>
              </w:rPr>
              <w:t>CONDENSED BALANCE SHEETS</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38"/>
        </w:trPr>
        <w:tc>
          <w:tcPr>
            <w:tcW w:w="7720" w:type="dxa"/>
            <w:vAlign w:val="bottom"/>
          </w:tcPr>
          <w:p>
            <w:pPr>
              <w:jc w:val="center"/>
              <w:ind w:left="3450"/>
              <w:spacing w:after="0"/>
              <w:rPr>
                <w:sz w:val="20"/>
                <w:szCs w:val="20"/>
                <w:color w:val="auto"/>
              </w:rPr>
            </w:pPr>
            <w:r>
              <w:rPr>
                <w:rFonts w:ascii="Times New Roman" w:cs="Times New Roman" w:eastAsia="Times New Roman" w:hAnsi="Times New Roman"/>
                <w:sz w:val="18"/>
                <w:szCs w:val="18"/>
                <w:b w:val="1"/>
                <w:bCs w:val="1"/>
                <w:color w:val="auto"/>
                <w:w w:val="99"/>
              </w:rPr>
              <w:t>(Amounts in thousands, except share amounts)</w:t>
            </w:r>
          </w:p>
        </w:tc>
        <w:tc>
          <w:tcPr>
            <w:tcW w:w="1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410"/>
        </w:trPr>
        <w:tc>
          <w:tcPr>
            <w:tcW w:w="77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0" w:type="dxa"/>
            <w:vAlign w:val="bottom"/>
            <w:gridSpan w:val="2"/>
          </w:tcPr>
          <w:p>
            <w:pPr>
              <w:jc w:val="center"/>
              <w:ind w:right="450"/>
              <w:spacing w:after="0"/>
              <w:rPr>
                <w:sz w:val="20"/>
                <w:szCs w:val="20"/>
                <w:color w:val="auto"/>
              </w:rPr>
            </w:pPr>
            <w:r>
              <w:rPr>
                <w:rFonts w:ascii="Times New Roman" w:cs="Times New Roman" w:eastAsia="Times New Roman" w:hAnsi="Times New Roman"/>
                <w:sz w:val="18"/>
                <w:szCs w:val="18"/>
                <w:b w:val="1"/>
                <w:bCs w:val="1"/>
                <w:color w:val="auto"/>
                <w:w w:val="98"/>
              </w:rPr>
              <w:t>March 31,</w:t>
            </w: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0" w:type="dxa"/>
            <w:vAlign w:val="bottom"/>
            <w:gridSpan w:val="3"/>
          </w:tcPr>
          <w:p>
            <w:pPr>
              <w:jc w:val="right"/>
              <w:ind w:right="300"/>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45"/>
        </w:trPr>
        <w:tc>
          <w:tcPr>
            <w:tcW w:w="77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w w:val="99"/>
              </w:rPr>
              <w:t>2024</w:t>
            </w:r>
          </w:p>
        </w:tc>
        <w:tc>
          <w:tcPr>
            <w:tcW w:w="3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30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r>
      <w:tr>
        <w:trPr>
          <w:trHeight w:val="216"/>
        </w:trPr>
        <w:tc>
          <w:tcPr>
            <w:tcW w:w="7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tcPr>
          <w:p>
            <w:pPr>
              <w:jc w:val="center"/>
              <w:ind w:right="110"/>
              <w:spacing w:after="0"/>
              <w:rPr>
                <w:sz w:val="20"/>
                <w:szCs w:val="20"/>
                <w:color w:val="auto"/>
              </w:rPr>
            </w:pPr>
            <w:r>
              <w:rPr>
                <w:rFonts w:ascii="Times New Roman" w:cs="Times New Roman" w:eastAsia="Times New Roman" w:hAnsi="Times New Roman"/>
                <w:sz w:val="18"/>
                <w:szCs w:val="18"/>
                <w:color w:val="auto"/>
                <w:w w:val="98"/>
              </w:rPr>
              <w:t>(Unaudited)</w:t>
            </w:r>
          </w:p>
        </w:tc>
        <w:tc>
          <w:tcPr>
            <w:tcW w:w="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77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7720" w:type="dxa"/>
            <w:vAlign w:val="bottom"/>
          </w:tcPr>
          <w:p>
            <w:pPr>
              <w:spacing w:after="0"/>
              <w:rPr>
                <w:sz w:val="20"/>
                <w:szCs w:val="20"/>
                <w:color w:val="auto"/>
              </w:rPr>
            </w:pPr>
            <w:r>
              <w:rPr>
                <w:rFonts w:ascii="Times New Roman" w:cs="Times New Roman" w:eastAsia="Times New Roman" w:hAnsi="Times New Roman"/>
                <w:sz w:val="18"/>
                <w:szCs w:val="18"/>
                <w:color w:val="auto"/>
              </w:rPr>
              <w:t>Current assets:</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77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w:t>
            </w:r>
          </w:p>
        </w:tc>
        <w:tc>
          <w:tcPr>
            <w:tcW w:w="360" w:type="dxa"/>
            <w:vAlign w:val="bottom"/>
            <w:gridSpan w:val="2"/>
            <w:shd w:val="clear" w:color="auto" w:fill="CCEEFF"/>
          </w:tcPr>
          <w:p>
            <w:pPr>
              <w:jc w:val="right"/>
              <w:ind w:right="36"/>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gridSpan w:val="2"/>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314</w:t>
            </w:r>
          </w:p>
        </w:tc>
        <w:tc>
          <w:tcPr>
            <w:tcW w:w="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603</w:t>
            </w:r>
          </w:p>
        </w:tc>
        <w:tc>
          <w:tcPr>
            <w:tcW w:w="80" w:type="dxa"/>
            <w:vAlign w:val="bottom"/>
            <w:shd w:val="clear" w:color="auto" w:fill="CCEEFF"/>
          </w:tcPr>
          <w:p>
            <w:pPr>
              <w:spacing w:after="0"/>
              <w:rPr>
                <w:sz w:val="18"/>
                <w:szCs w:val="18"/>
                <w:color w:val="auto"/>
              </w:rPr>
            </w:pPr>
          </w:p>
        </w:tc>
      </w:tr>
      <w:tr>
        <w:trPr>
          <w:trHeight w:val="216"/>
        </w:trPr>
        <w:tc>
          <w:tcPr>
            <w:tcW w:w="7720" w:type="dxa"/>
            <w:vAlign w:val="bottom"/>
          </w:tcPr>
          <w:p>
            <w:pPr>
              <w:spacing w:after="0"/>
              <w:rPr>
                <w:sz w:val="20"/>
                <w:szCs w:val="20"/>
                <w:color w:val="auto"/>
              </w:rPr>
            </w:pPr>
            <w:r>
              <w:rPr>
                <w:rFonts w:ascii="Times New Roman" w:cs="Times New Roman" w:eastAsia="Times New Roman" w:hAnsi="Times New Roman"/>
                <w:sz w:val="18"/>
                <w:szCs w:val="18"/>
                <w:color w:val="auto"/>
              </w:rPr>
              <w:t>Accounts receivable, net of allowance of $258 and $860, respectively</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0" w:type="dxa"/>
            <w:vAlign w:val="bottom"/>
            <w:gridSpan w:val="2"/>
          </w:tcPr>
          <w:p>
            <w:pPr>
              <w:jc w:val="right"/>
              <w:ind w:right="230"/>
              <w:spacing w:after="0"/>
              <w:rPr>
                <w:sz w:val="20"/>
                <w:szCs w:val="20"/>
                <w:color w:val="auto"/>
              </w:rPr>
            </w:pPr>
            <w:r>
              <w:rPr>
                <w:rFonts w:ascii="Times New Roman" w:cs="Times New Roman" w:eastAsia="Times New Roman" w:hAnsi="Times New Roman"/>
                <w:sz w:val="18"/>
                <w:szCs w:val="18"/>
                <w:color w:val="auto"/>
              </w:rPr>
              <w:t>3,251</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3,571</w:t>
            </w:r>
          </w:p>
        </w:tc>
        <w:tc>
          <w:tcPr>
            <w:tcW w:w="80" w:type="dxa"/>
            <w:vAlign w:val="bottom"/>
          </w:tcPr>
          <w:p>
            <w:pPr>
              <w:spacing w:after="0"/>
              <w:rPr>
                <w:sz w:val="18"/>
                <w:szCs w:val="18"/>
                <w:color w:val="auto"/>
              </w:rPr>
            </w:pPr>
          </w:p>
        </w:tc>
      </w:tr>
      <w:tr>
        <w:trPr>
          <w:trHeight w:val="216"/>
        </w:trPr>
        <w:tc>
          <w:tcPr>
            <w:tcW w:w="77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Inventory</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0" w:type="dxa"/>
            <w:vAlign w:val="bottom"/>
            <w:gridSpan w:val="2"/>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12,017</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11,300</w:t>
            </w:r>
          </w:p>
        </w:tc>
        <w:tc>
          <w:tcPr>
            <w:tcW w:w="80" w:type="dxa"/>
            <w:vAlign w:val="bottom"/>
            <w:shd w:val="clear" w:color="auto" w:fill="CCEEFF"/>
          </w:tcPr>
          <w:p>
            <w:pPr>
              <w:spacing w:after="0"/>
              <w:rPr>
                <w:sz w:val="18"/>
                <w:szCs w:val="18"/>
                <w:color w:val="auto"/>
              </w:rPr>
            </w:pPr>
          </w:p>
        </w:tc>
      </w:tr>
      <w:tr>
        <w:trPr>
          <w:trHeight w:val="216"/>
        </w:trPr>
        <w:tc>
          <w:tcPr>
            <w:tcW w:w="7720" w:type="dxa"/>
            <w:vAlign w:val="bottom"/>
          </w:tcPr>
          <w:p>
            <w:pPr>
              <w:spacing w:after="0"/>
              <w:rPr>
                <w:sz w:val="20"/>
                <w:szCs w:val="20"/>
                <w:color w:val="auto"/>
              </w:rPr>
            </w:pPr>
            <w:r>
              <w:rPr>
                <w:rFonts w:ascii="Times New Roman" w:cs="Times New Roman" w:eastAsia="Times New Roman" w:hAnsi="Times New Roman"/>
                <w:sz w:val="18"/>
                <w:szCs w:val="18"/>
                <w:color w:val="auto"/>
              </w:rPr>
              <w:t>Receivable from former related party</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0" w:type="dxa"/>
            <w:vAlign w:val="bottom"/>
            <w:gridSpan w:val="2"/>
          </w:tcPr>
          <w:p>
            <w:pPr>
              <w:jc w:val="right"/>
              <w:ind w:right="230"/>
              <w:spacing w:after="0"/>
              <w:rPr>
                <w:sz w:val="20"/>
                <w:szCs w:val="20"/>
                <w:color w:val="auto"/>
              </w:rPr>
            </w:pPr>
            <w:r>
              <w:rPr>
                <w:rFonts w:ascii="Times New Roman" w:cs="Times New Roman" w:eastAsia="Times New Roman" w:hAnsi="Times New Roman"/>
                <w:sz w:val="18"/>
                <w:szCs w:val="18"/>
                <w:color w:val="auto"/>
              </w:rPr>
              <w:t>264</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259</w:t>
            </w:r>
          </w:p>
        </w:tc>
        <w:tc>
          <w:tcPr>
            <w:tcW w:w="80" w:type="dxa"/>
            <w:vAlign w:val="bottom"/>
          </w:tcPr>
          <w:p>
            <w:pPr>
              <w:spacing w:after="0"/>
              <w:rPr>
                <w:sz w:val="18"/>
                <w:szCs w:val="18"/>
                <w:color w:val="auto"/>
              </w:rPr>
            </w:pPr>
          </w:p>
        </w:tc>
      </w:tr>
      <w:tr>
        <w:trPr>
          <w:trHeight w:val="249"/>
        </w:trPr>
        <w:tc>
          <w:tcPr>
            <w:tcW w:w="77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16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600" w:type="dxa"/>
            <w:vAlign w:val="bottom"/>
            <w:gridSpan w:val="2"/>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2,332</w:t>
            </w:r>
          </w:p>
        </w:tc>
        <w:tc>
          <w:tcPr>
            <w:tcW w:w="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2,028</w:t>
            </w:r>
          </w:p>
        </w:tc>
        <w:tc>
          <w:tcPr>
            <w:tcW w:w="80" w:type="dxa"/>
            <w:vAlign w:val="bottom"/>
            <w:shd w:val="clear" w:color="auto" w:fill="CCEEFF"/>
          </w:tcPr>
          <w:p>
            <w:pPr>
              <w:spacing w:after="0"/>
              <w:rPr>
                <w:sz w:val="21"/>
                <w:szCs w:val="21"/>
                <w:color w:val="auto"/>
              </w:rPr>
            </w:pPr>
          </w:p>
        </w:tc>
      </w:tr>
      <w:tr>
        <w:trPr>
          <w:trHeight w:val="203"/>
        </w:trPr>
        <w:tc>
          <w:tcPr>
            <w:tcW w:w="7720" w:type="dxa"/>
            <w:vAlign w:val="bottom"/>
            <w:tcBorders>
              <w:top w:val="single" w:sz="8" w:color="CCEEFF"/>
            </w:tcBorders>
          </w:tcPr>
          <w:p>
            <w:pPr>
              <w:spacing w:after="0" w:line="203" w:lineRule="exact"/>
              <w:rPr>
                <w:sz w:val="20"/>
                <w:szCs w:val="20"/>
                <w:color w:val="auto"/>
              </w:rPr>
            </w:pPr>
            <w:r>
              <w:rPr>
                <w:rFonts w:ascii="Times New Roman" w:cs="Times New Roman" w:eastAsia="Times New Roman" w:hAnsi="Times New Roman"/>
                <w:sz w:val="18"/>
                <w:szCs w:val="18"/>
                <w:i w:val="1"/>
                <w:iCs w:val="1"/>
                <w:color w:val="auto"/>
              </w:rPr>
              <w:t>Total current assets</w:t>
            </w:r>
          </w:p>
        </w:tc>
        <w:tc>
          <w:tcPr>
            <w:tcW w:w="160" w:type="dxa"/>
            <w:vAlign w:val="bottom"/>
            <w:tcBorders>
              <w:top w:val="single" w:sz="8" w:color="CCEEFF"/>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126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18,178</w:t>
            </w:r>
          </w:p>
        </w:tc>
        <w:tc>
          <w:tcPr>
            <w:tcW w:w="340" w:type="dxa"/>
            <w:vAlign w:val="bottom"/>
            <w:tcBorders>
              <w:top w:val="single" w:sz="8" w:color="CCEEFF"/>
            </w:tcBorders>
          </w:tcPr>
          <w:p>
            <w:pPr>
              <w:spacing w:after="0"/>
              <w:rPr>
                <w:sz w:val="17"/>
                <w:szCs w:val="17"/>
                <w:color w:val="auto"/>
              </w:rPr>
            </w:pPr>
          </w:p>
        </w:tc>
        <w:tc>
          <w:tcPr>
            <w:tcW w:w="20" w:type="dxa"/>
            <w:vAlign w:val="bottom"/>
            <w:tcBorders>
              <w:top w:val="single" w:sz="8" w:color="CCEEFF"/>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30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17,761</w:t>
            </w:r>
          </w:p>
        </w:tc>
        <w:tc>
          <w:tcPr>
            <w:tcW w:w="2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r>
      <w:tr>
        <w:trPr>
          <w:trHeight w:val="216"/>
        </w:trPr>
        <w:tc>
          <w:tcPr>
            <w:tcW w:w="77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7720" w:type="dxa"/>
            <w:vAlign w:val="bottom"/>
          </w:tcPr>
          <w:p>
            <w:pPr>
              <w:spacing w:after="0"/>
              <w:rPr>
                <w:sz w:val="20"/>
                <w:szCs w:val="20"/>
                <w:color w:val="auto"/>
              </w:rPr>
            </w:pPr>
            <w:r>
              <w:rPr>
                <w:rFonts w:ascii="Times New Roman" w:cs="Times New Roman" w:eastAsia="Times New Roman" w:hAnsi="Times New Roman"/>
                <w:sz w:val="18"/>
                <w:szCs w:val="18"/>
                <w:color w:val="auto"/>
              </w:rPr>
              <w:t>Property and equipment, net of accumulated depreciation of $1,136 and $1,068, respectively</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0" w:type="dxa"/>
            <w:vAlign w:val="bottom"/>
            <w:gridSpan w:val="2"/>
          </w:tcPr>
          <w:p>
            <w:pPr>
              <w:jc w:val="right"/>
              <w:ind w:right="230"/>
              <w:spacing w:after="0"/>
              <w:rPr>
                <w:sz w:val="20"/>
                <w:szCs w:val="20"/>
                <w:color w:val="auto"/>
              </w:rPr>
            </w:pPr>
            <w:r>
              <w:rPr>
                <w:rFonts w:ascii="Times New Roman" w:cs="Times New Roman" w:eastAsia="Times New Roman" w:hAnsi="Times New Roman"/>
                <w:sz w:val="18"/>
                <w:szCs w:val="18"/>
                <w:color w:val="auto"/>
              </w:rPr>
              <w:t>441</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493</w:t>
            </w:r>
          </w:p>
        </w:tc>
        <w:tc>
          <w:tcPr>
            <w:tcW w:w="80" w:type="dxa"/>
            <w:vAlign w:val="bottom"/>
          </w:tcPr>
          <w:p>
            <w:pPr>
              <w:spacing w:after="0"/>
              <w:rPr>
                <w:sz w:val="18"/>
                <w:szCs w:val="18"/>
                <w:color w:val="auto"/>
              </w:rPr>
            </w:pPr>
          </w:p>
        </w:tc>
      </w:tr>
      <w:tr>
        <w:trPr>
          <w:trHeight w:val="249"/>
        </w:trPr>
        <w:tc>
          <w:tcPr>
            <w:tcW w:w="77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Intangible assets</w:t>
            </w:r>
          </w:p>
        </w:tc>
        <w:tc>
          <w:tcPr>
            <w:tcW w:w="16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600" w:type="dxa"/>
            <w:vAlign w:val="bottom"/>
            <w:gridSpan w:val="2"/>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631</w:t>
            </w:r>
          </w:p>
        </w:tc>
        <w:tc>
          <w:tcPr>
            <w:tcW w:w="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629</w:t>
            </w:r>
          </w:p>
        </w:tc>
        <w:tc>
          <w:tcPr>
            <w:tcW w:w="80" w:type="dxa"/>
            <w:vAlign w:val="bottom"/>
            <w:shd w:val="clear" w:color="auto" w:fill="CCEEFF"/>
          </w:tcPr>
          <w:p>
            <w:pPr>
              <w:spacing w:after="0"/>
              <w:rPr>
                <w:sz w:val="21"/>
                <w:szCs w:val="21"/>
                <w:color w:val="auto"/>
              </w:rPr>
            </w:pPr>
          </w:p>
        </w:tc>
      </w:tr>
      <w:tr>
        <w:trPr>
          <w:trHeight w:val="257"/>
        </w:trPr>
        <w:tc>
          <w:tcPr>
            <w:tcW w:w="7720" w:type="dxa"/>
            <w:vAlign w:val="bottom"/>
            <w:tcBorders>
              <w:top w:val="single" w:sz="8" w:color="CCEEFF"/>
              <w:bottom w:val="single" w:sz="8" w:color="CCEEFF"/>
            </w:tcBorders>
          </w:tcPr>
          <w:p>
            <w:pPr>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160" w:type="dxa"/>
            <w:vAlign w:val="bottom"/>
            <w:tcBorders>
              <w:top w:val="single" w:sz="8" w:color="CCEEFF"/>
              <w:bottom w:val="single" w:sz="8" w:color="CCEEFF"/>
            </w:tcBorders>
          </w:tcPr>
          <w:p>
            <w:pPr>
              <w:spacing w:after="0"/>
              <w:rPr>
                <w:sz w:val="22"/>
                <w:szCs w:val="22"/>
                <w:color w:val="auto"/>
              </w:rPr>
            </w:pPr>
          </w:p>
        </w:tc>
        <w:tc>
          <w:tcPr>
            <w:tcW w:w="200" w:type="dxa"/>
            <w:vAlign w:val="bottom"/>
            <w:tcBorders>
              <w:top w:val="single" w:sz="8" w:color="auto"/>
              <w:bottom w:val="single" w:sz="8" w:color="auto"/>
            </w:tcBorders>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19,250</w:t>
            </w:r>
          </w:p>
        </w:tc>
        <w:tc>
          <w:tcPr>
            <w:tcW w:w="340" w:type="dxa"/>
            <w:vAlign w:val="bottom"/>
            <w:tcBorders>
              <w:top w:val="single" w:sz="8" w:color="CCEEFF"/>
              <w:bottom w:val="single" w:sz="8" w:color="CCEEFF"/>
            </w:tcBorders>
          </w:tcPr>
          <w:p>
            <w:pPr>
              <w:spacing w:after="0"/>
              <w:rPr>
                <w:sz w:val="22"/>
                <w:szCs w:val="22"/>
                <w:color w:val="auto"/>
              </w:rPr>
            </w:pPr>
          </w:p>
        </w:tc>
        <w:tc>
          <w:tcPr>
            <w:tcW w:w="20" w:type="dxa"/>
            <w:vAlign w:val="bottom"/>
            <w:tcBorders>
              <w:top w:val="single" w:sz="8" w:color="CCEEFF"/>
              <w:bottom w:val="single" w:sz="8" w:color="CCEEFF"/>
            </w:tcBorders>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18,883</w:t>
            </w:r>
          </w:p>
        </w:tc>
        <w:tc>
          <w:tcPr>
            <w:tcW w:w="20" w:type="dxa"/>
            <w:vAlign w:val="bottom"/>
            <w:tcBorders>
              <w:top w:val="single" w:sz="8" w:color="CCEEFF"/>
              <w:bottom w:val="single" w:sz="8" w:color="CCEEFF"/>
            </w:tcBorders>
          </w:tcPr>
          <w:p>
            <w:pPr>
              <w:spacing w:after="0"/>
              <w:rPr>
                <w:sz w:val="22"/>
                <w:szCs w:val="22"/>
                <w:color w:val="auto"/>
              </w:rPr>
            </w:pPr>
          </w:p>
        </w:tc>
        <w:tc>
          <w:tcPr>
            <w:tcW w:w="80" w:type="dxa"/>
            <w:vAlign w:val="bottom"/>
            <w:tcBorders>
              <w:top w:val="single" w:sz="8" w:color="CCEEFF"/>
              <w:bottom w:val="single" w:sz="8" w:color="CCEEFF"/>
            </w:tcBorders>
          </w:tcPr>
          <w:p>
            <w:pPr>
              <w:spacing w:after="0"/>
              <w:rPr>
                <w:sz w:val="22"/>
                <w:szCs w:val="22"/>
                <w:color w:val="auto"/>
              </w:rPr>
            </w:pPr>
          </w:p>
        </w:tc>
      </w:tr>
      <w:tr>
        <w:trPr>
          <w:trHeight w:val="197"/>
        </w:trPr>
        <w:tc>
          <w:tcPr>
            <w:tcW w:w="77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216"/>
        </w:trPr>
        <w:tc>
          <w:tcPr>
            <w:tcW w:w="77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LIABILITIES AND STOCKHOLDERS’ DEFICIT</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77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7720" w:type="dxa"/>
            <w:vAlign w:val="bottom"/>
          </w:tcPr>
          <w:p>
            <w:pPr>
              <w:spacing w:after="0"/>
              <w:rPr>
                <w:sz w:val="20"/>
                <w:szCs w:val="20"/>
                <w:color w:val="auto"/>
              </w:rPr>
            </w:pPr>
            <w:r>
              <w:rPr>
                <w:rFonts w:ascii="Times New Roman" w:cs="Times New Roman" w:eastAsia="Times New Roman" w:hAnsi="Times New Roman"/>
                <w:sz w:val="18"/>
                <w:szCs w:val="18"/>
                <w:color w:val="auto"/>
              </w:rPr>
              <w:t>Accounts payable</w:t>
            </w:r>
          </w:p>
        </w:tc>
        <w:tc>
          <w:tcPr>
            <w:tcW w:w="360" w:type="dxa"/>
            <w:vAlign w:val="bottom"/>
            <w:gridSpan w:val="2"/>
          </w:tcPr>
          <w:p>
            <w:pPr>
              <w:jc w:val="right"/>
              <w:ind w:right="36"/>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gridSpan w:val="2"/>
          </w:tcPr>
          <w:p>
            <w:pPr>
              <w:jc w:val="right"/>
              <w:ind w:right="230"/>
              <w:spacing w:after="0"/>
              <w:rPr>
                <w:sz w:val="20"/>
                <w:szCs w:val="20"/>
                <w:color w:val="auto"/>
              </w:rPr>
            </w:pPr>
            <w:r>
              <w:rPr>
                <w:rFonts w:ascii="Times New Roman" w:cs="Times New Roman" w:eastAsia="Times New Roman" w:hAnsi="Times New Roman"/>
                <w:sz w:val="18"/>
                <w:szCs w:val="18"/>
                <w:color w:val="auto"/>
              </w:rPr>
              <w:t>8,484</w:t>
            </w: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9,133</w:t>
            </w:r>
          </w:p>
        </w:tc>
        <w:tc>
          <w:tcPr>
            <w:tcW w:w="80" w:type="dxa"/>
            <w:vAlign w:val="bottom"/>
          </w:tcPr>
          <w:p>
            <w:pPr>
              <w:spacing w:after="0"/>
              <w:rPr>
                <w:sz w:val="18"/>
                <w:szCs w:val="18"/>
                <w:color w:val="auto"/>
              </w:rPr>
            </w:pPr>
          </w:p>
        </w:tc>
      </w:tr>
      <w:tr>
        <w:trPr>
          <w:trHeight w:val="216"/>
        </w:trPr>
        <w:tc>
          <w:tcPr>
            <w:tcW w:w="77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Accrued expenses</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0" w:type="dxa"/>
            <w:vAlign w:val="bottom"/>
            <w:gridSpan w:val="2"/>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872</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1,096</w:t>
            </w:r>
          </w:p>
        </w:tc>
        <w:tc>
          <w:tcPr>
            <w:tcW w:w="80" w:type="dxa"/>
            <w:vAlign w:val="bottom"/>
            <w:shd w:val="clear" w:color="auto" w:fill="CCEEFF"/>
          </w:tcPr>
          <w:p>
            <w:pPr>
              <w:spacing w:after="0"/>
              <w:rPr>
                <w:sz w:val="18"/>
                <w:szCs w:val="18"/>
                <w:color w:val="auto"/>
              </w:rPr>
            </w:pPr>
          </w:p>
        </w:tc>
      </w:tr>
      <w:tr>
        <w:trPr>
          <w:trHeight w:val="216"/>
        </w:trPr>
        <w:tc>
          <w:tcPr>
            <w:tcW w:w="7720" w:type="dxa"/>
            <w:vAlign w:val="bottom"/>
          </w:tcPr>
          <w:p>
            <w:pPr>
              <w:spacing w:after="0"/>
              <w:rPr>
                <w:sz w:val="20"/>
                <w:szCs w:val="20"/>
                <w:color w:val="auto"/>
              </w:rPr>
            </w:pPr>
            <w:r>
              <w:rPr>
                <w:rFonts w:ascii="Times New Roman" w:cs="Times New Roman" w:eastAsia="Times New Roman" w:hAnsi="Times New Roman"/>
                <w:sz w:val="18"/>
                <w:szCs w:val="18"/>
                <w:color w:val="auto"/>
              </w:rPr>
              <w:t>Revolving line of credit, net of capitalized financing costs of $161 and $201, respectively</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0" w:type="dxa"/>
            <w:vAlign w:val="bottom"/>
            <w:gridSpan w:val="2"/>
          </w:tcPr>
          <w:p>
            <w:pPr>
              <w:jc w:val="right"/>
              <w:ind w:right="230"/>
              <w:spacing w:after="0"/>
              <w:rPr>
                <w:sz w:val="20"/>
                <w:szCs w:val="20"/>
                <w:color w:val="auto"/>
              </w:rPr>
            </w:pPr>
            <w:r>
              <w:rPr>
                <w:rFonts w:ascii="Times New Roman" w:cs="Times New Roman" w:eastAsia="Times New Roman" w:hAnsi="Times New Roman"/>
                <w:sz w:val="18"/>
                <w:szCs w:val="18"/>
                <w:color w:val="auto"/>
              </w:rPr>
              <w:t>7,844</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9,758</w:t>
            </w:r>
          </w:p>
        </w:tc>
        <w:tc>
          <w:tcPr>
            <w:tcW w:w="80" w:type="dxa"/>
            <w:vAlign w:val="bottom"/>
          </w:tcPr>
          <w:p>
            <w:pPr>
              <w:spacing w:after="0"/>
              <w:rPr>
                <w:sz w:val="18"/>
                <w:szCs w:val="18"/>
                <w:color w:val="auto"/>
              </w:rPr>
            </w:pPr>
          </w:p>
        </w:tc>
      </w:tr>
      <w:tr>
        <w:trPr>
          <w:trHeight w:val="216"/>
        </w:trPr>
        <w:tc>
          <w:tcPr>
            <w:tcW w:w="77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Payable to former related party</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0" w:type="dxa"/>
            <w:vAlign w:val="bottom"/>
            <w:gridSpan w:val="2"/>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331</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259</w:t>
            </w:r>
          </w:p>
        </w:tc>
        <w:tc>
          <w:tcPr>
            <w:tcW w:w="80" w:type="dxa"/>
            <w:vAlign w:val="bottom"/>
            <w:shd w:val="clear" w:color="auto" w:fill="CCEEFF"/>
          </w:tcPr>
          <w:p>
            <w:pPr>
              <w:spacing w:after="0"/>
              <w:rPr>
                <w:sz w:val="18"/>
                <w:szCs w:val="18"/>
                <w:color w:val="auto"/>
              </w:rPr>
            </w:pPr>
          </w:p>
        </w:tc>
      </w:tr>
      <w:tr>
        <w:trPr>
          <w:trHeight w:val="216"/>
        </w:trPr>
        <w:tc>
          <w:tcPr>
            <w:tcW w:w="7720" w:type="dxa"/>
            <w:vAlign w:val="bottom"/>
          </w:tcPr>
          <w:p>
            <w:pPr>
              <w:spacing w:after="0"/>
              <w:rPr>
                <w:sz w:val="20"/>
                <w:szCs w:val="20"/>
                <w:color w:val="auto"/>
              </w:rPr>
            </w:pPr>
            <w:r>
              <w:rPr>
                <w:rFonts w:ascii="Times New Roman" w:cs="Times New Roman" w:eastAsia="Times New Roman" w:hAnsi="Times New Roman"/>
                <w:sz w:val="18"/>
                <w:szCs w:val="18"/>
                <w:color w:val="auto"/>
              </w:rPr>
              <w:t>Current portion of convertible notes payable, net of debt discount of $509 and $424, respectively</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0" w:type="dxa"/>
            <w:vAlign w:val="bottom"/>
            <w:gridSpan w:val="2"/>
          </w:tcPr>
          <w:p>
            <w:pPr>
              <w:jc w:val="right"/>
              <w:ind w:right="230"/>
              <w:spacing w:after="0"/>
              <w:rPr>
                <w:sz w:val="20"/>
                <w:szCs w:val="20"/>
                <w:color w:val="auto"/>
              </w:rPr>
            </w:pPr>
            <w:r>
              <w:rPr>
                <w:rFonts w:ascii="Times New Roman" w:cs="Times New Roman" w:eastAsia="Times New Roman" w:hAnsi="Times New Roman"/>
                <w:sz w:val="18"/>
                <w:szCs w:val="18"/>
                <w:color w:val="auto"/>
              </w:rPr>
              <w:t>7,339</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6,737</w:t>
            </w:r>
          </w:p>
        </w:tc>
        <w:tc>
          <w:tcPr>
            <w:tcW w:w="80" w:type="dxa"/>
            <w:vAlign w:val="bottom"/>
          </w:tcPr>
          <w:p>
            <w:pPr>
              <w:spacing w:after="0"/>
              <w:rPr>
                <w:sz w:val="18"/>
                <w:szCs w:val="18"/>
                <w:color w:val="auto"/>
              </w:rPr>
            </w:pPr>
          </w:p>
        </w:tc>
      </w:tr>
      <w:tr>
        <w:trPr>
          <w:trHeight w:val="249"/>
        </w:trPr>
        <w:tc>
          <w:tcPr>
            <w:tcW w:w="77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Current portion of lease liabilities</w:t>
            </w:r>
          </w:p>
        </w:tc>
        <w:tc>
          <w:tcPr>
            <w:tcW w:w="16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600" w:type="dxa"/>
            <w:vAlign w:val="bottom"/>
            <w:gridSpan w:val="2"/>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155</w:t>
            </w:r>
          </w:p>
        </w:tc>
        <w:tc>
          <w:tcPr>
            <w:tcW w:w="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207</w:t>
            </w:r>
          </w:p>
        </w:tc>
        <w:tc>
          <w:tcPr>
            <w:tcW w:w="80" w:type="dxa"/>
            <w:vAlign w:val="bottom"/>
            <w:shd w:val="clear" w:color="auto" w:fill="CCEEFF"/>
          </w:tcPr>
          <w:p>
            <w:pPr>
              <w:spacing w:after="0"/>
              <w:rPr>
                <w:sz w:val="21"/>
                <w:szCs w:val="21"/>
                <w:color w:val="auto"/>
              </w:rPr>
            </w:pPr>
          </w:p>
        </w:tc>
      </w:tr>
      <w:tr>
        <w:trPr>
          <w:trHeight w:val="203"/>
        </w:trPr>
        <w:tc>
          <w:tcPr>
            <w:tcW w:w="7720" w:type="dxa"/>
            <w:vAlign w:val="bottom"/>
            <w:tcBorders>
              <w:top w:val="single" w:sz="8" w:color="CCEEFF"/>
            </w:tcBorders>
          </w:tcPr>
          <w:p>
            <w:pPr>
              <w:spacing w:after="0" w:line="203" w:lineRule="exact"/>
              <w:rPr>
                <w:sz w:val="20"/>
                <w:szCs w:val="20"/>
                <w:color w:val="auto"/>
              </w:rPr>
            </w:pPr>
            <w:r>
              <w:rPr>
                <w:rFonts w:ascii="Times New Roman" w:cs="Times New Roman" w:eastAsia="Times New Roman" w:hAnsi="Times New Roman"/>
                <w:sz w:val="18"/>
                <w:szCs w:val="18"/>
                <w:i w:val="1"/>
                <w:iCs w:val="1"/>
                <w:color w:val="auto"/>
              </w:rPr>
              <w:t>Total current liabilities</w:t>
            </w:r>
          </w:p>
        </w:tc>
        <w:tc>
          <w:tcPr>
            <w:tcW w:w="160" w:type="dxa"/>
            <w:vAlign w:val="bottom"/>
            <w:tcBorders>
              <w:top w:val="single" w:sz="8" w:color="CCEEFF"/>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126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25,025</w:t>
            </w:r>
          </w:p>
        </w:tc>
        <w:tc>
          <w:tcPr>
            <w:tcW w:w="340" w:type="dxa"/>
            <w:vAlign w:val="bottom"/>
            <w:tcBorders>
              <w:top w:val="single" w:sz="8" w:color="CCEEFF"/>
            </w:tcBorders>
          </w:tcPr>
          <w:p>
            <w:pPr>
              <w:spacing w:after="0"/>
              <w:rPr>
                <w:sz w:val="17"/>
                <w:szCs w:val="17"/>
                <w:color w:val="auto"/>
              </w:rPr>
            </w:pPr>
          </w:p>
        </w:tc>
        <w:tc>
          <w:tcPr>
            <w:tcW w:w="20" w:type="dxa"/>
            <w:vAlign w:val="bottom"/>
            <w:tcBorders>
              <w:top w:val="single" w:sz="8" w:color="CCEEFF"/>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30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27,190</w:t>
            </w:r>
          </w:p>
        </w:tc>
        <w:tc>
          <w:tcPr>
            <w:tcW w:w="2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r>
      <w:tr>
        <w:trPr>
          <w:trHeight w:val="216"/>
        </w:trPr>
        <w:tc>
          <w:tcPr>
            <w:tcW w:w="77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7720" w:type="dxa"/>
            <w:vAlign w:val="bottom"/>
          </w:tcPr>
          <w:p>
            <w:pPr>
              <w:spacing w:after="0"/>
              <w:rPr>
                <w:sz w:val="20"/>
                <w:szCs w:val="20"/>
                <w:color w:val="auto"/>
              </w:rPr>
            </w:pPr>
            <w:r>
              <w:rPr>
                <w:rFonts w:ascii="Times New Roman" w:cs="Times New Roman" w:eastAsia="Times New Roman" w:hAnsi="Times New Roman"/>
                <w:sz w:val="18"/>
                <w:szCs w:val="18"/>
                <w:color w:val="auto"/>
              </w:rPr>
              <w:t>SAFE agreements</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0" w:type="dxa"/>
            <w:vAlign w:val="bottom"/>
            <w:gridSpan w:val="2"/>
          </w:tcPr>
          <w:p>
            <w:pPr>
              <w:jc w:val="right"/>
              <w:ind w:right="230"/>
              <w:spacing w:after="0"/>
              <w:rPr>
                <w:sz w:val="20"/>
                <w:szCs w:val="20"/>
                <w:color w:val="auto"/>
              </w:rPr>
            </w:pPr>
            <w:r>
              <w:rPr>
                <w:rFonts w:ascii="Times New Roman" w:cs="Times New Roman" w:eastAsia="Times New Roman" w:hAnsi="Times New Roman"/>
                <w:sz w:val="18"/>
                <w:szCs w:val="18"/>
                <w:color w:val="auto"/>
              </w:rPr>
              <w:t>4,097</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r>
      <w:tr>
        <w:trPr>
          <w:trHeight w:val="250"/>
        </w:trPr>
        <w:tc>
          <w:tcPr>
            <w:tcW w:w="77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Convertible note payable, net of debt discount of $45 and $148, respectively, less current portion</w:t>
            </w:r>
          </w:p>
        </w:tc>
        <w:tc>
          <w:tcPr>
            <w:tcW w:w="16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600" w:type="dxa"/>
            <w:vAlign w:val="bottom"/>
            <w:gridSpan w:val="2"/>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10,853</w:t>
            </w:r>
          </w:p>
        </w:tc>
        <w:tc>
          <w:tcPr>
            <w:tcW w:w="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10,874</w:t>
            </w:r>
          </w:p>
        </w:tc>
        <w:tc>
          <w:tcPr>
            <w:tcW w:w="80" w:type="dxa"/>
            <w:vAlign w:val="bottom"/>
            <w:shd w:val="clear" w:color="auto" w:fill="CCEEFF"/>
          </w:tcPr>
          <w:p>
            <w:pPr>
              <w:spacing w:after="0"/>
              <w:rPr>
                <w:sz w:val="21"/>
                <w:szCs w:val="21"/>
                <w:color w:val="auto"/>
              </w:rPr>
            </w:pPr>
          </w:p>
        </w:tc>
      </w:tr>
      <w:tr>
        <w:trPr>
          <w:trHeight w:val="210"/>
        </w:trPr>
        <w:tc>
          <w:tcPr>
            <w:tcW w:w="7720" w:type="dxa"/>
            <w:vAlign w:val="bottom"/>
            <w:tcBorders>
              <w:top w:val="single" w:sz="8" w:color="CCEEFF"/>
              <w:bottom w:val="single" w:sz="8" w:color="CCEEFF"/>
            </w:tcBorders>
          </w:tcPr>
          <w:p>
            <w:pPr>
              <w:spacing w:after="0" w:line="203" w:lineRule="exact"/>
              <w:rPr>
                <w:sz w:val="20"/>
                <w:szCs w:val="20"/>
                <w:color w:val="auto"/>
              </w:rPr>
            </w:pPr>
            <w:r>
              <w:rPr>
                <w:rFonts w:ascii="Times New Roman" w:cs="Times New Roman" w:eastAsia="Times New Roman" w:hAnsi="Times New Roman"/>
                <w:sz w:val="18"/>
                <w:szCs w:val="18"/>
                <w:b w:val="1"/>
                <w:bCs w:val="1"/>
                <w:color w:val="auto"/>
              </w:rPr>
              <w:t>Total liabilities</w:t>
            </w:r>
          </w:p>
        </w:tc>
        <w:tc>
          <w:tcPr>
            <w:tcW w:w="160" w:type="dxa"/>
            <w:vAlign w:val="bottom"/>
            <w:tcBorders>
              <w:top w:val="single" w:sz="8" w:color="CCEEFF"/>
              <w:bottom w:val="single" w:sz="8" w:color="CCEEFF"/>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126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39,975</w:t>
            </w:r>
          </w:p>
        </w:tc>
        <w:tc>
          <w:tcPr>
            <w:tcW w:w="340" w:type="dxa"/>
            <w:vAlign w:val="bottom"/>
            <w:tcBorders>
              <w:top w:val="single" w:sz="8" w:color="CCEEFF"/>
              <w:bottom w:val="single" w:sz="8" w:color="CCEEFF"/>
            </w:tcBorders>
          </w:tcPr>
          <w:p>
            <w:pPr>
              <w:spacing w:after="0"/>
              <w:rPr>
                <w:sz w:val="18"/>
                <w:szCs w:val="18"/>
                <w:color w:val="auto"/>
              </w:rPr>
            </w:pPr>
          </w:p>
        </w:tc>
        <w:tc>
          <w:tcPr>
            <w:tcW w:w="20" w:type="dxa"/>
            <w:vAlign w:val="bottom"/>
            <w:tcBorders>
              <w:top w:val="single" w:sz="8" w:color="CCEEFF"/>
              <w:bottom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130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38,064</w:t>
            </w:r>
          </w:p>
        </w:tc>
        <w:tc>
          <w:tcPr>
            <w:tcW w:w="20" w:type="dxa"/>
            <w:vAlign w:val="bottom"/>
            <w:tcBorders>
              <w:top w:val="single" w:sz="8" w:color="CCEEFF"/>
              <w:bottom w:val="single" w:sz="8" w:color="CCEEFF"/>
            </w:tcBorders>
          </w:tcPr>
          <w:p>
            <w:pPr>
              <w:spacing w:after="0"/>
              <w:rPr>
                <w:sz w:val="18"/>
                <w:szCs w:val="18"/>
                <w:color w:val="auto"/>
              </w:rPr>
            </w:pPr>
          </w:p>
        </w:tc>
        <w:tc>
          <w:tcPr>
            <w:tcW w:w="80" w:type="dxa"/>
            <w:vAlign w:val="bottom"/>
            <w:tcBorders>
              <w:top w:val="single" w:sz="8" w:color="CCEEFF"/>
              <w:bottom w:val="single" w:sz="8" w:color="CCEEFF"/>
            </w:tcBorders>
          </w:tcPr>
          <w:p>
            <w:pPr>
              <w:spacing w:after="0"/>
              <w:rPr>
                <w:sz w:val="18"/>
                <w:szCs w:val="18"/>
                <w:color w:val="auto"/>
              </w:rPr>
            </w:pPr>
          </w:p>
        </w:tc>
      </w:tr>
      <w:tr>
        <w:trPr>
          <w:trHeight w:val="216"/>
        </w:trPr>
        <w:tc>
          <w:tcPr>
            <w:tcW w:w="77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77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Stockholders’ deficit:</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198"/>
        </w:trPr>
        <w:tc>
          <w:tcPr>
            <w:tcW w:w="772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Series A Convertible Preferred stock, $10 par value, 500,000 shares authorized, 9,411 shares issued and</w:t>
            </w:r>
          </w:p>
        </w:tc>
        <w:tc>
          <w:tcPr>
            <w:tcW w:w="1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234"/>
        </w:trPr>
        <w:tc>
          <w:tcPr>
            <w:tcW w:w="77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outstanding</w:t>
            </w:r>
          </w:p>
        </w:tc>
        <w:tc>
          <w:tcPr>
            <w:tcW w:w="16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600" w:type="dxa"/>
            <w:vAlign w:val="bottom"/>
            <w:gridSpan w:val="2"/>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94</w:t>
            </w:r>
          </w:p>
        </w:tc>
        <w:tc>
          <w:tcPr>
            <w:tcW w:w="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w:t>
            </w:r>
          </w:p>
        </w:tc>
        <w:tc>
          <w:tcPr>
            <w:tcW w:w="80" w:type="dxa"/>
            <w:vAlign w:val="bottom"/>
            <w:shd w:val="clear" w:color="auto" w:fill="CCEEFF"/>
          </w:tcPr>
          <w:p>
            <w:pPr>
              <w:spacing w:after="0"/>
              <w:rPr>
                <w:sz w:val="20"/>
                <w:szCs w:val="20"/>
                <w:color w:val="auto"/>
              </w:rPr>
            </w:pPr>
          </w:p>
        </w:tc>
      </w:tr>
      <w:tr>
        <w:trPr>
          <w:trHeight w:val="198"/>
        </w:trPr>
        <w:tc>
          <w:tcPr>
            <w:tcW w:w="772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Common stock, $.0001 par value, 180,000,000 shares authorized; 4,187,291 and 4,187,291 shares issued</w:t>
            </w: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34"/>
        </w:trPr>
        <w:tc>
          <w:tcPr>
            <w:tcW w:w="7720" w:type="dxa"/>
            <w:vAlign w:val="bottom"/>
          </w:tcPr>
          <w:p>
            <w:pPr>
              <w:spacing w:after="0"/>
              <w:rPr>
                <w:sz w:val="20"/>
                <w:szCs w:val="20"/>
                <w:color w:val="auto"/>
              </w:rPr>
            </w:pPr>
            <w:r>
              <w:rPr>
                <w:rFonts w:ascii="Times New Roman" w:cs="Times New Roman" w:eastAsia="Times New Roman" w:hAnsi="Times New Roman"/>
                <w:sz w:val="18"/>
                <w:szCs w:val="18"/>
                <w:color w:val="auto"/>
              </w:rPr>
              <w:t>and outstanding, respectively</w:t>
            </w:r>
          </w:p>
        </w:tc>
        <w:tc>
          <w:tcPr>
            <w:tcW w:w="1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00" w:type="dxa"/>
            <w:vAlign w:val="bottom"/>
            <w:gridSpan w:val="2"/>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0"/>
                <w:szCs w:val="20"/>
                <w:color w:val="auto"/>
              </w:rPr>
            </w:pPr>
          </w:p>
        </w:tc>
      </w:tr>
      <w:tr>
        <w:trPr>
          <w:trHeight w:val="216"/>
        </w:trPr>
        <w:tc>
          <w:tcPr>
            <w:tcW w:w="77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Additional paid in capital</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0" w:type="dxa"/>
            <w:vAlign w:val="bottom"/>
            <w:gridSpan w:val="2"/>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119,581</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119,452</w:t>
            </w:r>
          </w:p>
        </w:tc>
        <w:tc>
          <w:tcPr>
            <w:tcW w:w="80" w:type="dxa"/>
            <w:vAlign w:val="bottom"/>
            <w:shd w:val="clear" w:color="auto" w:fill="CCEEFF"/>
          </w:tcPr>
          <w:p>
            <w:pPr>
              <w:spacing w:after="0"/>
              <w:rPr>
                <w:sz w:val="18"/>
                <w:szCs w:val="18"/>
                <w:color w:val="auto"/>
              </w:rPr>
            </w:pPr>
          </w:p>
        </w:tc>
      </w:tr>
      <w:tr>
        <w:trPr>
          <w:trHeight w:val="237"/>
        </w:trPr>
        <w:tc>
          <w:tcPr>
            <w:tcW w:w="7720" w:type="dxa"/>
            <w:vAlign w:val="bottom"/>
          </w:tcPr>
          <w:p>
            <w:pPr>
              <w:spacing w:after="0"/>
              <w:rPr>
                <w:sz w:val="20"/>
                <w:szCs w:val="20"/>
                <w:color w:val="auto"/>
              </w:rPr>
            </w:pPr>
            <w:r>
              <w:rPr>
                <w:rFonts w:ascii="Times New Roman" w:cs="Times New Roman" w:eastAsia="Times New Roman" w:hAnsi="Times New Roman"/>
                <w:sz w:val="18"/>
                <w:szCs w:val="18"/>
                <w:color w:val="auto"/>
              </w:rPr>
              <w:t>Accumulated deficit</w:t>
            </w:r>
          </w:p>
        </w:tc>
        <w:tc>
          <w:tcPr>
            <w:tcW w:w="1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00" w:type="dxa"/>
            <w:vAlign w:val="bottom"/>
            <w:gridSpan w:val="2"/>
          </w:tcPr>
          <w:p>
            <w:pPr>
              <w:jc w:val="right"/>
              <w:ind w:right="170"/>
              <w:spacing w:after="0"/>
              <w:rPr>
                <w:sz w:val="20"/>
                <w:szCs w:val="20"/>
                <w:color w:val="auto"/>
              </w:rPr>
            </w:pPr>
            <w:r>
              <w:rPr>
                <w:rFonts w:ascii="Times New Roman" w:cs="Times New Roman" w:eastAsia="Times New Roman" w:hAnsi="Times New Roman"/>
                <w:sz w:val="18"/>
                <w:szCs w:val="18"/>
                <w:color w:val="auto"/>
              </w:rPr>
              <w:t>(140,400)</w:t>
            </w: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0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(138,727)</w:t>
            </w:r>
          </w:p>
        </w:tc>
      </w:tr>
      <w:tr>
        <w:trPr>
          <w:trHeight w:val="236"/>
        </w:trPr>
        <w:tc>
          <w:tcPr>
            <w:tcW w:w="772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stockholders’ deficit</w:t>
            </w:r>
          </w:p>
        </w:tc>
        <w:tc>
          <w:tcPr>
            <w:tcW w:w="160" w:type="dxa"/>
            <w:vAlign w:val="bottom"/>
            <w:tcBorders>
              <w:top w:val="single" w:sz="8" w:color="CCEEFF"/>
              <w:bottom w:val="single" w:sz="8" w:color="CCEEFF"/>
            </w:tcBorders>
            <w:shd w:val="clear" w:color="auto" w:fill="CCEEFF"/>
          </w:tcPr>
          <w:p>
            <w:pPr>
              <w:spacing w:after="0"/>
              <w:rPr>
                <w:sz w:val="20"/>
                <w:szCs w:val="20"/>
                <w:color w:val="auto"/>
              </w:rPr>
            </w:pPr>
          </w:p>
        </w:tc>
        <w:tc>
          <w:tcPr>
            <w:tcW w:w="200" w:type="dxa"/>
            <w:vAlign w:val="bottom"/>
            <w:tcBorders>
              <w:top w:val="single" w:sz="8" w:color="auto"/>
              <w:bottom w:val="single" w:sz="8" w:color="auto"/>
            </w:tcBorders>
            <w:shd w:val="clear" w:color="auto" w:fill="CCEEFF"/>
          </w:tcPr>
          <w:p>
            <w:pPr>
              <w:spacing w:after="0"/>
              <w:rPr>
                <w:sz w:val="20"/>
                <w:szCs w:val="20"/>
                <w:color w:val="auto"/>
              </w:rPr>
            </w:pP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(20,725</w:t>
            </w:r>
          </w:p>
        </w:tc>
        <w:tc>
          <w:tcPr>
            <w:tcW w:w="340" w:type="dxa"/>
            <w:vAlign w:val="bottom"/>
            <w:tcBorders>
              <w:top w:val="single" w:sz="8" w:color="CCEEFF"/>
              <w:bottom w:val="single" w:sz="8" w:color="CCEEFF"/>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99"/>
              </w:rPr>
              <w:t>)</w:t>
            </w:r>
          </w:p>
        </w:tc>
        <w:tc>
          <w:tcPr>
            <w:tcW w:w="2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spacing w:after="0"/>
              <w:rPr>
                <w:sz w:val="20"/>
                <w:szCs w:val="20"/>
                <w:color w:val="auto"/>
              </w:rPr>
            </w:pP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(19,181</w:t>
            </w:r>
          </w:p>
        </w:tc>
        <w:tc>
          <w:tcPr>
            <w:tcW w:w="100" w:type="dxa"/>
            <w:vAlign w:val="bottom"/>
            <w:tcBorders>
              <w:top w:val="single" w:sz="8" w:color="CCEEFF"/>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w w:val="74"/>
              </w:rPr>
              <w:t>)</w:t>
            </w:r>
          </w:p>
        </w:tc>
      </w:tr>
      <w:tr>
        <w:trPr>
          <w:trHeight w:val="217"/>
        </w:trPr>
        <w:tc>
          <w:tcPr>
            <w:tcW w:w="77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liabilities and stockholders’ deficit</w:t>
            </w:r>
          </w:p>
        </w:tc>
        <w:tc>
          <w:tcPr>
            <w:tcW w:w="160" w:type="dxa"/>
            <w:vAlign w:val="bottom"/>
          </w:tcPr>
          <w:p>
            <w:pPr>
              <w:spacing w:after="0"/>
              <w:rPr>
                <w:sz w:val="18"/>
                <w:szCs w:val="18"/>
                <w:color w:val="auto"/>
              </w:rPr>
            </w:pPr>
          </w:p>
        </w:tc>
        <w:tc>
          <w:tcPr>
            <w:tcW w:w="200" w:type="dxa"/>
            <w:vAlign w:val="bottom"/>
            <w:tcBorders>
              <w:bottom w:val="single" w:sz="8" w:color="auto"/>
            </w:tcBorders>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19,250</w:t>
            </w:r>
          </w:p>
        </w:tc>
        <w:tc>
          <w:tcPr>
            <w:tcW w:w="34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18,883</w:t>
            </w:r>
          </w:p>
        </w:tc>
        <w:tc>
          <w:tcPr>
            <w:tcW w:w="2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r>
      <w:tr>
        <w:trPr>
          <w:trHeight w:val="20"/>
        </w:trPr>
        <w:tc>
          <w:tcPr>
            <w:tcW w:w="77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sectPr>
      </w:pPr>
    </w:p>
    <w:bookmarkStart w:id="4" w:name="page5"/>
    <w:bookmarkEnd w:id="4"/>
    <w:p>
      <w:pPr>
        <w:jc w:val="center"/>
        <w:spacing w:after="0"/>
        <w:rPr>
          <w:sz w:val="20"/>
          <w:szCs w:val="20"/>
          <w:color w:val="auto"/>
        </w:rPr>
      </w:pPr>
      <w:r>
        <w:rPr>
          <w:rFonts w:ascii="Times New Roman" w:cs="Times New Roman" w:eastAsia="Times New Roman" w:hAnsi="Times New Roman"/>
          <w:sz w:val="18"/>
          <w:szCs w:val="18"/>
          <w:b w:val="1"/>
          <w:bCs w:val="1"/>
          <w:color w:val="auto"/>
        </w:rPr>
        <w:t>REED’S,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STATEMENTS OF OPERATIONS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the Three Months Ended March 31, 2024 and 2023</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(Amounts in thousands, except share and per share amounts)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180" w:type="dxa"/>
            <w:vAlign w:val="bottom"/>
          </w:tcPr>
          <w:p>
            <w:pPr>
              <w:spacing w:after="0"/>
              <w:rPr>
                <w:sz w:val="18"/>
                <w:szCs w:val="18"/>
                <w:color w:val="auto"/>
              </w:rPr>
            </w:pPr>
          </w:p>
        </w:tc>
        <w:tc>
          <w:tcPr>
            <w:tcW w:w="2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40" w:type="dxa"/>
            <w:vAlign w:val="bottom"/>
            <w:gridSpan w:val="2"/>
          </w:tcPr>
          <w:p>
            <w:pPr>
              <w:jc w:val="right"/>
              <w:ind w:right="540"/>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b w:val="1"/>
                <w:bCs w:val="1"/>
                <w:color w:val="auto"/>
              </w:rPr>
              <w:t>March 31,</w:t>
            </w:r>
          </w:p>
        </w:tc>
      </w:tr>
      <w:tr>
        <w:trPr>
          <w:trHeight w:val="245"/>
        </w:trPr>
        <w:tc>
          <w:tcPr>
            <w:tcW w:w="5180" w:type="dxa"/>
            <w:vAlign w:val="bottom"/>
            <w:tcBorders>
              <w:bottom w:val="single" w:sz="8" w:color="CCEEFF"/>
            </w:tcBorders>
          </w:tcPr>
          <w:p>
            <w:pPr>
              <w:spacing w:after="0"/>
              <w:rPr>
                <w:sz w:val="21"/>
                <w:szCs w:val="21"/>
                <w:color w:val="auto"/>
              </w:rPr>
            </w:pPr>
          </w:p>
        </w:tc>
        <w:tc>
          <w:tcPr>
            <w:tcW w:w="2700" w:type="dxa"/>
            <w:vAlign w:val="bottom"/>
            <w:tcBorders>
              <w:bottom w:val="single" w:sz="8" w:color="CCEEFF"/>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24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00" w:type="dxa"/>
            <w:vAlign w:val="bottom"/>
            <w:tcBorders>
              <w:bottom w:val="single" w:sz="8" w:color="CCEEFF"/>
            </w:tcBorders>
          </w:tcPr>
          <w:p>
            <w:pPr>
              <w:spacing w:after="0"/>
              <w:rPr>
                <w:sz w:val="21"/>
                <w:szCs w:val="21"/>
                <w:color w:val="auto"/>
              </w:rPr>
            </w:pPr>
          </w:p>
        </w:tc>
        <w:tc>
          <w:tcPr>
            <w:tcW w:w="140" w:type="dxa"/>
            <w:vAlign w:val="bottom"/>
            <w:tcBorders>
              <w:bottom w:val="single" w:sz="8" w:color="CCEEFF"/>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24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Borders>
              <w:bottom w:val="single" w:sz="8" w:color="CCEEFF"/>
            </w:tcBorders>
          </w:tcPr>
          <w:p>
            <w:pPr>
              <w:spacing w:after="0"/>
              <w:rPr>
                <w:sz w:val="21"/>
                <w:szCs w:val="21"/>
                <w:color w:val="auto"/>
              </w:rPr>
            </w:pPr>
          </w:p>
        </w:tc>
      </w:tr>
      <w:tr>
        <w:trPr>
          <w:trHeight w:val="216"/>
        </w:trPr>
        <w:tc>
          <w:tcPr>
            <w:tcW w:w="5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Sales</w:t>
            </w:r>
          </w:p>
        </w:tc>
        <w:tc>
          <w:tcPr>
            <w:tcW w:w="270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9,595</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11,157</w:t>
            </w:r>
          </w:p>
        </w:tc>
        <w:tc>
          <w:tcPr>
            <w:tcW w:w="100" w:type="dxa"/>
            <w:vAlign w:val="bottom"/>
            <w:shd w:val="clear" w:color="auto" w:fill="CCEEFF"/>
          </w:tcPr>
          <w:p>
            <w:pPr>
              <w:spacing w:after="0"/>
              <w:rPr>
                <w:sz w:val="18"/>
                <w:szCs w:val="18"/>
                <w:color w:val="auto"/>
              </w:rPr>
            </w:pPr>
          </w:p>
        </w:tc>
      </w:tr>
      <w:tr>
        <w:trPr>
          <w:trHeight w:val="237"/>
        </w:trPr>
        <w:tc>
          <w:tcPr>
            <w:tcW w:w="5180" w:type="dxa"/>
            <w:vAlign w:val="bottom"/>
          </w:tcPr>
          <w:p>
            <w:pPr>
              <w:spacing w:after="0"/>
              <w:rPr>
                <w:sz w:val="20"/>
                <w:szCs w:val="20"/>
                <w:color w:val="auto"/>
              </w:rPr>
            </w:pPr>
            <w:r>
              <w:rPr>
                <w:rFonts w:ascii="Times New Roman" w:cs="Times New Roman" w:eastAsia="Times New Roman" w:hAnsi="Times New Roman"/>
                <w:sz w:val="18"/>
                <w:szCs w:val="18"/>
                <w:color w:val="auto"/>
              </w:rPr>
              <w:t>Cost of goods sold</w:t>
            </w:r>
          </w:p>
        </w:tc>
        <w:tc>
          <w:tcPr>
            <w:tcW w:w="27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6,182</w:t>
            </w:r>
          </w:p>
        </w:tc>
        <w:tc>
          <w:tcPr>
            <w:tcW w:w="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8,459</w:t>
            </w:r>
          </w:p>
        </w:tc>
      </w:tr>
      <w:tr>
        <w:trPr>
          <w:trHeight w:val="223"/>
        </w:trPr>
        <w:tc>
          <w:tcPr>
            <w:tcW w:w="518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Gross profit</w:t>
            </w:r>
          </w:p>
        </w:tc>
        <w:tc>
          <w:tcPr>
            <w:tcW w:w="2700" w:type="dxa"/>
            <w:vAlign w:val="bottom"/>
            <w:tcBorders>
              <w:top w:val="single" w:sz="8" w:color="CCEEFF"/>
              <w:bottom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spacing w:after="0"/>
              <w:rPr>
                <w:sz w:val="19"/>
                <w:szCs w:val="19"/>
                <w:color w:val="auto"/>
              </w:rPr>
            </w:pP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3,413</w:t>
            </w:r>
          </w:p>
        </w:tc>
        <w:tc>
          <w:tcPr>
            <w:tcW w:w="20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spacing w:after="0"/>
              <w:rPr>
                <w:sz w:val="19"/>
                <w:szCs w:val="19"/>
                <w:color w:val="auto"/>
              </w:rPr>
            </w:pP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2,698</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16"/>
        </w:trPr>
        <w:tc>
          <w:tcPr>
            <w:tcW w:w="5180" w:type="dxa"/>
            <w:vAlign w:val="bottom"/>
          </w:tcPr>
          <w:p>
            <w:pPr>
              <w:spacing w:after="0"/>
              <w:rPr>
                <w:sz w:val="18"/>
                <w:szCs w:val="18"/>
                <w:color w:val="auto"/>
              </w:rPr>
            </w:pPr>
          </w:p>
        </w:tc>
        <w:tc>
          <w:tcPr>
            <w:tcW w:w="2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Operating expenses:</w:t>
            </w:r>
          </w:p>
        </w:tc>
        <w:tc>
          <w:tcPr>
            <w:tcW w:w="27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180" w:type="dxa"/>
            <w:vAlign w:val="bottom"/>
          </w:tcPr>
          <w:p>
            <w:pPr>
              <w:spacing w:after="0"/>
              <w:rPr>
                <w:sz w:val="20"/>
                <w:szCs w:val="20"/>
                <w:color w:val="auto"/>
              </w:rPr>
            </w:pPr>
            <w:r>
              <w:rPr>
                <w:rFonts w:ascii="Times New Roman" w:cs="Times New Roman" w:eastAsia="Times New Roman" w:hAnsi="Times New Roman"/>
                <w:sz w:val="18"/>
                <w:szCs w:val="18"/>
                <w:color w:val="auto"/>
              </w:rPr>
              <w:t>Delivery and handling expense</w:t>
            </w:r>
          </w:p>
        </w:tc>
        <w:tc>
          <w:tcPr>
            <w:tcW w:w="2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1,502</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2,120</w:t>
            </w:r>
          </w:p>
        </w:tc>
      </w:tr>
      <w:tr>
        <w:trPr>
          <w:trHeight w:val="216"/>
        </w:trPr>
        <w:tc>
          <w:tcPr>
            <w:tcW w:w="5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Selling and marketing expense</w:t>
            </w:r>
          </w:p>
        </w:tc>
        <w:tc>
          <w:tcPr>
            <w:tcW w:w="27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1,093</w:t>
            </w: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1,447</w:t>
            </w:r>
          </w:p>
        </w:tc>
      </w:tr>
      <w:tr>
        <w:trPr>
          <w:trHeight w:val="237"/>
        </w:trPr>
        <w:tc>
          <w:tcPr>
            <w:tcW w:w="5180" w:type="dxa"/>
            <w:vAlign w:val="bottom"/>
          </w:tcPr>
          <w:p>
            <w:pPr>
              <w:spacing w:after="0"/>
              <w:rPr>
                <w:sz w:val="20"/>
                <w:szCs w:val="20"/>
                <w:color w:val="auto"/>
              </w:rPr>
            </w:pPr>
            <w:r>
              <w:rPr>
                <w:rFonts w:ascii="Times New Roman" w:cs="Times New Roman" w:eastAsia="Times New Roman" w:hAnsi="Times New Roman"/>
                <w:sz w:val="18"/>
                <w:szCs w:val="18"/>
                <w:color w:val="auto"/>
              </w:rPr>
              <w:t>General and administrative expense</w:t>
            </w:r>
          </w:p>
        </w:tc>
        <w:tc>
          <w:tcPr>
            <w:tcW w:w="27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1,468</w:t>
            </w:r>
          </w:p>
        </w:tc>
        <w:tc>
          <w:tcPr>
            <w:tcW w:w="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1,709</w:t>
            </w:r>
          </w:p>
        </w:tc>
      </w:tr>
      <w:tr>
        <w:trPr>
          <w:trHeight w:val="223"/>
        </w:trPr>
        <w:tc>
          <w:tcPr>
            <w:tcW w:w="518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operating expenses</w:t>
            </w:r>
          </w:p>
        </w:tc>
        <w:tc>
          <w:tcPr>
            <w:tcW w:w="2700" w:type="dxa"/>
            <w:vAlign w:val="bottom"/>
            <w:tcBorders>
              <w:top w:val="single" w:sz="8" w:color="CCEEFF"/>
              <w:bottom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spacing w:after="0"/>
              <w:rPr>
                <w:sz w:val="19"/>
                <w:szCs w:val="19"/>
                <w:color w:val="auto"/>
              </w:rPr>
            </w:pP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4,063</w:t>
            </w:r>
          </w:p>
        </w:tc>
        <w:tc>
          <w:tcPr>
            <w:tcW w:w="20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spacing w:after="0"/>
              <w:rPr>
                <w:sz w:val="19"/>
                <w:szCs w:val="19"/>
                <w:color w:val="auto"/>
              </w:rPr>
            </w:pP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5,276</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16"/>
        </w:trPr>
        <w:tc>
          <w:tcPr>
            <w:tcW w:w="5180" w:type="dxa"/>
            <w:vAlign w:val="bottom"/>
          </w:tcPr>
          <w:p>
            <w:pPr>
              <w:spacing w:after="0"/>
              <w:rPr>
                <w:sz w:val="18"/>
                <w:szCs w:val="18"/>
                <w:color w:val="auto"/>
              </w:rPr>
            </w:pPr>
          </w:p>
        </w:tc>
        <w:tc>
          <w:tcPr>
            <w:tcW w:w="2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Loss from operations</w:t>
            </w:r>
          </w:p>
        </w:tc>
        <w:tc>
          <w:tcPr>
            <w:tcW w:w="27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(650)</w:t>
            </w: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(2,578)</w:t>
            </w:r>
          </w:p>
        </w:tc>
      </w:tr>
      <w:tr>
        <w:trPr>
          <w:trHeight w:val="216"/>
        </w:trPr>
        <w:tc>
          <w:tcPr>
            <w:tcW w:w="5180" w:type="dxa"/>
            <w:vAlign w:val="bottom"/>
          </w:tcPr>
          <w:p>
            <w:pPr>
              <w:spacing w:after="0"/>
              <w:rPr>
                <w:sz w:val="18"/>
                <w:szCs w:val="18"/>
                <w:color w:val="auto"/>
              </w:rPr>
            </w:pPr>
          </w:p>
        </w:tc>
        <w:tc>
          <w:tcPr>
            <w:tcW w:w="2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7"/>
        </w:trPr>
        <w:tc>
          <w:tcPr>
            <w:tcW w:w="5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expense</w:t>
            </w:r>
          </w:p>
        </w:tc>
        <w:tc>
          <w:tcPr>
            <w:tcW w:w="27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4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(1,023)</w:t>
            </w:r>
          </w:p>
        </w:tc>
        <w:tc>
          <w:tcPr>
            <w:tcW w:w="14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3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(1,779)</w:t>
            </w:r>
          </w:p>
        </w:tc>
      </w:tr>
      <w:tr>
        <w:trPr>
          <w:trHeight w:val="216"/>
        </w:trPr>
        <w:tc>
          <w:tcPr>
            <w:tcW w:w="5180" w:type="dxa"/>
            <w:vAlign w:val="bottom"/>
            <w:tcBorders>
              <w:top w:val="single" w:sz="8" w:color="CCEEFF"/>
            </w:tcBorders>
          </w:tcPr>
          <w:p>
            <w:pPr>
              <w:spacing w:after="0"/>
              <w:rPr>
                <w:sz w:val="18"/>
                <w:szCs w:val="18"/>
                <w:color w:val="auto"/>
              </w:rPr>
            </w:pPr>
          </w:p>
        </w:tc>
        <w:tc>
          <w:tcPr>
            <w:tcW w:w="2700" w:type="dxa"/>
            <w:vAlign w:val="bottom"/>
            <w:tcBorders>
              <w:top w:val="single" w:sz="8" w:color="CCEEFF"/>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240" w:type="dxa"/>
            <w:vAlign w:val="bottom"/>
            <w:tcBorders>
              <w:top w:val="single" w:sz="8" w:color="auto"/>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24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43"/>
        </w:trPr>
        <w:tc>
          <w:tcPr>
            <w:tcW w:w="5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loss</w:t>
            </w:r>
          </w:p>
        </w:tc>
        <w:tc>
          <w:tcPr>
            <w:tcW w:w="2920" w:type="dxa"/>
            <w:vAlign w:val="bottom"/>
            <w:gridSpan w:val="2"/>
            <w:shd w:val="clear" w:color="auto" w:fill="CCEEFF"/>
          </w:tcPr>
          <w:p>
            <w:pPr>
              <w:jc w:val="right"/>
              <w:ind w:right="56"/>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(1,673)</w:t>
            </w:r>
          </w:p>
        </w:tc>
        <w:tc>
          <w:tcPr>
            <w:tcW w:w="36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(4,357)</w:t>
            </w:r>
          </w:p>
        </w:tc>
      </w:tr>
      <w:tr>
        <w:trPr>
          <w:trHeight w:val="20"/>
        </w:trPr>
        <w:tc>
          <w:tcPr>
            <w:tcW w:w="5180" w:type="dxa"/>
            <w:vAlign w:val="bottom"/>
            <w:tcBorders>
              <w:top w:val="single" w:sz="8" w:color="CCEEFF"/>
            </w:tcBorders>
          </w:tcPr>
          <w:p>
            <w:pPr>
              <w:spacing w:after="0" w:line="20" w:lineRule="exact"/>
              <w:rPr>
                <w:sz w:val="1"/>
                <w:szCs w:val="1"/>
                <w:color w:val="auto"/>
              </w:rPr>
            </w:pPr>
          </w:p>
        </w:tc>
        <w:tc>
          <w:tcPr>
            <w:tcW w:w="27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r>
      <w:tr>
        <w:trPr>
          <w:trHeight w:val="197"/>
        </w:trPr>
        <w:tc>
          <w:tcPr>
            <w:tcW w:w="5180" w:type="dxa"/>
            <w:vAlign w:val="bottom"/>
          </w:tcPr>
          <w:p>
            <w:pPr>
              <w:spacing w:after="0"/>
              <w:rPr>
                <w:sz w:val="17"/>
                <w:szCs w:val="17"/>
                <w:color w:val="auto"/>
              </w:rPr>
            </w:pPr>
          </w:p>
        </w:tc>
        <w:tc>
          <w:tcPr>
            <w:tcW w:w="27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43"/>
        </w:trPr>
        <w:tc>
          <w:tcPr>
            <w:tcW w:w="5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loss per share – basic and diluted</w:t>
            </w:r>
          </w:p>
        </w:tc>
        <w:tc>
          <w:tcPr>
            <w:tcW w:w="2920" w:type="dxa"/>
            <w:vAlign w:val="bottom"/>
            <w:gridSpan w:val="2"/>
            <w:shd w:val="clear" w:color="auto" w:fill="CCEEFF"/>
          </w:tcPr>
          <w:p>
            <w:pPr>
              <w:jc w:val="right"/>
              <w:ind w:right="56"/>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(0.40)</w:t>
            </w:r>
          </w:p>
        </w:tc>
        <w:tc>
          <w:tcPr>
            <w:tcW w:w="36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(1.70)</w:t>
            </w:r>
          </w:p>
        </w:tc>
      </w:tr>
      <w:tr>
        <w:trPr>
          <w:trHeight w:val="20"/>
        </w:trPr>
        <w:tc>
          <w:tcPr>
            <w:tcW w:w="5180" w:type="dxa"/>
            <w:vAlign w:val="bottom"/>
            <w:tcBorders>
              <w:top w:val="single" w:sz="8" w:color="CCEEFF"/>
            </w:tcBorders>
          </w:tcPr>
          <w:p>
            <w:pPr>
              <w:spacing w:after="0" w:line="20" w:lineRule="exact"/>
              <w:rPr>
                <w:sz w:val="1"/>
                <w:szCs w:val="1"/>
                <w:color w:val="auto"/>
              </w:rPr>
            </w:pPr>
          </w:p>
        </w:tc>
        <w:tc>
          <w:tcPr>
            <w:tcW w:w="27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r>
      <w:tr>
        <w:trPr>
          <w:trHeight w:val="196"/>
        </w:trPr>
        <w:tc>
          <w:tcPr>
            <w:tcW w:w="5180" w:type="dxa"/>
            <w:vAlign w:val="bottom"/>
          </w:tcPr>
          <w:p>
            <w:pPr>
              <w:spacing w:after="0"/>
              <w:rPr>
                <w:sz w:val="17"/>
                <w:szCs w:val="17"/>
                <w:color w:val="auto"/>
              </w:rPr>
            </w:pPr>
          </w:p>
        </w:tc>
        <w:tc>
          <w:tcPr>
            <w:tcW w:w="27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43"/>
        </w:trPr>
        <w:tc>
          <w:tcPr>
            <w:tcW w:w="5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Weighted average number of shares outstanding – basic and diluted</w:t>
            </w:r>
          </w:p>
        </w:tc>
        <w:tc>
          <w:tcPr>
            <w:tcW w:w="27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4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4,187,291</w:t>
            </w:r>
          </w:p>
        </w:tc>
        <w:tc>
          <w:tcPr>
            <w:tcW w:w="14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3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2,559,855</w:t>
            </w:r>
          </w:p>
        </w:tc>
      </w:tr>
      <w:tr>
        <w:trPr>
          <w:trHeight w:val="20"/>
        </w:trPr>
        <w:tc>
          <w:tcPr>
            <w:tcW w:w="7880" w:type="dxa"/>
            <w:vAlign w:val="bottom"/>
            <w:tcBorders>
              <w:top w:val="single" w:sz="8" w:color="CCEEFF"/>
            </w:tcBorders>
            <w:gridSpan w:val="2"/>
          </w:tcPr>
          <w:p>
            <w:pPr>
              <w:spacing w:after="0" w:line="20" w:lineRule="exact"/>
              <w:rPr>
                <w:sz w:val="1"/>
                <w:szCs w:val="1"/>
                <w:color w:val="auto"/>
              </w:rPr>
            </w:pPr>
          </w:p>
        </w:tc>
        <w:tc>
          <w:tcPr>
            <w:tcW w:w="1460" w:type="dxa"/>
            <w:vAlign w:val="bottom"/>
            <w:tcBorders>
              <w:top w:val="single" w:sz="8" w:color="auto"/>
              <w:bottom w:val="single" w:sz="8" w:color="auto"/>
            </w:tcBorders>
            <w:gridSpan w:val="2"/>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r>
      <w:tr>
        <w:trPr>
          <w:trHeight w:val="413"/>
        </w:trPr>
        <w:tc>
          <w:tcPr>
            <w:tcW w:w="9540" w:type="dxa"/>
            <w:vAlign w:val="bottom"/>
            <w:gridSpan w:val="5"/>
          </w:tcPr>
          <w:p>
            <w:pPr>
              <w:ind w:left="2560"/>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financial statements.</w:t>
            </w: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39"/>
        </w:trPr>
        <w:tc>
          <w:tcPr>
            <w:tcW w:w="5180" w:type="dxa"/>
            <w:vAlign w:val="bottom"/>
            <w:tcBorders>
              <w:bottom w:val="single" w:sz="8" w:color="auto"/>
            </w:tcBorders>
          </w:tcPr>
          <w:p>
            <w:pPr>
              <w:spacing w:after="0"/>
              <w:rPr>
                <w:sz w:val="24"/>
                <w:szCs w:val="24"/>
                <w:color w:val="auto"/>
              </w:rPr>
            </w:pPr>
          </w:p>
        </w:tc>
        <w:tc>
          <w:tcPr>
            <w:tcW w:w="2920" w:type="dxa"/>
            <w:vAlign w:val="bottom"/>
            <w:tcBorders>
              <w:bottom w:val="single" w:sz="8" w:color="auto"/>
            </w:tcBorders>
            <w:gridSpan w:val="2"/>
          </w:tcPr>
          <w:p>
            <w:pPr>
              <w:jc w:val="right"/>
              <w:ind w:right="2276"/>
              <w:spacing w:after="0"/>
              <w:rPr>
                <w:sz w:val="20"/>
                <w:szCs w:val="20"/>
                <w:color w:val="auto"/>
              </w:rPr>
            </w:pPr>
            <w:r>
              <w:rPr>
                <w:rFonts w:ascii="Times New Roman" w:cs="Times New Roman" w:eastAsia="Times New Roman" w:hAnsi="Times New Roman"/>
                <w:sz w:val="18"/>
                <w:szCs w:val="18"/>
                <w:color w:val="auto"/>
              </w:rPr>
              <w:t>F-2</w:t>
            </w:r>
          </w:p>
        </w:tc>
        <w:tc>
          <w:tcPr>
            <w:tcW w:w="12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684" w:right="339" w:bottom="1440" w:gutter="0" w:footer="0" w:header="0"/>
        </w:sectPr>
      </w:pPr>
    </w:p>
    <w:bookmarkStart w:id="5" w:name="page6"/>
    <w:bookmarkEnd w:id="5"/>
    <w:p>
      <w:pPr>
        <w:jc w:val="center"/>
        <w:spacing w:after="0"/>
        <w:rPr>
          <w:sz w:val="20"/>
          <w:szCs w:val="20"/>
          <w:color w:val="auto"/>
        </w:rPr>
      </w:pPr>
      <w:r>
        <w:rPr>
          <w:rFonts w:ascii="Times New Roman" w:cs="Times New Roman" w:eastAsia="Times New Roman" w:hAnsi="Times New Roman"/>
          <w:sz w:val="18"/>
          <w:szCs w:val="18"/>
          <w:b w:val="1"/>
          <w:bCs w:val="1"/>
          <w:color w:val="auto"/>
        </w:rPr>
        <w:t>REED’S,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STATEMENTS OF CHANGES IN STOCKHOLDERS’ DEFICIT</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the Three Months Ended March 31, 2024 and 2023</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(Amounts in thousands except share amounts)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260" w:type="dxa"/>
            <w:vAlign w:val="bottom"/>
          </w:tcPr>
          <w:p>
            <w:pPr>
              <w:spacing w:after="0"/>
              <w:rPr>
                <w:sz w:val="18"/>
                <w:szCs w:val="18"/>
                <w:color w:val="auto"/>
              </w:rPr>
            </w:pPr>
          </w:p>
        </w:tc>
        <w:tc>
          <w:tcPr>
            <w:tcW w:w="1860" w:type="dxa"/>
            <w:vAlign w:val="bottom"/>
            <w:gridSpan w:val="3"/>
            <w:vMerge w:val="restart"/>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Common Stock</w:t>
            </w:r>
          </w:p>
        </w:tc>
        <w:tc>
          <w:tcPr>
            <w:tcW w:w="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0" w:type="dxa"/>
            <w:vAlign w:val="bottom"/>
            <w:gridSpan w:val="3"/>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Preferred Stock</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gridSpan w:val="4"/>
          </w:tcPr>
          <w:p>
            <w:pPr>
              <w:ind w:left="160"/>
              <w:spacing w:after="0"/>
              <w:rPr>
                <w:sz w:val="20"/>
                <w:szCs w:val="20"/>
                <w:color w:val="auto"/>
              </w:rPr>
            </w:pPr>
            <w:r>
              <w:rPr>
                <w:rFonts w:ascii="Times New Roman" w:cs="Times New Roman" w:eastAsia="Times New Roman" w:hAnsi="Times New Roman"/>
                <w:sz w:val="18"/>
                <w:szCs w:val="18"/>
                <w:b w:val="1"/>
                <w:bCs w:val="1"/>
                <w:color w:val="auto"/>
              </w:rPr>
              <w:t>Additional</w:t>
            </w: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gridSpan w:val="2"/>
          </w:tcPr>
          <w:p>
            <w:pPr>
              <w:jc w:val="right"/>
              <w:ind w:right="361"/>
              <w:spacing w:after="0"/>
              <w:rPr>
                <w:sz w:val="20"/>
                <w:szCs w:val="20"/>
                <w:color w:val="auto"/>
              </w:rPr>
            </w:pPr>
            <w:r>
              <w:rPr>
                <w:rFonts w:ascii="Times New Roman" w:cs="Times New Roman" w:eastAsia="Times New Roman" w:hAnsi="Times New Roman"/>
                <w:sz w:val="18"/>
                <w:szCs w:val="18"/>
                <w:b w:val="1"/>
                <w:bCs w:val="1"/>
                <w:color w:val="auto"/>
              </w:rPr>
              <w:t>Total</w:t>
            </w:r>
          </w:p>
        </w:tc>
        <w:tc>
          <w:tcPr>
            <w:tcW w:w="0" w:type="dxa"/>
            <w:vAlign w:val="bottom"/>
          </w:tcPr>
          <w:p>
            <w:pPr>
              <w:spacing w:after="0"/>
              <w:rPr>
                <w:sz w:val="1"/>
                <w:szCs w:val="1"/>
                <w:color w:val="auto"/>
              </w:rPr>
            </w:pPr>
          </w:p>
        </w:tc>
      </w:tr>
      <w:tr>
        <w:trPr>
          <w:trHeight w:val="232"/>
        </w:trPr>
        <w:tc>
          <w:tcPr>
            <w:tcW w:w="3260" w:type="dxa"/>
            <w:vAlign w:val="bottom"/>
          </w:tcPr>
          <w:p>
            <w:pPr>
              <w:spacing w:after="0"/>
              <w:rPr>
                <w:sz w:val="20"/>
                <w:szCs w:val="20"/>
                <w:color w:val="auto"/>
              </w:rPr>
            </w:pPr>
          </w:p>
        </w:tc>
        <w:tc>
          <w:tcPr>
            <w:tcW w:w="1860" w:type="dxa"/>
            <w:vAlign w:val="bottom"/>
            <w:tcBorders>
              <w:bottom w:val="single" w:sz="8" w:color="auto"/>
            </w:tcBorders>
            <w:gridSpan w:val="3"/>
            <w:vMerge w:val="continue"/>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300" w:type="dxa"/>
            <w:vAlign w:val="bottom"/>
          </w:tcPr>
          <w:p>
            <w:pPr>
              <w:spacing w:after="0"/>
              <w:rPr>
                <w:sz w:val="20"/>
                <w:szCs w:val="20"/>
                <w:color w:val="auto"/>
              </w:rPr>
            </w:pPr>
          </w:p>
        </w:tc>
        <w:tc>
          <w:tcPr>
            <w:tcW w:w="1600" w:type="dxa"/>
            <w:vAlign w:val="bottom"/>
            <w:tcBorders>
              <w:bottom w:val="single" w:sz="8" w:color="auto"/>
            </w:tcBorders>
            <w:gridSpan w:val="3"/>
            <w:vMerge w:val="continue"/>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b w:val="1"/>
                <w:bCs w:val="1"/>
                <w:color w:val="auto"/>
                <w:w w:val="98"/>
              </w:rPr>
              <w:t>Paid In</w:t>
            </w:r>
          </w:p>
        </w:tc>
        <w:tc>
          <w:tcPr>
            <w:tcW w:w="132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Accumulated</w:t>
            </w:r>
          </w:p>
        </w:tc>
        <w:tc>
          <w:tcPr>
            <w:tcW w:w="116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Stockholders’</w:t>
            </w:r>
          </w:p>
        </w:tc>
        <w:tc>
          <w:tcPr>
            <w:tcW w:w="0" w:type="dxa"/>
            <w:vAlign w:val="bottom"/>
          </w:tcPr>
          <w:p>
            <w:pPr>
              <w:spacing w:after="0"/>
              <w:rPr>
                <w:sz w:val="1"/>
                <w:szCs w:val="1"/>
                <w:color w:val="auto"/>
              </w:rPr>
            </w:pPr>
          </w:p>
        </w:tc>
      </w:tr>
      <w:tr>
        <w:trPr>
          <w:trHeight w:val="237"/>
        </w:trPr>
        <w:tc>
          <w:tcPr>
            <w:tcW w:w="3260" w:type="dxa"/>
            <w:vAlign w:val="bottom"/>
          </w:tcPr>
          <w:p>
            <w:pPr>
              <w:spacing w:after="0"/>
              <w:rPr>
                <w:sz w:val="20"/>
                <w:szCs w:val="20"/>
                <w:color w:val="auto"/>
              </w:rPr>
            </w:pPr>
          </w:p>
        </w:tc>
        <w:tc>
          <w:tcPr>
            <w:tcW w:w="1140" w:type="dxa"/>
            <w:vAlign w:val="bottom"/>
            <w:gridSpan w:val="2"/>
          </w:tcPr>
          <w:p>
            <w:pPr>
              <w:ind w:left="160"/>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8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b w:val="1"/>
                <w:bCs w:val="1"/>
                <w:color w:val="auto"/>
                <w:w w:val="98"/>
              </w:rPr>
              <w:t>Capital</w:t>
            </w:r>
          </w:p>
        </w:tc>
        <w:tc>
          <w:tcPr>
            <w:tcW w:w="160" w:type="dxa"/>
            <w:vAlign w:val="bottom"/>
          </w:tcPr>
          <w:p>
            <w:pPr>
              <w:spacing w:after="0"/>
              <w:rPr>
                <w:sz w:val="20"/>
                <w:szCs w:val="20"/>
                <w:color w:val="auto"/>
              </w:rPr>
            </w:pPr>
          </w:p>
        </w:tc>
        <w:tc>
          <w:tcPr>
            <w:tcW w:w="1160" w:type="dxa"/>
            <w:vAlign w:val="bottom"/>
            <w:gridSpan w:val="2"/>
          </w:tcPr>
          <w:p>
            <w:pPr>
              <w:jc w:val="right"/>
              <w:ind w:right="481"/>
              <w:spacing w:after="0"/>
              <w:rPr>
                <w:sz w:val="20"/>
                <w:szCs w:val="20"/>
                <w:color w:val="auto"/>
              </w:rPr>
            </w:pPr>
            <w:r>
              <w:rPr>
                <w:rFonts w:ascii="Times New Roman" w:cs="Times New Roman" w:eastAsia="Times New Roman" w:hAnsi="Times New Roman"/>
                <w:sz w:val="18"/>
                <w:szCs w:val="18"/>
                <w:b w:val="1"/>
                <w:bCs w:val="1"/>
                <w:color w:val="auto"/>
              </w:rPr>
              <w:t>Deficit</w:t>
            </w:r>
          </w:p>
        </w:tc>
        <w:tc>
          <w:tcPr>
            <w:tcW w:w="180" w:type="dxa"/>
            <w:vAlign w:val="bottom"/>
          </w:tcPr>
          <w:p>
            <w:pPr>
              <w:spacing w:after="0"/>
              <w:rPr>
                <w:sz w:val="20"/>
                <w:szCs w:val="20"/>
                <w:color w:val="auto"/>
              </w:rPr>
            </w:pPr>
          </w:p>
        </w:tc>
        <w:tc>
          <w:tcPr>
            <w:tcW w:w="980" w:type="dxa"/>
            <w:vAlign w:val="bottom"/>
            <w:gridSpan w:val="2"/>
          </w:tcPr>
          <w:p>
            <w:pPr>
              <w:jc w:val="right"/>
              <w:ind w:right="301"/>
              <w:spacing w:after="0"/>
              <w:rPr>
                <w:sz w:val="20"/>
                <w:szCs w:val="20"/>
                <w:color w:val="auto"/>
              </w:rPr>
            </w:pPr>
            <w:r>
              <w:rPr>
                <w:rFonts w:ascii="Times New Roman" w:cs="Times New Roman" w:eastAsia="Times New Roman" w:hAnsi="Times New Roman"/>
                <w:sz w:val="18"/>
                <w:szCs w:val="18"/>
                <w:b w:val="1"/>
                <w:bCs w:val="1"/>
                <w:color w:val="auto"/>
              </w:rPr>
              <w:t>Deficit</w:t>
            </w:r>
          </w:p>
        </w:tc>
        <w:tc>
          <w:tcPr>
            <w:tcW w:w="0" w:type="dxa"/>
            <w:vAlign w:val="bottom"/>
          </w:tcPr>
          <w:p>
            <w:pPr>
              <w:spacing w:after="0"/>
              <w:rPr>
                <w:sz w:val="1"/>
                <w:szCs w:val="1"/>
                <w:color w:val="auto"/>
              </w:rPr>
            </w:pPr>
          </w:p>
        </w:tc>
      </w:tr>
      <w:tr>
        <w:trPr>
          <w:trHeight w:val="216"/>
        </w:trPr>
        <w:tc>
          <w:tcPr>
            <w:tcW w:w="32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 December 31, 2023</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4,187,291</w:t>
            </w:r>
          </w:p>
        </w:tc>
        <w:tc>
          <w:tcPr>
            <w:tcW w:w="300" w:type="dxa"/>
            <w:vAlign w:val="bottom"/>
            <w:tcBorders>
              <w:top w:val="single" w:sz="8" w:color="CCEEFF"/>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jc w:val="right"/>
              <w:ind w:right="530"/>
              <w:spacing w:after="0"/>
              <w:rPr>
                <w:sz w:val="20"/>
                <w:szCs w:val="20"/>
                <w:color w:val="auto"/>
              </w:rPr>
            </w:pPr>
            <w:r>
              <w:rPr>
                <w:rFonts w:ascii="Times New Roman" w:cs="Times New Roman" w:eastAsia="Times New Roman" w:hAnsi="Times New Roman"/>
                <w:sz w:val="18"/>
                <w:szCs w:val="18"/>
                <w:color w:val="auto"/>
                <w:w w:val="88"/>
              </w:rPr>
              <w:t>$</w:t>
            </w:r>
          </w:p>
        </w:tc>
        <w:tc>
          <w:tcPr>
            <w:tcW w:w="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300" w:type="dxa"/>
            <w:vAlign w:val="bottom"/>
            <w:tcBorders>
              <w:top w:val="single" w:sz="8" w:color="CCEEFF"/>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9,411</w:t>
            </w:r>
          </w:p>
        </w:tc>
        <w:tc>
          <w:tcPr>
            <w:tcW w:w="320" w:type="dxa"/>
            <w:vAlign w:val="bottom"/>
            <w:tcBorders>
              <w:top w:val="single" w:sz="8" w:color="CCEEFF"/>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jc w:val="right"/>
              <w:ind w:right="354"/>
              <w:spacing w:after="0"/>
              <w:rPr>
                <w:sz w:val="20"/>
                <w:szCs w:val="20"/>
                <w:color w:val="auto"/>
              </w:rPr>
            </w:pPr>
            <w:r>
              <w:rPr>
                <w:rFonts w:ascii="Times New Roman" w:cs="Times New Roman" w:eastAsia="Times New Roman" w:hAnsi="Times New Roman"/>
                <w:sz w:val="17"/>
                <w:szCs w:val="17"/>
                <w:color w:val="auto"/>
                <w:w w:val="70"/>
              </w:rPr>
              <w:t>$</w:t>
            </w:r>
          </w:p>
        </w:tc>
        <w:tc>
          <w:tcPr>
            <w:tcW w:w="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w:t>
            </w:r>
          </w:p>
        </w:tc>
        <w:tc>
          <w:tcPr>
            <w:tcW w:w="1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119,452</w:t>
            </w:r>
          </w:p>
        </w:tc>
        <w:tc>
          <w:tcPr>
            <w:tcW w:w="3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(138,727)</w:t>
            </w:r>
          </w:p>
        </w:tc>
        <w:tc>
          <w:tcPr>
            <w:tcW w:w="3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(19,181)</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60" w:type="dxa"/>
            <w:vAlign w:val="bottom"/>
          </w:tcPr>
          <w:p>
            <w:pPr>
              <w:spacing w:after="0"/>
              <w:rPr>
                <w:sz w:val="20"/>
                <w:szCs w:val="20"/>
                <w:color w:val="auto"/>
              </w:rPr>
            </w:pPr>
            <w:r>
              <w:rPr>
                <w:rFonts w:ascii="Times New Roman" w:cs="Times New Roman" w:eastAsia="Times New Roman" w:hAnsi="Times New Roman"/>
                <w:sz w:val="18"/>
                <w:szCs w:val="18"/>
                <w:color w:val="auto"/>
              </w:rPr>
              <w:t>Fair value of vested options</w:t>
            </w:r>
          </w:p>
        </w:tc>
        <w:tc>
          <w:tcPr>
            <w:tcW w:w="8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129</w:t>
            </w: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129</w:t>
            </w:r>
          </w:p>
        </w:tc>
        <w:tc>
          <w:tcPr>
            <w:tcW w:w="0" w:type="dxa"/>
            <w:vAlign w:val="bottom"/>
          </w:tcPr>
          <w:p>
            <w:pPr>
              <w:spacing w:after="0"/>
              <w:rPr>
                <w:sz w:val="1"/>
                <w:szCs w:val="1"/>
                <w:color w:val="auto"/>
              </w:rPr>
            </w:pPr>
          </w:p>
        </w:tc>
      </w:tr>
      <w:tr>
        <w:trPr>
          <w:trHeight w:val="216"/>
        </w:trPr>
        <w:tc>
          <w:tcPr>
            <w:tcW w:w="32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3260" w:type="dxa"/>
            <w:vAlign w:val="bottom"/>
          </w:tcPr>
          <w:p>
            <w:pPr>
              <w:spacing w:after="0"/>
              <w:rPr>
                <w:sz w:val="20"/>
                <w:szCs w:val="20"/>
                <w:color w:val="auto"/>
              </w:rPr>
            </w:pPr>
            <w:r>
              <w:rPr>
                <w:rFonts w:ascii="Times New Roman" w:cs="Times New Roman" w:eastAsia="Times New Roman" w:hAnsi="Times New Roman"/>
                <w:sz w:val="18"/>
                <w:szCs w:val="18"/>
                <w:color w:val="auto"/>
              </w:rPr>
              <w:t>Net loss</w:t>
            </w:r>
          </w:p>
        </w:tc>
        <w:tc>
          <w:tcPr>
            <w:tcW w:w="8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Pr>
          <w:p>
            <w:pPr>
              <w:spacing w:after="0"/>
              <w:rPr>
                <w:sz w:val="20"/>
                <w:szCs w:val="20"/>
                <w:color w:val="auto"/>
              </w:rPr>
            </w:pPr>
          </w:p>
        </w:tc>
        <w:tc>
          <w:tcPr>
            <w:tcW w:w="4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p>
        </w:tc>
        <w:tc>
          <w:tcPr>
            <w:tcW w:w="1160" w:type="dxa"/>
            <w:vAlign w:val="bottom"/>
            <w:gridSpan w:val="2"/>
          </w:tcPr>
          <w:p>
            <w:pPr>
              <w:jc w:val="right"/>
              <w:ind w:right="181"/>
              <w:spacing w:after="0"/>
              <w:rPr>
                <w:sz w:val="20"/>
                <w:szCs w:val="20"/>
                <w:color w:val="auto"/>
              </w:rPr>
            </w:pPr>
            <w:r>
              <w:rPr>
                <w:rFonts w:ascii="Times New Roman" w:cs="Times New Roman" w:eastAsia="Times New Roman" w:hAnsi="Times New Roman"/>
                <w:sz w:val="18"/>
                <w:szCs w:val="18"/>
                <w:color w:val="auto"/>
              </w:rPr>
              <w:t>(1,673)</w:t>
            </w:r>
          </w:p>
        </w:tc>
        <w:tc>
          <w:tcPr>
            <w:tcW w:w="180" w:type="dxa"/>
            <w:vAlign w:val="bottom"/>
          </w:tcPr>
          <w:p>
            <w:pPr>
              <w:spacing w:after="0"/>
              <w:rPr>
                <w:sz w:val="20"/>
                <w:szCs w:val="20"/>
                <w:color w:val="auto"/>
              </w:rPr>
            </w:pP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(1,673)</w:t>
            </w:r>
          </w:p>
        </w:tc>
        <w:tc>
          <w:tcPr>
            <w:tcW w:w="0" w:type="dxa"/>
            <w:vAlign w:val="bottom"/>
          </w:tcPr>
          <w:p>
            <w:pPr>
              <w:spacing w:after="0"/>
              <w:rPr>
                <w:sz w:val="1"/>
                <w:szCs w:val="1"/>
                <w:color w:val="auto"/>
              </w:rPr>
            </w:pPr>
          </w:p>
        </w:tc>
      </w:tr>
      <w:tr>
        <w:trPr>
          <w:trHeight w:val="229"/>
        </w:trPr>
        <w:tc>
          <w:tcPr>
            <w:tcW w:w="326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 March 31, 2024</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4,187,291</w:t>
            </w:r>
          </w:p>
        </w:tc>
        <w:tc>
          <w:tcPr>
            <w:tcW w:w="300" w:type="dxa"/>
            <w:vAlign w:val="bottom"/>
            <w:tcBorders>
              <w:top w:val="single" w:sz="8" w:color="CCEEFF"/>
              <w:bottom w:val="single" w:sz="8" w:color="CCEEFF"/>
            </w:tcBorders>
            <w:shd w:val="clear" w:color="auto" w:fill="CCEEFF"/>
          </w:tcPr>
          <w:p>
            <w:pPr>
              <w:spacing w:after="0"/>
              <w:rPr>
                <w:sz w:val="19"/>
                <w:szCs w:val="19"/>
                <w:color w:val="auto"/>
              </w:rPr>
            </w:pPr>
          </w:p>
        </w:tc>
        <w:tc>
          <w:tcPr>
            <w:tcW w:w="720" w:type="dxa"/>
            <w:vAlign w:val="bottom"/>
            <w:tcBorders>
              <w:top w:val="single" w:sz="8" w:color="auto"/>
              <w:bottom w:val="single" w:sz="8" w:color="auto"/>
            </w:tcBorders>
            <w:shd w:val="clear" w:color="auto" w:fill="CCEEFF"/>
          </w:tcPr>
          <w:p>
            <w:pPr>
              <w:jc w:val="right"/>
              <w:ind w:right="530"/>
              <w:spacing w:after="0"/>
              <w:rPr>
                <w:sz w:val="20"/>
                <w:szCs w:val="20"/>
                <w:color w:val="auto"/>
              </w:rPr>
            </w:pPr>
            <w:r>
              <w:rPr>
                <w:rFonts w:ascii="Times New Roman" w:cs="Times New Roman" w:eastAsia="Times New Roman" w:hAnsi="Times New Roman"/>
                <w:sz w:val="18"/>
                <w:szCs w:val="18"/>
                <w:color w:val="auto"/>
                <w:w w:val="88"/>
              </w:rPr>
              <w:t>$</w:t>
            </w:r>
          </w:p>
        </w:tc>
        <w:tc>
          <w:tcPr>
            <w:tcW w:w="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300" w:type="dxa"/>
            <w:vAlign w:val="bottom"/>
            <w:tcBorders>
              <w:top w:val="single" w:sz="8" w:color="CCEEFF"/>
              <w:bottom w:val="single" w:sz="8" w:color="CCEEFF"/>
            </w:tcBorders>
            <w:shd w:val="clear" w:color="auto" w:fill="CCEEFF"/>
          </w:tcPr>
          <w:p>
            <w:pPr>
              <w:spacing w:after="0"/>
              <w:rPr>
                <w:sz w:val="19"/>
                <w:szCs w:val="19"/>
                <w:color w:val="auto"/>
              </w:rPr>
            </w:pP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9,411</w:t>
            </w:r>
          </w:p>
        </w:tc>
        <w:tc>
          <w:tcPr>
            <w:tcW w:w="320" w:type="dxa"/>
            <w:vAlign w:val="bottom"/>
            <w:tcBorders>
              <w:top w:val="single" w:sz="8" w:color="CCEEFF"/>
              <w:bottom w:val="single" w:sz="8" w:color="CCEEFF"/>
            </w:tcBorders>
            <w:shd w:val="clear" w:color="auto" w:fill="CCEEFF"/>
          </w:tcPr>
          <w:p>
            <w:pPr>
              <w:spacing w:after="0"/>
              <w:rPr>
                <w:sz w:val="19"/>
                <w:szCs w:val="19"/>
                <w:color w:val="auto"/>
              </w:rPr>
            </w:pPr>
          </w:p>
        </w:tc>
        <w:tc>
          <w:tcPr>
            <w:tcW w:w="520" w:type="dxa"/>
            <w:vAlign w:val="bottom"/>
            <w:tcBorders>
              <w:top w:val="single" w:sz="8" w:color="auto"/>
              <w:bottom w:val="single" w:sz="8" w:color="auto"/>
            </w:tcBorders>
            <w:shd w:val="clear" w:color="auto" w:fill="CCEEFF"/>
          </w:tcPr>
          <w:p>
            <w:pPr>
              <w:jc w:val="right"/>
              <w:ind w:right="354"/>
              <w:spacing w:after="0"/>
              <w:rPr>
                <w:sz w:val="20"/>
                <w:szCs w:val="20"/>
                <w:color w:val="auto"/>
              </w:rPr>
            </w:pPr>
            <w:r>
              <w:rPr>
                <w:rFonts w:ascii="Times New Roman" w:cs="Times New Roman" w:eastAsia="Times New Roman" w:hAnsi="Times New Roman"/>
                <w:sz w:val="17"/>
                <w:szCs w:val="17"/>
                <w:color w:val="auto"/>
                <w:w w:val="70"/>
              </w:rPr>
              <w:t>$</w:t>
            </w:r>
          </w:p>
        </w:tc>
        <w:tc>
          <w:tcPr>
            <w:tcW w:w="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w:t>
            </w:r>
          </w:p>
        </w:tc>
        <w:tc>
          <w:tcPr>
            <w:tcW w:w="16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119,581</w:t>
            </w:r>
          </w:p>
        </w:tc>
        <w:tc>
          <w:tcPr>
            <w:tcW w:w="32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(140,400</w:t>
            </w:r>
          </w:p>
        </w:tc>
        <w:tc>
          <w:tcPr>
            <w:tcW w:w="320" w:type="dxa"/>
            <w:vAlign w:val="bottom"/>
            <w:tcBorders>
              <w:top w:val="single" w:sz="8" w:color="CCEEFF"/>
              <w:bottom w:val="single" w:sz="8" w:color="CCEEFF"/>
            </w:tcBorders>
            <w:shd w:val="clear" w:color="auto" w:fill="CCEEFF"/>
          </w:tcPr>
          <w:p>
            <w:pPr>
              <w:jc w:val="right"/>
              <w:ind w:right="181"/>
              <w:spacing w:after="0"/>
              <w:rPr>
                <w:sz w:val="20"/>
                <w:szCs w:val="20"/>
                <w:color w:val="auto"/>
              </w:rPr>
            </w:pPr>
            <w:r>
              <w:rPr>
                <w:rFonts w:ascii="Times New Roman" w:cs="Times New Roman" w:eastAsia="Times New Roman" w:hAnsi="Times New Roman"/>
                <w:sz w:val="16"/>
                <w:szCs w:val="16"/>
                <w:color w:val="auto"/>
                <w:w w:val="74"/>
              </w:rPr>
              <w:t>)</w:t>
            </w:r>
          </w:p>
        </w:tc>
        <w:tc>
          <w:tcPr>
            <w:tcW w:w="18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(20,725</w:t>
            </w:r>
          </w:p>
        </w:tc>
        <w:tc>
          <w:tcPr>
            <w:tcW w:w="10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0"/>
        </w:trPr>
        <w:tc>
          <w:tcPr>
            <w:tcW w:w="326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260" w:type="dxa"/>
            <w:vAlign w:val="bottom"/>
          </w:tcPr>
          <w:p>
            <w:pPr>
              <w:spacing w:after="0"/>
              <w:rPr>
                <w:sz w:val="18"/>
                <w:szCs w:val="18"/>
                <w:color w:val="auto"/>
              </w:rPr>
            </w:pPr>
          </w:p>
        </w:tc>
        <w:tc>
          <w:tcPr>
            <w:tcW w:w="1860" w:type="dxa"/>
            <w:vAlign w:val="bottom"/>
            <w:gridSpan w:val="3"/>
            <w:vMerge w:val="restart"/>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Common Stock</w:t>
            </w:r>
          </w:p>
        </w:tc>
        <w:tc>
          <w:tcPr>
            <w:tcW w:w="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0" w:type="dxa"/>
            <w:vAlign w:val="bottom"/>
            <w:gridSpan w:val="3"/>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Preferred Stock</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gridSpan w:val="4"/>
          </w:tcPr>
          <w:p>
            <w:pPr>
              <w:ind w:left="160"/>
              <w:spacing w:after="0"/>
              <w:rPr>
                <w:sz w:val="20"/>
                <w:szCs w:val="20"/>
                <w:color w:val="auto"/>
              </w:rPr>
            </w:pPr>
            <w:r>
              <w:rPr>
                <w:rFonts w:ascii="Times New Roman" w:cs="Times New Roman" w:eastAsia="Times New Roman" w:hAnsi="Times New Roman"/>
                <w:sz w:val="18"/>
                <w:szCs w:val="18"/>
                <w:b w:val="1"/>
                <w:bCs w:val="1"/>
                <w:color w:val="auto"/>
              </w:rPr>
              <w:t>Additional</w:t>
            </w: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gridSpan w:val="3"/>
          </w:tcPr>
          <w:p>
            <w:pPr>
              <w:jc w:val="right"/>
              <w:ind w:right="44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0" w:type="dxa"/>
            <w:vAlign w:val="bottom"/>
          </w:tcPr>
          <w:p>
            <w:pPr>
              <w:spacing w:after="0"/>
              <w:rPr>
                <w:sz w:val="1"/>
                <w:szCs w:val="1"/>
                <w:color w:val="auto"/>
              </w:rPr>
            </w:pPr>
          </w:p>
        </w:tc>
      </w:tr>
      <w:tr>
        <w:trPr>
          <w:trHeight w:val="232"/>
        </w:trPr>
        <w:tc>
          <w:tcPr>
            <w:tcW w:w="3260" w:type="dxa"/>
            <w:vAlign w:val="bottom"/>
          </w:tcPr>
          <w:p>
            <w:pPr>
              <w:spacing w:after="0"/>
              <w:rPr>
                <w:sz w:val="20"/>
                <w:szCs w:val="20"/>
                <w:color w:val="auto"/>
              </w:rPr>
            </w:pPr>
          </w:p>
        </w:tc>
        <w:tc>
          <w:tcPr>
            <w:tcW w:w="1860" w:type="dxa"/>
            <w:vAlign w:val="bottom"/>
            <w:tcBorders>
              <w:bottom w:val="single" w:sz="8" w:color="auto"/>
            </w:tcBorders>
            <w:gridSpan w:val="3"/>
            <w:vMerge w:val="continue"/>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300" w:type="dxa"/>
            <w:vAlign w:val="bottom"/>
          </w:tcPr>
          <w:p>
            <w:pPr>
              <w:spacing w:after="0"/>
              <w:rPr>
                <w:sz w:val="20"/>
                <w:szCs w:val="20"/>
                <w:color w:val="auto"/>
              </w:rPr>
            </w:pPr>
          </w:p>
        </w:tc>
        <w:tc>
          <w:tcPr>
            <w:tcW w:w="1600" w:type="dxa"/>
            <w:vAlign w:val="bottom"/>
            <w:tcBorders>
              <w:bottom w:val="single" w:sz="8" w:color="auto"/>
            </w:tcBorders>
            <w:gridSpan w:val="3"/>
            <w:vMerge w:val="continue"/>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b w:val="1"/>
                <w:bCs w:val="1"/>
                <w:color w:val="auto"/>
                <w:w w:val="98"/>
              </w:rPr>
              <w:t>Paid In</w:t>
            </w:r>
          </w:p>
        </w:tc>
        <w:tc>
          <w:tcPr>
            <w:tcW w:w="132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Accumulated</w:t>
            </w:r>
          </w:p>
        </w:tc>
        <w:tc>
          <w:tcPr>
            <w:tcW w:w="1160" w:type="dxa"/>
            <w:vAlign w:val="bottom"/>
            <w:gridSpan w:val="4"/>
          </w:tcPr>
          <w:p>
            <w:pPr>
              <w:spacing w:after="0"/>
              <w:rPr>
                <w:sz w:val="20"/>
                <w:szCs w:val="20"/>
                <w:color w:val="auto"/>
              </w:rPr>
            </w:pPr>
            <w:r>
              <w:rPr>
                <w:rFonts w:ascii="Times New Roman" w:cs="Times New Roman" w:eastAsia="Times New Roman" w:hAnsi="Times New Roman"/>
                <w:sz w:val="18"/>
                <w:szCs w:val="18"/>
                <w:b w:val="1"/>
                <w:bCs w:val="1"/>
                <w:color w:val="auto"/>
              </w:rPr>
              <w:t>Stockholders’</w:t>
            </w:r>
          </w:p>
        </w:tc>
        <w:tc>
          <w:tcPr>
            <w:tcW w:w="0" w:type="dxa"/>
            <w:vAlign w:val="bottom"/>
          </w:tcPr>
          <w:p>
            <w:pPr>
              <w:spacing w:after="0"/>
              <w:rPr>
                <w:sz w:val="1"/>
                <w:szCs w:val="1"/>
                <w:color w:val="auto"/>
              </w:rPr>
            </w:pPr>
          </w:p>
        </w:tc>
      </w:tr>
      <w:tr>
        <w:trPr>
          <w:trHeight w:val="237"/>
        </w:trPr>
        <w:tc>
          <w:tcPr>
            <w:tcW w:w="3260" w:type="dxa"/>
            <w:vAlign w:val="bottom"/>
          </w:tcPr>
          <w:p>
            <w:pPr>
              <w:spacing w:after="0"/>
              <w:rPr>
                <w:sz w:val="20"/>
                <w:szCs w:val="20"/>
                <w:color w:val="auto"/>
              </w:rPr>
            </w:pPr>
          </w:p>
        </w:tc>
        <w:tc>
          <w:tcPr>
            <w:tcW w:w="114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8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b w:val="1"/>
                <w:bCs w:val="1"/>
                <w:color w:val="auto"/>
                <w:w w:val="98"/>
              </w:rPr>
              <w:t>Capital</w:t>
            </w:r>
          </w:p>
        </w:tc>
        <w:tc>
          <w:tcPr>
            <w:tcW w:w="160" w:type="dxa"/>
            <w:vAlign w:val="bottom"/>
          </w:tcPr>
          <w:p>
            <w:pPr>
              <w:spacing w:after="0"/>
              <w:rPr>
                <w:sz w:val="20"/>
                <w:szCs w:val="20"/>
                <w:color w:val="auto"/>
              </w:rPr>
            </w:pPr>
          </w:p>
        </w:tc>
        <w:tc>
          <w:tcPr>
            <w:tcW w:w="1160" w:type="dxa"/>
            <w:vAlign w:val="bottom"/>
            <w:gridSpan w:val="2"/>
          </w:tcPr>
          <w:p>
            <w:pPr>
              <w:jc w:val="right"/>
              <w:ind w:right="481"/>
              <w:spacing w:after="0"/>
              <w:rPr>
                <w:sz w:val="20"/>
                <w:szCs w:val="20"/>
                <w:color w:val="auto"/>
              </w:rPr>
            </w:pPr>
            <w:r>
              <w:rPr>
                <w:rFonts w:ascii="Times New Roman" w:cs="Times New Roman" w:eastAsia="Times New Roman" w:hAnsi="Times New Roman"/>
                <w:sz w:val="18"/>
                <w:szCs w:val="18"/>
                <w:b w:val="1"/>
                <w:bCs w:val="1"/>
                <w:color w:val="auto"/>
              </w:rPr>
              <w:t>Deficit</w:t>
            </w:r>
          </w:p>
        </w:tc>
        <w:tc>
          <w:tcPr>
            <w:tcW w:w="180" w:type="dxa"/>
            <w:vAlign w:val="bottom"/>
          </w:tcPr>
          <w:p>
            <w:pPr>
              <w:spacing w:after="0"/>
              <w:rPr>
                <w:sz w:val="20"/>
                <w:szCs w:val="20"/>
                <w:color w:val="auto"/>
              </w:rPr>
            </w:pPr>
          </w:p>
        </w:tc>
        <w:tc>
          <w:tcPr>
            <w:tcW w:w="980" w:type="dxa"/>
            <w:vAlign w:val="bottom"/>
            <w:gridSpan w:val="3"/>
          </w:tcPr>
          <w:p>
            <w:pPr>
              <w:jc w:val="right"/>
              <w:ind w:right="380"/>
              <w:spacing w:after="0"/>
              <w:rPr>
                <w:sz w:val="20"/>
                <w:szCs w:val="20"/>
                <w:color w:val="auto"/>
              </w:rPr>
            </w:pPr>
            <w:r>
              <w:rPr>
                <w:rFonts w:ascii="Times New Roman" w:cs="Times New Roman" w:eastAsia="Times New Roman" w:hAnsi="Times New Roman"/>
                <w:sz w:val="18"/>
                <w:szCs w:val="18"/>
                <w:b w:val="1"/>
                <w:bCs w:val="1"/>
                <w:color w:val="auto"/>
              </w:rPr>
              <w:t>Equity</w:t>
            </w:r>
          </w:p>
        </w:tc>
        <w:tc>
          <w:tcPr>
            <w:tcW w:w="0" w:type="dxa"/>
            <w:vAlign w:val="bottom"/>
          </w:tcPr>
          <w:p>
            <w:pPr>
              <w:spacing w:after="0"/>
              <w:rPr>
                <w:sz w:val="1"/>
                <w:szCs w:val="1"/>
                <w:color w:val="auto"/>
              </w:rPr>
            </w:pPr>
          </w:p>
        </w:tc>
      </w:tr>
      <w:tr>
        <w:trPr>
          <w:trHeight w:val="216"/>
        </w:trPr>
        <w:tc>
          <w:tcPr>
            <w:tcW w:w="32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 December 31, 2022</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2,519,485</w:t>
            </w:r>
          </w:p>
        </w:tc>
        <w:tc>
          <w:tcPr>
            <w:tcW w:w="300" w:type="dxa"/>
            <w:vAlign w:val="bottom"/>
            <w:tcBorders>
              <w:top w:val="single" w:sz="8" w:color="CCEEFF"/>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jc w:val="right"/>
              <w:ind w:right="530"/>
              <w:spacing w:after="0"/>
              <w:rPr>
                <w:sz w:val="20"/>
                <w:szCs w:val="20"/>
                <w:color w:val="auto"/>
              </w:rPr>
            </w:pPr>
            <w:r>
              <w:rPr>
                <w:rFonts w:ascii="Times New Roman" w:cs="Times New Roman" w:eastAsia="Times New Roman" w:hAnsi="Times New Roman"/>
                <w:sz w:val="18"/>
                <w:szCs w:val="18"/>
                <w:color w:val="auto"/>
                <w:w w:val="88"/>
              </w:rPr>
              <w:t>$</w:t>
            </w:r>
          </w:p>
        </w:tc>
        <w:tc>
          <w:tcPr>
            <w:tcW w:w="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300" w:type="dxa"/>
            <w:vAlign w:val="bottom"/>
            <w:tcBorders>
              <w:top w:val="single" w:sz="8" w:color="CCEEFF"/>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9,411</w:t>
            </w:r>
          </w:p>
        </w:tc>
        <w:tc>
          <w:tcPr>
            <w:tcW w:w="320" w:type="dxa"/>
            <w:vAlign w:val="bottom"/>
            <w:tcBorders>
              <w:top w:val="single" w:sz="8" w:color="CCEEFF"/>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jc w:val="right"/>
              <w:ind w:right="354"/>
              <w:spacing w:after="0"/>
              <w:rPr>
                <w:sz w:val="20"/>
                <w:szCs w:val="20"/>
                <w:color w:val="auto"/>
              </w:rPr>
            </w:pPr>
            <w:r>
              <w:rPr>
                <w:rFonts w:ascii="Times New Roman" w:cs="Times New Roman" w:eastAsia="Times New Roman" w:hAnsi="Times New Roman"/>
                <w:sz w:val="17"/>
                <w:szCs w:val="17"/>
                <w:color w:val="auto"/>
                <w:w w:val="70"/>
              </w:rPr>
              <w:t>$</w:t>
            </w:r>
          </w:p>
        </w:tc>
        <w:tc>
          <w:tcPr>
            <w:tcW w:w="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w:t>
            </w:r>
          </w:p>
        </w:tc>
        <w:tc>
          <w:tcPr>
            <w:tcW w:w="1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114,635</w:t>
            </w:r>
          </w:p>
        </w:tc>
        <w:tc>
          <w:tcPr>
            <w:tcW w:w="3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(123,199)</w:t>
            </w:r>
          </w:p>
        </w:tc>
        <w:tc>
          <w:tcPr>
            <w:tcW w:w="3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(8,470)</w:t>
            </w:r>
          </w:p>
        </w:tc>
        <w:tc>
          <w:tcPr>
            <w:tcW w:w="100" w:type="dxa"/>
            <w:vAlign w:val="bottom"/>
            <w:tcBorders>
              <w:top w:val="single" w:sz="8" w:color="CCEEFF"/>
            </w:tcBorders>
            <w:gridSpan w:val="2"/>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Fair value of vested options</w:t>
            </w:r>
          </w:p>
        </w:tc>
        <w:tc>
          <w:tcPr>
            <w:tcW w:w="8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229</w:t>
            </w: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229</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326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Fair value of vested restricted shares</w:t>
            </w:r>
          </w:p>
        </w:tc>
        <w:tc>
          <w:tcPr>
            <w:tcW w:w="8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260" w:type="dxa"/>
            <w:vAlign w:val="bottom"/>
          </w:tcPr>
          <w:p>
            <w:pPr>
              <w:spacing w:after="0"/>
              <w:rPr>
                <w:sz w:val="20"/>
                <w:szCs w:val="20"/>
                <w:color w:val="auto"/>
              </w:rPr>
            </w:pPr>
            <w:r>
              <w:rPr>
                <w:rFonts w:ascii="Times New Roman" w:cs="Times New Roman" w:eastAsia="Times New Roman" w:hAnsi="Times New Roman"/>
                <w:sz w:val="18"/>
                <w:szCs w:val="18"/>
                <w:color w:val="auto"/>
              </w:rPr>
              <w:t>granted to officers</w:t>
            </w:r>
          </w:p>
        </w:tc>
        <w:tc>
          <w:tcPr>
            <w:tcW w:w="114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750</w:t>
            </w:r>
          </w:p>
        </w:tc>
        <w:tc>
          <w:tcPr>
            <w:tcW w:w="7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4</w:t>
            </w:r>
          </w:p>
        </w:tc>
        <w:tc>
          <w:tcPr>
            <w:tcW w:w="16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3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Repurchase of common stock</w:t>
            </w:r>
          </w:p>
        </w:tc>
        <w:tc>
          <w:tcPr>
            <w:tcW w:w="11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(274)</w:t>
            </w:r>
          </w:p>
        </w:tc>
        <w:tc>
          <w:tcPr>
            <w:tcW w:w="7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w:t>
            </w: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16"/>
        </w:trPr>
        <w:tc>
          <w:tcPr>
            <w:tcW w:w="3260" w:type="dxa"/>
            <w:vAlign w:val="bottom"/>
          </w:tcPr>
          <w:p>
            <w:pPr>
              <w:spacing w:after="0"/>
              <w:rPr>
                <w:sz w:val="20"/>
                <w:szCs w:val="20"/>
                <w:color w:val="auto"/>
              </w:rPr>
            </w:pPr>
            <w:r>
              <w:rPr>
                <w:rFonts w:ascii="Times New Roman" w:cs="Times New Roman" w:eastAsia="Times New Roman" w:hAnsi="Times New Roman"/>
                <w:sz w:val="18"/>
                <w:szCs w:val="18"/>
                <w:color w:val="auto"/>
              </w:rPr>
              <w:t>Common shares issued for financing costs</w:t>
            </w:r>
          </w:p>
        </w:tc>
        <w:tc>
          <w:tcPr>
            <w:tcW w:w="114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82,438</w:t>
            </w:r>
          </w:p>
        </w:tc>
        <w:tc>
          <w:tcPr>
            <w:tcW w:w="7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273</w:t>
            </w: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273</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3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w:t>
            </w:r>
          </w:p>
        </w:tc>
        <w:tc>
          <w:tcPr>
            <w:tcW w:w="114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0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shd w:val="clear" w:color="auto" w:fill="CCEEFF"/>
          </w:tcPr>
          <w:p>
            <w:pPr>
              <w:spacing w:after="0"/>
              <w:rPr>
                <w:sz w:val="21"/>
                <w:szCs w:val="21"/>
                <w:color w:val="auto"/>
              </w:rPr>
            </w:pPr>
          </w:p>
        </w:tc>
        <w:tc>
          <w:tcPr>
            <w:tcW w:w="4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0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21"/>
                <w:szCs w:val="21"/>
                <w:color w:val="auto"/>
              </w:rPr>
            </w:pPr>
          </w:p>
        </w:tc>
        <w:tc>
          <w:tcPr>
            <w:tcW w:w="1160" w:type="dxa"/>
            <w:vAlign w:val="bottom"/>
            <w:gridSpan w:val="2"/>
            <w:shd w:val="clear" w:color="auto" w:fill="CCEEFF"/>
          </w:tcPr>
          <w:p>
            <w:pPr>
              <w:jc w:val="right"/>
              <w:ind w:right="181"/>
              <w:spacing w:after="0"/>
              <w:rPr>
                <w:sz w:val="20"/>
                <w:szCs w:val="20"/>
                <w:color w:val="auto"/>
              </w:rPr>
            </w:pPr>
            <w:r>
              <w:rPr>
                <w:rFonts w:ascii="Times New Roman" w:cs="Times New Roman" w:eastAsia="Times New Roman" w:hAnsi="Times New Roman"/>
                <w:sz w:val="18"/>
                <w:szCs w:val="18"/>
                <w:color w:val="auto"/>
              </w:rPr>
              <w:t>(4,357)</w:t>
            </w:r>
          </w:p>
        </w:tc>
        <w:tc>
          <w:tcPr>
            <w:tcW w:w="180" w:type="dxa"/>
            <w:vAlign w:val="bottom"/>
            <w:shd w:val="clear" w:color="auto" w:fill="CCEEFF"/>
          </w:tcPr>
          <w:p>
            <w:pPr>
              <w:spacing w:after="0"/>
              <w:rPr>
                <w:sz w:val="21"/>
                <w:szCs w:val="21"/>
                <w:color w:val="auto"/>
              </w:rPr>
            </w:pPr>
          </w:p>
        </w:tc>
        <w:tc>
          <w:tcPr>
            <w:tcW w:w="98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(4,357)</w:t>
            </w:r>
          </w:p>
        </w:tc>
        <w:tc>
          <w:tcPr>
            <w:tcW w:w="0" w:type="dxa"/>
            <w:vAlign w:val="bottom"/>
          </w:tcPr>
          <w:p>
            <w:pPr>
              <w:spacing w:after="0"/>
              <w:rPr>
                <w:sz w:val="1"/>
                <w:szCs w:val="1"/>
                <w:color w:val="auto"/>
              </w:rPr>
            </w:pPr>
          </w:p>
        </w:tc>
      </w:tr>
      <w:tr>
        <w:trPr>
          <w:trHeight w:val="216"/>
        </w:trPr>
        <w:tc>
          <w:tcPr>
            <w:tcW w:w="3260" w:type="dxa"/>
            <w:vAlign w:val="bottom"/>
            <w:tcBorders>
              <w:top w:val="single" w:sz="8" w:color="CCEEFF"/>
            </w:tcBorders>
          </w:tcPr>
          <w:p>
            <w:pPr>
              <w:spacing w:after="0"/>
              <w:rPr>
                <w:sz w:val="20"/>
                <w:szCs w:val="20"/>
                <w:color w:val="auto"/>
              </w:rPr>
            </w:pPr>
            <w:r>
              <w:rPr>
                <w:rFonts w:ascii="Times New Roman" w:cs="Times New Roman" w:eastAsia="Times New Roman" w:hAnsi="Times New Roman"/>
                <w:sz w:val="18"/>
                <w:szCs w:val="18"/>
                <w:b w:val="1"/>
                <w:bCs w:val="1"/>
                <w:color w:val="auto"/>
              </w:rPr>
              <w:t>Balance, March 31, 2023</w:t>
            </w:r>
          </w:p>
        </w:tc>
        <w:tc>
          <w:tcPr>
            <w:tcW w:w="8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2,602,399</w:t>
            </w:r>
          </w:p>
        </w:tc>
        <w:tc>
          <w:tcPr>
            <w:tcW w:w="300" w:type="dxa"/>
            <w:vAlign w:val="bottom"/>
            <w:tcBorders>
              <w:top w:val="single" w:sz="8" w:color="CCEEFF"/>
            </w:tcBorders>
          </w:tcPr>
          <w:p>
            <w:pPr>
              <w:spacing w:after="0"/>
              <w:rPr>
                <w:sz w:val="18"/>
                <w:szCs w:val="18"/>
                <w:color w:val="auto"/>
              </w:rPr>
            </w:pPr>
          </w:p>
        </w:tc>
        <w:tc>
          <w:tcPr>
            <w:tcW w:w="720" w:type="dxa"/>
            <w:vAlign w:val="bottom"/>
            <w:tcBorders>
              <w:top w:val="single" w:sz="8" w:color="auto"/>
            </w:tcBorders>
          </w:tcPr>
          <w:p>
            <w:pPr>
              <w:jc w:val="right"/>
              <w:ind w:right="530"/>
              <w:spacing w:after="0"/>
              <w:rPr>
                <w:sz w:val="20"/>
                <w:szCs w:val="20"/>
                <w:color w:val="auto"/>
              </w:rPr>
            </w:pPr>
            <w:r>
              <w:rPr>
                <w:rFonts w:ascii="Times New Roman" w:cs="Times New Roman" w:eastAsia="Times New Roman" w:hAnsi="Times New Roman"/>
                <w:sz w:val="18"/>
                <w:szCs w:val="18"/>
                <w:color w:val="auto"/>
                <w:w w:val="88"/>
              </w:rPr>
              <w:t>$</w:t>
            </w:r>
          </w:p>
        </w:tc>
        <w:tc>
          <w:tcPr>
            <w:tcW w:w="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300" w:type="dxa"/>
            <w:vAlign w:val="bottom"/>
            <w:tcBorders>
              <w:top w:val="single" w:sz="8" w:color="CCEEFF"/>
            </w:tcBorders>
          </w:tcPr>
          <w:p>
            <w:pPr>
              <w:spacing w:after="0"/>
              <w:rPr>
                <w:sz w:val="18"/>
                <w:szCs w:val="18"/>
                <w:color w:val="auto"/>
              </w:rPr>
            </w:pPr>
          </w:p>
        </w:tc>
        <w:tc>
          <w:tcPr>
            <w:tcW w:w="7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9,411</w:t>
            </w:r>
          </w:p>
        </w:tc>
        <w:tc>
          <w:tcPr>
            <w:tcW w:w="320" w:type="dxa"/>
            <w:vAlign w:val="bottom"/>
            <w:tcBorders>
              <w:top w:val="single" w:sz="8" w:color="CCEEFF"/>
            </w:tcBorders>
          </w:tcPr>
          <w:p>
            <w:pPr>
              <w:spacing w:after="0"/>
              <w:rPr>
                <w:sz w:val="18"/>
                <w:szCs w:val="18"/>
                <w:color w:val="auto"/>
              </w:rPr>
            </w:pPr>
          </w:p>
        </w:tc>
        <w:tc>
          <w:tcPr>
            <w:tcW w:w="520" w:type="dxa"/>
            <w:vAlign w:val="bottom"/>
            <w:tcBorders>
              <w:top w:val="single" w:sz="8" w:color="auto"/>
            </w:tcBorders>
          </w:tcPr>
          <w:p>
            <w:pPr>
              <w:jc w:val="right"/>
              <w:ind w:right="354"/>
              <w:spacing w:after="0"/>
              <w:rPr>
                <w:sz w:val="20"/>
                <w:szCs w:val="20"/>
                <w:color w:val="auto"/>
              </w:rPr>
            </w:pPr>
            <w:r>
              <w:rPr>
                <w:rFonts w:ascii="Times New Roman" w:cs="Times New Roman" w:eastAsia="Times New Roman" w:hAnsi="Times New Roman"/>
                <w:sz w:val="17"/>
                <w:szCs w:val="17"/>
                <w:color w:val="auto"/>
                <w:w w:val="70"/>
              </w:rPr>
              <w:t>$</w:t>
            </w:r>
          </w:p>
        </w:tc>
        <w:tc>
          <w:tcPr>
            <w:tcW w:w="2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94</w:t>
            </w:r>
          </w:p>
        </w:tc>
        <w:tc>
          <w:tcPr>
            <w:tcW w:w="16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115,140</w:t>
            </w:r>
          </w:p>
        </w:tc>
        <w:tc>
          <w:tcPr>
            <w:tcW w:w="32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(127,556</w:t>
            </w:r>
          </w:p>
        </w:tc>
        <w:tc>
          <w:tcPr>
            <w:tcW w:w="320" w:type="dxa"/>
            <w:vAlign w:val="bottom"/>
            <w:tcBorders>
              <w:top w:val="single" w:sz="8" w:color="CCEEFF"/>
            </w:tcBorders>
          </w:tcPr>
          <w:p>
            <w:pPr>
              <w:jc w:val="right"/>
              <w:ind w:right="181"/>
              <w:spacing w:after="0"/>
              <w:rPr>
                <w:sz w:val="20"/>
                <w:szCs w:val="20"/>
                <w:color w:val="auto"/>
              </w:rPr>
            </w:pPr>
            <w:r>
              <w:rPr>
                <w:rFonts w:ascii="Times New Roman" w:cs="Times New Roman" w:eastAsia="Times New Roman" w:hAnsi="Times New Roman"/>
                <w:sz w:val="16"/>
                <w:szCs w:val="16"/>
                <w:color w:val="auto"/>
                <w:w w:val="74"/>
              </w:rPr>
              <w:t>)</w:t>
            </w:r>
          </w:p>
        </w:tc>
        <w:tc>
          <w:tcPr>
            <w:tcW w:w="18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(12,322</w:t>
            </w:r>
          </w:p>
        </w:tc>
        <w:tc>
          <w:tcPr>
            <w:tcW w:w="100" w:type="dxa"/>
            <w:vAlign w:val="bottom"/>
            <w:tcBorders>
              <w:top w:val="single" w:sz="8" w:color="CCEEFF"/>
            </w:tcBorders>
            <w:gridSpan w:val="2"/>
          </w:tcPr>
          <w:p>
            <w:pPr>
              <w:jc w:val="right"/>
              <w:ind w:right="40"/>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0"/>
        </w:trPr>
        <w:tc>
          <w:tcPr>
            <w:tcW w:w="326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6" w:name="page7"/>
    <w:bookmarkEnd w:id="6"/>
    <w:p>
      <w:pPr>
        <w:jc w:val="center"/>
        <w:spacing w:after="0"/>
        <w:rPr>
          <w:sz w:val="20"/>
          <w:szCs w:val="20"/>
          <w:color w:val="auto"/>
        </w:rPr>
      </w:pPr>
      <w:r>
        <w:rPr>
          <w:rFonts w:ascii="Times New Roman" w:cs="Times New Roman" w:eastAsia="Times New Roman" w:hAnsi="Times New Roman"/>
          <w:sz w:val="18"/>
          <w:szCs w:val="18"/>
          <w:b w:val="1"/>
          <w:bCs w:val="1"/>
          <w:color w:val="auto"/>
        </w:rPr>
        <w:t>REED’S,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STATEMENTS OF CASH FLOWS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the Three Months Ended March 31, 2024 and 2023</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(Amounts in thousands)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0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40" w:type="dxa"/>
            <w:vAlign w:val="bottom"/>
            <w:gridSpan w:val="2"/>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gridSpan w:val="2"/>
          </w:tcPr>
          <w:p>
            <w:pPr>
              <w:jc w:val="right"/>
              <w:ind w:right="361"/>
              <w:spacing w:after="0"/>
              <w:rPr>
                <w:sz w:val="20"/>
                <w:szCs w:val="20"/>
                <w:color w:val="auto"/>
              </w:rPr>
            </w:pPr>
            <w:r>
              <w:rPr>
                <w:rFonts w:ascii="Times New Roman" w:cs="Times New Roman" w:eastAsia="Times New Roman" w:hAnsi="Times New Roman"/>
                <w:sz w:val="18"/>
                <w:szCs w:val="18"/>
                <w:b w:val="1"/>
                <w:bCs w:val="1"/>
                <w:color w:val="auto"/>
              </w:rPr>
              <w:t>March 31,</w:t>
            </w:r>
          </w:p>
        </w:tc>
      </w:tr>
      <w:tr>
        <w:trPr>
          <w:trHeight w:val="245"/>
        </w:trPr>
        <w:tc>
          <w:tcPr>
            <w:tcW w:w="7080" w:type="dxa"/>
            <w:vAlign w:val="bottom"/>
            <w:tcBorders>
              <w:bottom w:val="single" w:sz="8" w:color="CCEEFF"/>
            </w:tcBorders>
          </w:tcPr>
          <w:p>
            <w:pPr>
              <w:spacing w:after="0"/>
              <w:rPr>
                <w:sz w:val="21"/>
                <w:szCs w:val="21"/>
                <w:color w:val="auto"/>
              </w:rPr>
            </w:pPr>
          </w:p>
        </w:tc>
        <w:tc>
          <w:tcPr>
            <w:tcW w:w="800" w:type="dxa"/>
            <w:vAlign w:val="bottom"/>
            <w:tcBorders>
              <w:bottom w:val="single" w:sz="8" w:color="CCEEFF"/>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24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00" w:type="dxa"/>
            <w:vAlign w:val="bottom"/>
            <w:tcBorders>
              <w:bottom w:val="single" w:sz="8" w:color="CCEEFF"/>
            </w:tcBorders>
          </w:tcPr>
          <w:p>
            <w:pPr>
              <w:spacing w:after="0"/>
              <w:rPr>
                <w:sz w:val="21"/>
                <w:szCs w:val="21"/>
                <w:color w:val="auto"/>
              </w:rPr>
            </w:pPr>
          </w:p>
        </w:tc>
        <w:tc>
          <w:tcPr>
            <w:tcW w:w="140" w:type="dxa"/>
            <w:vAlign w:val="bottom"/>
            <w:tcBorders>
              <w:bottom w:val="single" w:sz="8" w:color="CCEEFF"/>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24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Borders>
              <w:bottom w:val="single" w:sz="8" w:color="CCEEFF"/>
            </w:tcBorders>
          </w:tcPr>
          <w:p>
            <w:pPr>
              <w:spacing w:after="0"/>
              <w:rPr>
                <w:sz w:val="21"/>
                <w:szCs w:val="21"/>
                <w:color w:val="auto"/>
              </w:rPr>
            </w:pPr>
          </w:p>
        </w:tc>
      </w:tr>
      <w:tr>
        <w:trPr>
          <w:trHeight w:val="216"/>
        </w:trPr>
        <w:tc>
          <w:tcPr>
            <w:tcW w:w="7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i w:val="1"/>
                <w:iCs w:val="1"/>
                <w:color w:val="auto"/>
              </w:rPr>
              <w:t>Cash flows from operating activities:</w:t>
            </w:r>
          </w:p>
        </w:tc>
        <w:tc>
          <w:tcPr>
            <w:tcW w:w="8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70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Net loss</w:t>
            </w:r>
          </w:p>
        </w:tc>
        <w:tc>
          <w:tcPr>
            <w:tcW w:w="10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(1,673)</w:t>
            </w:r>
          </w:p>
        </w:tc>
        <w:tc>
          <w:tcPr>
            <w:tcW w:w="3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(4,357)</w:t>
            </w:r>
          </w:p>
        </w:tc>
      </w:tr>
      <w:tr>
        <w:trPr>
          <w:trHeight w:val="216"/>
        </w:trPr>
        <w:tc>
          <w:tcPr>
            <w:tcW w:w="7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i w:val="1"/>
                <w:iCs w:val="1"/>
                <w:color w:val="auto"/>
              </w:rPr>
              <w:t>Adjustments to reconcile net loss to net cash provided by (used in) operating activities:</w:t>
            </w:r>
          </w:p>
        </w:tc>
        <w:tc>
          <w:tcPr>
            <w:tcW w:w="8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70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Depreciation</w:t>
            </w: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4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29</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47</w:t>
            </w:r>
          </w:p>
        </w:tc>
      </w:tr>
      <w:tr>
        <w:trPr>
          <w:trHeight w:val="216"/>
        </w:trPr>
        <w:tc>
          <w:tcPr>
            <w:tcW w:w="70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Amortization of debt discount</w:t>
            </w:r>
          </w:p>
        </w:tc>
        <w:tc>
          <w:tcPr>
            <w:tcW w:w="8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144</w:t>
            </w: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281</w:t>
            </w:r>
          </w:p>
        </w:tc>
      </w:tr>
      <w:tr>
        <w:trPr>
          <w:trHeight w:val="216"/>
        </w:trPr>
        <w:tc>
          <w:tcPr>
            <w:tcW w:w="70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Fair value of vested options</w:t>
            </w: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4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129</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229</w:t>
            </w:r>
          </w:p>
        </w:tc>
      </w:tr>
      <w:tr>
        <w:trPr>
          <w:trHeight w:val="216"/>
        </w:trPr>
        <w:tc>
          <w:tcPr>
            <w:tcW w:w="70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Fair value of vested restricted shares granted to officers</w:t>
            </w:r>
          </w:p>
        </w:tc>
        <w:tc>
          <w:tcPr>
            <w:tcW w:w="8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4</w:t>
            </w:r>
          </w:p>
        </w:tc>
      </w:tr>
      <w:tr>
        <w:trPr>
          <w:trHeight w:val="216"/>
        </w:trPr>
        <w:tc>
          <w:tcPr>
            <w:tcW w:w="70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Change in allowance for doubtful accounts</w:t>
            </w: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4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(601)</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(39)</w:t>
            </w:r>
          </w:p>
        </w:tc>
      </w:tr>
      <w:tr>
        <w:trPr>
          <w:trHeight w:val="216"/>
        </w:trPr>
        <w:tc>
          <w:tcPr>
            <w:tcW w:w="70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Inventory write-downs</w:t>
            </w:r>
          </w:p>
        </w:tc>
        <w:tc>
          <w:tcPr>
            <w:tcW w:w="8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(783)</w:t>
            </w: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(228)</w:t>
            </w:r>
          </w:p>
        </w:tc>
      </w:tr>
      <w:tr>
        <w:trPr>
          <w:trHeight w:val="216"/>
        </w:trPr>
        <w:tc>
          <w:tcPr>
            <w:tcW w:w="70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Accrued interest</w:t>
            </w: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4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564</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1,113</w:t>
            </w:r>
          </w:p>
        </w:tc>
      </w:tr>
      <w:tr>
        <w:trPr>
          <w:trHeight w:val="216"/>
        </w:trPr>
        <w:tc>
          <w:tcPr>
            <w:tcW w:w="7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i w:val="1"/>
                <w:iCs w:val="1"/>
                <w:color w:val="auto"/>
              </w:rPr>
              <w:t>Changes in operating assets and liabilities:</w:t>
            </w:r>
          </w:p>
        </w:tc>
        <w:tc>
          <w:tcPr>
            <w:tcW w:w="8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70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Accounts receivable</w:t>
            </w: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4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922</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1,044</w:t>
            </w:r>
          </w:p>
        </w:tc>
      </w:tr>
      <w:tr>
        <w:trPr>
          <w:trHeight w:val="216"/>
        </w:trPr>
        <w:tc>
          <w:tcPr>
            <w:tcW w:w="70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Inventory</w:t>
            </w:r>
          </w:p>
        </w:tc>
        <w:tc>
          <w:tcPr>
            <w:tcW w:w="8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66</w:t>
            </w: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1,102</w:t>
            </w:r>
          </w:p>
        </w:tc>
      </w:tr>
      <w:tr>
        <w:trPr>
          <w:trHeight w:val="216"/>
        </w:trPr>
        <w:tc>
          <w:tcPr>
            <w:tcW w:w="70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Prepaid expenses and other assets</w:t>
            </w: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4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(1,305)</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338</w:t>
            </w:r>
          </w:p>
        </w:tc>
      </w:tr>
      <w:tr>
        <w:trPr>
          <w:trHeight w:val="216"/>
        </w:trPr>
        <w:tc>
          <w:tcPr>
            <w:tcW w:w="70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Decrease in right of use assets</w:t>
            </w:r>
          </w:p>
        </w:tc>
        <w:tc>
          <w:tcPr>
            <w:tcW w:w="8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39</w:t>
            </w: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32</w:t>
            </w:r>
          </w:p>
        </w:tc>
      </w:tr>
      <w:tr>
        <w:trPr>
          <w:trHeight w:val="216"/>
        </w:trPr>
        <w:tc>
          <w:tcPr>
            <w:tcW w:w="70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Accounts payable</w:t>
            </w: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4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351</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1,360</w:t>
            </w:r>
          </w:p>
        </w:tc>
      </w:tr>
      <w:tr>
        <w:trPr>
          <w:trHeight w:val="216"/>
        </w:trPr>
        <w:tc>
          <w:tcPr>
            <w:tcW w:w="70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Accrued expenses</w:t>
            </w:r>
          </w:p>
        </w:tc>
        <w:tc>
          <w:tcPr>
            <w:tcW w:w="8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(225)</w:t>
            </w: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235</w:t>
            </w:r>
          </w:p>
        </w:tc>
      </w:tr>
      <w:tr>
        <w:trPr>
          <w:trHeight w:val="237"/>
        </w:trPr>
        <w:tc>
          <w:tcPr>
            <w:tcW w:w="70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Lease liabilities</w:t>
            </w:r>
          </w:p>
        </w:tc>
        <w:tc>
          <w:tcPr>
            <w:tcW w:w="8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4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(52)</w:t>
            </w:r>
          </w:p>
        </w:tc>
        <w:tc>
          <w:tcPr>
            <w:tcW w:w="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(44)</w:t>
            </w:r>
          </w:p>
        </w:tc>
      </w:tr>
      <w:tr>
        <w:trPr>
          <w:trHeight w:val="236"/>
        </w:trPr>
        <w:tc>
          <w:tcPr>
            <w:tcW w:w="708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cash provided by (used in) operating activities</w:t>
            </w:r>
          </w:p>
        </w:tc>
        <w:tc>
          <w:tcPr>
            <w:tcW w:w="800" w:type="dxa"/>
            <w:vAlign w:val="bottom"/>
            <w:tcBorders>
              <w:top w:val="single" w:sz="8" w:color="CCEEFF"/>
              <w:bottom w:val="single" w:sz="8" w:color="CCEEFF"/>
            </w:tcBorders>
            <w:shd w:val="clear" w:color="auto" w:fill="CCEEFF"/>
          </w:tcPr>
          <w:p>
            <w:pPr>
              <w:spacing w:after="0"/>
              <w:rPr>
                <w:sz w:val="20"/>
                <w:szCs w:val="20"/>
                <w:color w:val="auto"/>
              </w:rPr>
            </w:pPr>
          </w:p>
        </w:tc>
        <w:tc>
          <w:tcPr>
            <w:tcW w:w="220" w:type="dxa"/>
            <w:vAlign w:val="bottom"/>
            <w:tcBorders>
              <w:top w:val="single" w:sz="8" w:color="auto"/>
              <w:bottom w:val="single" w:sz="8" w:color="auto"/>
            </w:tcBorders>
            <w:shd w:val="clear" w:color="auto" w:fill="CCEEFF"/>
          </w:tcPr>
          <w:p>
            <w:pPr>
              <w:spacing w:after="0"/>
              <w:rPr>
                <w:sz w:val="20"/>
                <w:szCs w:val="20"/>
                <w:color w:val="auto"/>
              </w:rPr>
            </w:pP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(2,395</w:t>
            </w:r>
          </w:p>
        </w:tc>
        <w:tc>
          <w:tcPr>
            <w:tcW w:w="200" w:type="dxa"/>
            <w:vAlign w:val="bottom"/>
            <w:tcBorders>
              <w:top w:val="single" w:sz="8" w:color="CCEEFF"/>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99"/>
              </w:rPr>
              <w:t>)</w:t>
            </w:r>
          </w:p>
        </w:tc>
        <w:tc>
          <w:tcPr>
            <w:tcW w:w="140" w:type="dxa"/>
            <w:vAlign w:val="bottom"/>
            <w:tcBorders>
              <w:top w:val="single" w:sz="8" w:color="CCEEFF"/>
              <w:bottom w:val="single" w:sz="8" w:color="CCEEFF"/>
            </w:tcBorders>
            <w:shd w:val="clear" w:color="auto" w:fill="CCEEFF"/>
          </w:tcPr>
          <w:p>
            <w:pPr>
              <w:spacing w:after="0"/>
              <w:rPr>
                <w:sz w:val="20"/>
                <w:szCs w:val="20"/>
                <w:color w:val="auto"/>
              </w:rPr>
            </w:pPr>
          </w:p>
        </w:tc>
        <w:tc>
          <w:tcPr>
            <w:tcW w:w="220" w:type="dxa"/>
            <w:vAlign w:val="bottom"/>
            <w:tcBorders>
              <w:top w:val="single" w:sz="8" w:color="auto"/>
              <w:bottom w:val="single" w:sz="8" w:color="auto"/>
            </w:tcBorders>
            <w:shd w:val="clear" w:color="auto" w:fill="CCEEFF"/>
          </w:tcPr>
          <w:p>
            <w:pPr>
              <w:spacing w:after="0"/>
              <w:rPr>
                <w:sz w:val="20"/>
                <w:szCs w:val="20"/>
                <w:color w:val="auto"/>
              </w:rPr>
            </w:pP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1,117</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r>
      <w:tr>
        <w:trPr>
          <w:trHeight w:val="203"/>
        </w:trPr>
        <w:tc>
          <w:tcPr>
            <w:tcW w:w="7080" w:type="dxa"/>
            <w:vAlign w:val="bottom"/>
          </w:tcPr>
          <w:p>
            <w:pPr>
              <w:spacing w:after="0" w:line="203" w:lineRule="exact"/>
              <w:rPr>
                <w:sz w:val="20"/>
                <w:szCs w:val="20"/>
                <w:color w:val="auto"/>
              </w:rPr>
            </w:pPr>
            <w:r>
              <w:rPr>
                <w:rFonts w:ascii="Times New Roman" w:cs="Times New Roman" w:eastAsia="Times New Roman" w:hAnsi="Times New Roman"/>
                <w:sz w:val="18"/>
                <w:szCs w:val="18"/>
                <w:i w:val="1"/>
                <w:iCs w:val="1"/>
                <w:color w:val="auto"/>
              </w:rPr>
              <w:t>Cash flows from investing activities:</w:t>
            </w:r>
          </w:p>
        </w:tc>
        <w:tc>
          <w:tcPr>
            <w:tcW w:w="8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70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Trademark costs</w:t>
            </w:r>
          </w:p>
        </w:tc>
        <w:tc>
          <w:tcPr>
            <w:tcW w:w="8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w:t>
            </w: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r>
      <w:tr>
        <w:trPr>
          <w:trHeight w:val="236"/>
        </w:trPr>
        <w:tc>
          <w:tcPr>
            <w:tcW w:w="70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Purchase of property and equipment</w:t>
            </w:r>
          </w:p>
        </w:tc>
        <w:tc>
          <w:tcPr>
            <w:tcW w:w="8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4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(16)</w:t>
            </w:r>
          </w:p>
        </w:tc>
        <w:tc>
          <w:tcPr>
            <w:tcW w:w="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4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r>
      <w:tr>
        <w:trPr>
          <w:trHeight w:val="236"/>
        </w:trPr>
        <w:tc>
          <w:tcPr>
            <w:tcW w:w="708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cash used in investing activities</w:t>
            </w:r>
          </w:p>
        </w:tc>
        <w:tc>
          <w:tcPr>
            <w:tcW w:w="800" w:type="dxa"/>
            <w:vAlign w:val="bottom"/>
            <w:tcBorders>
              <w:top w:val="single" w:sz="8" w:color="CCEEFF"/>
              <w:bottom w:val="single" w:sz="8" w:color="CCEEFF"/>
            </w:tcBorders>
            <w:shd w:val="clear" w:color="auto" w:fill="CCEEFF"/>
          </w:tcPr>
          <w:p>
            <w:pPr>
              <w:spacing w:after="0"/>
              <w:rPr>
                <w:sz w:val="20"/>
                <w:szCs w:val="20"/>
                <w:color w:val="auto"/>
              </w:rPr>
            </w:pPr>
          </w:p>
        </w:tc>
        <w:tc>
          <w:tcPr>
            <w:tcW w:w="220" w:type="dxa"/>
            <w:vAlign w:val="bottom"/>
            <w:tcBorders>
              <w:top w:val="single" w:sz="8" w:color="auto"/>
              <w:bottom w:val="single" w:sz="8" w:color="auto"/>
            </w:tcBorders>
            <w:shd w:val="clear" w:color="auto" w:fill="CCEEFF"/>
          </w:tcPr>
          <w:p>
            <w:pPr>
              <w:spacing w:after="0"/>
              <w:rPr>
                <w:sz w:val="20"/>
                <w:szCs w:val="20"/>
                <w:color w:val="auto"/>
              </w:rPr>
            </w:pP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200" w:type="dxa"/>
            <w:vAlign w:val="bottom"/>
            <w:tcBorders>
              <w:top w:val="single" w:sz="8" w:color="CCEEFF"/>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99"/>
              </w:rPr>
              <w:t>)</w:t>
            </w:r>
          </w:p>
        </w:tc>
        <w:tc>
          <w:tcPr>
            <w:tcW w:w="140" w:type="dxa"/>
            <w:vAlign w:val="bottom"/>
            <w:tcBorders>
              <w:top w:val="single" w:sz="8" w:color="CCEEFF"/>
              <w:bottom w:val="single" w:sz="8" w:color="CCEEFF"/>
            </w:tcBorders>
            <w:shd w:val="clear" w:color="auto" w:fill="CCEEFF"/>
          </w:tcPr>
          <w:p>
            <w:pPr>
              <w:spacing w:after="0"/>
              <w:rPr>
                <w:sz w:val="20"/>
                <w:szCs w:val="20"/>
                <w:color w:val="auto"/>
              </w:rPr>
            </w:pPr>
          </w:p>
        </w:tc>
        <w:tc>
          <w:tcPr>
            <w:tcW w:w="220" w:type="dxa"/>
            <w:vAlign w:val="bottom"/>
            <w:tcBorders>
              <w:top w:val="single" w:sz="8" w:color="auto"/>
              <w:bottom w:val="single" w:sz="8" w:color="auto"/>
            </w:tcBorders>
            <w:shd w:val="clear" w:color="auto" w:fill="CCEEFF"/>
          </w:tcPr>
          <w:p>
            <w:pPr>
              <w:spacing w:after="0"/>
              <w:rPr>
                <w:sz w:val="20"/>
                <w:szCs w:val="20"/>
                <w:color w:val="auto"/>
              </w:rPr>
            </w:pP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r>
      <w:tr>
        <w:trPr>
          <w:trHeight w:val="203"/>
        </w:trPr>
        <w:tc>
          <w:tcPr>
            <w:tcW w:w="7080" w:type="dxa"/>
            <w:vAlign w:val="bottom"/>
          </w:tcPr>
          <w:p>
            <w:pPr>
              <w:spacing w:after="0" w:line="203" w:lineRule="exact"/>
              <w:rPr>
                <w:sz w:val="20"/>
                <w:szCs w:val="20"/>
                <w:color w:val="auto"/>
              </w:rPr>
            </w:pPr>
            <w:r>
              <w:rPr>
                <w:rFonts w:ascii="Times New Roman" w:cs="Times New Roman" w:eastAsia="Times New Roman" w:hAnsi="Times New Roman"/>
                <w:sz w:val="18"/>
                <w:szCs w:val="18"/>
                <w:i w:val="1"/>
                <w:iCs w:val="1"/>
                <w:color w:val="auto"/>
              </w:rPr>
              <w:t>Cash flows from financing activities:</w:t>
            </w:r>
          </w:p>
        </w:tc>
        <w:tc>
          <w:tcPr>
            <w:tcW w:w="8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70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Proceeds from line of credit</w:t>
            </w:r>
          </w:p>
        </w:tc>
        <w:tc>
          <w:tcPr>
            <w:tcW w:w="8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8,285</w:t>
            </w: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8,699</w:t>
            </w:r>
          </w:p>
        </w:tc>
      </w:tr>
      <w:tr>
        <w:trPr>
          <w:trHeight w:val="216"/>
        </w:trPr>
        <w:tc>
          <w:tcPr>
            <w:tcW w:w="70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Payments on line of credit</w:t>
            </w: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4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(10,239)</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(12,120)</w:t>
            </w:r>
          </w:p>
        </w:tc>
      </w:tr>
      <w:tr>
        <w:trPr>
          <w:trHeight w:val="216"/>
        </w:trPr>
        <w:tc>
          <w:tcPr>
            <w:tcW w:w="70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Proceeds from convertible note payable, net of expenses</w:t>
            </w:r>
          </w:p>
        </w:tc>
        <w:tc>
          <w:tcPr>
            <w:tcW w:w="8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2,405</w:t>
            </w:r>
          </w:p>
        </w:tc>
      </w:tr>
      <w:tr>
        <w:trPr>
          <w:trHeight w:val="216"/>
        </w:trPr>
        <w:tc>
          <w:tcPr>
            <w:tcW w:w="70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Proceeds from SAFE agreement</w:t>
            </w: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4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4,097</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0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Payment of cost recorded as debt discount</w:t>
            </w:r>
          </w:p>
        </w:tc>
        <w:tc>
          <w:tcPr>
            <w:tcW w:w="8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(86)</w:t>
            </w: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70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Repurchase of common stock</w:t>
            </w: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4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50"/>
        </w:trPr>
        <w:tc>
          <w:tcPr>
            <w:tcW w:w="70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Amounts from former related party, net</w:t>
            </w:r>
          </w:p>
        </w:tc>
        <w:tc>
          <w:tcPr>
            <w:tcW w:w="8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440" w:type="dxa"/>
            <w:vAlign w:val="bottom"/>
            <w:gridSpan w:val="2"/>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67</w:t>
            </w:r>
          </w:p>
        </w:tc>
        <w:tc>
          <w:tcPr>
            <w:tcW w:w="14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3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w:t>
            </w:r>
          </w:p>
        </w:tc>
      </w:tr>
      <w:tr>
        <w:trPr>
          <w:trHeight w:val="210"/>
        </w:trPr>
        <w:tc>
          <w:tcPr>
            <w:tcW w:w="7080" w:type="dxa"/>
            <w:vAlign w:val="bottom"/>
            <w:tcBorders>
              <w:top w:val="single" w:sz="8" w:color="CCEEFF"/>
              <w:bottom w:val="single" w:sz="8" w:color="CCEEFF"/>
            </w:tcBorders>
          </w:tcPr>
          <w:p>
            <w:pPr>
              <w:spacing w:after="0" w:line="203" w:lineRule="exact"/>
              <w:rPr>
                <w:sz w:val="20"/>
                <w:szCs w:val="20"/>
                <w:color w:val="auto"/>
              </w:rPr>
            </w:pPr>
            <w:r>
              <w:rPr>
                <w:rFonts w:ascii="Times New Roman" w:cs="Times New Roman" w:eastAsia="Times New Roman" w:hAnsi="Times New Roman"/>
                <w:sz w:val="18"/>
                <w:szCs w:val="18"/>
                <w:b w:val="1"/>
                <w:bCs w:val="1"/>
                <w:color w:val="auto"/>
              </w:rPr>
              <w:t>Net cash provided by (used in) financing activities</w:t>
            </w:r>
          </w:p>
        </w:tc>
        <w:tc>
          <w:tcPr>
            <w:tcW w:w="800" w:type="dxa"/>
            <w:vAlign w:val="bottom"/>
            <w:tcBorders>
              <w:top w:val="single" w:sz="8" w:color="CCEEFF"/>
              <w:bottom w:val="single" w:sz="8" w:color="CCEEFF"/>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124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2,124</w:t>
            </w:r>
          </w:p>
        </w:tc>
        <w:tc>
          <w:tcPr>
            <w:tcW w:w="200" w:type="dxa"/>
            <w:vAlign w:val="bottom"/>
            <w:tcBorders>
              <w:top w:val="single" w:sz="8" w:color="CCEEFF"/>
              <w:bottom w:val="single" w:sz="8" w:color="CCEEFF"/>
            </w:tcBorders>
          </w:tcPr>
          <w:p>
            <w:pPr>
              <w:spacing w:after="0"/>
              <w:rPr>
                <w:sz w:val="18"/>
                <w:szCs w:val="18"/>
                <w:color w:val="auto"/>
              </w:rPr>
            </w:pPr>
          </w:p>
        </w:tc>
        <w:tc>
          <w:tcPr>
            <w:tcW w:w="140" w:type="dxa"/>
            <w:vAlign w:val="bottom"/>
            <w:tcBorders>
              <w:top w:val="single" w:sz="8" w:color="CCEEFF"/>
              <w:bottom w:val="single" w:sz="8" w:color="CCEEFF"/>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124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(1,183</w:t>
            </w:r>
          </w:p>
        </w:tc>
        <w:tc>
          <w:tcPr>
            <w:tcW w:w="100" w:type="dxa"/>
            <w:vAlign w:val="bottom"/>
            <w:tcBorders>
              <w:top w:val="single" w:sz="8" w:color="CCEEFF"/>
              <w:bottom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r>
      <w:tr>
        <w:trPr>
          <w:trHeight w:val="216"/>
        </w:trPr>
        <w:tc>
          <w:tcPr>
            <w:tcW w:w="70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bl>
    <w:p>
      <w:pPr>
        <w:spacing w:after="0" w:line="1" w:lineRule="exact"/>
        <w:rPr>
          <w:sz w:val="20"/>
          <w:szCs w:val="20"/>
          <w:color w:val="auto"/>
        </w:rPr>
      </w:pPr>
    </w:p>
    <w:p>
      <w:pPr>
        <w:sectPr>
          <w:pgSz w:w="11900" w:h="16838" w:orient="portrait"/>
          <w:cols w:equalWidth="0" w:num="1">
            <w:col w:w="11240"/>
          </w:cols>
          <w:pgMar w:left="320" w:top="684" w:right="339" w:bottom="1440" w:gutter="0" w:footer="0" w:header="0"/>
        </w:sectPr>
      </w:pPr>
    </w:p>
    <w:p>
      <w:pPr>
        <w:spacing w:after="0"/>
        <w:rPr>
          <w:sz w:val="20"/>
          <w:szCs w:val="20"/>
          <w:color w:val="auto"/>
        </w:rPr>
      </w:pPr>
      <w:r>
        <w:rPr>
          <w:rFonts w:ascii="Times New Roman" w:cs="Times New Roman" w:eastAsia="Times New Roman" w:hAnsi="Times New Roman"/>
          <w:sz w:val="18"/>
          <w:szCs w:val="18"/>
          <w:color w:val="auto"/>
        </w:rPr>
        <w:t>Net increase (decrease) in cash</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Cash at beginning of period</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Cash at end of period</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1"/>
        </w:trPr>
        <w:tc>
          <w:tcPr>
            <w:tcW w:w="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1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(289)</w:t>
            </w:r>
          </w:p>
        </w:tc>
        <w:tc>
          <w:tcPr>
            <w:tcW w:w="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(66)</w:t>
            </w:r>
          </w:p>
        </w:tc>
      </w:tr>
      <w:tr>
        <w:trPr>
          <w:trHeight w:val="241"/>
        </w:trPr>
        <w:tc>
          <w:tcPr>
            <w:tcW w:w="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1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603</w:t>
            </w:r>
          </w:p>
        </w:tc>
        <w:tc>
          <w:tcPr>
            <w:tcW w:w="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533</w:t>
            </w:r>
          </w:p>
        </w:tc>
        <w:tc>
          <w:tcPr>
            <w:tcW w:w="60" w:type="dxa"/>
            <w:vAlign w:val="bottom"/>
          </w:tcPr>
          <w:p>
            <w:pPr>
              <w:spacing w:after="0"/>
              <w:rPr>
                <w:sz w:val="20"/>
                <w:szCs w:val="20"/>
                <w:color w:val="auto"/>
              </w:rPr>
            </w:pPr>
          </w:p>
        </w:tc>
      </w:tr>
      <w:tr>
        <w:trPr>
          <w:trHeight w:val="230"/>
        </w:trPr>
        <w:tc>
          <w:tcPr>
            <w:tcW w:w="20" w:type="dxa"/>
            <w:vAlign w:val="bottom"/>
          </w:tcPr>
          <w:p>
            <w:pPr>
              <w:spacing w:after="0"/>
              <w:rPr>
                <w:sz w:val="19"/>
                <w:szCs w:val="19"/>
                <w:color w:val="auto"/>
              </w:rPr>
            </w:pPr>
          </w:p>
        </w:tc>
        <w:tc>
          <w:tcPr>
            <w:tcW w:w="600" w:type="dxa"/>
            <w:vAlign w:val="bottom"/>
            <w:tcBorders>
              <w:top w:val="single" w:sz="8" w:color="auto"/>
              <w:bottom w:val="single" w:sz="8" w:color="auto"/>
            </w:tcBorders>
          </w:tcPr>
          <w:p>
            <w:pPr>
              <w:jc w:val="right"/>
              <w:ind w:right="484"/>
              <w:spacing w:after="0"/>
              <w:rPr>
                <w:sz w:val="20"/>
                <w:szCs w:val="20"/>
                <w:color w:val="auto"/>
              </w:rPr>
            </w:pPr>
            <w:r>
              <w:rPr>
                <w:rFonts w:ascii="Times New Roman" w:cs="Times New Roman" w:eastAsia="Times New Roman" w:hAnsi="Times New Roman"/>
                <w:sz w:val="11"/>
                <w:szCs w:val="11"/>
                <w:color w:val="auto"/>
                <w:w w:val="71"/>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314</w:t>
            </w:r>
          </w:p>
        </w:tc>
        <w:tc>
          <w:tcPr>
            <w:tcW w:w="34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620" w:type="dxa"/>
            <w:vAlign w:val="bottom"/>
            <w:tcBorders>
              <w:top w:val="single" w:sz="8" w:color="auto"/>
              <w:bottom w:val="single" w:sz="8" w:color="auto"/>
            </w:tcBorders>
          </w:tcPr>
          <w:p>
            <w:pPr>
              <w:jc w:val="right"/>
              <w:ind w:right="456"/>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467</w:t>
            </w:r>
          </w:p>
        </w:tc>
        <w:tc>
          <w:tcPr>
            <w:tcW w:w="6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-4998085</wp:posOffset>
            </wp:positionH>
            <wp:positionV relativeFrom="paragraph">
              <wp:posOffset>-333375</wp:posOffset>
            </wp:positionV>
            <wp:extent cx="7132320" cy="15430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20" w:lineRule="exact"/>
        <w:rPr>
          <w:sz w:val="20"/>
          <w:szCs w:val="20"/>
          <w:color w:val="auto"/>
        </w:rPr>
      </w:pPr>
    </w:p>
    <w:p>
      <w:pPr>
        <w:sectPr>
          <w:pgSz w:w="11900" w:h="16838" w:orient="portrait"/>
          <w:cols w:equalWidth="0" w:num="2">
            <w:col w:w="7160" w:space="720"/>
            <w:col w:w="3360"/>
          </w:cols>
          <w:pgMar w:left="320" w:top="684" w:right="339" w:bottom="1440" w:gutter="0" w:footer="0" w:header="0"/>
          <w:type w:val="continuous"/>
        </w:sectPr>
      </w:pPr>
    </w:p>
    <w:tbl>
      <w:tblPr>
        <w:tblLayout w:type="fixed"/>
        <w:tblInd w:w="0" w:type="dxa"/>
        <w:tblCellMar>
          <w:top w:w="0" w:type="dxa"/>
          <w:left w:w="0" w:type="dxa"/>
          <w:bottom w:w="0" w:type="dxa"/>
          <w:right w:w="0" w:type="dxa"/>
        </w:tblCellMar>
      </w:tblPr>
      <w:tr>
        <w:trPr>
          <w:trHeight w:val="196"/>
        </w:trPr>
        <w:tc>
          <w:tcPr>
            <w:tcW w:w="5900" w:type="dxa"/>
            <w:vAlign w:val="bottom"/>
            <w:shd w:val="clear" w:color="auto" w:fill="CCEEFF"/>
          </w:tcPr>
          <w:p>
            <w:pPr>
              <w:spacing w:after="0"/>
              <w:rPr>
                <w:sz w:val="17"/>
                <w:szCs w:val="17"/>
                <w:color w:val="auto"/>
              </w:rPr>
            </w:pPr>
          </w:p>
        </w:tc>
        <w:tc>
          <w:tcPr>
            <w:tcW w:w="256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r>
      <w:tr>
        <w:trPr>
          <w:trHeight w:val="216"/>
        </w:trPr>
        <w:tc>
          <w:tcPr>
            <w:tcW w:w="59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Supplemental disclosures of cash flow information:</w:t>
            </w:r>
          </w:p>
        </w:tc>
        <w:tc>
          <w:tcPr>
            <w:tcW w:w="25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920" w:type="dxa"/>
            <w:vAlign w:val="bottom"/>
          </w:tcPr>
          <w:p>
            <w:pPr>
              <w:spacing w:after="0"/>
              <w:rPr>
                <w:sz w:val="18"/>
                <w:szCs w:val="18"/>
                <w:color w:val="auto"/>
              </w:rPr>
            </w:pPr>
          </w:p>
        </w:tc>
      </w:tr>
      <w:tr>
        <w:trPr>
          <w:trHeight w:val="216"/>
        </w:trPr>
        <w:tc>
          <w:tcPr>
            <w:tcW w:w="5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paid for interest</w:t>
            </w:r>
          </w:p>
        </w:tc>
        <w:tc>
          <w:tcPr>
            <w:tcW w:w="2560" w:type="dxa"/>
            <w:vAlign w:val="bottom"/>
            <w:shd w:val="clear" w:color="auto" w:fill="CCEEFF"/>
          </w:tcPr>
          <w:p>
            <w:pPr>
              <w:jc w:val="right"/>
              <w:ind w:right="41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318</w:t>
            </w:r>
          </w:p>
        </w:tc>
        <w:tc>
          <w:tcPr>
            <w:tcW w:w="800" w:type="dxa"/>
            <w:vAlign w:val="bottom"/>
            <w:shd w:val="clear" w:color="auto" w:fill="CCEEFF"/>
          </w:tcPr>
          <w:p>
            <w:pPr>
              <w:jc w:val="right"/>
              <w:ind w:right="45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390</w:t>
            </w:r>
          </w:p>
        </w:tc>
      </w:tr>
      <w:tr>
        <w:trPr>
          <w:trHeight w:val="216"/>
        </w:trPr>
        <w:tc>
          <w:tcPr>
            <w:tcW w:w="59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Non-cash investing and financing activities:</w:t>
            </w:r>
          </w:p>
        </w:tc>
        <w:tc>
          <w:tcPr>
            <w:tcW w:w="25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920" w:type="dxa"/>
            <w:vAlign w:val="bottom"/>
          </w:tcPr>
          <w:p>
            <w:pPr>
              <w:spacing w:after="0"/>
              <w:rPr>
                <w:sz w:val="18"/>
                <w:szCs w:val="18"/>
                <w:color w:val="auto"/>
              </w:rPr>
            </w:pPr>
          </w:p>
        </w:tc>
      </w:tr>
      <w:tr>
        <w:trPr>
          <w:trHeight w:val="216"/>
        </w:trPr>
        <w:tc>
          <w:tcPr>
            <w:tcW w:w="5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Reclass of prepaid expenses and accounts payable</w:t>
            </w:r>
          </w:p>
        </w:tc>
        <w:tc>
          <w:tcPr>
            <w:tcW w:w="2560" w:type="dxa"/>
            <w:vAlign w:val="bottom"/>
            <w:shd w:val="clear" w:color="auto" w:fill="CCEEFF"/>
          </w:tcPr>
          <w:p>
            <w:pPr>
              <w:jc w:val="right"/>
              <w:ind w:right="41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1,000</w:t>
            </w:r>
          </w:p>
        </w:tc>
        <w:tc>
          <w:tcPr>
            <w:tcW w:w="800" w:type="dxa"/>
            <w:vAlign w:val="bottom"/>
            <w:shd w:val="clear" w:color="auto" w:fill="CCEEFF"/>
          </w:tcPr>
          <w:p>
            <w:pPr>
              <w:jc w:val="right"/>
              <w:ind w:right="45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0</w:t>
            </w: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type w:val="continuous"/>
        </w:sectPr>
      </w:pPr>
    </w:p>
    <w:bookmarkStart w:id="7" w:name="page8"/>
    <w:bookmarkEnd w:id="7"/>
    <w:p>
      <w:pPr>
        <w:jc w:val="center"/>
        <w:spacing w:after="0"/>
        <w:rPr>
          <w:sz w:val="20"/>
          <w:szCs w:val="20"/>
          <w:color w:val="auto"/>
        </w:rPr>
      </w:pPr>
      <w:r>
        <w:rPr>
          <w:rFonts w:ascii="Times New Roman" w:cs="Times New Roman" w:eastAsia="Times New Roman" w:hAnsi="Times New Roman"/>
          <w:sz w:val="18"/>
          <w:szCs w:val="18"/>
          <w:b w:val="1"/>
          <w:bCs w:val="1"/>
          <w:color w:val="auto"/>
        </w:rPr>
        <w:t>REED’S,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Three Months Ended March 31, 2024 and 2023 (Unaudited)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amounts)</w:t>
      </w:r>
    </w:p>
    <w:p>
      <w:pPr>
        <w:spacing w:after="0" w:line="203" w:lineRule="exact"/>
        <w:rPr>
          <w:sz w:val="20"/>
          <w:szCs w:val="20"/>
          <w:color w:val="auto"/>
        </w:rPr>
      </w:pPr>
    </w:p>
    <w:p>
      <w:pPr>
        <w:ind w:right="7680" w:firstLine="8"/>
        <w:spacing w:after="0" w:line="503" w:lineRule="auto"/>
        <w:tabs>
          <w:tab w:leader="none" w:pos="180" w:val="left"/>
        </w:tabs>
        <w:numPr>
          <w:ilvl w:val="0"/>
          <w:numId w:val="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Summary of Significant Accounting Policies Basis of Presentation</w:t>
      </w:r>
    </w:p>
    <w:p>
      <w:pPr>
        <w:jc w:val="both"/>
        <w:spacing w:after="0" w:line="253" w:lineRule="auto"/>
        <w:rPr>
          <w:sz w:val="20"/>
          <w:szCs w:val="20"/>
          <w:color w:val="auto"/>
        </w:rPr>
      </w:pPr>
      <w:r>
        <w:rPr>
          <w:rFonts w:ascii="Times New Roman" w:cs="Times New Roman" w:eastAsia="Times New Roman" w:hAnsi="Times New Roman"/>
          <w:sz w:val="18"/>
          <w:szCs w:val="18"/>
          <w:color w:val="auto"/>
        </w:rPr>
        <w:t>The accompanying condensed financial statements of Reed’s, Inc. (the “Company”, “we”, “us”, or “our”), have been prepared in conformity with accounting principles generally accepted in the United States of America (“U.S. GAAP”) and the applicable rules and regulations of the Securities and Exchange Commission (the “SEC”) regarding interim financial reporting. Certain information and note disclosures normally included in the financial statements prepared in accordance with U.S. GAAP have been condensed or omitted pursuant to such rules and regulations. We believe that the disclosures contained in these condensed financial statements are adequate to make the information presented herein not misleading. These condensed financial statements should be read in conjunction with the financial statements contained in the Company’s Annual Report on Form 10-K for the year ended December 31, 2023, filed with the SEC on April 1, 2024. The accompanying condensed financial statements are unaudited, but in the opinion of management contain all adjustments, including normal recurring adjustments, necessary to present fairly the Company’s financial position as of March 31, 2024, and the results of its operations and its cash flows for the three months ended March 31, 2024 and 2023. The balance sheet as of December 31, 2023 is derived from the Company’s audited financial statements.</w:t>
      </w:r>
    </w:p>
    <w:p>
      <w:pPr>
        <w:spacing w:after="0" w:line="19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results of operations for the three months ended March 31, 2024 are not necessarily indicative of the results of operations to be expected for the full fiscal year ending December 31, 2024.</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 xml:space="preserve">For the three months ended March 31, 2024, the Company recorded a net loss of $1,673 and used cash in operations of $2,395. In accordance with Accounting Standards Codification (“ASC”) 205-40, </w:t>
      </w:r>
      <w:r>
        <w:rPr>
          <w:rFonts w:ascii="Times New Roman" w:cs="Times New Roman" w:eastAsia="Times New Roman" w:hAnsi="Times New Roman"/>
          <w:sz w:val="18"/>
          <w:szCs w:val="18"/>
          <w:i w:val="1"/>
          <w:iCs w:val="1"/>
          <w:color w:val="auto"/>
        </w:rPr>
        <w:t>Going Concern</w:t>
      </w:r>
      <w:r>
        <w:rPr>
          <w:rFonts w:ascii="Times New Roman" w:cs="Times New Roman" w:eastAsia="Times New Roman" w:hAnsi="Times New Roman"/>
          <w:sz w:val="18"/>
          <w:szCs w:val="18"/>
          <w:color w:val="auto"/>
        </w:rPr>
        <w:t>, the Company’s management has evaluated whether there are conditions and events, considered in the aggregate, that raise substantial doubt about the Company’s ability to continue as a going concern within one year after the date the accompanying financial statements were issued. As of the issuance date of these financial statements, management expects that the Company’s existing cash of $314, which includes $4,100 of additional cash received during the three months ended March 31, 2024, from investments with significant stockholders plus expected cash from operations, will be sufficient to fund the Company’s current operating plan for at least twelve months from the date of issuance of these financial statements. The financial statements do not include any adjustments that might be necessary if the Company is unable to continue as a going concern.</w:t>
      </w:r>
    </w:p>
    <w:p>
      <w:pPr>
        <w:spacing w:after="0" w:line="19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Historically, we have financed our operations through public and private sales of common stock, issuance of preferred and common stock, convertible debt instruments, term loans and credit lines from financial institutions, and cash generated from operations. To alleviate these conditions, management is currently evaluating various funding alternatives and may seek to raise additional funds through the issuance of equity, mezzanine or debt securities, through arrangements with strategic partners, strategic transactions or through obtaining credit from financial institutions. As we seek additional sources of financing, there can be no assurance that such financing would be available to us on favorable terms or at all. Our ability to obtain additional financing in the debt and equity capital markets is subject to several factors, including market and economic conditions, our performance and investor sentiment with respect to us and our industry.</w:t>
      </w:r>
    </w:p>
    <w:p>
      <w:pPr>
        <w:spacing w:after="0" w:line="18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have also taken decisive action to improve our margins, including fully outsourcing our manufacturing process, streamlining our product portfolio, negotiating improved vendor contracts and restructuring our selling prices.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Trends - Market Conditions</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Although the U.S. economy continued to grow throughout 2023 and into Q1 2024, the higher inflation, the actions by the Federal Reserve to address inflation, and rising energy prices create uncertainty about the future economic environment which will continue to evolve and may impact our business in future periods. We have experienced supply chain challenges, including increased lead times, as well as inflation of raw materials, logistics and labor costs due to availability constraints and high demand. Although we regularly monitor companies in our supply chain, and use alternative suppliers when necessary and available, supply chain constraints could cause a disruption in our ability to obtain raw materials required to manufacture our products and adversely affect our operations.</w:t>
      </w:r>
    </w:p>
    <w:p>
      <w:pPr>
        <w:spacing w:after="0" w:line="18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During the three months ended March 31, 2024, the Company experienced moderation from the elevated freight costs experienced in 2023. The average cost of shipping and handling for the three months ended March 31, 2024, was $3.01 per case, as compared to $3.46 per case for the three months ended March 31, 2023. Although the Company has experienced decreases in freight costs over the last four quarters, in the Company’s opinion there remains a volatile environment and the Company will continue to monitor pricing and availability in transportation. Mitigation plans have been implemented to manage this risk. The Company has been negatively impacted by supply chain challenges affecting our ability to benefit from strong demand for, and increased sales of our product. The disruption caused by labor shortages, significant raw material cost inflation, logistics issues and increased freight costs, and ongoing port congestion, resulted in suppressed margins. The Company has experienced moderation in inflation and anticipates this to continue throughout 2024.</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b w:val="1"/>
          <w:bCs w:val="1"/>
          <w:color w:val="auto"/>
        </w:rPr>
        <w:t>Use of Estimates</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preparation of financial statements in conformity with generally accepted accounting principles requires management to make estimates and assumptions that affect the reported amounts of assets and liabilities, disclosures of contingent assets and liabilities at the date of the financial statements, and the reported amounts of revenues and expenses during the reporting period. Actual results could differ from those estimates. Those estimates and assumptions include estimates for credit loss reserves for accounts receivable, assumptions used in valuing inventories at net realizable value, impairment testing of recorded long-term tangible and intangible assets, the valuation allowance for deferred tax assets, accruals for potential liabilities, assumptions made in valuing stock instruments issued for services, and assumptions used in the determination of the Company’s liquidity.</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Revenue Recognition</w:t>
      </w:r>
    </w:p>
    <w:p>
      <w:pPr>
        <w:spacing w:after="0" w:line="22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 xml:space="preserve">The Company recognizes revenue in accordance with Accounting Standards Codification (ASC) 606, </w:t>
      </w:r>
      <w:r>
        <w:rPr>
          <w:rFonts w:ascii="Times New Roman" w:cs="Times New Roman" w:eastAsia="Times New Roman" w:hAnsi="Times New Roman"/>
          <w:sz w:val="18"/>
          <w:szCs w:val="18"/>
          <w:i w:val="1"/>
          <w:iCs w:val="1"/>
          <w:color w:val="auto"/>
        </w:rPr>
        <w:t>Revenue from Contracts with Customers</w:t>
      </w:r>
      <w:r>
        <w:rPr>
          <w:rFonts w:ascii="Times New Roman" w:cs="Times New Roman" w:eastAsia="Times New Roman" w:hAnsi="Times New Roman"/>
          <w:sz w:val="18"/>
          <w:szCs w:val="18"/>
          <w:color w:val="auto"/>
        </w:rPr>
        <w:t xml:space="preserve"> (“ASC 606”). Revenue and costs of sales are recognized when control of the products transfers to our customer, which generally occurs upon shipment from our facilities. The Company’s performance obligations are satisfied at that time. The Company does not have any significant contracts with customers requiring performance beyond delivery, and contracts with customers contain no incentives or discounts that could cause revenue to be allocated or adjusted over time. Shipping and handling activities are performed before the customer obtains control of the goods and therefore represent a fulfilment activity rather than a promised service to the customer. All of the Company’s products are offered for sale as finished goods only, and there are no performance obligations required post-shipment for customers to derive the expected value from them.</w:t>
      </w:r>
    </w:p>
    <w:p>
      <w:pPr>
        <w:spacing w:after="0" w:line="18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does not allow for returns, except for damaged products when the damage occurred pre-fulfilment. Damaged product returns have historically been insignificant. Because of this, the stand-alone nature of our products, and our assessment of performance obligations and transaction pricing for our sales contracts, we do not currently maintain a contract asset or liability balance for obligations. We assess our contracts and the reasonableness of our conclusions on a quarterly basis.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Loss per Common Share</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Basic earnings (loss) per share is computed by dividing the net income (loss) applicable to common stockholders by the weighted average number of shares of common stock outstanding during the year, excluding shares of unvested restricted common stock. Shares of restricted stock are included in the basic weighted average number of common shares outstanding from the time they vest. Diluted earnings (loss) per share is computed by dividing the net income applicable to common stockholders by the weighted average number of common shares outstanding plus the number of additional common shares that would have been outstanding if all dilutive potential common shares had been issued, using the treasury stock method. Shares of restricted stock are included in the diluted weighted average number of common shares outstanding from the date they are granted. Potential common shares are excluded from the computation when their effect is antidilutive.</w:t>
      </w:r>
    </w:p>
    <w:p>
      <w:pPr>
        <w:spacing w:after="0" w:line="189" w:lineRule="exact"/>
        <w:rPr>
          <w:sz w:val="20"/>
          <w:szCs w:val="20"/>
          <w:color w:val="auto"/>
        </w:rPr>
      </w:pPr>
    </w:p>
    <w:p>
      <w:pPr>
        <w:jc w:val="both"/>
        <w:ind w:right="20"/>
        <w:spacing w:after="0" w:line="261" w:lineRule="auto"/>
        <w:rPr>
          <w:sz w:val="20"/>
          <w:szCs w:val="20"/>
          <w:color w:val="auto"/>
        </w:rPr>
      </w:pPr>
      <w:r>
        <w:rPr>
          <w:rFonts w:ascii="Times New Roman" w:cs="Times New Roman" w:eastAsia="Times New Roman" w:hAnsi="Times New Roman"/>
          <w:sz w:val="18"/>
          <w:szCs w:val="18"/>
          <w:color w:val="auto"/>
        </w:rPr>
        <w:t>For the periods ended March 31, 2024 and 2023, the calculations of basic and diluted loss per share are the same because potential dilutive securities would have had an anti-dilutive effect. The potentially dilutive securities consisted of the following:</w:t>
      </w:r>
    </w:p>
    <w:tbl>
      <w:tblPr>
        <w:tblLayout w:type="fixed"/>
        <w:tblInd w:w="0" w:type="dxa"/>
        <w:tblCellMar>
          <w:top w:w="0" w:type="dxa"/>
          <w:left w:w="0" w:type="dxa"/>
          <w:bottom w:w="0" w:type="dxa"/>
          <w:right w:w="0" w:type="dxa"/>
        </w:tblCellMar>
      </w:tblPr>
      <w:tr>
        <w:trPr>
          <w:trHeight w:val="194"/>
        </w:trPr>
        <w:tc>
          <w:tcPr>
            <w:tcW w:w="5640" w:type="dxa"/>
            <w:vAlign w:val="bottom"/>
          </w:tcPr>
          <w:p>
            <w:pPr>
              <w:spacing w:after="0"/>
              <w:rPr>
                <w:sz w:val="16"/>
                <w:szCs w:val="16"/>
                <w:color w:val="auto"/>
              </w:rPr>
            </w:pPr>
          </w:p>
        </w:tc>
        <w:tc>
          <w:tcPr>
            <w:tcW w:w="1760" w:type="dxa"/>
            <w:vAlign w:val="bottom"/>
            <w:gridSpan w:val="2"/>
          </w:tcPr>
          <w:p>
            <w:pPr>
              <w:jc w:val="right"/>
              <w:ind w:right="640"/>
              <w:spacing w:after="0" w:line="194" w:lineRule="exact"/>
              <w:rPr>
                <w:sz w:val="20"/>
                <w:szCs w:val="20"/>
                <w:color w:val="auto"/>
              </w:rPr>
            </w:pPr>
            <w:r>
              <w:rPr>
                <w:rFonts w:ascii="Times New Roman" w:cs="Times New Roman" w:eastAsia="Times New Roman" w:hAnsi="Times New Roman"/>
                <w:sz w:val="18"/>
                <w:szCs w:val="18"/>
                <w:b w:val="1"/>
                <w:bCs w:val="1"/>
                <w:color w:val="auto"/>
              </w:rPr>
              <w:t>March 31,</w:t>
            </w:r>
          </w:p>
        </w:tc>
        <w:tc>
          <w:tcPr>
            <w:tcW w:w="1580" w:type="dxa"/>
            <w:vAlign w:val="bottom"/>
            <w:gridSpan w:val="3"/>
          </w:tcPr>
          <w:p>
            <w:pPr>
              <w:ind w:left="340"/>
              <w:spacing w:after="0" w:line="194" w:lineRule="exact"/>
              <w:rPr>
                <w:sz w:val="20"/>
                <w:szCs w:val="20"/>
                <w:color w:val="auto"/>
              </w:rPr>
            </w:pPr>
            <w:r>
              <w:rPr>
                <w:rFonts w:ascii="Times New Roman" w:cs="Times New Roman" w:eastAsia="Times New Roman" w:hAnsi="Times New Roman"/>
                <w:sz w:val="18"/>
                <w:szCs w:val="18"/>
                <w:b w:val="1"/>
                <w:bCs w:val="1"/>
                <w:color w:val="auto"/>
              </w:rPr>
              <w:t>March 31,</w:t>
            </w:r>
          </w:p>
        </w:tc>
      </w:tr>
      <w:tr>
        <w:trPr>
          <w:trHeight w:val="245"/>
        </w:trPr>
        <w:tc>
          <w:tcPr>
            <w:tcW w:w="5640" w:type="dxa"/>
            <w:vAlign w:val="bottom"/>
            <w:tcBorders>
              <w:bottom w:val="single" w:sz="8" w:color="CCEEFF"/>
            </w:tcBorders>
          </w:tcPr>
          <w:p>
            <w:pPr>
              <w:spacing w:after="0"/>
              <w:rPr>
                <w:sz w:val="21"/>
                <w:szCs w:val="21"/>
                <w:color w:val="auto"/>
              </w:rPr>
            </w:pPr>
          </w:p>
        </w:tc>
        <w:tc>
          <w:tcPr>
            <w:tcW w:w="144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320" w:type="dxa"/>
            <w:vAlign w:val="bottom"/>
            <w:tcBorders>
              <w:bottom w:val="single" w:sz="8" w:color="CCEEFF"/>
            </w:tcBorders>
          </w:tcPr>
          <w:p>
            <w:pPr>
              <w:spacing w:after="0"/>
              <w:rPr>
                <w:sz w:val="21"/>
                <w:szCs w:val="21"/>
                <w:color w:val="auto"/>
              </w:rPr>
            </w:pPr>
          </w:p>
        </w:tc>
        <w:tc>
          <w:tcPr>
            <w:tcW w:w="148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0" w:type="dxa"/>
            <w:vAlign w:val="bottom"/>
            <w:tcBorders>
              <w:bottom w:val="single" w:sz="8" w:color="CCEEFF"/>
            </w:tcBorders>
          </w:tcPr>
          <w:p>
            <w:pPr>
              <w:spacing w:after="0"/>
              <w:rPr>
                <w:sz w:val="21"/>
                <w:szCs w:val="21"/>
                <w:color w:val="auto"/>
              </w:rPr>
            </w:pPr>
          </w:p>
        </w:tc>
        <w:tc>
          <w:tcPr>
            <w:tcW w:w="80" w:type="dxa"/>
            <w:vAlign w:val="bottom"/>
            <w:tcBorders>
              <w:bottom w:val="single" w:sz="8" w:color="CCEEFF"/>
            </w:tcBorders>
          </w:tcPr>
          <w:p>
            <w:pPr>
              <w:spacing w:after="0"/>
              <w:rPr>
                <w:sz w:val="21"/>
                <w:szCs w:val="21"/>
                <w:color w:val="auto"/>
              </w:rPr>
            </w:pPr>
          </w:p>
        </w:tc>
      </w:tr>
      <w:tr>
        <w:trPr>
          <w:trHeight w:val="216"/>
        </w:trPr>
        <w:tc>
          <w:tcPr>
            <w:tcW w:w="5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Warrants</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549,292</w:t>
            </w:r>
          </w:p>
        </w:tc>
        <w:tc>
          <w:tcPr>
            <w:tcW w:w="320" w:type="dxa"/>
            <w:vAlign w:val="bottom"/>
            <w:shd w:val="clear" w:color="auto" w:fill="CCEEFF"/>
          </w:tcPr>
          <w:p>
            <w:pPr>
              <w:spacing w:after="0"/>
              <w:rPr>
                <w:sz w:val="18"/>
                <w:szCs w:val="18"/>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235,946</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5640" w:type="dxa"/>
            <w:vAlign w:val="bottom"/>
          </w:tcPr>
          <w:p>
            <w:pPr>
              <w:spacing w:after="0"/>
              <w:rPr>
                <w:sz w:val="20"/>
                <w:szCs w:val="20"/>
                <w:color w:val="auto"/>
              </w:rPr>
            </w:pPr>
            <w:r>
              <w:rPr>
                <w:rFonts w:ascii="Times New Roman" w:cs="Times New Roman" w:eastAsia="Times New Roman" w:hAnsi="Times New Roman"/>
                <w:sz w:val="18"/>
                <w:szCs w:val="18"/>
                <w:color w:val="auto"/>
              </w:rPr>
              <w:t>Options</w:t>
            </w:r>
          </w:p>
        </w:tc>
        <w:tc>
          <w:tcPr>
            <w:tcW w:w="17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141,869</w:t>
            </w:r>
          </w:p>
        </w:tc>
        <w:tc>
          <w:tcPr>
            <w:tcW w:w="15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174,460</w:t>
            </w:r>
          </w:p>
        </w:tc>
        <w:tc>
          <w:tcPr>
            <w:tcW w:w="80" w:type="dxa"/>
            <w:vAlign w:val="bottom"/>
          </w:tcPr>
          <w:p>
            <w:pPr>
              <w:spacing w:after="0"/>
              <w:rPr>
                <w:sz w:val="18"/>
                <w:szCs w:val="18"/>
                <w:color w:val="auto"/>
              </w:rPr>
            </w:pPr>
          </w:p>
        </w:tc>
      </w:tr>
      <w:tr>
        <w:trPr>
          <w:trHeight w:val="216"/>
        </w:trPr>
        <w:tc>
          <w:tcPr>
            <w:tcW w:w="5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Convertible note payable</w:t>
            </w:r>
          </w:p>
        </w:tc>
        <w:tc>
          <w:tcPr>
            <w:tcW w:w="17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1,557,066</w:t>
            </w:r>
          </w:p>
        </w:tc>
        <w:tc>
          <w:tcPr>
            <w:tcW w:w="15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1,257,491</w:t>
            </w:r>
          </w:p>
        </w:tc>
        <w:tc>
          <w:tcPr>
            <w:tcW w:w="80" w:type="dxa"/>
            <w:vAlign w:val="bottom"/>
            <w:shd w:val="clear" w:color="auto" w:fill="CCEEFF"/>
          </w:tcPr>
          <w:p>
            <w:pPr>
              <w:spacing w:after="0"/>
              <w:rPr>
                <w:sz w:val="18"/>
                <w:szCs w:val="18"/>
                <w:color w:val="auto"/>
              </w:rPr>
            </w:pPr>
          </w:p>
        </w:tc>
      </w:tr>
      <w:tr>
        <w:trPr>
          <w:trHeight w:val="216"/>
        </w:trPr>
        <w:tc>
          <w:tcPr>
            <w:tcW w:w="5640" w:type="dxa"/>
            <w:vAlign w:val="bottom"/>
          </w:tcPr>
          <w:p>
            <w:pPr>
              <w:spacing w:after="0"/>
              <w:rPr>
                <w:sz w:val="20"/>
                <w:szCs w:val="20"/>
                <w:color w:val="auto"/>
              </w:rPr>
            </w:pPr>
            <w:r>
              <w:rPr>
                <w:rFonts w:ascii="Times New Roman" w:cs="Times New Roman" w:eastAsia="Times New Roman" w:hAnsi="Times New Roman"/>
                <w:sz w:val="18"/>
                <w:szCs w:val="18"/>
                <w:color w:val="auto"/>
              </w:rPr>
              <w:t>Unvested restricted common stock</w:t>
            </w:r>
          </w:p>
        </w:tc>
        <w:tc>
          <w:tcPr>
            <w:tcW w:w="17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710</w:t>
            </w:r>
          </w:p>
        </w:tc>
        <w:tc>
          <w:tcPr>
            <w:tcW w:w="80" w:type="dxa"/>
            <w:vAlign w:val="bottom"/>
          </w:tcPr>
          <w:p>
            <w:pPr>
              <w:spacing w:after="0"/>
              <w:rPr>
                <w:sz w:val="18"/>
                <w:szCs w:val="18"/>
                <w:color w:val="auto"/>
              </w:rPr>
            </w:pPr>
          </w:p>
        </w:tc>
      </w:tr>
      <w:tr>
        <w:trPr>
          <w:trHeight w:val="249"/>
        </w:trPr>
        <w:tc>
          <w:tcPr>
            <w:tcW w:w="5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Common stock equivalent of Series A Convertible Preferred stock</w:t>
            </w:r>
          </w:p>
        </w:tc>
        <w:tc>
          <w:tcPr>
            <w:tcW w:w="17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753</w:t>
            </w:r>
          </w:p>
        </w:tc>
        <w:tc>
          <w:tcPr>
            <w:tcW w:w="15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753</w:t>
            </w:r>
          </w:p>
        </w:tc>
        <w:tc>
          <w:tcPr>
            <w:tcW w:w="80" w:type="dxa"/>
            <w:vAlign w:val="bottom"/>
            <w:shd w:val="clear" w:color="auto" w:fill="CCEEFF"/>
          </w:tcPr>
          <w:p>
            <w:pPr>
              <w:spacing w:after="0"/>
              <w:rPr>
                <w:sz w:val="21"/>
                <w:szCs w:val="21"/>
                <w:color w:val="auto"/>
              </w:rPr>
            </w:pPr>
          </w:p>
        </w:tc>
      </w:tr>
      <w:tr>
        <w:trPr>
          <w:trHeight w:val="217"/>
        </w:trPr>
        <w:tc>
          <w:tcPr>
            <w:tcW w:w="5640" w:type="dxa"/>
            <w:vAlign w:val="bottom"/>
            <w:tcBorders>
              <w:top w:val="single" w:sz="8" w:color="CCEEFF"/>
            </w:tcBorders>
          </w:tcPr>
          <w:p>
            <w:pPr>
              <w:spacing w:after="0"/>
              <w:rPr>
                <w:sz w:val="20"/>
                <w:szCs w:val="20"/>
                <w:color w:val="auto"/>
              </w:rPr>
            </w:pPr>
            <w:r>
              <w:rPr>
                <w:rFonts w:ascii="Times New Roman" w:cs="Times New Roman" w:eastAsia="Times New Roman" w:hAnsi="Times New Roman"/>
                <w:sz w:val="18"/>
                <w:szCs w:val="18"/>
                <w:color w:val="auto"/>
              </w:rPr>
              <w:t>Total</w:t>
            </w:r>
          </w:p>
        </w:tc>
        <w:tc>
          <w:tcPr>
            <w:tcW w:w="14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2,248,980</w:t>
            </w:r>
          </w:p>
        </w:tc>
        <w:tc>
          <w:tcPr>
            <w:tcW w:w="320" w:type="dxa"/>
            <w:vAlign w:val="bottom"/>
            <w:tcBorders>
              <w:top w:val="single" w:sz="8" w:color="CCEEFF"/>
            </w:tcBorders>
          </w:tcPr>
          <w:p>
            <w:pPr>
              <w:spacing w:after="0"/>
              <w:rPr>
                <w:sz w:val="18"/>
                <w:szCs w:val="18"/>
                <w:color w:val="auto"/>
              </w:rPr>
            </w:pPr>
          </w:p>
        </w:tc>
        <w:tc>
          <w:tcPr>
            <w:tcW w:w="1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1,669,360</w:t>
            </w:r>
          </w:p>
        </w:tc>
        <w:tc>
          <w:tcPr>
            <w:tcW w:w="20" w:type="dxa"/>
            <w:vAlign w:val="bottom"/>
            <w:tcBorders>
              <w:top w:val="single" w:sz="8" w:color="CCEEFF"/>
              <w:bottom w:val="single" w:sz="8" w:color="auto"/>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r>
      <w:tr>
        <w:trPr>
          <w:trHeight w:val="20"/>
        </w:trPr>
        <w:tc>
          <w:tcPr>
            <w:tcW w:w="5640" w:type="dxa"/>
            <w:vAlign w:val="bottom"/>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Stock Compensation Expense</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 xml:space="preserve">The Company periodically issues stock options and restricted stock awards to employees and non-employees in non-capital raising transactions for services and for financing costs. The Company accounts for such grants issued and vesting based on ASC 718, </w:t>
      </w:r>
      <w:r>
        <w:rPr>
          <w:rFonts w:ascii="Times New Roman" w:cs="Times New Roman" w:eastAsia="Times New Roman" w:hAnsi="Times New Roman"/>
          <w:sz w:val="18"/>
          <w:szCs w:val="18"/>
          <w:i w:val="1"/>
          <w:iCs w:val="1"/>
          <w:color w:val="auto"/>
        </w:rPr>
        <w:t>Compensation-Stock Compensation</w:t>
      </w:r>
      <w:r>
        <w:rPr>
          <w:rFonts w:ascii="Times New Roman" w:cs="Times New Roman" w:eastAsia="Times New Roman" w:hAnsi="Times New Roman"/>
          <w:sz w:val="18"/>
          <w:szCs w:val="18"/>
          <w:color w:val="auto"/>
        </w:rPr>
        <w:t xml:space="preserve"> whereby the value of the award is measured on the date of grant and recognized for employees as compensation expense on the straight-line basis over the vesting period. Recognition of compensation expense for non-employees is in the same period and manner as if the Company had paid cash for the services. The Company recognizes the fair value of stock-based compensation within its Statements of Operations with classification depending on the nature of the services rendered.</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9" w:name="page10"/>
    <w:bookmarkEnd w:id="9"/>
    <w:p>
      <w:pPr>
        <w:jc w:val="both"/>
        <w:spacing w:after="0" w:line="261" w:lineRule="auto"/>
        <w:rPr>
          <w:sz w:val="20"/>
          <w:szCs w:val="20"/>
          <w:color w:val="auto"/>
        </w:rPr>
      </w:pPr>
      <w:r>
        <w:rPr>
          <w:rFonts w:ascii="Times New Roman" w:cs="Times New Roman" w:eastAsia="Times New Roman" w:hAnsi="Times New Roman"/>
          <w:sz w:val="18"/>
          <w:szCs w:val="18"/>
          <w:color w:val="auto"/>
        </w:rPr>
        <w:t>The fair value of the Company’s stock options is estimated using the Black-Scholes-Merton Option Pricing model, which uses certain assumptions related to risk-free interest rates, expected volatility, expected life of the stock options or restricted stock, and future dividends. Compensation expense is recorded based upon the value derived from the Black-Scholes-Merton Option Pricing model and based on actual experience. The assumptions used in the Black-Scholes-Merton Option Pricing model could materially affect compensation expense recorded in future periods.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Advertising Costs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Advertising costs are expensed as incurred and are included in selling and marketing expense. Advertising costs aggregated $17 and $55 for the three months ended March 31, 2024 and 2023, respectively.</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Concentrations</w:t>
      </w:r>
    </w:p>
    <w:p>
      <w:pPr>
        <w:spacing w:after="0" w:line="227"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Net sales. </w:t>
      </w:r>
      <w:r>
        <w:rPr>
          <w:rFonts w:ascii="Times New Roman" w:cs="Times New Roman" w:eastAsia="Times New Roman" w:hAnsi="Times New Roman"/>
          <w:sz w:val="18"/>
          <w:szCs w:val="18"/>
          <w:color w:val="auto"/>
        </w:rPr>
        <w:t>During the three months ended March 31, 2024, the Company’s two largest customers accounted for 17% and 16% of net sales, respectively.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During the three months ended March 31, 2023, the Company’s two largest customers accounted for 18% and 12% of net sales, respectively. No other customers exceeded 10% of net sales in either period.</w:t>
      </w:r>
    </w:p>
    <w:p>
      <w:pPr>
        <w:spacing w:after="0" w:line="173"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Accounts receivable. </w:t>
      </w:r>
      <w:r>
        <w:rPr>
          <w:rFonts w:ascii="Times New Roman" w:cs="Times New Roman" w:eastAsia="Times New Roman" w:hAnsi="Times New Roman"/>
          <w:sz w:val="18"/>
          <w:szCs w:val="18"/>
          <w:color w:val="auto"/>
        </w:rPr>
        <w:t>As of March 31, 2024, the Company had accounts receivable from one customer which comprised 29% of its gross accounts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receivable. As of December 31, 2023, the Company had accounts receivable from three customers which comprised 24%, 15% and 11% of its gross accounts receivable, respectively. No other customers exceeded 10% of gross accounts receivable in either period.</w:t>
      </w:r>
    </w:p>
    <w:p>
      <w:pPr>
        <w:spacing w:after="0" w:line="17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The Company utilizes co-packers to produce 100% of its products. </w:t>
      </w:r>
      <w:r>
        <w:rPr>
          <w:rFonts w:ascii="Times New Roman" w:cs="Times New Roman" w:eastAsia="Times New Roman" w:hAnsi="Times New Roman"/>
          <w:sz w:val="18"/>
          <w:szCs w:val="18"/>
          <w:color w:val="auto"/>
        </w:rPr>
        <w:t>During the three months ended March 31, 2024 and the year ended December 31, 2023,</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Company utilized six separate co-packers for most its production and bottling of beverage products in the United States. The Company has long-standing relationships with two different co-packers, and a third co-packing agreement with California Custom Beverage LLC (“CCB”), a former related party (see Note 11). Although there are other packers, a change in co-packers may cause a delay in the production process, which could ultimately affect operating results.</w:t>
      </w:r>
    </w:p>
    <w:p>
      <w:pPr>
        <w:spacing w:after="0" w:line="183"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Purchases from vendors. </w:t>
      </w:r>
      <w:r>
        <w:rPr>
          <w:rFonts w:ascii="Times New Roman" w:cs="Times New Roman" w:eastAsia="Times New Roman" w:hAnsi="Times New Roman"/>
          <w:sz w:val="18"/>
          <w:szCs w:val="18"/>
          <w:color w:val="auto"/>
        </w:rPr>
        <w:t>During the three months ended March 31, 2024, the Company’s largest vendor accounted for approximately 10% of all purchases.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During the three months ended March 31, 2023, the Company’s largest vendor accounted for approximately 11% of all purchases. No other vendors exceeded 10% of all purchases in either period.</w:t>
      </w:r>
    </w:p>
    <w:p>
      <w:pPr>
        <w:spacing w:after="0" w:line="173"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Accounts payable. </w:t>
      </w:r>
      <w:r>
        <w:rPr>
          <w:rFonts w:ascii="Times New Roman" w:cs="Times New Roman" w:eastAsia="Times New Roman" w:hAnsi="Times New Roman"/>
          <w:sz w:val="18"/>
          <w:szCs w:val="18"/>
          <w:color w:val="auto"/>
        </w:rPr>
        <w:t>As of March 31, 2024, one vendor accounted for 11% of total accounts payable. As of December 31, 2023, two vendors accounted for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10% and 10% of total accounts payable, respectively. No other vendors exceeded 10% of accounts payable in either period.</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Fair Value of Financial Instruments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uses various inputs in determining the fair value of its financial assets and liabilities and measures these assets on a recurring basis. Financial assets recorded at fair value are categorized by the level of subjectivity associated with the inputs used to measure their fair value. ASC 820 defines the following levels of subjectivity associated with the inputs: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Level 1—Quoted prices in active markets for identical assets or liabilities.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Level 2—Inputs, other than the quoted prices in active markets, that are observable either directly or indirectly.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Level 3—Unobservable inputs based on the Company’s assumptions.</w:t>
      </w:r>
    </w:p>
    <w:p>
      <w:pPr>
        <w:spacing w:after="0" w:line="20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carrying amounts of financial assets and liabilities, such as cash and cash equivalents, accounts receivable, short-term bank loans, accounts payable, notes payable and other payables, approximate their fair values because of the short maturity of these instruments. The carrying values of capital lease obligations and long-term financing obligations approximate their fair values because interest rates on these obligations are based on prevailing market interest rates.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Reclassifications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Certain prior year amounts have been reclassified for consistency with the current period presentation. Collection from customers amounting to $1,217 that was previously presented as a deduction from prepaid expenses have been reclassed as an offset against accounts receivable. These reclassifications had no effect on the reported results of operations or cash flows.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Accounting Pronouncements</w:t>
      </w:r>
    </w:p>
    <w:p>
      <w:pPr>
        <w:spacing w:after="0" w:line="22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 xml:space="preserve">In November 2023, the FASB issued ASU 2023-07, </w:t>
      </w:r>
      <w:r>
        <w:rPr>
          <w:rFonts w:ascii="Times New Roman" w:cs="Times New Roman" w:eastAsia="Times New Roman" w:hAnsi="Times New Roman"/>
          <w:sz w:val="18"/>
          <w:szCs w:val="18"/>
          <w:i w:val="1"/>
          <w:iCs w:val="1"/>
          <w:color w:val="auto"/>
        </w:rPr>
        <w:t>Segment Reporting (Topic 280): Improvements to Reportable Segment Disclosure</w:t>
      </w:r>
      <w:r>
        <w:rPr>
          <w:rFonts w:ascii="Times New Roman" w:cs="Times New Roman" w:eastAsia="Times New Roman" w:hAnsi="Times New Roman"/>
          <w:sz w:val="18"/>
          <w:szCs w:val="18"/>
          <w:color w:val="auto"/>
        </w:rPr>
        <w:t xml:space="preserve">, which is intended to improve reportable segment disclosure requirements, primarily through enhanced disclosures about significant segment expense categories that are regularly provided to the chief operating decision maker and included in each reported measure of a segment’s profit or loss. The update also requires all annual disclosures about a reportable segment’s profit or loss and assets to be provided in interim periods and for entities with a single reportable segment to provide all the disclosures required by ASC 280, </w:t>
      </w:r>
      <w:r>
        <w:rPr>
          <w:rFonts w:ascii="Times New Roman" w:cs="Times New Roman" w:eastAsia="Times New Roman" w:hAnsi="Times New Roman"/>
          <w:sz w:val="18"/>
          <w:szCs w:val="18"/>
          <w:i w:val="1"/>
          <w:iCs w:val="1"/>
          <w:color w:val="auto"/>
        </w:rPr>
        <w:t>Segment Reporting</w:t>
      </w:r>
      <w:r>
        <w:rPr>
          <w:rFonts w:ascii="Times New Roman" w:cs="Times New Roman" w:eastAsia="Times New Roman" w:hAnsi="Times New Roman"/>
          <w:sz w:val="18"/>
          <w:szCs w:val="18"/>
          <w:color w:val="auto"/>
        </w:rPr>
        <w:t>, including the significant segment expense disclosures. This standard will be effective for the Company on January 1, 2024 and interim periods beginning in fiscal year 2025, with early adoption permitted. The updates required by this standard should be applied retrospectively to all periods presented in the financial statements. The Company does not expect this standard to have a material impact on its results of operations, financial position or cash flows.</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10" w:name="page11"/>
    <w:bookmarkEnd w:id="10"/>
    <w:p>
      <w:pPr>
        <w:jc w:val="both"/>
        <w:spacing w:after="0" w:line="256" w:lineRule="auto"/>
        <w:rPr>
          <w:sz w:val="20"/>
          <w:szCs w:val="20"/>
          <w:color w:val="auto"/>
        </w:rPr>
      </w:pPr>
      <w:r>
        <w:rPr>
          <w:rFonts w:ascii="Times New Roman" w:cs="Times New Roman" w:eastAsia="Times New Roman" w:hAnsi="Times New Roman"/>
          <w:sz w:val="18"/>
          <w:szCs w:val="18"/>
          <w:color w:val="auto"/>
        </w:rPr>
        <w:t xml:space="preserve">In September 2022, the Financial Accounting Standards Board (FASB) issued Accounting Standards Update (ASU) 2022-04, </w:t>
      </w:r>
      <w:r>
        <w:rPr>
          <w:rFonts w:ascii="Times New Roman" w:cs="Times New Roman" w:eastAsia="Times New Roman" w:hAnsi="Times New Roman"/>
          <w:sz w:val="18"/>
          <w:szCs w:val="18"/>
          <w:i w:val="1"/>
          <w:iCs w:val="1"/>
          <w:color w:val="auto"/>
        </w:rPr>
        <w:t>Liabilities—Supplier Finance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Programs (Subtopic 405-50): Disclosure of Supplier Finance Program Obligations</w:t>
      </w:r>
      <w:r>
        <w:rPr>
          <w:rFonts w:ascii="Times New Roman" w:cs="Times New Roman" w:eastAsia="Times New Roman" w:hAnsi="Times New Roman"/>
          <w:sz w:val="18"/>
          <w:szCs w:val="18"/>
          <w:color w:val="auto"/>
        </w:rPr>
        <w:t>. The ASU requires buyers to disclose information about their supplier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finance programs. Interim and annual requirements include the disclosure of outstanding amounts under the obligations as of the end of the reporting period, and annual requirements include a roll-forward of those obligations for the annual reporting period, as well as a description of payment and other key terms of the programs. This update is effective for annual periods beginning after December 15, 2022, and interim periods within those fiscal years, except for the requirement to disclose roll-forward information, which is effective for fiscal years beginning after December 15, 2023. The Company adopted ASU 2022-04 on January 1, 2023, and there was no material impact on our financial statements.</w:t>
      </w:r>
    </w:p>
    <w:p>
      <w:pPr>
        <w:spacing w:after="0" w:line="18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Other recent accounting pronouncements and guidance issued by the FASB, its Emerging Issues Task Force, the American Institute of Certified Public Accountants, and the Securities and Exchange Commission did not or are not believed by management to have a material impact on the Company’s present or future financial statements.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 Inventory</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Inventory is valued at the lower of cost (first-in, first-out) or net realizable value, net of write downs, and is comprised of the following (in thousands):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300" w:type="dxa"/>
            <w:vAlign w:val="bottom"/>
          </w:tcPr>
          <w:p>
            <w:pPr>
              <w:spacing w:after="0"/>
              <w:rPr>
                <w:sz w:val="18"/>
                <w:szCs w:val="18"/>
                <w:color w:val="auto"/>
              </w:rPr>
            </w:pPr>
          </w:p>
        </w:tc>
        <w:tc>
          <w:tcPr>
            <w:tcW w:w="2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40" w:type="dxa"/>
            <w:vAlign w:val="bottom"/>
            <w:gridSpan w:val="2"/>
          </w:tcPr>
          <w:p>
            <w:pPr>
              <w:jc w:val="center"/>
              <w:ind w:right="420"/>
              <w:spacing w:after="0"/>
              <w:rPr>
                <w:sz w:val="20"/>
                <w:szCs w:val="20"/>
                <w:color w:val="auto"/>
              </w:rPr>
            </w:pPr>
            <w:r>
              <w:rPr>
                <w:rFonts w:ascii="Times New Roman" w:cs="Times New Roman" w:eastAsia="Times New Roman" w:hAnsi="Times New Roman"/>
                <w:sz w:val="18"/>
                <w:szCs w:val="18"/>
                <w:b w:val="1"/>
                <w:bCs w:val="1"/>
                <w:color w:val="auto"/>
                <w:w w:val="98"/>
              </w:rPr>
              <w:t>March 31,</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0" w:type="dxa"/>
            <w:vAlign w:val="bottom"/>
          </w:tcPr>
          <w:p>
            <w:pPr>
              <w:spacing w:after="0"/>
              <w:rPr>
                <w:sz w:val="1"/>
                <w:szCs w:val="1"/>
                <w:color w:val="auto"/>
              </w:rPr>
            </w:pPr>
          </w:p>
        </w:tc>
      </w:tr>
      <w:tr>
        <w:trPr>
          <w:trHeight w:val="245"/>
        </w:trPr>
        <w:tc>
          <w:tcPr>
            <w:tcW w:w="5300" w:type="dxa"/>
            <w:vAlign w:val="bottom"/>
            <w:tcBorders>
              <w:bottom w:val="single" w:sz="8" w:color="CCEEFF"/>
            </w:tcBorders>
          </w:tcPr>
          <w:p>
            <w:pPr>
              <w:spacing w:after="0"/>
              <w:rPr>
                <w:sz w:val="21"/>
                <w:szCs w:val="21"/>
                <w:color w:val="auto"/>
              </w:rPr>
            </w:pPr>
          </w:p>
        </w:tc>
        <w:tc>
          <w:tcPr>
            <w:tcW w:w="2580" w:type="dxa"/>
            <w:vAlign w:val="bottom"/>
            <w:tcBorders>
              <w:bottom w:val="single" w:sz="8" w:color="CCEEFF"/>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240" w:type="dxa"/>
            <w:vAlign w:val="bottom"/>
            <w:tcBorders>
              <w:bottom w:val="single" w:sz="8" w:color="auto"/>
            </w:tcBorders>
          </w:tcPr>
          <w:p>
            <w:pPr>
              <w:jc w:val="center"/>
              <w:ind w:right="110"/>
              <w:spacing w:after="0"/>
              <w:rPr>
                <w:sz w:val="20"/>
                <w:szCs w:val="20"/>
                <w:color w:val="auto"/>
              </w:rPr>
            </w:pPr>
            <w:r>
              <w:rPr>
                <w:rFonts w:ascii="Times New Roman" w:cs="Times New Roman" w:eastAsia="Times New Roman" w:hAnsi="Times New Roman"/>
                <w:sz w:val="18"/>
                <w:szCs w:val="18"/>
                <w:b w:val="1"/>
                <w:bCs w:val="1"/>
                <w:color w:val="auto"/>
                <w:w w:val="99"/>
              </w:rPr>
              <w:t>2024</w:t>
            </w:r>
          </w:p>
        </w:tc>
        <w:tc>
          <w:tcPr>
            <w:tcW w:w="200" w:type="dxa"/>
            <w:vAlign w:val="bottom"/>
            <w:tcBorders>
              <w:bottom w:val="single" w:sz="8" w:color="CCEEFF"/>
            </w:tcBorders>
          </w:tcPr>
          <w:p>
            <w:pPr>
              <w:spacing w:after="0"/>
              <w:rPr>
                <w:sz w:val="21"/>
                <w:szCs w:val="21"/>
                <w:color w:val="auto"/>
              </w:rPr>
            </w:pPr>
          </w:p>
        </w:tc>
        <w:tc>
          <w:tcPr>
            <w:tcW w:w="14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300" w:type="dxa"/>
            <w:vAlign w:val="bottom"/>
            <w:tcBorders>
              <w:bottom w:val="single" w:sz="8" w:color="auto"/>
            </w:tcBorders>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w w:val="99"/>
              </w:rPr>
              <w:t>2023</w:t>
            </w:r>
          </w:p>
        </w:tc>
        <w:tc>
          <w:tcPr>
            <w:tcW w:w="100" w:type="dxa"/>
            <w:vAlign w:val="bottom"/>
            <w:tcBorders>
              <w:bottom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5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Raw materials and packaging</w:t>
            </w:r>
          </w:p>
        </w:tc>
        <w:tc>
          <w:tcPr>
            <w:tcW w:w="258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6,766</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6,445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5300" w:type="dxa"/>
            <w:vAlign w:val="bottom"/>
          </w:tcPr>
          <w:p>
            <w:pPr>
              <w:spacing w:after="0"/>
              <w:rPr>
                <w:sz w:val="20"/>
                <w:szCs w:val="20"/>
                <w:color w:val="auto"/>
              </w:rPr>
            </w:pPr>
            <w:r>
              <w:rPr>
                <w:rFonts w:ascii="Times New Roman" w:cs="Times New Roman" w:eastAsia="Times New Roman" w:hAnsi="Times New Roman"/>
                <w:sz w:val="18"/>
                <w:szCs w:val="18"/>
                <w:color w:val="auto"/>
              </w:rPr>
              <w:t>Finished products</w:t>
            </w:r>
          </w:p>
        </w:tc>
        <w:tc>
          <w:tcPr>
            <w:tcW w:w="25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5,251</w:t>
            </w: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4,855</w:t>
            </w:r>
          </w:p>
        </w:tc>
        <w:tc>
          <w:tcPr>
            <w:tcW w:w="0" w:type="dxa"/>
            <w:vAlign w:val="bottom"/>
          </w:tcPr>
          <w:p>
            <w:pPr>
              <w:spacing w:after="0"/>
              <w:rPr>
                <w:sz w:val="1"/>
                <w:szCs w:val="1"/>
                <w:color w:val="auto"/>
              </w:rPr>
            </w:pPr>
          </w:p>
        </w:tc>
      </w:tr>
      <w:tr>
        <w:trPr>
          <w:trHeight w:val="230"/>
        </w:trPr>
        <w:tc>
          <w:tcPr>
            <w:tcW w:w="530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2580" w:type="dxa"/>
            <w:vAlign w:val="bottom"/>
            <w:tcBorders>
              <w:top w:val="single" w:sz="8" w:color="CCEEFF"/>
              <w:bottom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12,017</w:t>
            </w:r>
          </w:p>
        </w:tc>
        <w:tc>
          <w:tcPr>
            <w:tcW w:w="20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11,300</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30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3. Property and Equipment</w:t>
            </w:r>
          </w:p>
        </w:tc>
        <w:tc>
          <w:tcPr>
            <w:tcW w:w="25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5300" w:type="dxa"/>
            <w:vAlign w:val="bottom"/>
            <w:vMerge w:val="continue"/>
          </w:tcPr>
          <w:p>
            <w:pPr>
              <w:spacing w:after="0"/>
              <w:rPr>
                <w:sz w:val="24"/>
                <w:szCs w:val="24"/>
                <w:color w:val="auto"/>
              </w:rPr>
            </w:pPr>
          </w:p>
        </w:tc>
        <w:tc>
          <w:tcPr>
            <w:tcW w:w="25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5300" w:type="dxa"/>
            <w:vAlign w:val="bottom"/>
          </w:tcPr>
          <w:p>
            <w:pPr>
              <w:spacing w:after="0"/>
              <w:rPr>
                <w:sz w:val="20"/>
                <w:szCs w:val="20"/>
                <w:color w:val="auto"/>
              </w:rPr>
            </w:pPr>
            <w:r>
              <w:rPr>
                <w:rFonts w:ascii="Times New Roman" w:cs="Times New Roman" w:eastAsia="Times New Roman" w:hAnsi="Times New Roman"/>
                <w:sz w:val="18"/>
                <w:szCs w:val="18"/>
                <w:color w:val="auto"/>
              </w:rPr>
              <w:t>Property and equipment are comprised of the following (in thousands):</w:t>
            </w:r>
          </w:p>
        </w:tc>
        <w:tc>
          <w:tcPr>
            <w:tcW w:w="25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0"/>
        </w:trPr>
        <w:tc>
          <w:tcPr>
            <w:tcW w:w="5300" w:type="dxa"/>
            <w:vAlign w:val="bottom"/>
          </w:tcPr>
          <w:p>
            <w:pPr>
              <w:spacing w:after="0"/>
              <w:rPr>
                <w:sz w:val="24"/>
                <w:szCs w:val="24"/>
                <w:color w:val="auto"/>
              </w:rPr>
            </w:pPr>
          </w:p>
        </w:tc>
        <w:tc>
          <w:tcPr>
            <w:tcW w:w="25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40" w:type="dxa"/>
            <w:vAlign w:val="bottom"/>
            <w:gridSpan w:val="2"/>
          </w:tcPr>
          <w:p>
            <w:pPr>
              <w:jc w:val="center"/>
              <w:ind w:right="420"/>
              <w:spacing w:after="0"/>
              <w:rPr>
                <w:sz w:val="20"/>
                <w:szCs w:val="20"/>
                <w:color w:val="auto"/>
              </w:rPr>
            </w:pPr>
            <w:r>
              <w:rPr>
                <w:rFonts w:ascii="Times New Roman" w:cs="Times New Roman" w:eastAsia="Times New Roman" w:hAnsi="Times New Roman"/>
                <w:sz w:val="18"/>
                <w:szCs w:val="18"/>
                <w:b w:val="1"/>
                <w:bCs w:val="1"/>
                <w:color w:val="auto"/>
                <w:w w:val="98"/>
              </w:rPr>
              <w:t>March 31,</w:t>
            </w: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0" w:type="dxa"/>
            <w:vAlign w:val="bottom"/>
          </w:tcPr>
          <w:p>
            <w:pPr>
              <w:spacing w:after="0"/>
              <w:rPr>
                <w:sz w:val="1"/>
                <w:szCs w:val="1"/>
                <w:color w:val="auto"/>
              </w:rPr>
            </w:pPr>
          </w:p>
        </w:tc>
      </w:tr>
      <w:tr>
        <w:trPr>
          <w:trHeight w:val="245"/>
        </w:trPr>
        <w:tc>
          <w:tcPr>
            <w:tcW w:w="5300" w:type="dxa"/>
            <w:vAlign w:val="bottom"/>
            <w:tcBorders>
              <w:bottom w:val="single" w:sz="8" w:color="CCEEFF"/>
            </w:tcBorders>
          </w:tcPr>
          <w:p>
            <w:pPr>
              <w:spacing w:after="0"/>
              <w:rPr>
                <w:sz w:val="21"/>
                <w:szCs w:val="21"/>
                <w:color w:val="auto"/>
              </w:rPr>
            </w:pPr>
          </w:p>
        </w:tc>
        <w:tc>
          <w:tcPr>
            <w:tcW w:w="2580" w:type="dxa"/>
            <w:vAlign w:val="bottom"/>
            <w:tcBorders>
              <w:bottom w:val="single" w:sz="8" w:color="CCEEFF"/>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240" w:type="dxa"/>
            <w:vAlign w:val="bottom"/>
            <w:tcBorders>
              <w:bottom w:val="single" w:sz="8" w:color="auto"/>
            </w:tcBorders>
          </w:tcPr>
          <w:p>
            <w:pPr>
              <w:jc w:val="center"/>
              <w:ind w:right="110"/>
              <w:spacing w:after="0"/>
              <w:rPr>
                <w:sz w:val="20"/>
                <w:szCs w:val="20"/>
                <w:color w:val="auto"/>
              </w:rPr>
            </w:pPr>
            <w:r>
              <w:rPr>
                <w:rFonts w:ascii="Times New Roman" w:cs="Times New Roman" w:eastAsia="Times New Roman" w:hAnsi="Times New Roman"/>
                <w:sz w:val="18"/>
                <w:szCs w:val="18"/>
                <w:b w:val="1"/>
                <w:bCs w:val="1"/>
                <w:color w:val="auto"/>
                <w:w w:val="99"/>
              </w:rPr>
              <w:t>2024</w:t>
            </w:r>
          </w:p>
        </w:tc>
        <w:tc>
          <w:tcPr>
            <w:tcW w:w="200" w:type="dxa"/>
            <w:vAlign w:val="bottom"/>
            <w:tcBorders>
              <w:bottom w:val="single" w:sz="8" w:color="CCEEFF"/>
            </w:tcBorders>
          </w:tcPr>
          <w:p>
            <w:pPr>
              <w:spacing w:after="0"/>
              <w:rPr>
                <w:sz w:val="21"/>
                <w:szCs w:val="21"/>
                <w:color w:val="auto"/>
              </w:rPr>
            </w:pPr>
          </w:p>
        </w:tc>
        <w:tc>
          <w:tcPr>
            <w:tcW w:w="14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300" w:type="dxa"/>
            <w:vAlign w:val="bottom"/>
            <w:tcBorders>
              <w:bottom w:val="single" w:sz="8" w:color="auto"/>
            </w:tcBorders>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w w:val="99"/>
              </w:rPr>
              <w:t>2023</w:t>
            </w:r>
          </w:p>
        </w:tc>
        <w:tc>
          <w:tcPr>
            <w:tcW w:w="100" w:type="dxa"/>
            <w:vAlign w:val="bottom"/>
            <w:tcBorders>
              <w:bottom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5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Right-of-use assets under operating leases</w:t>
            </w:r>
          </w:p>
        </w:tc>
        <w:tc>
          <w:tcPr>
            <w:tcW w:w="258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724</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00" w:type="dxa"/>
            <w:vAlign w:val="bottom"/>
          </w:tcPr>
          <w:p>
            <w:pPr>
              <w:spacing w:after="0"/>
              <w:rPr>
                <w:sz w:val="20"/>
                <w:szCs w:val="20"/>
                <w:color w:val="auto"/>
              </w:rPr>
            </w:pPr>
            <w:r>
              <w:rPr>
                <w:rFonts w:ascii="Times New Roman" w:cs="Times New Roman" w:eastAsia="Times New Roman" w:hAnsi="Times New Roman"/>
                <w:sz w:val="18"/>
                <w:szCs w:val="18"/>
                <w:color w:val="auto"/>
              </w:rPr>
              <w:t>Computer hardware and software</w:t>
            </w:r>
          </w:p>
        </w:tc>
        <w:tc>
          <w:tcPr>
            <w:tcW w:w="2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400</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400</w:t>
            </w:r>
          </w:p>
        </w:tc>
        <w:tc>
          <w:tcPr>
            <w:tcW w:w="0" w:type="dxa"/>
            <w:vAlign w:val="bottom"/>
          </w:tcPr>
          <w:p>
            <w:pPr>
              <w:spacing w:after="0"/>
              <w:rPr>
                <w:sz w:val="1"/>
                <w:szCs w:val="1"/>
                <w:color w:val="auto"/>
              </w:rPr>
            </w:pPr>
          </w:p>
        </w:tc>
      </w:tr>
      <w:tr>
        <w:trPr>
          <w:trHeight w:val="216"/>
        </w:trPr>
        <w:tc>
          <w:tcPr>
            <w:tcW w:w="5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Machinery and equipment</w:t>
            </w:r>
          </w:p>
        </w:tc>
        <w:tc>
          <w:tcPr>
            <w:tcW w:w="25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352</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352</w:t>
            </w:r>
          </w:p>
        </w:tc>
        <w:tc>
          <w:tcPr>
            <w:tcW w:w="0" w:type="dxa"/>
            <w:vAlign w:val="bottom"/>
          </w:tcPr>
          <w:p>
            <w:pPr>
              <w:spacing w:after="0"/>
              <w:rPr>
                <w:sz w:val="1"/>
                <w:szCs w:val="1"/>
                <w:color w:val="auto"/>
              </w:rPr>
            </w:pPr>
          </w:p>
        </w:tc>
      </w:tr>
      <w:tr>
        <w:trPr>
          <w:trHeight w:val="236"/>
        </w:trPr>
        <w:tc>
          <w:tcPr>
            <w:tcW w:w="5300" w:type="dxa"/>
            <w:vAlign w:val="bottom"/>
          </w:tcPr>
          <w:p>
            <w:pPr>
              <w:spacing w:after="0"/>
              <w:rPr>
                <w:sz w:val="20"/>
                <w:szCs w:val="20"/>
                <w:color w:val="auto"/>
              </w:rPr>
            </w:pPr>
            <w:r>
              <w:rPr>
                <w:rFonts w:ascii="Times New Roman" w:cs="Times New Roman" w:eastAsia="Times New Roman" w:hAnsi="Times New Roman"/>
                <w:sz w:val="18"/>
                <w:szCs w:val="18"/>
                <w:color w:val="auto"/>
              </w:rPr>
              <w:t>Construction in progress</w:t>
            </w:r>
          </w:p>
        </w:tc>
        <w:tc>
          <w:tcPr>
            <w:tcW w:w="25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101</w:t>
            </w: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85</w:t>
            </w:r>
          </w:p>
        </w:tc>
        <w:tc>
          <w:tcPr>
            <w:tcW w:w="0" w:type="dxa"/>
            <w:vAlign w:val="bottom"/>
          </w:tcPr>
          <w:p>
            <w:pPr>
              <w:spacing w:after="0"/>
              <w:rPr>
                <w:sz w:val="1"/>
                <w:szCs w:val="1"/>
                <w:color w:val="auto"/>
              </w:rPr>
            </w:pPr>
          </w:p>
        </w:tc>
      </w:tr>
      <w:tr>
        <w:trPr>
          <w:trHeight w:val="216"/>
        </w:trPr>
        <w:tc>
          <w:tcPr>
            <w:tcW w:w="53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cost</w:t>
            </w:r>
          </w:p>
        </w:tc>
        <w:tc>
          <w:tcPr>
            <w:tcW w:w="258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1,577</w:t>
            </w:r>
          </w:p>
        </w:tc>
        <w:tc>
          <w:tcPr>
            <w:tcW w:w="2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3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1,561</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5300" w:type="dxa"/>
            <w:vAlign w:val="bottom"/>
          </w:tcPr>
          <w:p>
            <w:pPr>
              <w:spacing w:after="0"/>
              <w:rPr>
                <w:sz w:val="20"/>
                <w:szCs w:val="20"/>
                <w:color w:val="auto"/>
              </w:rPr>
            </w:pPr>
            <w:r>
              <w:rPr>
                <w:rFonts w:ascii="Times New Roman" w:cs="Times New Roman" w:eastAsia="Times New Roman" w:hAnsi="Times New Roman"/>
                <w:sz w:val="18"/>
                <w:szCs w:val="18"/>
                <w:color w:val="auto"/>
              </w:rPr>
              <w:t>Accumulated depreciation and amortization</w:t>
            </w:r>
          </w:p>
        </w:tc>
        <w:tc>
          <w:tcPr>
            <w:tcW w:w="25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(1,136)</w:t>
            </w: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(1,068)</w:t>
            </w:r>
          </w:p>
        </w:tc>
        <w:tc>
          <w:tcPr>
            <w:tcW w:w="0" w:type="dxa"/>
            <w:vAlign w:val="bottom"/>
          </w:tcPr>
          <w:p>
            <w:pPr>
              <w:spacing w:after="0"/>
              <w:rPr>
                <w:sz w:val="1"/>
                <w:szCs w:val="1"/>
                <w:color w:val="auto"/>
              </w:rPr>
            </w:pPr>
          </w:p>
        </w:tc>
      </w:tr>
      <w:tr>
        <w:trPr>
          <w:trHeight w:val="230"/>
        </w:trPr>
        <w:tc>
          <w:tcPr>
            <w:tcW w:w="530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book value</w:t>
            </w:r>
          </w:p>
        </w:tc>
        <w:tc>
          <w:tcPr>
            <w:tcW w:w="2580" w:type="dxa"/>
            <w:vAlign w:val="bottom"/>
            <w:tcBorders>
              <w:top w:val="single" w:sz="8" w:color="CCEEFF"/>
              <w:bottom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441</w:t>
            </w:r>
          </w:p>
        </w:tc>
        <w:tc>
          <w:tcPr>
            <w:tcW w:w="20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493</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300" w:type="dxa"/>
            <w:vAlign w:val="bottom"/>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0"/>
        </w:trPr>
        <w:tc>
          <w:tcPr>
            <w:tcW w:w="5300" w:type="dxa"/>
            <w:vAlign w:val="bottom"/>
            <w:tcBorders>
              <w:bottom w:val="single" w:sz="8" w:color="auto"/>
            </w:tcBorders>
          </w:tcPr>
          <w:p>
            <w:pPr>
              <w:spacing w:after="0"/>
              <w:rPr>
                <w:sz w:val="24"/>
                <w:szCs w:val="24"/>
                <w:color w:val="auto"/>
              </w:rPr>
            </w:pPr>
          </w:p>
        </w:tc>
        <w:tc>
          <w:tcPr>
            <w:tcW w:w="2800" w:type="dxa"/>
            <w:vAlign w:val="bottom"/>
            <w:tcBorders>
              <w:bottom w:val="single" w:sz="8" w:color="auto"/>
            </w:tcBorders>
            <w:gridSpan w:val="2"/>
          </w:tcPr>
          <w:p>
            <w:pPr>
              <w:jc w:val="right"/>
              <w:ind w:right="2276"/>
              <w:spacing w:after="0"/>
              <w:rPr>
                <w:sz w:val="20"/>
                <w:szCs w:val="20"/>
                <w:color w:val="auto"/>
              </w:rPr>
            </w:pPr>
            <w:r>
              <w:rPr>
                <w:rFonts w:ascii="Times New Roman" w:cs="Times New Roman" w:eastAsia="Times New Roman" w:hAnsi="Times New Roman"/>
                <w:sz w:val="18"/>
                <w:szCs w:val="18"/>
                <w:color w:val="auto"/>
              </w:rPr>
              <w:t>F-8</w:t>
            </w:r>
          </w:p>
        </w:tc>
        <w:tc>
          <w:tcPr>
            <w:tcW w:w="12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686" w:right="339" w:bottom="1440" w:gutter="0" w:footer="0" w:header="0"/>
        </w:sectPr>
      </w:pPr>
    </w:p>
    <w:bookmarkStart w:id="11" w:name="page12"/>
    <w:bookmarkEnd w:id="11"/>
    <w:p>
      <w:pPr>
        <w:jc w:val="both"/>
        <w:spacing w:after="0" w:line="282" w:lineRule="auto"/>
        <w:rPr>
          <w:sz w:val="20"/>
          <w:szCs w:val="20"/>
          <w:color w:val="auto"/>
        </w:rPr>
      </w:pPr>
      <w:r>
        <w:rPr>
          <w:rFonts w:ascii="Times New Roman" w:cs="Times New Roman" w:eastAsia="Times New Roman" w:hAnsi="Times New Roman"/>
          <w:sz w:val="18"/>
          <w:szCs w:val="18"/>
          <w:color w:val="auto"/>
        </w:rPr>
        <w:t>Depreciation expense for the three months ended March 31, 2024 and 2023 was $29 and $47, respectively, and amortization of right-of-use assets for the three months ended March 31, 2024 and 2023 was $39 and $32, respectively.</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5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4. Intangible Assets</w:t>
            </w:r>
          </w:p>
        </w:tc>
        <w:tc>
          <w:tcPr>
            <w:tcW w:w="13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6540" w:type="dxa"/>
            <w:vAlign w:val="bottom"/>
          </w:tcPr>
          <w:p>
            <w:pPr>
              <w:spacing w:after="0"/>
              <w:rPr>
                <w:sz w:val="20"/>
                <w:szCs w:val="20"/>
                <w:color w:val="auto"/>
              </w:rPr>
            </w:pPr>
            <w:r>
              <w:rPr>
                <w:rFonts w:ascii="Times New Roman" w:cs="Times New Roman" w:eastAsia="Times New Roman" w:hAnsi="Times New Roman"/>
                <w:sz w:val="18"/>
                <w:szCs w:val="18"/>
                <w:color w:val="auto"/>
              </w:rPr>
              <w:t>Intangible assets consist of the following (in thousands):</w:t>
            </w:r>
          </w:p>
        </w:tc>
        <w:tc>
          <w:tcPr>
            <w:tcW w:w="13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0"/>
        </w:trPr>
        <w:tc>
          <w:tcPr>
            <w:tcW w:w="65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580" w:type="dxa"/>
            <w:vAlign w:val="bottom"/>
            <w:gridSpan w:val="2"/>
          </w:tcPr>
          <w:p>
            <w:pPr>
              <w:jc w:val="center"/>
              <w:ind w:right="560"/>
              <w:spacing w:after="0"/>
              <w:rPr>
                <w:sz w:val="20"/>
                <w:szCs w:val="20"/>
                <w:color w:val="auto"/>
              </w:rPr>
            </w:pPr>
            <w:r>
              <w:rPr>
                <w:rFonts w:ascii="Times New Roman" w:cs="Times New Roman" w:eastAsia="Times New Roman" w:hAnsi="Times New Roman"/>
                <w:sz w:val="18"/>
                <w:szCs w:val="18"/>
                <w:b w:val="1"/>
                <w:bCs w:val="1"/>
                <w:color w:val="auto"/>
                <w:w w:val="98"/>
              </w:rPr>
              <w:t>March 31,</w:t>
            </w:r>
          </w:p>
        </w:tc>
        <w:tc>
          <w:tcPr>
            <w:tcW w:w="160" w:type="dxa"/>
            <w:vAlign w:val="bottom"/>
          </w:tcPr>
          <w:p>
            <w:pPr>
              <w:spacing w:after="0"/>
              <w:rPr>
                <w:sz w:val="24"/>
                <w:szCs w:val="24"/>
                <w:color w:val="auto"/>
              </w:rPr>
            </w:pPr>
          </w:p>
        </w:tc>
        <w:tc>
          <w:tcPr>
            <w:tcW w:w="140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0" w:type="dxa"/>
            <w:vAlign w:val="bottom"/>
          </w:tcPr>
          <w:p>
            <w:pPr>
              <w:spacing w:after="0"/>
              <w:rPr>
                <w:sz w:val="1"/>
                <w:szCs w:val="1"/>
                <w:color w:val="auto"/>
              </w:rPr>
            </w:pPr>
          </w:p>
        </w:tc>
      </w:tr>
      <w:tr>
        <w:trPr>
          <w:trHeight w:val="245"/>
        </w:trPr>
        <w:tc>
          <w:tcPr>
            <w:tcW w:w="6540" w:type="dxa"/>
            <w:vAlign w:val="bottom"/>
            <w:tcBorders>
              <w:bottom w:val="single" w:sz="8" w:color="CCEEFF"/>
            </w:tcBorders>
          </w:tcPr>
          <w:p>
            <w:pPr>
              <w:spacing w:after="0"/>
              <w:rPr>
                <w:sz w:val="21"/>
                <w:szCs w:val="21"/>
                <w:color w:val="auto"/>
              </w:rPr>
            </w:pPr>
          </w:p>
        </w:tc>
        <w:tc>
          <w:tcPr>
            <w:tcW w:w="1340" w:type="dxa"/>
            <w:vAlign w:val="bottom"/>
            <w:tcBorders>
              <w:bottom w:val="single" w:sz="8" w:color="CCEEFF"/>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240" w:type="dxa"/>
            <w:vAlign w:val="bottom"/>
            <w:tcBorders>
              <w:bottom w:val="single" w:sz="8" w:color="auto"/>
            </w:tcBorders>
          </w:tcPr>
          <w:p>
            <w:pPr>
              <w:jc w:val="center"/>
              <w:ind w:right="110"/>
              <w:spacing w:after="0"/>
              <w:rPr>
                <w:sz w:val="20"/>
                <w:szCs w:val="20"/>
                <w:color w:val="auto"/>
              </w:rPr>
            </w:pPr>
            <w:r>
              <w:rPr>
                <w:rFonts w:ascii="Times New Roman" w:cs="Times New Roman" w:eastAsia="Times New Roman" w:hAnsi="Times New Roman"/>
                <w:sz w:val="18"/>
                <w:szCs w:val="18"/>
                <w:b w:val="1"/>
                <w:bCs w:val="1"/>
                <w:color w:val="auto"/>
                <w:w w:val="99"/>
              </w:rPr>
              <w:t>2024</w:t>
            </w:r>
          </w:p>
        </w:tc>
        <w:tc>
          <w:tcPr>
            <w:tcW w:w="34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300" w:type="dxa"/>
            <w:vAlign w:val="bottom"/>
            <w:tcBorders>
              <w:bottom w:val="single" w:sz="8" w:color="auto"/>
            </w:tcBorders>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w w:val="99"/>
              </w:rPr>
              <w:t>2023</w:t>
            </w:r>
          </w:p>
        </w:tc>
        <w:tc>
          <w:tcPr>
            <w:tcW w:w="100" w:type="dxa"/>
            <w:vAlign w:val="bottom"/>
            <w:tcBorders>
              <w:bottom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6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Brand names</w:t>
            </w:r>
          </w:p>
        </w:tc>
        <w:tc>
          <w:tcPr>
            <w:tcW w:w="134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576</w:t>
            </w:r>
          </w:p>
        </w:tc>
        <w:tc>
          <w:tcPr>
            <w:tcW w:w="34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6540" w:type="dxa"/>
            <w:vAlign w:val="bottom"/>
          </w:tcPr>
          <w:p>
            <w:pPr>
              <w:spacing w:after="0"/>
              <w:rPr>
                <w:sz w:val="20"/>
                <w:szCs w:val="20"/>
                <w:color w:val="auto"/>
              </w:rPr>
            </w:pPr>
            <w:r>
              <w:rPr>
                <w:rFonts w:ascii="Times New Roman" w:cs="Times New Roman" w:eastAsia="Times New Roman" w:hAnsi="Times New Roman"/>
                <w:sz w:val="18"/>
                <w:szCs w:val="18"/>
                <w:color w:val="auto"/>
              </w:rPr>
              <w:t>Trademarks</w:t>
            </w:r>
          </w:p>
        </w:tc>
        <w:tc>
          <w:tcPr>
            <w:tcW w:w="13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5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55</w:t>
            </w:r>
          </w:p>
        </w:tc>
        <w:tc>
          <w:tcPr>
            <w:tcW w:w="160" w:type="dxa"/>
            <w:vAlign w:val="bottom"/>
          </w:tcPr>
          <w:p>
            <w:pPr>
              <w:spacing w:after="0"/>
              <w:rPr>
                <w:sz w:val="20"/>
                <w:szCs w:val="20"/>
                <w:color w:val="auto"/>
              </w:rPr>
            </w:pPr>
          </w:p>
        </w:tc>
        <w:tc>
          <w:tcPr>
            <w:tcW w:w="14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53</w:t>
            </w:r>
          </w:p>
        </w:tc>
        <w:tc>
          <w:tcPr>
            <w:tcW w:w="0" w:type="dxa"/>
            <w:vAlign w:val="bottom"/>
          </w:tcPr>
          <w:p>
            <w:pPr>
              <w:spacing w:after="0"/>
              <w:rPr>
                <w:sz w:val="1"/>
                <w:szCs w:val="1"/>
                <w:color w:val="auto"/>
              </w:rPr>
            </w:pPr>
          </w:p>
        </w:tc>
      </w:tr>
      <w:tr>
        <w:trPr>
          <w:trHeight w:val="229"/>
        </w:trPr>
        <w:tc>
          <w:tcPr>
            <w:tcW w:w="654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1340" w:type="dxa"/>
            <w:vAlign w:val="bottom"/>
            <w:tcBorders>
              <w:top w:val="single" w:sz="8" w:color="CCEEFF"/>
              <w:bottom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631</w:t>
            </w:r>
          </w:p>
        </w:tc>
        <w:tc>
          <w:tcPr>
            <w:tcW w:w="34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629</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54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5. Line of Credit</w:t>
            </w:r>
          </w:p>
        </w:tc>
        <w:tc>
          <w:tcPr>
            <w:tcW w:w="13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6540" w:type="dxa"/>
            <w:vAlign w:val="bottom"/>
            <w:vMerge w:val="continue"/>
          </w:tcPr>
          <w:p>
            <w:pPr>
              <w:spacing w:after="0"/>
              <w:rPr>
                <w:sz w:val="24"/>
                <w:szCs w:val="24"/>
                <w:color w:val="auto"/>
              </w:rPr>
            </w:pPr>
          </w:p>
        </w:tc>
        <w:tc>
          <w:tcPr>
            <w:tcW w:w="13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6540" w:type="dxa"/>
            <w:vAlign w:val="bottom"/>
          </w:tcPr>
          <w:p>
            <w:pPr>
              <w:spacing w:after="0"/>
              <w:rPr>
                <w:sz w:val="20"/>
                <w:szCs w:val="20"/>
                <w:color w:val="auto"/>
              </w:rPr>
            </w:pPr>
            <w:r>
              <w:rPr>
                <w:rFonts w:ascii="Times New Roman" w:cs="Times New Roman" w:eastAsia="Times New Roman" w:hAnsi="Times New Roman"/>
                <w:sz w:val="18"/>
                <w:szCs w:val="18"/>
                <w:color w:val="auto"/>
              </w:rPr>
              <w:t>The Company’s credit facility consisted of the following (in thousands):</w:t>
            </w:r>
          </w:p>
        </w:tc>
        <w:tc>
          <w:tcPr>
            <w:tcW w:w="13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0"/>
        </w:trPr>
        <w:tc>
          <w:tcPr>
            <w:tcW w:w="65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580" w:type="dxa"/>
            <w:vAlign w:val="bottom"/>
            <w:gridSpan w:val="2"/>
          </w:tcPr>
          <w:p>
            <w:pPr>
              <w:jc w:val="center"/>
              <w:ind w:right="560"/>
              <w:spacing w:after="0"/>
              <w:rPr>
                <w:sz w:val="20"/>
                <w:szCs w:val="20"/>
                <w:color w:val="auto"/>
              </w:rPr>
            </w:pPr>
            <w:r>
              <w:rPr>
                <w:rFonts w:ascii="Times New Roman" w:cs="Times New Roman" w:eastAsia="Times New Roman" w:hAnsi="Times New Roman"/>
                <w:sz w:val="18"/>
                <w:szCs w:val="18"/>
                <w:b w:val="1"/>
                <w:bCs w:val="1"/>
                <w:color w:val="auto"/>
                <w:w w:val="98"/>
              </w:rPr>
              <w:t>March 31,</w:t>
            </w:r>
          </w:p>
        </w:tc>
        <w:tc>
          <w:tcPr>
            <w:tcW w:w="160" w:type="dxa"/>
            <w:vAlign w:val="bottom"/>
          </w:tcPr>
          <w:p>
            <w:pPr>
              <w:spacing w:after="0"/>
              <w:rPr>
                <w:sz w:val="24"/>
                <w:szCs w:val="24"/>
                <w:color w:val="auto"/>
              </w:rPr>
            </w:pPr>
          </w:p>
        </w:tc>
        <w:tc>
          <w:tcPr>
            <w:tcW w:w="140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0" w:type="dxa"/>
            <w:vAlign w:val="bottom"/>
          </w:tcPr>
          <w:p>
            <w:pPr>
              <w:spacing w:after="0"/>
              <w:rPr>
                <w:sz w:val="1"/>
                <w:szCs w:val="1"/>
                <w:color w:val="auto"/>
              </w:rPr>
            </w:pPr>
          </w:p>
        </w:tc>
      </w:tr>
      <w:tr>
        <w:trPr>
          <w:trHeight w:val="245"/>
        </w:trPr>
        <w:tc>
          <w:tcPr>
            <w:tcW w:w="6540" w:type="dxa"/>
            <w:vAlign w:val="bottom"/>
            <w:tcBorders>
              <w:bottom w:val="single" w:sz="8" w:color="CCEEFF"/>
            </w:tcBorders>
          </w:tcPr>
          <w:p>
            <w:pPr>
              <w:spacing w:after="0"/>
              <w:rPr>
                <w:sz w:val="21"/>
                <w:szCs w:val="21"/>
                <w:color w:val="auto"/>
              </w:rPr>
            </w:pPr>
          </w:p>
        </w:tc>
        <w:tc>
          <w:tcPr>
            <w:tcW w:w="1340" w:type="dxa"/>
            <w:vAlign w:val="bottom"/>
            <w:tcBorders>
              <w:bottom w:val="single" w:sz="8" w:color="CCEEFF"/>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240" w:type="dxa"/>
            <w:vAlign w:val="bottom"/>
            <w:tcBorders>
              <w:bottom w:val="single" w:sz="8" w:color="auto"/>
            </w:tcBorders>
          </w:tcPr>
          <w:p>
            <w:pPr>
              <w:jc w:val="center"/>
              <w:ind w:right="110"/>
              <w:spacing w:after="0"/>
              <w:rPr>
                <w:sz w:val="20"/>
                <w:szCs w:val="20"/>
                <w:color w:val="auto"/>
              </w:rPr>
            </w:pPr>
            <w:r>
              <w:rPr>
                <w:rFonts w:ascii="Times New Roman" w:cs="Times New Roman" w:eastAsia="Times New Roman" w:hAnsi="Times New Roman"/>
                <w:sz w:val="18"/>
                <w:szCs w:val="18"/>
                <w:b w:val="1"/>
                <w:bCs w:val="1"/>
                <w:color w:val="auto"/>
                <w:w w:val="99"/>
              </w:rPr>
              <w:t>2024</w:t>
            </w:r>
          </w:p>
        </w:tc>
        <w:tc>
          <w:tcPr>
            <w:tcW w:w="34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300" w:type="dxa"/>
            <w:vAlign w:val="bottom"/>
            <w:tcBorders>
              <w:bottom w:val="single" w:sz="8" w:color="auto"/>
            </w:tcBorders>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w w:val="99"/>
              </w:rPr>
              <w:t>2023</w:t>
            </w:r>
          </w:p>
        </w:tc>
        <w:tc>
          <w:tcPr>
            <w:tcW w:w="100" w:type="dxa"/>
            <w:vAlign w:val="bottom"/>
            <w:tcBorders>
              <w:bottom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6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Line of credit – Alterna Capital Solutions</w:t>
            </w:r>
          </w:p>
        </w:tc>
        <w:tc>
          <w:tcPr>
            <w:tcW w:w="134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8,005</w:t>
            </w:r>
          </w:p>
        </w:tc>
        <w:tc>
          <w:tcPr>
            <w:tcW w:w="34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9,959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6540" w:type="dxa"/>
            <w:vAlign w:val="bottom"/>
          </w:tcPr>
          <w:p>
            <w:pPr>
              <w:spacing w:after="0"/>
              <w:rPr>
                <w:sz w:val="20"/>
                <w:szCs w:val="20"/>
                <w:color w:val="auto"/>
              </w:rPr>
            </w:pPr>
            <w:r>
              <w:rPr>
                <w:rFonts w:ascii="Times New Roman" w:cs="Times New Roman" w:eastAsia="Times New Roman" w:hAnsi="Times New Roman"/>
                <w:sz w:val="18"/>
                <w:szCs w:val="18"/>
                <w:color w:val="auto"/>
              </w:rPr>
              <w:t>Less: capitalized financing costs</w:t>
            </w:r>
          </w:p>
        </w:tc>
        <w:tc>
          <w:tcPr>
            <w:tcW w:w="13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5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(161)</w:t>
            </w:r>
          </w:p>
        </w:tc>
        <w:tc>
          <w:tcPr>
            <w:tcW w:w="160" w:type="dxa"/>
            <w:vAlign w:val="bottom"/>
          </w:tcPr>
          <w:p>
            <w:pPr>
              <w:spacing w:after="0"/>
              <w:rPr>
                <w:sz w:val="20"/>
                <w:szCs w:val="20"/>
                <w:color w:val="auto"/>
              </w:rPr>
            </w:pPr>
          </w:p>
        </w:tc>
        <w:tc>
          <w:tcPr>
            <w:tcW w:w="14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(201)</w:t>
            </w:r>
          </w:p>
        </w:tc>
        <w:tc>
          <w:tcPr>
            <w:tcW w:w="0" w:type="dxa"/>
            <w:vAlign w:val="bottom"/>
          </w:tcPr>
          <w:p>
            <w:pPr>
              <w:spacing w:after="0"/>
              <w:rPr>
                <w:sz w:val="1"/>
                <w:szCs w:val="1"/>
                <w:color w:val="auto"/>
              </w:rPr>
            </w:pPr>
          </w:p>
        </w:tc>
      </w:tr>
      <w:tr>
        <w:trPr>
          <w:trHeight w:val="230"/>
        </w:trPr>
        <w:tc>
          <w:tcPr>
            <w:tcW w:w="654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1340" w:type="dxa"/>
            <w:vAlign w:val="bottom"/>
            <w:tcBorders>
              <w:top w:val="single" w:sz="8" w:color="CCEEFF"/>
              <w:bottom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7,844</w:t>
            </w:r>
          </w:p>
        </w:tc>
        <w:tc>
          <w:tcPr>
            <w:tcW w:w="34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9,758</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54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March, 2022, the Company entered into a financing agreement for a line of credit with Alterna Capital Solutions (“ACS”) The ACS line of credit is for a term of 3 years, provides for borrowings of up to $13,000, and is secured by eligible accounts receivable and inventory, and are subject to a collateral sharing agreement with Whitebox, another secured lender (see Note 6). An over advance rider provides for up to $400 of additional borrowing above the collateralized base (the “Over Advance”) up to a total borrowing of $13,000. As of March 31, 2024, there was no remaining availability under the line of credit, and $4,995 of borrowing capacity available.</w:t>
      </w:r>
    </w:p>
    <w:p>
      <w:pPr>
        <w:spacing w:after="0" w:line="18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Borrowings based on receivables bears an interest of prime plus 4.75% but not less than 8.0% (13.25% at March 31, 2024 and 13.25% at December 31, 2023). Borrowings based on inventory bears an interest of prime plus 5.25% but not less than 8.5% (13.90% at March 31, 2024 and 13.90% at December 31, 2023). The additional over advance rider bears a rate of prime plus 12.75%, but not less than 16.00% (18.00% at March 31, 2024 and 18.00% at December 31, 2023). Additionally, the line of credit is subject to monthly monitoring fee of $1 with a minimum usage requirement on the credit facility. A loan balance of less than $1,500 will bear interest at a rate in line with account receivables advances plus the monthly monitoring fee of $1.</w:t>
      </w:r>
    </w:p>
    <w:p>
      <w:pPr>
        <w:spacing w:after="0" w:line="18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incurred $483 of direct costs of the transaction, consisting primarily of broker, bank and legal fees. These costs have been capitalized and are being amortized over the 3-year life of the ACS agreement. The unamortized debt discount balance was $201 at December 31, 2023. For the three months ended March 31, 2024, amortization of debt discount was $40, and as of March 31, 2024, the remaining unamortized debt discount balance is $161.</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6. Secured Convertible Notes Payable</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Amounts outstanding under the Company’s convertible notes payable are as follows (amounts in 000’s except share amounts):</w:t>
      </w:r>
    </w:p>
    <w:p>
      <w:pPr>
        <w:spacing w:after="0" w:line="1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32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5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760" w:type="dxa"/>
            <w:vAlign w:val="bottom"/>
            <w:gridSpan w:val="2"/>
          </w:tcPr>
          <w:p>
            <w:pPr>
              <w:jc w:val="right"/>
              <w:ind w:right="540"/>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45"/>
        </w:trPr>
        <w:tc>
          <w:tcPr>
            <w:tcW w:w="5320" w:type="dxa"/>
            <w:vAlign w:val="bottom"/>
          </w:tcPr>
          <w:p>
            <w:pPr>
              <w:spacing w:after="0"/>
              <w:rPr>
                <w:sz w:val="21"/>
                <w:szCs w:val="21"/>
                <w:color w:val="auto"/>
              </w:rPr>
            </w:pPr>
          </w:p>
        </w:tc>
        <w:tc>
          <w:tcPr>
            <w:tcW w:w="3060" w:type="dxa"/>
            <w:vAlign w:val="bottom"/>
            <w:gridSpan w:val="2"/>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5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660" w:type="dxa"/>
            <w:vAlign w:val="bottom"/>
          </w:tcPr>
          <w:p>
            <w:pPr>
              <w:jc w:val="right"/>
              <w:ind w:right="6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21"/>
                <w:szCs w:val="21"/>
                <w:color w:val="auto"/>
              </w:rPr>
            </w:pPr>
          </w:p>
        </w:tc>
      </w:tr>
      <w:tr>
        <w:trPr>
          <w:trHeight w:val="216"/>
        </w:trPr>
        <w:tc>
          <w:tcPr>
            <w:tcW w:w="53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Secured Convertible “Original” Notes Payable (A)</w:t>
            </w:r>
          </w:p>
        </w:tc>
        <w:tc>
          <w:tcPr>
            <w:tcW w:w="1660" w:type="dxa"/>
            <w:vAlign w:val="bottom"/>
            <w:tcBorders>
              <w:top w:val="single" w:sz="8" w:color="CCEEFF"/>
            </w:tcBorders>
            <w:shd w:val="clear" w:color="auto" w:fill="CCEEFF"/>
          </w:tcPr>
          <w:p>
            <w:pPr>
              <w:spacing w:after="0"/>
              <w:rPr>
                <w:sz w:val="18"/>
                <w:szCs w:val="18"/>
                <w:color w:val="auto"/>
              </w:rPr>
            </w:pPr>
          </w:p>
        </w:tc>
        <w:tc>
          <w:tcPr>
            <w:tcW w:w="1400" w:type="dxa"/>
            <w:vAlign w:val="bottom"/>
            <w:tcBorders>
              <w:top w:val="single" w:sz="8" w:color="auto"/>
            </w:tcBorders>
            <w:shd w:val="clear" w:color="auto" w:fill="CCEEFF"/>
          </w:tcPr>
          <w:p>
            <w:pPr>
              <w:jc w:val="right"/>
              <w:ind w:right="1210"/>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10,250</w:t>
            </w:r>
          </w:p>
        </w:tc>
        <w:tc>
          <w:tcPr>
            <w:tcW w:w="3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10,250</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5320" w:type="dxa"/>
            <w:vAlign w:val="bottom"/>
          </w:tcPr>
          <w:p>
            <w:pPr>
              <w:spacing w:after="0"/>
              <w:rPr>
                <w:sz w:val="20"/>
                <w:szCs w:val="20"/>
                <w:color w:val="auto"/>
              </w:rPr>
            </w:pPr>
            <w:r>
              <w:rPr>
                <w:rFonts w:ascii="Times New Roman" w:cs="Times New Roman" w:eastAsia="Times New Roman" w:hAnsi="Times New Roman"/>
                <w:sz w:val="18"/>
                <w:szCs w:val="18"/>
                <w:color w:val="auto"/>
              </w:rPr>
              <w:t>Secured Convertible “Option”” Notes Payable (B)</w:t>
            </w:r>
          </w:p>
        </w:tc>
        <w:tc>
          <w:tcPr>
            <w:tcW w:w="166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8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4,050</w:t>
            </w:r>
          </w:p>
        </w:tc>
        <w:tc>
          <w:tcPr>
            <w:tcW w:w="260" w:type="dxa"/>
            <w:vAlign w:val="bottom"/>
          </w:tcPr>
          <w:p>
            <w:pPr>
              <w:spacing w:after="0"/>
              <w:rPr>
                <w:sz w:val="18"/>
                <w:szCs w:val="18"/>
                <w:color w:val="auto"/>
              </w:rPr>
            </w:pPr>
          </w:p>
        </w:tc>
        <w:tc>
          <w:tcPr>
            <w:tcW w:w="17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4,050</w:t>
            </w:r>
          </w:p>
        </w:tc>
      </w:tr>
      <w:tr>
        <w:trPr>
          <w:trHeight w:val="216"/>
        </w:trPr>
        <w:tc>
          <w:tcPr>
            <w:tcW w:w="5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Accrued interest</w:t>
            </w:r>
          </w:p>
        </w:tc>
        <w:tc>
          <w:tcPr>
            <w:tcW w:w="166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1,457</w:t>
            </w:r>
          </w:p>
        </w:tc>
        <w:tc>
          <w:tcPr>
            <w:tcW w:w="260" w:type="dxa"/>
            <w:vAlign w:val="bottom"/>
            <w:shd w:val="clear" w:color="auto" w:fill="CCEEFF"/>
          </w:tcPr>
          <w:p>
            <w:pPr>
              <w:spacing w:after="0"/>
              <w:rPr>
                <w:sz w:val="18"/>
                <w:szCs w:val="18"/>
                <w:color w:val="auto"/>
              </w:rPr>
            </w:pPr>
          </w:p>
        </w:tc>
        <w:tc>
          <w:tcPr>
            <w:tcW w:w="1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1,059</w:t>
            </w:r>
          </w:p>
        </w:tc>
      </w:tr>
      <w:tr>
        <w:trPr>
          <w:trHeight w:val="216"/>
        </w:trPr>
        <w:tc>
          <w:tcPr>
            <w:tcW w:w="532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Accrued interest on excess debt borrowing</w:t>
            </w:r>
          </w:p>
        </w:tc>
        <w:tc>
          <w:tcPr>
            <w:tcW w:w="166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2,989</w:t>
            </w:r>
          </w:p>
        </w:tc>
        <w:tc>
          <w:tcPr>
            <w:tcW w:w="260" w:type="dxa"/>
            <w:vAlign w:val="bottom"/>
            <w:shd w:val="clear" w:color="auto" w:fill="CCEEFF"/>
          </w:tcPr>
          <w:p>
            <w:pPr>
              <w:spacing w:after="0"/>
              <w:rPr>
                <w:sz w:val="18"/>
                <w:szCs w:val="18"/>
                <w:color w:val="auto"/>
              </w:rPr>
            </w:pPr>
          </w:p>
        </w:tc>
        <w:tc>
          <w:tcPr>
            <w:tcW w:w="1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2,824</w:t>
            </w:r>
          </w:p>
        </w:tc>
      </w:tr>
      <w:tr>
        <w:trPr>
          <w:trHeight w:val="236"/>
        </w:trPr>
        <w:tc>
          <w:tcPr>
            <w:tcW w:w="5320" w:type="dxa"/>
            <w:vAlign w:val="bottom"/>
          </w:tcPr>
          <w:p>
            <w:pPr>
              <w:spacing w:after="0"/>
              <w:rPr>
                <w:sz w:val="20"/>
                <w:szCs w:val="20"/>
                <w:color w:val="auto"/>
              </w:rPr>
            </w:pPr>
            <w:r>
              <w:rPr>
                <w:rFonts w:ascii="Times New Roman" w:cs="Times New Roman" w:eastAsia="Times New Roman" w:hAnsi="Times New Roman"/>
                <w:sz w:val="18"/>
                <w:szCs w:val="18"/>
                <w:color w:val="auto"/>
              </w:rPr>
              <w:t>Capitalized financing costs</w:t>
            </w:r>
          </w:p>
        </w:tc>
        <w:tc>
          <w:tcPr>
            <w:tcW w:w="166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8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(554)</w:t>
            </w:r>
          </w:p>
        </w:tc>
        <w:tc>
          <w:tcPr>
            <w:tcW w:w="260" w:type="dxa"/>
            <w:vAlign w:val="bottom"/>
          </w:tcPr>
          <w:p>
            <w:pPr>
              <w:spacing w:after="0"/>
              <w:rPr>
                <w:sz w:val="20"/>
                <w:szCs w:val="20"/>
                <w:color w:val="auto"/>
              </w:rPr>
            </w:pPr>
          </w:p>
        </w:tc>
        <w:tc>
          <w:tcPr>
            <w:tcW w:w="17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(572)</w:t>
            </w:r>
          </w:p>
        </w:tc>
      </w:tr>
      <w:tr>
        <w:trPr>
          <w:trHeight w:val="223"/>
        </w:trPr>
        <w:tc>
          <w:tcPr>
            <w:tcW w:w="532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1660" w:type="dxa"/>
            <w:vAlign w:val="bottom"/>
            <w:tcBorders>
              <w:top w:val="single" w:sz="8" w:color="CCEEFF"/>
              <w:bottom w:val="single" w:sz="8" w:color="CCEEFF"/>
            </w:tcBorders>
            <w:shd w:val="clear" w:color="auto" w:fill="CCEEFF"/>
          </w:tcPr>
          <w:p>
            <w:pPr>
              <w:spacing w:after="0"/>
              <w:rPr>
                <w:sz w:val="19"/>
                <w:szCs w:val="19"/>
                <w:color w:val="auto"/>
              </w:rPr>
            </w:pPr>
          </w:p>
        </w:tc>
        <w:tc>
          <w:tcPr>
            <w:tcW w:w="1400" w:type="dxa"/>
            <w:vAlign w:val="bottom"/>
            <w:tcBorders>
              <w:top w:val="single" w:sz="8" w:color="auto"/>
              <w:bottom w:val="single" w:sz="8" w:color="auto"/>
            </w:tcBorders>
            <w:shd w:val="clear" w:color="auto" w:fill="CCEEFF"/>
          </w:tcPr>
          <w:p>
            <w:pPr>
              <w:jc w:val="right"/>
              <w:ind w:right="1210"/>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18,192</w:t>
            </w:r>
          </w:p>
        </w:tc>
        <w:tc>
          <w:tcPr>
            <w:tcW w:w="320" w:type="dxa"/>
            <w:vAlign w:val="bottom"/>
            <w:tcBorders>
              <w:top w:val="single" w:sz="8" w:color="CCEEFF"/>
              <w:bottom w:val="single" w:sz="8" w:color="CCEEFF"/>
            </w:tcBorders>
            <w:shd w:val="clear" w:color="auto" w:fill="CCEEFF"/>
          </w:tcPr>
          <w:p>
            <w:pPr>
              <w:spacing w:after="0"/>
              <w:rPr>
                <w:sz w:val="19"/>
                <w:szCs w:val="19"/>
                <w:color w:val="auto"/>
              </w:rPr>
            </w:pPr>
          </w:p>
        </w:tc>
        <w:tc>
          <w:tcPr>
            <w:tcW w:w="26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17,611</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bl>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Secured Convertible Notes</w:t>
      </w:r>
    </w:p>
    <w:p>
      <w:pPr>
        <w:spacing w:after="0" w:line="227" w:lineRule="exact"/>
        <w:rPr>
          <w:sz w:val="20"/>
          <w:szCs w:val="20"/>
          <w:color w:val="auto"/>
        </w:rPr>
      </w:pPr>
    </w:p>
    <w:p>
      <w:pPr>
        <w:jc w:val="both"/>
        <w:ind w:left="660" w:hanging="328"/>
        <w:spacing w:after="0" w:line="253" w:lineRule="auto"/>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May 2022, the Company issued $11,250 of convertible notes payable (the “Original Notes”) to entities affiliated with Whitebox Advisors, LLC (collectively, “Whitebox”). The Original Notes bear interest at 10% per annum (with 5% per annum payable in cash and 5% per annum payable in kind (“PIK”) by adding such PIK interest to the principal amount of the notes), are secured by substantially all of the Company’s assets (including all of its intellectual property) and are subject to a collateral sharing agreement with Alterna Capital (ACS), the Company’s existing secured lender. The Original Notes mature the earlier of March 31, 2025 or the scheduled maturity of any unsecured indebtedness incurred by the Company that is junior in right of payment to Note obligations. The Original Notes together with the Option Notes are collectively referred to as the “Notes”. Upon conversion or early payment, holders of the Notes are entitled to receive an interest make-whole payment, as defined, equal to the sum of the remaining scheduled payments of interest on the Notes that would be due at maturity, payable, at the Company’s option, in cash or in shares of common stock. Effective August 11, 2022, the Notes were amended to add a 10% fee for the amount that the Company’s line of credit with ACS exceeds $6,000, as defined (the “Excess ABL Amount”). Effective June 30, 2023, the Excess ABL Amount was amended to $7,500. At March 31,2024 and December 31, 2023, the principal balance of the Original Notes was $10,250.</w:t>
      </w:r>
    </w:p>
    <w:p>
      <w:pPr>
        <w:spacing w:after="0" w:line="191" w:lineRule="exact"/>
        <w:rPr>
          <w:rFonts w:ascii="Times New Roman" w:cs="Times New Roman" w:eastAsia="Times New Roman" w:hAnsi="Times New Roman"/>
          <w:sz w:val="18"/>
          <w:szCs w:val="18"/>
          <w:color w:val="auto"/>
        </w:rPr>
      </w:pPr>
    </w:p>
    <w:p>
      <w:pPr>
        <w:jc w:val="both"/>
        <w:ind w:left="660"/>
        <w:spacing w:after="0" w:line="258"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Original Notes have an amortization feature which requires the Company to make monthly payments of principal of $200 plus accrued interest, payable in cash or in shares of the Company’s common stock at the option of the Company, based on 90% of the average prices of the Company’s common stock, as defined During 2023, Whitebox waived the requirement for the Company to pay the December 2022 to October 2023 monthly amortization payments on the Original Notes. The November 2023 amortization payment of $200 principal was paid, and the amortization payment for December 2023 to May 2024 was waived. The parties agreed that amortization period shall resume on June 1, 2024.</w:t>
      </w:r>
    </w:p>
    <w:p>
      <w:pPr>
        <w:sectPr>
          <w:pgSz w:w="11900" w:h="16838" w:orient="portrait"/>
          <w:cols w:equalWidth="0" w:num="1">
            <w:col w:w="11240"/>
          </w:cols>
          <w:pgMar w:left="320" w:top="688" w:right="339" w:bottom="0" w:gutter="0" w:footer="0" w:header="0"/>
        </w:sectPr>
      </w:pPr>
    </w:p>
    <w:bookmarkStart w:id="12" w:name="page13"/>
    <w:bookmarkEnd w:id="12"/>
    <w:p>
      <w:pPr>
        <w:jc w:val="both"/>
        <w:spacing w:after="0" w:line="261" w:lineRule="auto"/>
        <w:rPr>
          <w:sz w:val="20"/>
          <w:szCs w:val="20"/>
          <w:color w:val="auto"/>
        </w:rPr>
      </w:pPr>
      <w:r>
        <w:rPr>
          <w:rFonts w:ascii="Times New Roman" w:cs="Times New Roman" w:eastAsia="Times New Roman" w:hAnsi="Times New Roman"/>
          <w:sz w:val="18"/>
          <w:szCs w:val="18"/>
          <w:color w:val="auto"/>
        </w:rPr>
        <w:t>The terms of the Original Notes contained conversion terms that are expected to be amended, subject to satisfaction of certain conditions. Under the revised terms, the conversion price of the Original Notes will be between 125% and 145% of the effective price of the company’s subsequent equity offering, with the premium set based on the aggregate gross proceeds realized by the company in the offering and the conversion price subject to a cap of $7.50 per share.</w:t>
      </w:r>
    </w:p>
    <w:p>
      <w:pPr>
        <w:spacing w:after="0" w:line="18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addition on February 12, 2024, subject to the satisfaction of certain conditions, the parties agreed that a portion of the outstanding ABL accrued fees will be satisfied through payment of $132 in cash and the issuance of shares of the Company’s common stock (up to the beneficial ownership limitation applicable to each holder) at a value per share equal to the lesser of $1.50 or the per share price of securities issued in the Company’s subsequent equity offering. The remaining balance of any outstanding accrued ABL fees will be added to the principal amount of the Notes. The $132 has not been paid nor any shares issued as of the date of these financial statements.</w:t>
      </w:r>
    </w:p>
    <w:p>
      <w:pPr>
        <w:spacing w:after="0" w:line="183" w:lineRule="exact"/>
        <w:rPr>
          <w:sz w:val="20"/>
          <w:szCs w:val="20"/>
          <w:color w:val="auto"/>
        </w:rPr>
      </w:pPr>
    </w:p>
    <w:p>
      <w:pPr>
        <w:ind w:left="4840"/>
        <w:spacing w:after="0"/>
        <w:rPr>
          <w:sz w:val="20"/>
          <w:szCs w:val="20"/>
          <w:color w:val="auto"/>
        </w:rPr>
      </w:pPr>
      <w:r>
        <w:rPr>
          <w:rFonts w:ascii="Times New Roman" w:cs="Times New Roman" w:eastAsia="Times New Roman" w:hAnsi="Times New Roman"/>
          <w:sz w:val="18"/>
          <w:szCs w:val="18"/>
          <w:color w:val="auto"/>
        </w:rPr>
        <w:t>F-9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17145</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0"/>
          </w:cols>
          <w:pgMar w:left="980" w:top="121" w:right="339" w:bottom="1440" w:gutter="0" w:footer="0" w:header="0"/>
        </w:sectPr>
      </w:pPr>
    </w:p>
    <w:bookmarkStart w:id="13" w:name="page14"/>
    <w:bookmarkEnd w:id="13"/>
    <w:p>
      <w:pPr>
        <w:jc w:val="both"/>
        <w:ind w:left="660" w:hanging="328"/>
        <w:spacing w:after="0" w:line="253" w:lineRule="auto"/>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February 2023 and May 2023, the Company issued an aggregate of $4,050 of additional Option Notes to Whitebox that substantially have the same terms as the Original Notes, except the Option Notes issued in 2023 do not require any amortization payments, initially were to bear interest at 10% payable in cash, and were initially due four months after issuance. On February 12, 2024, the parties agreed to change the terms so that the Option Notes shall bear interest at a rate of 10% per annum, with 5% per annum payable in cash and 5% per annum payable (“in kind” by adding such PIK interest to the unpaid principal amount. In addition, the parties agreed, subject to certain outstanding conditions, to amend the maturity date to the earlier of March 31, 2025 or the scheduled maturity of any unsecured indebtedness incurred by the Company that is junior in right of payment to Note obligations. Once they are amended, the Company shall have the right at any time prior to the date that is the 180th day from the effective date to prepay the amended and restated Option Notes, in whole or in part, at a price equal to 102% of the principal amount plus all accrued and unpaid interest thereon to the date of prepayment. At March 31, 2024 and December 31, 2023, the principal balance of the Option Notes was $4,050.</w:t>
      </w:r>
    </w:p>
    <w:p>
      <w:pPr>
        <w:spacing w:after="0" w:line="126" w:lineRule="exact"/>
        <w:rPr>
          <w:rFonts w:ascii="Times New Roman" w:cs="Times New Roman" w:eastAsia="Times New Roman" w:hAnsi="Times New Roman"/>
          <w:sz w:val="18"/>
          <w:szCs w:val="18"/>
          <w:color w:val="auto"/>
        </w:rPr>
      </w:pPr>
    </w:p>
    <w:p>
      <w:pPr>
        <w:jc w:val="both"/>
        <w:ind w:left="660"/>
        <w:spacing w:after="0" w:line="26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terms of the Original Notes contained conversion terms that are expected to be amended , subject to the satisfaction of certain conditions by the Company. Under the revised terms, the conversion price of the Option Notes will be 120% of the arithmetic average of the Daily VWAP for the five (5) VWAP Trading Days beginning on, and including, the VWAP Trading Day immediately following the consummation of an equity offering undertaken for purposes of satisfying the terms and conditions of the Waiver and Amendment</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Waiver of Default</w:t>
      </w:r>
    </w:p>
    <w:p>
      <w:pPr>
        <w:spacing w:after="0" w:line="22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On February 12, 2024, the Company entered into a Limited Waiver, Deferral, and Amendment and Restatement Agreement (the “Waiver and Amendment”) with each holder (each an entity affiliated with Whitebox Advisors, LLC) of the Original and Option Notes payable to Whitebox (the “Notes”). Subject to the Waiver and Amendment, the holders agreed to temporarily waive certain events of default under the Notes, including the failure to pay Excess ABL Amounts and the failure to pay amortization payments due December 1, 2023 to April 30, 2024. Subject to satisfaction of certain conditions by March 31, 2024, the parties further agreed to amend and restate the Notes, to extend the maturity date of the Option Notes originally due November 28, 2023, to March 31, 2025 and to equitize certain interest and fees owing on the Notes.</w:t>
      </w:r>
    </w:p>
    <w:p>
      <w:pPr>
        <w:spacing w:after="0" w:line="18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conversion rate under the amended and restated notes is to be based on the pricing and size of the Company’s proposed equity financing of a minimum of $3 million (which will include conversion of approximately $4.1 million of previously funded SAFE investments into equity of the Company). Delays related to the Company’s evaluation of long term financing options have delayed the proposed financing. On April 1, 2024 the parties executed the Amended Limited Waiver, Deferral, and Amendment and Restatement Agreement (“Amended Waiver”). Subject to certain terms and conditions set forth in the Amended Waiver, the holders temporarily waived certain specified events of default under the Notes to April 30, 2024 and extended the waiver of monthly amortization payments to April 30, 2024. In addition, Reed’s remitted a partial interest payment of $100 to the holders.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Accrued Interest</w:t>
      </w:r>
    </w:p>
    <w:p>
      <w:pPr>
        <w:spacing w:after="0" w:line="22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At December 31, 2023, the balance of accrued interest was $3,883. During the period ended March 31, 2024, the Company recorded interest of $563, made up of $398 of interest on the convertible notes, and $165 related to the excess ABL fees. At March 31, 2024, the balance of accrued interest was $4,446.</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Debt Discount</w:t>
      </w:r>
    </w:p>
    <w:p>
      <w:pPr>
        <w:spacing w:after="0" w:line="22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At December 31, 2023, the unamortized debt discount was $572. During the period ended March 31, 2024, the Company incurred $86 of costs for the aforementioned waivers. These costs have been capitalized and are being amortized over the term of the convertible notes or waiver period. For the three months ended March 31, 2024, amortization of debt discount was $104, and as of March 31, 2024, the remaining unamortized debt discount balance is $554.</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b w:val="1"/>
          <w:bCs w:val="1"/>
          <w:color w:val="auto"/>
        </w:rPr>
        <w:t>7. Leases Liabilities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During the three months ended March 31, 2024 and 2023, lease costs totaled $39 and $32, respectively.</w:t>
      </w:r>
    </w:p>
    <w:p>
      <w:pPr>
        <w:spacing w:after="0" w:line="225"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As of December 31, 2023, operating lease liabilities totaled $207. During the three months ended March 31, 2024, the Company made payments of $52 towards its operating lease liability. As of March 31, 2024, operating lease liabilities totaled $155.</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As of March 31, 2024, the weighted average remaining lease terms for an operating lease are 0.75 years. As of March 31, 2024, the weighted average discount rate on the operating lease is 12.60%.</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8. Simple Agreements for Future Equity (“SAFE”) Investments</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During the first quarter of 2024, the Company received $4.1 million in gross proceeds from three significant stockholders of the Company, D&amp;D Source of Life Holding LTD (“D&amp;D”) and Union Square Park Partners LP, and John J. Bello, the Company’s Chairman, pursuant to Simple Agreements for Future Equity (“SAFE”) agreements. The SAFE investments will convert into the next equity financing of Reed’s on the same terms and conditions as investors in Reed’s next equity financing at the lesser of $1.50 per share or the per share price in the financing. Until such time as the SAFE investments convert to equity the approximately $4.1 million received is recorded as a liability. D&amp;D was given the right to designate a second independent director nominee to the board of directors of Reed’s and the company agreed to limit the size of its board of directors to nine (9) for so long as D&amp;D owns 25% or more of the equity securities of the Company.</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9. Stock-Based Compensation</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Stock Options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stock option activity during the three months ended March 31, 2024:</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28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76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9"/>
              </w:rPr>
              <w:t>Weighted-</w:t>
            </w:r>
          </w:p>
        </w:tc>
        <w:tc>
          <w:tcPr>
            <w:tcW w:w="2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28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76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9"/>
              </w:rPr>
              <w:t>Average</w:t>
            </w:r>
          </w:p>
        </w:tc>
        <w:tc>
          <w:tcPr>
            <w:tcW w:w="2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28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76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9"/>
              </w:rPr>
              <w:t>Remaining</w:t>
            </w:r>
          </w:p>
        </w:tc>
        <w:tc>
          <w:tcPr>
            <w:tcW w:w="2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28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60" w:type="dxa"/>
            <w:vAlign w:val="bottom"/>
            <w:gridSpan w:val="2"/>
          </w:tcPr>
          <w:p>
            <w:pPr>
              <w:jc w:val="center"/>
              <w:ind w:right="480"/>
              <w:spacing w:after="0"/>
              <w:rPr>
                <w:sz w:val="20"/>
                <w:szCs w:val="20"/>
                <w:color w:val="auto"/>
              </w:rPr>
            </w:pPr>
            <w:r>
              <w:rPr>
                <w:rFonts w:ascii="Times New Roman" w:cs="Times New Roman" w:eastAsia="Times New Roman" w:hAnsi="Times New Roman"/>
                <w:sz w:val="18"/>
                <w:szCs w:val="18"/>
                <w:b w:val="1"/>
                <w:bCs w:val="1"/>
                <w:color w:val="auto"/>
                <w:w w:val="97"/>
              </w:rPr>
              <w:t>Weighted-</w:t>
            </w:r>
          </w:p>
        </w:tc>
        <w:tc>
          <w:tcPr>
            <w:tcW w:w="176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8"/>
              </w:rPr>
              <w:t>Contractual</w:t>
            </w:r>
          </w:p>
        </w:tc>
        <w:tc>
          <w:tcPr>
            <w:tcW w:w="200" w:type="dxa"/>
            <w:vAlign w:val="bottom"/>
          </w:tcPr>
          <w:p>
            <w:pPr>
              <w:spacing w:after="0"/>
              <w:rPr>
                <w:sz w:val="18"/>
                <w:szCs w:val="18"/>
                <w:color w:val="auto"/>
              </w:rPr>
            </w:pPr>
          </w:p>
        </w:tc>
        <w:tc>
          <w:tcPr>
            <w:tcW w:w="136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8"/>
              </w:rPr>
              <w:t>Aggregate</w:t>
            </w:r>
          </w:p>
        </w:tc>
      </w:tr>
      <w:tr>
        <w:trPr>
          <w:trHeight w:val="216"/>
        </w:trPr>
        <w:tc>
          <w:tcPr>
            <w:tcW w:w="428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60" w:type="dxa"/>
            <w:vAlign w:val="bottom"/>
            <w:gridSpan w:val="2"/>
          </w:tcPr>
          <w:p>
            <w:pPr>
              <w:jc w:val="center"/>
              <w:ind w:right="520"/>
              <w:spacing w:after="0"/>
              <w:rPr>
                <w:sz w:val="20"/>
                <w:szCs w:val="20"/>
                <w:color w:val="auto"/>
              </w:rPr>
            </w:pPr>
            <w:r>
              <w:rPr>
                <w:rFonts w:ascii="Times New Roman" w:cs="Times New Roman" w:eastAsia="Times New Roman" w:hAnsi="Times New Roman"/>
                <w:sz w:val="18"/>
                <w:szCs w:val="18"/>
                <w:b w:val="1"/>
                <w:bCs w:val="1"/>
                <w:color w:val="auto"/>
                <w:w w:val="96"/>
              </w:rPr>
              <w:t>Average</w:t>
            </w:r>
          </w:p>
        </w:tc>
        <w:tc>
          <w:tcPr>
            <w:tcW w:w="176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5"/>
              </w:rPr>
              <w:t>Terms</w:t>
            </w:r>
          </w:p>
        </w:tc>
        <w:tc>
          <w:tcPr>
            <w:tcW w:w="200" w:type="dxa"/>
            <w:vAlign w:val="bottom"/>
          </w:tcPr>
          <w:p>
            <w:pPr>
              <w:spacing w:after="0"/>
              <w:rPr>
                <w:sz w:val="18"/>
                <w:szCs w:val="18"/>
                <w:color w:val="auto"/>
              </w:rPr>
            </w:pPr>
          </w:p>
        </w:tc>
        <w:tc>
          <w:tcPr>
            <w:tcW w:w="136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9"/>
              </w:rPr>
              <w:t>Intrinsic</w:t>
            </w:r>
          </w:p>
        </w:tc>
      </w:tr>
      <w:tr>
        <w:trPr>
          <w:trHeight w:val="245"/>
        </w:trPr>
        <w:tc>
          <w:tcPr>
            <w:tcW w:w="4280" w:type="dxa"/>
            <w:vAlign w:val="bottom"/>
          </w:tcPr>
          <w:p>
            <w:pPr>
              <w:spacing w:after="0"/>
              <w:rPr>
                <w:sz w:val="21"/>
                <w:szCs w:val="21"/>
                <w:color w:val="auto"/>
              </w:rPr>
            </w:pPr>
          </w:p>
        </w:tc>
        <w:tc>
          <w:tcPr>
            <w:tcW w:w="1820" w:type="dxa"/>
            <w:vAlign w:val="bottom"/>
            <w:gridSpan w:val="2"/>
          </w:tcPr>
          <w:p>
            <w:pPr>
              <w:jc w:val="right"/>
              <w:ind w:right="820"/>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160" w:type="dxa"/>
            <w:vAlign w:val="bottom"/>
          </w:tcPr>
          <w:p>
            <w:pPr>
              <w:spacing w:after="0"/>
              <w:rPr>
                <w:sz w:val="21"/>
                <w:szCs w:val="21"/>
                <w:color w:val="auto"/>
              </w:rPr>
            </w:pPr>
          </w:p>
        </w:tc>
        <w:tc>
          <w:tcPr>
            <w:tcW w:w="1660" w:type="dxa"/>
            <w:vAlign w:val="bottom"/>
            <w:gridSpan w:val="2"/>
          </w:tcPr>
          <w:p>
            <w:pPr>
              <w:jc w:val="center"/>
              <w:ind w:right="480"/>
              <w:spacing w:after="0"/>
              <w:rPr>
                <w:sz w:val="20"/>
                <w:szCs w:val="20"/>
                <w:color w:val="auto"/>
              </w:rPr>
            </w:pPr>
            <w:r>
              <w:rPr>
                <w:rFonts w:ascii="Times New Roman" w:cs="Times New Roman" w:eastAsia="Times New Roman" w:hAnsi="Times New Roman"/>
                <w:sz w:val="18"/>
                <w:szCs w:val="18"/>
                <w:b w:val="1"/>
                <w:bCs w:val="1"/>
                <w:color w:val="auto"/>
              </w:rPr>
              <w:t>Exercise Price</w:t>
            </w:r>
          </w:p>
        </w:tc>
        <w:tc>
          <w:tcPr>
            <w:tcW w:w="176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8"/>
              </w:rPr>
              <w:t>(Years)</w:t>
            </w:r>
          </w:p>
        </w:tc>
        <w:tc>
          <w:tcPr>
            <w:tcW w:w="200" w:type="dxa"/>
            <w:vAlign w:val="bottom"/>
          </w:tcPr>
          <w:p>
            <w:pPr>
              <w:spacing w:after="0"/>
              <w:rPr>
                <w:sz w:val="21"/>
                <w:szCs w:val="21"/>
                <w:color w:val="auto"/>
              </w:rPr>
            </w:pPr>
          </w:p>
        </w:tc>
        <w:tc>
          <w:tcPr>
            <w:tcW w:w="136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3"/>
              </w:rPr>
              <w:t>Value</w:t>
            </w:r>
          </w:p>
        </w:tc>
      </w:tr>
      <w:tr>
        <w:trPr>
          <w:trHeight w:val="216"/>
        </w:trPr>
        <w:tc>
          <w:tcPr>
            <w:tcW w:w="42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Outstanding at December 31, 2023</w:t>
            </w:r>
          </w:p>
        </w:tc>
        <w:tc>
          <w:tcPr>
            <w:tcW w:w="1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145,012</w:t>
            </w:r>
          </w:p>
        </w:tc>
        <w:tc>
          <w:tcPr>
            <w:tcW w:w="3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45.09</w:t>
            </w:r>
          </w:p>
        </w:tc>
        <w:tc>
          <w:tcPr>
            <w:tcW w:w="340" w:type="dxa"/>
            <w:vAlign w:val="bottom"/>
            <w:tcBorders>
              <w:top w:val="single" w:sz="8" w:color="CCEEFF"/>
            </w:tcBorders>
            <w:shd w:val="clear" w:color="auto" w:fill="CCEEFF"/>
          </w:tcPr>
          <w:p>
            <w:pPr>
              <w:spacing w:after="0"/>
              <w:rPr>
                <w:sz w:val="18"/>
                <w:szCs w:val="18"/>
                <w:color w:val="auto"/>
              </w:rPr>
            </w:pPr>
          </w:p>
        </w:tc>
        <w:tc>
          <w:tcPr>
            <w:tcW w:w="14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6.75</w:t>
            </w:r>
          </w:p>
        </w:tc>
        <w:tc>
          <w:tcPr>
            <w:tcW w:w="3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4280" w:type="dxa"/>
            <w:vAlign w:val="bottom"/>
          </w:tcPr>
          <w:p>
            <w:pPr>
              <w:spacing w:after="0"/>
              <w:rPr>
                <w:sz w:val="20"/>
                <w:szCs w:val="20"/>
                <w:color w:val="auto"/>
              </w:rPr>
            </w:pPr>
            <w:r>
              <w:rPr>
                <w:rFonts w:ascii="Times New Roman" w:cs="Times New Roman" w:eastAsia="Times New Roman" w:hAnsi="Times New Roman"/>
                <w:sz w:val="18"/>
                <w:szCs w:val="18"/>
                <w:color w:val="auto"/>
              </w:rPr>
              <w:t>Granted</w:t>
            </w:r>
          </w:p>
        </w:tc>
        <w:tc>
          <w:tcPr>
            <w:tcW w:w="182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6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Exercised</w:t>
            </w:r>
          </w:p>
        </w:tc>
        <w:tc>
          <w:tcPr>
            <w:tcW w:w="182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6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4280" w:type="dxa"/>
            <w:vAlign w:val="bottom"/>
          </w:tcPr>
          <w:p>
            <w:pPr>
              <w:spacing w:after="0"/>
              <w:rPr>
                <w:sz w:val="20"/>
                <w:szCs w:val="20"/>
                <w:color w:val="auto"/>
              </w:rPr>
            </w:pPr>
            <w:r>
              <w:rPr>
                <w:rFonts w:ascii="Times New Roman" w:cs="Times New Roman" w:eastAsia="Times New Roman" w:hAnsi="Times New Roman"/>
                <w:sz w:val="18"/>
                <w:szCs w:val="18"/>
                <w:color w:val="auto"/>
              </w:rPr>
              <w:t>Unvested forfeited</w:t>
            </w:r>
          </w:p>
        </w:tc>
        <w:tc>
          <w:tcPr>
            <w:tcW w:w="182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6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50"/>
        </w:trPr>
        <w:tc>
          <w:tcPr>
            <w:tcW w:w="4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Vested forfeited</w:t>
            </w:r>
          </w:p>
        </w:tc>
        <w:tc>
          <w:tcPr>
            <w:tcW w:w="182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(3,143)</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6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45.05</w:t>
            </w:r>
          </w:p>
        </w:tc>
        <w:tc>
          <w:tcPr>
            <w:tcW w:w="144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2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r>
      <w:tr>
        <w:trPr>
          <w:trHeight w:val="210"/>
        </w:trPr>
        <w:tc>
          <w:tcPr>
            <w:tcW w:w="4280" w:type="dxa"/>
            <w:vAlign w:val="bottom"/>
            <w:tcBorders>
              <w:top w:val="single" w:sz="8" w:color="CCEEFF"/>
              <w:bottom w:val="single" w:sz="8" w:color="CCEEFF"/>
            </w:tcBorders>
          </w:tcPr>
          <w:p>
            <w:pPr>
              <w:spacing w:after="0" w:line="203" w:lineRule="exact"/>
              <w:rPr>
                <w:sz w:val="20"/>
                <w:szCs w:val="20"/>
                <w:color w:val="auto"/>
              </w:rPr>
            </w:pPr>
            <w:r>
              <w:rPr>
                <w:rFonts w:ascii="Times New Roman" w:cs="Times New Roman" w:eastAsia="Times New Roman" w:hAnsi="Times New Roman"/>
                <w:sz w:val="18"/>
                <w:szCs w:val="18"/>
                <w:color w:val="auto"/>
              </w:rPr>
              <w:t>Outstanding at March 31, 2024</w:t>
            </w:r>
          </w:p>
        </w:tc>
        <w:tc>
          <w:tcPr>
            <w:tcW w:w="148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141,869</w:t>
            </w:r>
          </w:p>
        </w:tc>
        <w:tc>
          <w:tcPr>
            <w:tcW w:w="340" w:type="dxa"/>
            <w:vAlign w:val="bottom"/>
            <w:tcBorders>
              <w:top w:val="single" w:sz="8" w:color="CCEEFF"/>
              <w:bottom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44.03</w:t>
            </w:r>
          </w:p>
        </w:tc>
        <w:tc>
          <w:tcPr>
            <w:tcW w:w="340" w:type="dxa"/>
            <w:vAlign w:val="bottom"/>
            <w:tcBorders>
              <w:top w:val="single" w:sz="8" w:color="CCEEFF"/>
              <w:bottom w:val="single" w:sz="8" w:color="CCEEFF"/>
            </w:tcBorders>
          </w:tcPr>
          <w:p>
            <w:pPr>
              <w:spacing w:after="0"/>
              <w:rPr>
                <w:sz w:val="18"/>
                <w:szCs w:val="18"/>
                <w:color w:val="auto"/>
              </w:rPr>
            </w:pPr>
          </w:p>
        </w:tc>
        <w:tc>
          <w:tcPr>
            <w:tcW w:w="144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6.50</w:t>
            </w:r>
          </w:p>
        </w:tc>
        <w:tc>
          <w:tcPr>
            <w:tcW w:w="320" w:type="dxa"/>
            <w:vAlign w:val="bottom"/>
            <w:tcBorders>
              <w:top w:val="single" w:sz="8" w:color="CCEEFF"/>
              <w:bottom w:val="single" w:sz="8" w:color="CCEEFF"/>
            </w:tcBorders>
          </w:tcPr>
          <w:p>
            <w:pPr>
              <w:spacing w:after="0"/>
              <w:rPr>
                <w:sz w:val="18"/>
                <w:szCs w:val="18"/>
                <w:color w:val="auto"/>
              </w:rPr>
            </w:pPr>
          </w:p>
        </w:tc>
        <w:tc>
          <w:tcPr>
            <w:tcW w:w="200" w:type="dxa"/>
            <w:vAlign w:val="bottom"/>
            <w:tcBorders>
              <w:top w:val="single" w:sz="8" w:color="auto"/>
              <w:bottom w:val="single" w:sz="8" w:color="auto"/>
            </w:tcBorders>
          </w:tcPr>
          <w:p>
            <w:pPr>
              <w:jc w:val="right"/>
              <w:ind w:right="10"/>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bottom w:val="single" w:sz="8" w:color="CCEEFF"/>
            </w:tcBorders>
          </w:tcPr>
          <w:p>
            <w:pPr>
              <w:spacing w:after="0"/>
              <w:rPr>
                <w:sz w:val="18"/>
                <w:szCs w:val="18"/>
                <w:color w:val="auto"/>
              </w:rPr>
            </w:pPr>
          </w:p>
        </w:tc>
      </w:tr>
      <w:tr>
        <w:trPr>
          <w:trHeight w:val="230"/>
        </w:trPr>
        <w:tc>
          <w:tcPr>
            <w:tcW w:w="42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Exercisable at March 31, 2024</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111,583</w:t>
            </w:r>
          </w:p>
        </w:tc>
        <w:tc>
          <w:tcPr>
            <w:tcW w:w="34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51.09</w:t>
            </w:r>
          </w:p>
        </w:tc>
        <w:tc>
          <w:tcPr>
            <w:tcW w:w="340" w:type="dxa"/>
            <w:vAlign w:val="bottom"/>
            <w:tcBorders>
              <w:bottom w:val="single" w:sz="8" w:color="CCEEFF"/>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6.07</w:t>
            </w:r>
          </w:p>
        </w:tc>
        <w:tc>
          <w:tcPr>
            <w:tcW w:w="32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0"/>
        </w:trPr>
        <w:tc>
          <w:tcPr>
            <w:tcW w:w="428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During the three months ended March 31, 2024 and 2023, the Company recognized $129 and $229 of compensation expense relating to vested stock options. As of March 31, 2024, the aggregate amount of unvested compensation related to stock options was approximately $314 which will be recognized as an expense as the options vest in future periods through March 28, 2027.</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As of March 31, 2024, the outstanding and exercisable options have no intrinsic value. The aggregate intrinsic value was calculated as the difference between the closing market price as of March 31, 2024, which was $1.63, and the exercise price of the outstanding stock options.</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15" w:name="page16"/>
    <w:bookmarkEnd w:id="15"/>
    <w:tbl>
      <w:tblPr>
        <w:tblLayout w:type="fixed"/>
        <w:tblInd w:w="0" w:type="dxa"/>
        <w:tblCellMar>
          <w:top w:w="0" w:type="dxa"/>
          <w:left w:w="0" w:type="dxa"/>
          <w:bottom w:w="0" w:type="dxa"/>
          <w:right w:w="0" w:type="dxa"/>
        </w:tblCellMar>
      </w:tblPr>
      <w:tr>
        <w:trPr>
          <w:trHeight w:val="238"/>
        </w:trPr>
        <w:tc>
          <w:tcPr>
            <w:tcW w:w="45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10. Stock Warrants</w:t>
            </w:r>
          </w:p>
        </w:tc>
        <w:tc>
          <w:tcPr>
            <w:tcW w:w="13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432"/>
        </w:trPr>
        <w:tc>
          <w:tcPr>
            <w:tcW w:w="792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The Company’s warrant activity during the three months ended March 31, 2024 is as follows:</w:t>
            </w:r>
          </w:p>
        </w:tc>
        <w:tc>
          <w:tcPr>
            <w:tcW w:w="14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410"/>
        </w:trPr>
        <w:tc>
          <w:tcPr>
            <w:tcW w:w="45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76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9"/>
              </w:rPr>
              <w:t>Weighted-</w:t>
            </w: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216"/>
        </w:trPr>
        <w:tc>
          <w:tcPr>
            <w:tcW w:w="45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76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9"/>
              </w:rPr>
              <w:t>Average</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45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80" w:type="dxa"/>
            <w:vAlign w:val="bottom"/>
            <w:gridSpan w:val="2"/>
          </w:tcPr>
          <w:p>
            <w:pPr>
              <w:jc w:val="center"/>
              <w:ind w:right="420"/>
              <w:spacing w:after="0"/>
              <w:rPr>
                <w:sz w:val="20"/>
                <w:szCs w:val="20"/>
                <w:color w:val="auto"/>
              </w:rPr>
            </w:pPr>
            <w:r>
              <w:rPr>
                <w:rFonts w:ascii="Times New Roman" w:cs="Times New Roman" w:eastAsia="Times New Roman" w:hAnsi="Times New Roman"/>
                <w:sz w:val="18"/>
                <w:szCs w:val="18"/>
                <w:b w:val="1"/>
                <w:bCs w:val="1"/>
                <w:color w:val="auto"/>
                <w:w w:val="97"/>
              </w:rPr>
              <w:t>Weighted-</w:t>
            </w:r>
          </w:p>
        </w:tc>
        <w:tc>
          <w:tcPr>
            <w:tcW w:w="176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9"/>
              </w:rPr>
              <w:t>Remaining</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45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80" w:type="dxa"/>
            <w:vAlign w:val="bottom"/>
            <w:gridSpan w:val="2"/>
          </w:tcPr>
          <w:p>
            <w:pPr>
              <w:jc w:val="center"/>
              <w:ind w:right="420"/>
              <w:spacing w:after="0"/>
              <w:rPr>
                <w:sz w:val="20"/>
                <w:szCs w:val="20"/>
                <w:color w:val="auto"/>
              </w:rPr>
            </w:pPr>
            <w:r>
              <w:rPr>
                <w:rFonts w:ascii="Times New Roman" w:cs="Times New Roman" w:eastAsia="Times New Roman" w:hAnsi="Times New Roman"/>
                <w:sz w:val="18"/>
                <w:szCs w:val="18"/>
                <w:b w:val="1"/>
                <w:bCs w:val="1"/>
                <w:color w:val="auto"/>
                <w:w w:val="96"/>
              </w:rPr>
              <w:t>Average</w:t>
            </w:r>
          </w:p>
        </w:tc>
        <w:tc>
          <w:tcPr>
            <w:tcW w:w="176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8"/>
              </w:rPr>
              <w:t>Contractual</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40" w:type="dxa"/>
            <w:vAlign w:val="bottom"/>
            <w:gridSpan w:val="3"/>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8"/>
              </w:rPr>
              <w:t>Aggregate</w:t>
            </w:r>
          </w:p>
        </w:tc>
      </w:tr>
      <w:tr>
        <w:trPr>
          <w:trHeight w:val="216"/>
        </w:trPr>
        <w:tc>
          <w:tcPr>
            <w:tcW w:w="45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80" w:type="dxa"/>
            <w:vAlign w:val="bottom"/>
            <w:gridSpan w:val="2"/>
          </w:tcPr>
          <w:p>
            <w:pPr>
              <w:jc w:val="center"/>
              <w:ind w:right="420"/>
              <w:spacing w:after="0"/>
              <w:rPr>
                <w:sz w:val="20"/>
                <w:szCs w:val="20"/>
                <w:color w:val="auto"/>
              </w:rPr>
            </w:pPr>
            <w:r>
              <w:rPr>
                <w:rFonts w:ascii="Times New Roman" w:cs="Times New Roman" w:eastAsia="Times New Roman" w:hAnsi="Times New Roman"/>
                <w:sz w:val="18"/>
                <w:szCs w:val="18"/>
                <w:b w:val="1"/>
                <w:bCs w:val="1"/>
                <w:color w:val="auto"/>
              </w:rPr>
              <w:t>Exercise</w:t>
            </w:r>
          </w:p>
        </w:tc>
        <w:tc>
          <w:tcPr>
            <w:tcW w:w="176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5"/>
              </w:rPr>
              <w:t>Terms</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40" w:type="dxa"/>
            <w:vAlign w:val="bottom"/>
            <w:gridSpan w:val="3"/>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9"/>
              </w:rPr>
              <w:t>Intrinsic</w:t>
            </w:r>
          </w:p>
        </w:tc>
      </w:tr>
      <w:tr>
        <w:trPr>
          <w:trHeight w:val="245"/>
        </w:trPr>
        <w:tc>
          <w:tcPr>
            <w:tcW w:w="4520" w:type="dxa"/>
            <w:vAlign w:val="bottom"/>
          </w:tcPr>
          <w:p>
            <w:pPr>
              <w:spacing w:after="0"/>
              <w:rPr>
                <w:sz w:val="21"/>
                <w:szCs w:val="21"/>
                <w:color w:val="auto"/>
              </w:rPr>
            </w:pPr>
          </w:p>
        </w:tc>
        <w:tc>
          <w:tcPr>
            <w:tcW w:w="1540" w:type="dxa"/>
            <w:vAlign w:val="bottom"/>
            <w:gridSpan w:val="2"/>
          </w:tcPr>
          <w:p>
            <w:pPr>
              <w:jc w:val="right"/>
              <w:ind w:right="600"/>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1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80" w:type="dxa"/>
            <w:vAlign w:val="bottom"/>
            <w:gridSpan w:val="2"/>
          </w:tcPr>
          <w:p>
            <w:pPr>
              <w:jc w:val="center"/>
              <w:ind w:right="440"/>
              <w:spacing w:after="0"/>
              <w:rPr>
                <w:sz w:val="20"/>
                <w:szCs w:val="20"/>
                <w:color w:val="auto"/>
              </w:rPr>
            </w:pPr>
            <w:r>
              <w:rPr>
                <w:rFonts w:ascii="Times New Roman" w:cs="Times New Roman" w:eastAsia="Times New Roman" w:hAnsi="Times New Roman"/>
                <w:sz w:val="18"/>
                <w:szCs w:val="18"/>
                <w:b w:val="1"/>
                <w:bCs w:val="1"/>
                <w:color w:val="auto"/>
                <w:w w:val="99"/>
              </w:rPr>
              <w:t>Price</w:t>
            </w:r>
          </w:p>
        </w:tc>
        <w:tc>
          <w:tcPr>
            <w:tcW w:w="176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8"/>
              </w:rPr>
              <w:t>(Years)</w:t>
            </w: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40" w:type="dxa"/>
            <w:vAlign w:val="bottom"/>
            <w:gridSpan w:val="3"/>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3"/>
              </w:rPr>
              <w:t>Value</w:t>
            </w:r>
          </w:p>
        </w:tc>
      </w:tr>
      <w:tr>
        <w:trPr>
          <w:trHeight w:val="216"/>
        </w:trPr>
        <w:tc>
          <w:tcPr>
            <w:tcW w:w="4520" w:type="dxa"/>
            <w:vAlign w:val="bottom"/>
          </w:tcPr>
          <w:p>
            <w:pPr>
              <w:spacing w:after="0"/>
              <w:rPr>
                <w:sz w:val="18"/>
                <w:szCs w:val="18"/>
                <w:color w:val="auto"/>
              </w:rPr>
            </w:pPr>
          </w:p>
        </w:tc>
        <w:tc>
          <w:tcPr>
            <w:tcW w:w="136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440" w:type="dxa"/>
            <w:vAlign w:val="bottom"/>
            <w:tcBorders>
              <w:top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24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4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Outstanding at December 31, 2023</w:t>
            </w:r>
          </w:p>
        </w:tc>
        <w:tc>
          <w:tcPr>
            <w:tcW w:w="15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549,292</w:t>
            </w:r>
          </w:p>
        </w:tc>
        <w:tc>
          <w:tcPr>
            <w:tcW w:w="380" w:type="dxa"/>
            <w:vAlign w:val="bottom"/>
            <w:gridSpan w:val="2"/>
            <w:shd w:val="clear" w:color="auto" w:fill="CCEEFF"/>
          </w:tcPr>
          <w:p>
            <w:pPr>
              <w:jc w:val="right"/>
              <w:ind w:right="36"/>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8.77</w:t>
            </w:r>
          </w:p>
        </w:tc>
        <w:tc>
          <w:tcPr>
            <w:tcW w:w="17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2.84</w:t>
            </w:r>
          </w:p>
        </w:tc>
        <w:tc>
          <w:tcPr>
            <w:tcW w:w="220" w:type="dxa"/>
            <w:vAlign w:val="bottom"/>
            <w:gridSpan w:val="2"/>
            <w:shd w:val="clear" w:color="auto" w:fill="CCEEFF"/>
          </w:tcPr>
          <w:p>
            <w:pPr>
              <w:jc w:val="right"/>
              <w:ind w:right="36"/>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r>
      <w:tr>
        <w:trPr>
          <w:trHeight w:val="216"/>
        </w:trPr>
        <w:tc>
          <w:tcPr>
            <w:tcW w:w="4520" w:type="dxa"/>
            <w:vAlign w:val="bottom"/>
          </w:tcPr>
          <w:p>
            <w:pPr>
              <w:spacing w:after="0"/>
              <w:rPr>
                <w:sz w:val="20"/>
                <w:szCs w:val="20"/>
                <w:color w:val="auto"/>
              </w:rPr>
            </w:pPr>
            <w:r>
              <w:rPr>
                <w:rFonts w:ascii="Times New Roman" w:cs="Times New Roman" w:eastAsia="Times New Roman" w:hAnsi="Times New Roman"/>
                <w:sz w:val="18"/>
                <w:szCs w:val="18"/>
                <w:color w:val="auto"/>
              </w:rPr>
              <w:t>Granted</w:t>
            </w:r>
          </w:p>
        </w:tc>
        <w:tc>
          <w:tcPr>
            <w:tcW w:w="15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7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4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Exercised</w:t>
            </w:r>
          </w:p>
        </w:tc>
        <w:tc>
          <w:tcPr>
            <w:tcW w:w="15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7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37"/>
        </w:trPr>
        <w:tc>
          <w:tcPr>
            <w:tcW w:w="4520" w:type="dxa"/>
            <w:vAlign w:val="bottom"/>
          </w:tcPr>
          <w:p>
            <w:pPr>
              <w:spacing w:after="0"/>
              <w:rPr>
                <w:sz w:val="20"/>
                <w:szCs w:val="20"/>
                <w:color w:val="auto"/>
              </w:rPr>
            </w:pPr>
            <w:r>
              <w:rPr>
                <w:rFonts w:ascii="Times New Roman" w:cs="Times New Roman" w:eastAsia="Times New Roman" w:hAnsi="Times New Roman"/>
                <w:sz w:val="18"/>
                <w:szCs w:val="18"/>
                <w:color w:val="auto"/>
              </w:rPr>
              <w:t>Forfeited</w:t>
            </w:r>
          </w:p>
        </w:tc>
        <w:tc>
          <w:tcPr>
            <w:tcW w:w="15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7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236"/>
        </w:trPr>
        <w:tc>
          <w:tcPr>
            <w:tcW w:w="452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Outstanding at March 31, 2024</w:t>
            </w:r>
          </w:p>
        </w:tc>
        <w:tc>
          <w:tcPr>
            <w:tcW w:w="1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549,292</w:t>
            </w:r>
          </w:p>
        </w:tc>
        <w:tc>
          <w:tcPr>
            <w:tcW w:w="180" w:type="dxa"/>
            <w:vAlign w:val="bottom"/>
            <w:tcBorders>
              <w:top w:val="single" w:sz="8" w:color="CCEEFF"/>
              <w:bottom w:val="single" w:sz="8" w:color="CCEEFF"/>
            </w:tcBorders>
            <w:shd w:val="clear" w:color="auto" w:fill="CCEEFF"/>
          </w:tcPr>
          <w:p>
            <w:pPr>
              <w:spacing w:after="0"/>
              <w:rPr>
                <w:sz w:val="20"/>
                <w:szCs w:val="20"/>
                <w:color w:val="auto"/>
              </w:rPr>
            </w:pPr>
          </w:p>
        </w:tc>
        <w:tc>
          <w:tcPr>
            <w:tcW w:w="180" w:type="dxa"/>
            <w:vAlign w:val="bottom"/>
            <w:tcBorders>
              <w:top w:val="single" w:sz="8" w:color="CCEEFF"/>
              <w:bottom w:val="single" w:sz="8" w:color="CCEEFF"/>
            </w:tcBorders>
            <w:shd w:val="clear" w:color="auto" w:fill="CCEEFF"/>
          </w:tcPr>
          <w:p>
            <w:pPr>
              <w:spacing w:after="0"/>
              <w:rPr>
                <w:sz w:val="20"/>
                <w:szCs w:val="20"/>
                <w:color w:val="auto"/>
              </w:rPr>
            </w:pPr>
          </w:p>
        </w:tc>
        <w:tc>
          <w:tcPr>
            <w:tcW w:w="200" w:type="dxa"/>
            <w:vAlign w:val="bottom"/>
            <w:tcBorders>
              <w:top w:val="single" w:sz="8" w:color="auto"/>
              <w:bottom w:val="single" w:sz="8" w:color="auto"/>
            </w:tcBorders>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8.77</w:t>
            </w:r>
          </w:p>
        </w:tc>
        <w:tc>
          <w:tcPr>
            <w:tcW w:w="220" w:type="dxa"/>
            <w:vAlign w:val="bottom"/>
            <w:tcBorders>
              <w:top w:val="single" w:sz="8" w:color="CCEEFF"/>
              <w:bottom w:val="single" w:sz="8" w:color="CCEEFF"/>
            </w:tcBorders>
            <w:shd w:val="clear" w:color="auto" w:fill="CCEEFF"/>
          </w:tcPr>
          <w:p>
            <w:pPr>
              <w:spacing w:after="0"/>
              <w:rPr>
                <w:sz w:val="20"/>
                <w:szCs w:val="20"/>
                <w:color w:val="auto"/>
              </w:rPr>
            </w:pPr>
          </w:p>
        </w:tc>
        <w:tc>
          <w:tcPr>
            <w:tcW w:w="1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2.59</w:t>
            </w:r>
          </w:p>
        </w:tc>
        <w:tc>
          <w:tcPr>
            <w:tcW w:w="320" w:type="dxa"/>
            <w:vAlign w:val="bottom"/>
            <w:tcBorders>
              <w:top w:val="single" w:sz="8" w:color="CCEEFF"/>
              <w:bottom w:val="single" w:sz="8" w:color="CCEEFF"/>
            </w:tcBorders>
            <w:shd w:val="clear" w:color="auto" w:fill="CCEEFF"/>
          </w:tcPr>
          <w:p>
            <w:pPr>
              <w:spacing w:after="0"/>
              <w:rPr>
                <w:sz w:val="20"/>
                <w:szCs w:val="20"/>
                <w:color w:val="auto"/>
              </w:rPr>
            </w:pPr>
          </w:p>
        </w:tc>
        <w:tc>
          <w:tcPr>
            <w:tcW w:w="20" w:type="dxa"/>
            <w:vAlign w:val="bottom"/>
            <w:tcBorders>
              <w:top w:val="single" w:sz="8" w:color="CCEEFF"/>
              <w:bottom w:val="single" w:sz="8" w:color="CCEEFF"/>
            </w:tcBorders>
            <w:shd w:val="clear" w:color="auto" w:fill="CCEEFF"/>
          </w:tcPr>
          <w:p>
            <w:pPr>
              <w:spacing w:after="0"/>
              <w:rPr>
                <w:sz w:val="20"/>
                <w:szCs w:val="20"/>
                <w:color w:val="auto"/>
              </w:rPr>
            </w:pPr>
          </w:p>
        </w:tc>
        <w:tc>
          <w:tcPr>
            <w:tcW w:w="200" w:type="dxa"/>
            <w:vAlign w:val="bottom"/>
            <w:tcBorders>
              <w:top w:val="single" w:sz="8" w:color="auto"/>
              <w:bottom w:val="single" w:sz="8" w:color="auto"/>
            </w:tcBorders>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Borders>
              <w:top w:val="single" w:sz="8" w:color="CCEEFF"/>
              <w:bottom w:val="single" w:sz="8" w:color="CCEEFF"/>
            </w:tcBorders>
            <w:shd w:val="clear" w:color="auto" w:fill="CCEEFF"/>
          </w:tcPr>
          <w:p>
            <w:pPr>
              <w:spacing w:after="0"/>
              <w:rPr>
                <w:sz w:val="20"/>
                <w:szCs w:val="20"/>
                <w:color w:val="auto"/>
              </w:rPr>
            </w:pP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r>
      <w:tr>
        <w:trPr>
          <w:trHeight w:val="210"/>
        </w:trPr>
        <w:tc>
          <w:tcPr>
            <w:tcW w:w="4520" w:type="dxa"/>
            <w:vAlign w:val="bottom"/>
          </w:tcPr>
          <w:p>
            <w:pPr>
              <w:spacing w:after="0" w:line="203" w:lineRule="exact"/>
              <w:rPr>
                <w:sz w:val="20"/>
                <w:szCs w:val="20"/>
                <w:color w:val="auto"/>
              </w:rPr>
            </w:pPr>
            <w:r>
              <w:rPr>
                <w:rFonts w:ascii="Times New Roman" w:cs="Times New Roman" w:eastAsia="Times New Roman" w:hAnsi="Times New Roman"/>
                <w:sz w:val="18"/>
                <w:szCs w:val="18"/>
                <w:color w:val="auto"/>
              </w:rPr>
              <w:t>Exercisable at March 31, 2024</w:t>
            </w:r>
          </w:p>
        </w:tc>
        <w:tc>
          <w:tcPr>
            <w:tcW w:w="136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549,292</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Borders>
              <w:bottom w:val="single" w:sz="8" w:color="auto"/>
            </w:tcBorders>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26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8.77</w:t>
            </w:r>
          </w:p>
        </w:tc>
        <w:tc>
          <w:tcPr>
            <w:tcW w:w="220" w:type="dxa"/>
            <w:vAlign w:val="bottom"/>
          </w:tcPr>
          <w:p>
            <w:pPr>
              <w:spacing w:after="0"/>
              <w:rPr>
                <w:sz w:val="18"/>
                <w:szCs w:val="18"/>
                <w:color w:val="auto"/>
              </w:rPr>
            </w:pPr>
          </w:p>
        </w:tc>
        <w:tc>
          <w:tcPr>
            <w:tcW w:w="144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2.59</w:t>
            </w:r>
          </w:p>
        </w:tc>
        <w:tc>
          <w:tcPr>
            <w:tcW w:w="32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w:t>
            </w:r>
          </w:p>
        </w:tc>
        <w:tc>
          <w:tcPr>
            <w:tcW w:w="2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r>
    </w:tbl>
    <w:p>
      <w:pPr>
        <w:spacing w:after="0" w:line="19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of March 31, 2024, the outstanding and exercisable warrants have no aggregate intrinsic value. The aggregate intrinsic value was calculated as the difference between the closing market price as of March 31, 2024, which was $1.63, and the exercise price of the Company’s warrants to purchase common stock.</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11. Transactions with California Custom Beverage, LLC, former related party</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December 2018, the Company signed a co-packing agreement with California Custom Beverage, LLC’s (“CCB”), an entity owned by Christopher J. Reed, a former related party, pursuant to which CCB agreed to produce certain products for the Company for agreed fees. The co-packing agreement, as amended, includes certain provisions for product inputs, shrinkage, and quality assurance. Also beginning in 2019, CCB agreed to pay the Company a 5% royalty through 2021 on certain private label sales made by CCB.</w:t>
      </w:r>
    </w:p>
    <w:p>
      <w:pPr>
        <w:sectPr>
          <w:pgSz w:w="11900" w:h="16838" w:orient="portrait"/>
          <w:cols w:equalWidth="0" w:num="1">
            <w:col w:w="11240"/>
          </w:cols>
          <w:pgMar w:left="320" w:top="684" w:right="339" w:bottom="0" w:gutter="0" w:footer="0" w:header="0"/>
        </w:sectPr>
      </w:pP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 March 31, 2024 and 2023, accounts receivable due from and accounts payable due to CCB were as follows:</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Accounts receivable, net of provision of $1,123 and $1,123 at March 31, 2024 and December 31,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132320" cy="28257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282575"/>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respectively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Accounts payable</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Net (payable) receivable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132320" cy="17145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88"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6"/>
        </w:trPr>
        <w:tc>
          <w:tcPr>
            <w:tcW w:w="1460" w:type="dxa"/>
            <w:vAlign w:val="bottom"/>
          </w:tcPr>
          <w:p>
            <w:pPr>
              <w:jc w:val="right"/>
              <w:ind w:right="590"/>
              <w:spacing w:after="0"/>
              <w:rPr>
                <w:sz w:val="20"/>
                <w:szCs w:val="20"/>
                <w:color w:val="auto"/>
              </w:rPr>
            </w:pPr>
            <w:r>
              <w:rPr>
                <w:rFonts w:ascii="Times New Roman" w:cs="Times New Roman" w:eastAsia="Times New Roman" w:hAnsi="Times New Roman"/>
                <w:sz w:val="18"/>
                <w:szCs w:val="18"/>
                <w:b w:val="1"/>
                <w:bCs w:val="1"/>
                <w:color w:val="auto"/>
                <w:w w:val="96"/>
              </w:rPr>
              <w:t>March 31,</w:t>
            </w:r>
          </w:p>
        </w:tc>
        <w:tc>
          <w:tcPr>
            <w:tcW w:w="1520" w:type="dxa"/>
            <w:vAlign w:val="bottom"/>
            <w:gridSpan w:val="3"/>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45"/>
        </w:trPr>
        <w:tc>
          <w:tcPr>
            <w:tcW w:w="1460" w:type="dxa"/>
            <w:vAlign w:val="bottom"/>
          </w:tcPr>
          <w:p>
            <w:pPr>
              <w:jc w:val="right"/>
              <w:ind w:right="7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46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r>
      <w:tr>
        <w:trPr>
          <w:trHeight w:val="400"/>
        </w:trPr>
        <w:tc>
          <w:tcPr>
            <w:tcW w:w="146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264</w:t>
            </w:r>
          </w:p>
        </w:tc>
        <w:tc>
          <w:tcPr>
            <w:tcW w:w="152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259</w:t>
            </w:r>
          </w:p>
        </w:tc>
      </w:tr>
      <w:tr>
        <w:trPr>
          <w:trHeight w:val="255"/>
        </w:trPr>
        <w:tc>
          <w:tcPr>
            <w:tcW w:w="14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(331)</w:t>
            </w:r>
          </w:p>
        </w:tc>
        <w:tc>
          <w:tcPr>
            <w:tcW w:w="15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(259)</w:t>
            </w:r>
          </w:p>
        </w:tc>
      </w:tr>
      <w:tr>
        <w:trPr>
          <w:trHeight w:val="223"/>
        </w:trPr>
        <w:tc>
          <w:tcPr>
            <w:tcW w:w="14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(67)</w:t>
            </w:r>
          </w:p>
        </w:tc>
        <w:tc>
          <w:tcPr>
            <w:tcW w:w="1480" w:type="dxa"/>
            <w:vAlign w:val="bottom"/>
            <w:tcBorders>
              <w:top w:val="single" w:sz="8" w:color="auto"/>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9"/>
                <w:szCs w:val="19"/>
                <w:color w:val="auto"/>
              </w:rPr>
            </w:pPr>
          </w:p>
        </w:tc>
      </w:tr>
    </w:tbl>
    <w:p>
      <w:pPr>
        <w:spacing w:after="0" w:line="198" w:lineRule="exact"/>
        <w:rPr>
          <w:sz w:val="20"/>
          <w:szCs w:val="20"/>
          <w:color w:val="auto"/>
        </w:rPr>
      </w:pPr>
    </w:p>
    <w:p>
      <w:pPr>
        <w:sectPr>
          <w:pgSz w:w="11900" w:h="16838" w:orient="portrait"/>
          <w:cols w:equalWidth="0" w:num="2">
            <w:col w:w="8000" w:space="220"/>
            <w:col w:w="3020"/>
          </w:cols>
          <w:pgMar w:left="320" w:top="684" w:right="339" w:bottom="0" w:gutter="0" w:footer="0" w:header="0"/>
          <w:type w:val="continuous"/>
        </w:sect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addition, on April 19, 2023, the Company received a letter from CCB demanding payment of various amounts, including the $452] and $452 outstanding at March 31, 2024 and December 31, 2023, respectively. The Company has determined that the probability of realizing any loss on the demand from CCB is remote and therefore has not recorded any additional accruals related to the demand.</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12. Commitments and Contingencies</w:t>
      </w:r>
    </w:p>
    <w:p>
      <w:pPr>
        <w:spacing w:after="0" w:line="22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During 2023, the firm engaged an investment bank to explore financing options for the Company. We have a maximum obligation of $1.2M in fees so far in this engagement. These fees will be recognized on a success basis and will be paid out only if a transaction is finalized.</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2018, CCB assumed the monthly payments on our lease obligation for a Los Angeles manufacturing plant for payments through September 2024, and our release from the obligation by the lessor, however, is dependent upon CCB’s deposit of $1,200 of security with the lessor. As of March 31, 2024, $800 has been deposited with the lessor and Chris J. Reed has placed approximately 7,260 shares of the Company’s common stock valued at $12 that remain in escrow with the lessor.</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From time to time, we are a party to claims and legal proceedings arising in the ordinary course of business. Our management evaluates our exposure to these claims and proceedings individually and in the aggregate and provides for potential losses on such litigation if the amount of the loss is estimable and the loss is probable.</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believe that there are no material litigation matters at the current time. Although the result of such litigation matters and claims cannot be predicted with certainty, we believe that the final outcome of such claims and proceedings will not have a material adverse impact on our financial position, liquidity, or results of operations.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13. Subsequent Events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Secured Convertible Notes Payable</w:t>
      </w:r>
    </w:p>
    <w:p>
      <w:pPr>
        <w:spacing w:after="0" w:line="22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Company has not yet satisfied conditions required for issuance of the amended and restated Notes and equitization of certain interest and fees owing on the Notes. The conversion rate under the amended and restated Notes is to be based on the pricing and size of the Company’s proposed equity financing of a minimum of $3 million (which will include conversion of approximately $4.1 million of previously funded SAFE investments into equity of the Company). Delays related to the Company’s evaluation of long term financing options have delayed the proposed financing. On May 17, 2024, Reed’s entered into a Limited Waiver, Deferral, and Amendment and Restatement Agreement (the “Waiver and Amendment”) with each holder. The holders agreed to temporarily waive certain specified events of default and the payment of Excess ABL Fees through June 10, 2024. Further, the holders agreed to waive the payment of monthly amortization payments through June 30, 2024. Amortization payments are scheduled to resume on July 1, 2024. The Company further remitted $40 representing all interest (including default interest) to the holders and reimbursed the holders for certain fees and expenses.</w:t>
      </w:r>
    </w:p>
    <w:p>
      <w:pPr>
        <w:sectPr>
          <w:pgSz w:w="11900" w:h="16838" w:orient="portrait"/>
          <w:cols w:equalWidth="0" w:num="1">
            <w:col w:w="11240"/>
          </w:cols>
          <w:pgMar w:left="320" w:top="684" w:right="339" w:bottom="0" w:gutter="0" w:footer="0" w:header="0"/>
          <w:type w:val="continuous"/>
        </w:sectPr>
      </w:pPr>
    </w:p>
    <w:bookmarkStart w:id="16" w:name="page17"/>
    <w:bookmarkEnd w:id="16"/>
    <w:p>
      <w:pPr>
        <w:jc w:val="center"/>
        <w:spacing w:after="0"/>
        <w:rPr>
          <w:sz w:val="20"/>
          <w:szCs w:val="20"/>
          <w:color w:val="auto"/>
        </w:rPr>
      </w:pPr>
      <w:r>
        <w:rPr>
          <w:rFonts w:ascii="Times New Roman" w:cs="Times New Roman" w:eastAsia="Times New Roman" w:hAnsi="Times New Roman"/>
          <w:sz w:val="17"/>
          <w:szCs w:val="17"/>
          <w:color w:val="auto"/>
        </w:rPr>
        <w:t>F-12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24765</wp:posOffset>
            </wp:positionV>
            <wp:extent cx="71323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019"/>
          </w:cols>
          <w:pgMar w:left="1440" w:top="121" w:right="1440"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b w:val="1"/>
          <w:bCs w:val="1"/>
          <w:color w:val="auto"/>
        </w:rPr>
        <w:t>Item 2. Management’s Discussion and Analysis of Financial Condition and Results of Operations</w:t>
      </w:r>
    </w:p>
    <w:p>
      <w:pPr>
        <w:spacing w:after="0" w:line="22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i w:val="1"/>
          <w:iCs w:val="1"/>
          <w:color w:val="auto"/>
        </w:rPr>
        <w:t>Our discussion and analysis is intended to help the reader understand our results of operations and financial condition and is provided as an addition to, and should be read in connection with, our condensed financial statements and the accompanying notes. Cautionary statements on page [ii] of this report and in “Part I, Item 1A. Risk Factors” of our 2023 Form 10-K as updated by “Part II, Item 1A” of this report, should be considered when evaluating our trends and future results.</w:t>
      </w:r>
    </w:p>
    <w:p>
      <w:pPr>
        <w:spacing w:after="0" w:line="180"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i w:val="1"/>
          <w:iCs w:val="1"/>
          <w:color w:val="auto"/>
        </w:rPr>
        <w:t>In addition to our GAAP results, the following discussion includes Modified EBITDA as a supplemental measure of our performance. We present Modified EBITDA because we believe it assists investors and analysts in comparing our performance across reporting periods on a consistent basis by excluding items that we do not believe are indicative of our core operating performance. In addition, we use Modified EBITDA in developing our internal budgets, forecasts, and strategic plan; in analyzing the effectiveness of our business strategies in evaluating potential acquisitions; making compensation decisions; and in communications with our board of directors concerning our financial performance. Modified EBITDA is not a recognized measurement under GAAP and should not be considered as an alternative to net income, income from operations or any other performance measure derived in accordance with GAAP, or as an alternative to cash flow from operating activities as a measure of liquidity. We define Modified EBITDA as net income (loss), plus interest expense, depreciation and amortization, stock-based compensation, changes in fair value of warrant expense, and one-time restructuring-related costs including employee severance and asset impairment.</w:t>
      </w:r>
    </w:p>
    <w:p>
      <w:pPr>
        <w:spacing w:after="0" w:line="18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i w:val="1"/>
          <w:iCs w:val="1"/>
          <w:color w:val="auto"/>
        </w:rPr>
        <w:t>The following discussion also includes the use of gross billing, a key performance indicator and metric. Gross billing represents invoiced amounts to distributors and retailers, excluding sales adjustments. Gross billing may include deductions from MSRP or “list price”, where applicable, and excludes promotional costs of generating such sales. Management utilizes gross billing to monitor operating performance of products and salespersons, which performance can be masked by the effect of promotional or other allowances. Management believes that the presentation of gross billing provides a useful measure of Reed’s operating performance.</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Amounts presented in the discussion below are in thousands, except share and per share amounts.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During the three months ended March 31, 2024, the Company continued to strengthen its supply chain, implement gross margin enhancement initiatives, drive efficiencies in transportation and warehouse costs and reduce operating expenses. In addition, it continues to build its innovation pipeline with sustained growth in Reed’s Real Ginger Ale, Virgil’s Zero Sugar handcrafted sodas, Reed’s Classic and Stormy Mule, and Reed’s Hard Ginger Ale.</w:t>
      </w:r>
    </w:p>
    <w:p>
      <w:pPr>
        <w:spacing w:after="0" w:line="17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 remains focused on driving sales growth, improving gross margin, and reducing freight costs. The sales growth focus is on channel expansion, increase in store placements, new product introduction and improved sales execution. The margin enhancement initiative is driven by packaging savings, co-packer upgrades, and better leveraged purchasing and improved efficiency. Underpinning these initiatives is a focus on strategically reducing operating costs particularly delivery and handling expenses. In addition, the Company continues to augment its co-packer network to drive further efficiencies and build proper levels of inventory at the appropriate location to maximize delivery metrics.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Trends – Market Conditions</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Although the U.S. economy continued to grow throughout 2023 and into Q1 2024, the higher inflation, the actions by the Federal Reserve to address inflation, and rising energy prices create uncertainty about the future economic environment which will continue to evolve and may impact our business in future periods. We have experienced supply chain challenges, including increased lead times, as well as inflation of raw materials, logistics and labor costs due to availability constraints and high demand. Although we regularly monitor companies in our supply chain, and use alternative suppliers when necessary and available, supply chain constraints could cause a disruption in our ability to obtain raw materials required to manufacture our products and adversely affect our operations.</w:t>
      </w:r>
    </w:p>
    <w:p>
      <w:pPr>
        <w:spacing w:after="0" w:line="18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During the three months ended March 31, 2024, the Company experienced moderation from the elevated freight costs experienced in 2023. The average cost of shipping and handling for period March 31, 2024, was $3.01 per case, as compared to $3.46 per case for the period ended March 31, 2023. Although the Company has experienced decreases in freight costs over the last four quarters, in the Company’s opinion there remains a volatile environment and the Company will continue to monitor pricing and availability in transportation. Mitigation plans have been implemented to manage this risk. The Company has been negatively impacted by supply chain challenges affecting our ability to benefit from strong demand for, and increased sales of our product. The disruption caused by labor shortages, significant raw material cost inflation, logistics issues and increased freight costs, and ongoing port congestion, resulted in suppressed margins. The Company has experienced moderation in inflation and anticipates this to continue throughout 2024.</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18" w:name="page19"/>
    <w:bookmarkEnd w:id="18"/>
    <w:p>
      <w:pPr>
        <w:spacing w:after="0" w:line="282" w:lineRule="auto"/>
        <w:rPr>
          <w:sz w:val="20"/>
          <w:szCs w:val="20"/>
          <w:color w:val="auto"/>
        </w:rPr>
      </w:pPr>
      <w:r>
        <w:rPr>
          <w:rFonts w:ascii="Times New Roman" w:cs="Times New Roman" w:eastAsia="Times New Roman" w:hAnsi="Times New Roman"/>
          <w:sz w:val="18"/>
          <w:szCs w:val="18"/>
          <w:color w:val="auto"/>
        </w:rPr>
        <w:t>During the three months ended March 31, 2024, we continued to generate cash flows to meet our short-term liquidity needs, and we expected to maintain access to the capital markets.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 – Three Months Ended March 31, 2024, as compared to March 31, 2023</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sets forth key statistics for the three months ended March 31, 2024 and 2023, respectively, in thousands.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9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340" w:type="dxa"/>
            <w:vAlign w:val="bottom"/>
            <w:gridSpan w:val="5"/>
          </w:tcPr>
          <w:p>
            <w:pPr>
              <w:jc w:val="right"/>
              <w:ind w:right="122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144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45"/>
        </w:trPr>
        <w:tc>
          <w:tcPr>
            <w:tcW w:w="496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880" w:type="dxa"/>
            <w:vAlign w:val="bottom"/>
            <w:gridSpan w:val="3"/>
          </w:tcPr>
          <w:p>
            <w:pPr>
              <w:jc w:val="right"/>
              <w:ind w:right="76"/>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10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60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rPr>
              <w:t>Pct.</w:t>
            </w:r>
          </w:p>
        </w:tc>
      </w:tr>
      <w:tr>
        <w:trPr>
          <w:trHeight w:val="237"/>
        </w:trPr>
        <w:tc>
          <w:tcPr>
            <w:tcW w:w="4960" w:type="dxa"/>
            <w:vAlign w:val="bottom"/>
            <w:tcBorders>
              <w:bottom w:val="single" w:sz="8" w:color="CCEEFF"/>
            </w:tcBorders>
          </w:tcPr>
          <w:p>
            <w:pPr>
              <w:spacing w:after="0"/>
              <w:rPr>
                <w:sz w:val="20"/>
                <w:szCs w:val="20"/>
                <w:color w:val="auto"/>
              </w:rPr>
            </w:pPr>
          </w:p>
        </w:tc>
        <w:tc>
          <w:tcPr>
            <w:tcW w:w="1020" w:type="dxa"/>
            <w:vAlign w:val="bottom"/>
            <w:tcBorders>
              <w:bottom w:val="single" w:sz="8" w:color="CCEEFF"/>
            </w:tcBorders>
          </w:tcPr>
          <w:p>
            <w:pPr>
              <w:spacing w:after="0"/>
              <w:rPr>
                <w:sz w:val="20"/>
                <w:szCs w:val="20"/>
                <w:color w:val="auto"/>
              </w:rPr>
            </w:pPr>
          </w:p>
        </w:tc>
        <w:tc>
          <w:tcPr>
            <w:tcW w:w="320" w:type="dxa"/>
            <w:vAlign w:val="bottom"/>
            <w:tcBorders>
              <w:top w:val="single" w:sz="8" w:color="auto"/>
              <w:bottom w:val="single" w:sz="8" w:color="auto"/>
            </w:tcBorders>
          </w:tcPr>
          <w:p>
            <w:pPr>
              <w:spacing w:after="0"/>
              <w:rPr>
                <w:sz w:val="20"/>
                <w:szCs w:val="20"/>
                <w:color w:val="auto"/>
              </w:rPr>
            </w:pPr>
          </w:p>
        </w:tc>
        <w:tc>
          <w:tcPr>
            <w:tcW w:w="1140" w:type="dxa"/>
            <w:vAlign w:val="bottom"/>
            <w:tcBorders>
              <w:top w:val="single" w:sz="8" w:color="auto"/>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380" w:type="dxa"/>
            <w:vAlign w:val="bottom"/>
            <w:tcBorders>
              <w:top w:val="single" w:sz="8" w:color="auto"/>
              <w:bottom w:val="single" w:sz="8" w:color="CCEEFF"/>
            </w:tcBorders>
          </w:tcPr>
          <w:p>
            <w:pPr>
              <w:spacing w:after="0"/>
              <w:rPr>
                <w:sz w:val="20"/>
                <w:szCs w:val="20"/>
                <w:color w:val="auto"/>
              </w:rPr>
            </w:pPr>
          </w:p>
        </w:tc>
        <w:tc>
          <w:tcPr>
            <w:tcW w:w="360" w:type="dxa"/>
            <w:vAlign w:val="bottom"/>
            <w:tcBorders>
              <w:top w:val="single" w:sz="8" w:color="auto"/>
              <w:bottom w:val="single" w:sz="8" w:color="auto"/>
            </w:tcBorders>
          </w:tcPr>
          <w:p>
            <w:pPr>
              <w:spacing w:after="0"/>
              <w:rPr>
                <w:sz w:val="20"/>
                <w:szCs w:val="20"/>
                <w:color w:val="auto"/>
              </w:rPr>
            </w:pPr>
          </w:p>
        </w:tc>
        <w:tc>
          <w:tcPr>
            <w:tcW w:w="1080" w:type="dxa"/>
            <w:vAlign w:val="bottom"/>
            <w:tcBorders>
              <w:top w:val="single" w:sz="8" w:color="auto"/>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2023</w:t>
            </w:r>
          </w:p>
        </w:tc>
        <w:tc>
          <w:tcPr>
            <w:tcW w:w="380" w:type="dxa"/>
            <w:vAlign w:val="bottom"/>
            <w:tcBorders>
              <w:bottom w:val="single" w:sz="8" w:color="CCEEFF"/>
            </w:tcBorders>
          </w:tcPr>
          <w:p>
            <w:pPr>
              <w:spacing w:after="0"/>
              <w:rPr>
                <w:sz w:val="20"/>
                <w:szCs w:val="20"/>
                <w:color w:val="auto"/>
              </w:rPr>
            </w:pPr>
          </w:p>
        </w:tc>
        <w:tc>
          <w:tcPr>
            <w:tcW w:w="144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160" w:type="dxa"/>
            <w:vAlign w:val="bottom"/>
            <w:tcBorders>
              <w:bottom w:val="single" w:sz="8" w:color="CCEEFF"/>
            </w:tcBorders>
          </w:tcPr>
          <w:p>
            <w:pPr>
              <w:spacing w:after="0"/>
              <w:rPr>
                <w:sz w:val="20"/>
                <w:szCs w:val="20"/>
                <w:color w:val="auto"/>
              </w:rPr>
            </w:pPr>
          </w:p>
        </w:tc>
      </w:tr>
      <w:tr>
        <w:trPr>
          <w:trHeight w:val="216"/>
        </w:trPr>
        <w:tc>
          <w:tcPr>
            <w:tcW w:w="4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Gross billing (A)</w:t>
            </w:r>
          </w:p>
        </w:tc>
        <w:tc>
          <w:tcPr>
            <w:tcW w:w="102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10,379</w:t>
            </w:r>
          </w:p>
        </w:tc>
        <w:tc>
          <w:tcPr>
            <w:tcW w:w="38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196"/>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12,453</w:t>
            </w:r>
          </w:p>
        </w:tc>
        <w:tc>
          <w:tcPr>
            <w:tcW w:w="380" w:type="dxa"/>
            <w:vAlign w:val="bottom"/>
            <w:shd w:val="clear" w:color="auto" w:fill="CCEEFF"/>
          </w:tcPr>
          <w:p>
            <w:pPr>
              <w:spacing w:after="0"/>
              <w:rPr>
                <w:sz w:val="18"/>
                <w:szCs w:val="18"/>
                <w:color w:val="auto"/>
              </w:rPr>
            </w:pPr>
          </w:p>
        </w:tc>
        <w:tc>
          <w:tcPr>
            <w:tcW w:w="16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-17%</w:t>
            </w:r>
          </w:p>
        </w:tc>
      </w:tr>
      <w:tr>
        <w:trPr>
          <w:trHeight w:val="237"/>
        </w:trPr>
        <w:tc>
          <w:tcPr>
            <w:tcW w:w="4960" w:type="dxa"/>
            <w:vAlign w:val="bottom"/>
          </w:tcPr>
          <w:p>
            <w:pPr>
              <w:spacing w:after="0"/>
              <w:rPr>
                <w:sz w:val="20"/>
                <w:szCs w:val="20"/>
                <w:color w:val="auto"/>
              </w:rPr>
            </w:pPr>
            <w:r>
              <w:rPr>
                <w:rFonts w:ascii="Times New Roman" w:cs="Times New Roman" w:eastAsia="Times New Roman" w:hAnsi="Times New Roman"/>
                <w:sz w:val="18"/>
                <w:szCs w:val="18"/>
                <w:color w:val="auto"/>
              </w:rPr>
              <w:t>Less: Promotional and other allowances (B)</w:t>
            </w:r>
          </w:p>
        </w:tc>
        <w:tc>
          <w:tcPr>
            <w:tcW w:w="10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52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784</w:t>
            </w:r>
          </w:p>
        </w:tc>
        <w:tc>
          <w:tcPr>
            <w:tcW w:w="360" w:type="dxa"/>
            <w:vAlign w:val="bottom"/>
          </w:tcPr>
          <w:p>
            <w:pPr>
              <w:spacing w:after="0"/>
              <w:rPr>
                <w:sz w:val="20"/>
                <w:szCs w:val="20"/>
                <w:color w:val="auto"/>
              </w:rPr>
            </w:pPr>
          </w:p>
        </w:tc>
        <w:tc>
          <w:tcPr>
            <w:tcW w:w="146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1,296</w:t>
            </w:r>
          </w:p>
        </w:tc>
        <w:tc>
          <w:tcPr>
            <w:tcW w:w="16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-40%</w:t>
            </w:r>
          </w:p>
        </w:tc>
      </w:tr>
      <w:tr>
        <w:trPr>
          <w:trHeight w:val="223"/>
        </w:trPr>
        <w:tc>
          <w:tcPr>
            <w:tcW w:w="496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sales</w:t>
            </w:r>
          </w:p>
        </w:tc>
        <w:tc>
          <w:tcPr>
            <w:tcW w:w="1020" w:type="dxa"/>
            <w:vAlign w:val="bottom"/>
            <w:tcBorders>
              <w:top w:val="single" w:sz="8" w:color="CCEEFF"/>
              <w:bottom w:val="single" w:sz="8" w:color="CCEEFF"/>
            </w:tcBorders>
            <w:shd w:val="clear" w:color="auto" w:fill="CCEEFF"/>
          </w:tcPr>
          <w:p>
            <w:pPr>
              <w:spacing w:after="0"/>
              <w:rPr>
                <w:sz w:val="19"/>
                <w:szCs w:val="19"/>
                <w:color w:val="auto"/>
              </w:rPr>
            </w:pPr>
          </w:p>
        </w:tc>
        <w:tc>
          <w:tcPr>
            <w:tcW w:w="32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9,595</w:t>
            </w:r>
          </w:p>
        </w:tc>
        <w:tc>
          <w:tcPr>
            <w:tcW w:w="380" w:type="dxa"/>
            <w:vAlign w:val="bottom"/>
            <w:tcBorders>
              <w:top w:val="single" w:sz="8" w:color="CCEEFF"/>
              <w:bottom w:val="single" w:sz="8" w:color="CCEEFF"/>
            </w:tcBorders>
            <w:shd w:val="clear" w:color="auto" w:fill="CCEEFF"/>
          </w:tcPr>
          <w:p>
            <w:pPr>
              <w:spacing w:after="0"/>
              <w:rPr>
                <w:sz w:val="19"/>
                <w:szCs w:val="19"/>
                <w:color w:val="auto"/>
              </w:rPr>
            </w:pPr>
          </w:p>
        </w:tc>
        <w:tc>
          <w:tcPr>
            <w:tcW w:w="360" w:type="dxa"/>
            <w:vAlign w:val="bottom"/>
            <w:tcBorders>
              <w:top w:val="single" w:sz="8" w:color="auto"/>
              <w:bottom w:val="single" w:sz="8" w:color="auto"/>
            </w:tcBorders>
            <w:shd w:val="clear" w:color="auto" w:fill="CCEEFF"/>
          </w:tcPr>
          <w:p>
            <w:pPr>
              <w:jc w:val="right"/>
              <w:ind w:right="196"/>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11,157</w:t>
            </w:r>
          </w:p>
        </w:tc>
        <w:tc>
          <w:tcPr>
            <w:tcW w:w="380" w:type="dxa"/>
            <w:vAlign w:val="bottom"/>
            <w:tcBorders>
              <w:top w:val="single" w:sz="8" w:color="CCEEFF"/>
              <w:bottom w:val="single" w:sz="8" w:color="CCEEFF"/>
            </w:tcBorders>
            <w:shd w:val="clear" w:color="auto" w:fill="CCEEFF"/>
          </w:tcPr>
          <w:p>
            <w:pPr>
              <w:spacing w:after="0"/>
              <w:rPr>
                <w:sz w:val="19"/>
                <w:szCs w:val="19"/>
                <w:color w:val="auto"/>
              </w:rPr>
            </w:pPr>
          </w:p>
        </w:tc>
        <w:tc>
          <w:tcPr>
            <w:tcW w:w="1600" w:type="dxa"/>
            <w:vAlign w:val="bottom"/>
            <w:tcBorders>
              <w:top w:val="single" w:sz="8" w:color="CCEEFF"/>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-14%</w:t>
            </w:r>
          </w:p>
        </w:tc>
      </w:tr>
      <w:tr>
        <w:trPr>
          <w:trHeight w:val="216"/>
        </w:trPr>
        <w:tc>
          <w:tcPr>
            <w:tcW w:w="49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49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Cost of goods sold</w:t>
            </w:r>
          </w:p>
        </w:tc>
        <w:tc>
          <w:tcPr>
            <w:tcW w:w="10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6,182</w:t>
            </w:r>
          </w:p>
        </w:tc>
        <w:tc>
          <w:tcPr>
            <w:tcW w:w="36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8,459</w:t>
            </w:r>
          </w:p>
        </w:tc>
        <w:tc>
          <w:tcPr>
            <w:tcW w:w="16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-27%</w:t>
            </w:r>
          </w:p>
        </w:tc>
      </w:tr>
      <w:tr>
        <w:trPr>
          <w:trHeight w:val="216"/>
        </w:trPr>
        <w:tc>
          <w:tcPr>
            <w:tcW w:w="4960" w:type="dxa"/>
            <w:vAlign w:val="bottom"/>
          </w:tcPr>
          <w:p>
            <w:pPr>
              <w:ind w:left="360"/>
              <w:spacing w:after="0"/>
              <w:rPr>
                <w:sz w:val="20"/>
                <w:szCs w:val="20"/>
                <w:color w:val="auto"/>
              </w:rPr>
            </w:pPr>
            <w:r>
              <w:rPr>
                <w:rFonts w:ascii="Times New Roman" w:cs="Times New Roman" w:eastAsia="Times New Roman" w:hAnsi="Times New Roman"/>
                <w:sz w:val="18"/>
                <w:szCs w:val="18"/>
                <w:i w:val="1"/>
                <w:iCs w:val="1"/>
                <w:color w:val="auto"/>
              </w:rPr>
              <w:t>% of Gross billing</w:t>
            </w:r>
          </w:p>
        </w:tc>
        <w:tc>
          <w:tcPr>
            <w:tcW w:w="10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5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i w:val="1"/>
                <w:iCs w:val="1"/>
                <w:color w:val="auto"/>
              </w:rPr>
              <w:t>59%</w:t>
            </w:r>
          </w:p>
        </w:tc>
        <w:tc>
          <w:tcPr>
            <w:tcW w:w="360" w:type="dxa"/>
            <w:vAlign w:val="bottom"/>
          </w:tcPr>
          <w:p>
            <w:pPr>
              <w:spacing w:after="0"/>
              <w:rPr>
                <w:sz w:val="18"/>
                <w:szCs w:val="18"/>
                <w:color w:val="auto"/>
              </w:rPr>
            </w:pPr>
          </w:p>
        </w:tc>
        <w:tc>
          <w:tcPr>
            <w:tcW w:w="14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i w:val="1"/>
                <w:iCs w:val="1"/>
                <w:color w:val="auto"/>
              </w:rPr>
              <w:t>68%</w:t>
            </w:r>
          </w:p>
        </w:tc>
        <w:tc>
          <w:tcPr>
            <w:tcW w:w="144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49"/>
        </w:trPr>
        <w:tc>
          <w:tcPr>
            <w:tcW w:w="49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i w:val="1"/>
                <w:iCs w:val="1"/>
                <w:color w:val="auto"/>
              </w:rPr>
              <w:t>% of Net sales</w:t>
            </w:r>
          </w:p>
        </w:tc>
        <w:tc>
          <w:tcPr>
            <w:tcW w:w="102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5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i w:val="1"/>
                <w:iCs w:val="1"/>
                <w:color w:val="auto"/>
              </w:rPr>
              <w:t>64%</w:t>
            </w:r>
          </w:p>
        </w:tc>
        <w:tc>
          <w:tcPr>
            <w:tcW w:w="360" w:type="dxa"/>
            <w:vAlign w:val="bottom"/>
            <w:shd w:val="clear" w:color="auto" w:fill="CCEEFF"/>
          </w:tcPr>
          <w:p>
            <w:pPr>
              <w:spacing w:after="0"/>
              <w:rPr>
                <w:sz w:val="21"/>
                <w:szCs w:val="21"/>
                <w:color w:val="auto"/>
              </w:rPr>
            </w:pPr>
          </w:p>
        </w:tc>
        <w:tc>
          <w:tcPr>
            <w:tcW w:w="14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i w:val="1"/>
                <w:iCs w:val="1"/>
                <w:color w:val="auto"/>
              </w:rPr>
              <w:t>76%</w:t>
            </w:r>
          </w:p>
        </w:tc>
        <w:tc>
          <w:tcPr>
            <w:tcW w:w="144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r>
      <w:tr>
        <w:trPr>
          <w:trHeight w:val="210"/>
        </w:trPr>
        <w:tc>
          <w:tcPr>
            <w:tcW w:w="4960" w:type="dxa"/>
            <w:vAlign w:val="bottom"/>
            <w:tcBorders>
              <w:top w:val="single" w:sz="8" w:color="CCEEFF"/>
              <w:bottom w:val="single" w:sz="8" w:color="CCEEFF"/>
            </w:tcBorders>
          </w:tcPr>
          <w:p>
            <w:pPr>
              <w:ind w:left="180"/>
              <w:spacing w:after="0" w:line="203" w:lineRule="exact"/>
              <w:rPr>
                <w:sz w:val="20"/>
                <w:szCs w:val="20"/>
                <w:color w:val="auto"/>
              </w:rPr>
            </w:pPr>
            <w:r>
              <w:rPr>
                <w:rFonts w:ascii="Times New Roman" w:cs="Times New Roman" w:eastAsia="Times New Roman" w:hAnsi="Times New Roman"/>
                <w:sz w:val="18"/>
                <w:szCs w:val="18"/>
                <w:color w:val="auto"/>
              </w:rPr>
              <w:t>Gross profit</w:t>
            </w:r>
          </w:p>
        </w:tc>
        <w:tc>
          <w:tcPr>
            <w:tcW w:w="1020" w:type="dxa"/>
            <w:vAlign w:val="bottom"/>
            <w:tcBorders>
              <w:top w:val="single" w:sz="8" w:color="CCEEFF"/>
              <w:bottom w:val="single" w:sz="8" w:color="CCEEFF"/>
            </w:tcBorders>
          </w:tcPr>
          <w:p>
            <w:pPr>
              <w:spacing w:after="0"/>
              <w:rPr>
                <w:sz w:val="18"/>
                <w:szCs w:val="18"/>
                <w:color w:val="auto"/>
              </w:rPr>
            </w:pPr>
          </w:p>
        </w:tc>
        <w:tc>
          <w:tcPr>
            <w:tcW w:w="320" w:type="dxa"/>
            <w:vAlign w:val="bottom"/>
            <w:tcBorders>
              <w:top w:val="single" w:sz="8" w:color="auto"/>
              <w:bottom w:val="single" w:sz="8" w:color="auto"/>
            </w:tcBorders>
          </w:tcPr>
          <w:p>
            <w:pPr>
              <w:jc w:val="right"/>
              <w:ind w:right="130"/>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3,413</w:t>
            </w:r>
          </w:p>
        </w:tc>
        <w:tc>
          <w:tcPr>
            <w:tcW w:w="380" w:type="dxa"/>
            <w:vAlign w:val="bottom"/>
            <w:tcBorders>
              <w:top w:val="single" w:sz="8" w:color="CCEEFF"/>
              <w:bottom w:val="single" w:sz="8" w:color="CCEEFF"/>
            </w:tcBorders>
          </w:tcPr>
          <w:p>
            <w:pPr>
              <w:spacing w:after="0"/>
              <w:rPr>
                <w:sz w:val="18"/>
                <w:szCs w:val="18"/>
                <w:color w:val="auto"/>
              </w:rPr>
            </w:pPr>
          </w:p>
        </w:tc>
        <w:tc>
          <w:tcPr>
            <w:tcW w:w="360" w:type="dxa"/>
            <w:vAlign w:val="bottom"/>
            <w:tcBorders>
              <w:top w:val="single" w:sz="8" w:color="auto"/>
              <w:bottom w:val="single" w:sz="8" w:color="auto"/>
            </w:tcBorders>
          </w:tcPr>
          <w:p>
            <w:pPr>
              <w:jc w:val="right"/>
              <w:ind w:right="196"/>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2,698</w:t>
            </w:r>
          </w:p>
        </w:tc>
        <w:tc>
          <w:tcPr>
            <w:tcW w:w="380" w:type="dxa"/>
            <w:vAlign w:val="bottom"/>
            <w:tcBorders>
              <w:top w:val="single" w:sz="8" w:color="CCEEFF"/>
              <w:bottom w:val="single" w:sz="8" w:color="CCEEFF"/>
            </w:tcBorders>
          </w:tcPr>
          <w:p>
            <w:pPr>
              <w:spacing w:after="0"/>
              <w:rPr>
                <w:sz w:val="18"/>
                <w:szCs w:val="18"/>
                <w:color w:val="auto"/>
              </w:rPr>
            </w:pPr>
          </w:p>
        </w:tc>
        <w:tc>
          <w:tcPr>
            <w:tcW w:w="1600" w:type="dxa"/>
            <w:vAlign w:val="bottom"/>
            <w:tcBorders>
              <w:top w:val="single" w:sz="8" w:color="CCEEFF"/>
              <w:bottom w:val="single" w:sz="8" w:color="CCEEFF"/>
            </w:tcBorders>
            <w:gridSpan w:val="2"/>
          </w:tcPr>
          <w:p>
            <w:pPr>
              <w:jc w:val="right"/>
              <w:ind w:right="20"/>
              <w:spacing w:after="0" w:line="203" w:lineRule="exact"/>
              <w:rPr>
                <w:sz w:val="20"/>
                <w:szCs w:val="20"/>
                <w:color w:val="auto"/>
              </w:rPr>
            </w:pPr>
            <w:r>
              <w:rPr>
                <w:rFonts w:ascii="Times New Roman" w:cs="Times New Roman" w:eastAsia="Times New Roman" w:hAnsi="Times New Roman"/>
                <w:sz w:val="18"/>
                <w:szCs w:val="18"/>
                <w:color w:val="auto"/>
              </w:rPr>
              <w:t>28%</w:t>
            </w:r>
          </w:p>
        </w:tc>
      </w:tr>
      <w:tr>
        <w:trPr>
          <w:trHeight w:val="216"/>
        </w:trPr>
        <w:tc>
          <w:tcPr>
            <w:tcW w:w="49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i w:val="1"/>
                <w:iCs w:val="1"/>
                <w:color w:val="auto"/>
              </w:rPr>
              <w:t>% of Net sales</w:t>
            </w:r>
          </w:p>
        </w:tc>
        <w:tc>
          <w:tcPr>
            <w:tcW w:w="10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i w:val="1"/>
                <w:iCs w:val="1"/>
                <w:color w:val="auto"/>
              </w:rPr>
              <w:t>36%</w:t>
            </w:r>
          </w:p>
        </w:tc>
        <w:tc>
          <w:tcPr>
            <w:tcW w:w="36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i w:val="1"/>
                <w:iCs w:val="1"/>
                <w:color w:val="auto"/>
              </w:rPr>
              <w:t>24%</w:t>
            </w:r>
          </w:p>
        </w:tc>
        <w:tc>
          <w:tcPr>
            <w:tcW w:w="14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49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4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Expenses</w:t>
            </w:r>
          </w:p>
        </w:tc>
        <w:tc>
          <w:tcPr>
            <w:tcW w:w="10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49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Delivery and handling</w:t>
            </w:r>
          </w:p>
        </w:tc>
        <w:tc>
          <w:tcPr>
            <w:tcW w:w="134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1,502</w:t>
            </w:r>
          </w:p>
        </w:tc>
        <w:tc>
          <w:tcPr>
            <w:tcW w:w="360" w:type="dxa"/>
            <w:vAlign w:val="bottom"/>
          </w:tcPr>
          <w:p>
            <w:pPr>
              <w:jc w:val="right"/>
              <w:ind w:right="196"/>
              <w:spacing w:after="0"/>
              <w:rPr>
                <w:sz w:val="20"/>
                <w:szCs w:val="20"/>
                <w:color w:val="auto"/>
              </w:rPr>
            </w:pPr>
            <w:r>
              <w:rPr>
                <w:rFonts w:ascii="Times New Roman" w:cs="Times New Roman" w:eastAsia="Times New Roman" w:hAnsi="Times New Roman"/>
                <w:sz w:val="17"/>
                <w:szCs w:val="17"/>
                <w:color w:val="auto"/>
                <w:w w:val="70"/>
              </w:rPr>
              <w:t>$</w:t>
            </w:r>
          </w:p>
        </w:tc>
        <w:tc>
          <w:tcPr>
            <w:tcW w:w="146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2,120</w:t>
            </w:r>
          </w:p>
        </w:tc>
        <w:tc>
          <w:tcPr>
            <w:tcW w:w="16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-29%</w:t>
            </w:r>
          </w:p>
        </w:tc>
      </w:tr>
      <w:tr>
        <w:trPr>
          <w:trHeight w:val="216"/>
        </w:trPr>
        <w:tc>
          <w:tcPr>
            <w:tcW w:w="49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i w:val="1"/>
                <w:iCs w:val="1"/>
                <w:color w:val="auto"/>
              </w:rPr>
              <w:t>% of Net sales</w:t>
            </w:r>
          </w:p>
        </w:tc>
        <w:tc>
          <w:tcPr>
            <w:tcW w:w="10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i w:val="1"/>
                <w:iCs w:val="1"/>
                <w:color w:val="auto"/>
              </w:rPr>
              <w:t>16%</w:t>
            </w:r>
          </w:p>
        </w:tc>
        <w:tc>
          <w:tcPr>
            <w:tcW w:w="36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i w:val="1"/>
                <w:iCs w:val="1"/>
                <w:color w:val="auto"/>
              </w:rPr>
              <w:t>19%</w:t>
            </w:r>
          </w:p>
        </w:tc>
        <w:tc>
          <w:tcPr>
            <w:tcW w:w="14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4960" w:type="dxa"/>
            <w:vAlign w:val="bottom"/>
          </w:tcPr>
          <w:p>
            <w:pPr>
              <w:ind w:left="360"/>
              <w:spacing w:after="0"/>
              <w:rPr>
                <w:sz w:val="20"/>
                <w:szCs w:val="20"/>
                <w:color w:val="auto"/>
              </w:rPr>
            </w:pPr>
            <w:r>
              <w:rPr>
                <w:rFonts w:ascii="Times New Roman" w:cs="Times New Roman" w:eastAsia="Times New Roman" w:hAnsi="Times New Roman"/>
                <w:sz w:val="18"/>
                <w:szCs w:val="18"/>
                <w:i w:val="1"/>
                <w:iCs w:val="1"/>
                <w:color w:val="auto"/>
              </w:rPr>
              <w:t>Dollar per case ($)</w:t>
            </w:r>
          </w:p>
        </w:tc>
        <w:tc>
          <w:tcPr>
            <w:tcW w:w="134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i w:val="1"/>
                <w:iCs w:val="1"/>
                <w:color w:val="auto"/>
              </w:rPr>
              <w:t>$</w:t>
            </w:r>
          </w:p>
        </w:tc>
        <w:tc>
          <w:tcPr>
            <w:tcW w:w="152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i w:val="1"/>
                <w:iCs w:val="1"/>
                <w:color w:val="auto"/>
              </w:rPr>
              <w:t>3.01</w:t>
            </w:r>
          </w:p>
        </w:tc>
        <w:tc>
          <w:tcPr>
            <w:tcW w:w="360" w:type="dxa"/>
            <w:vAlign w:val="bottom"/>
          </w:tcPr>
          <w:p>
            <w:pPr>
              <w:jc w:val="right"/>
              <w:ind w:right="196"/>
              <w:spacing w:after="0"/>
              <w:rPr>
                <w:sz w:val="20"/>
                <w:szCs w:val="20"/>
                <w:color w:val="auto"/>
              </w:rPr>
            </w:pPr>
            <w:r>
              <w:rPr>
                <w:rFonts w:ascii="Times New Roman" w:cs="Times New Roman" w:eastAsia="Times New Roman" w:hAnsi="Times New Roman"/>
                <w:sz w:val="17"/>
                <w:szCs w:val="17"/>
                <w:i w:val="1"/>
                <w:iCs w:val="1"/>
                <w:color w:val="auto"/>
                <w:w w:val="70"/>
              </w:rPr>
              <w:t>$</w:t>
            </w:r>
          </w:p>
        </w:tc>
        <w:tc>
          <w:tcPr>
            <w:tcW w:w="146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i w:val="1"/>
                <w:iCs w:val="1"/>
                <w:color w:val="auto"/>
              </w:rPr>
              <w:t>3.46</w:t>
            </w:r>
          </w:p>
        </w:tc>
        <w:tc>
          <w:tcPr>
            <w:tcW w:w="144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49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Selling and marketing</w:t>
            </w:r>
          </w:p>
        </w:tc>
        <w:tc>
          <w:tcPr>
            <w:tcW w:w="10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1,093</w:t>
            </w:r>
          </w:p>
        </w:tc>
        <w:tc>
          <w:tcPr>
            <w:tcW w:w="36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1,447</w:t>
            </w:r>
          </w:p>
        </w:tc>
        <w:tc>
          <w:tcPr>
            <w:tcW w:w="16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-24%</w:t>
            </w:r>
          </w:p>
        </w:tc>
      </w:tr>
      <w:tr>
        <w:trPr>
          <w:trHeight w:val="216"/>
        </w:trPr>
        <w:tc>
          <w:tcPr>
            <w:tcW w:w="4960" w:type="dxa"/>
            <w:vAlign w:val="bottom"/>
          </w:tcPr>
          <w:p>
            <w:pPr>
              <w:ind w:left="360"/>
              <w:spacing w:after="0"/>
              <w:rPr>
                <w:sz w:val="20"/>
                <w:szCs w:val="20"/>
                <w:color w:val="auto"/>
              </w:rPr>
            </w:pPr>
            <w:r>
              <w:rPr>
                <w:rFonts w:ascii="Times New Roman" w:cs="Times New Roman" w:eastAsia="Times New Roman" w:hAnsi="Times New Roman"/>
                <w:sz w:val="18"/>
                <w:szCs w:val="18"/>
                <w:i w:val="1"/>
                <w:iCs w:val="1"/>
                <w:color w:val="auto"/>
              </w:rPr>
              <w:t>% of Net sales</w:t>
            </w:r>
          </w:p>
        </w:tc>
        <w:tc>
          <w:tcPr>
            <w:tcW w:w="10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5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i w:val="1"/>
                <w:iCs w:val="1"/>
                <w:color w:val="auto"/>
              </w:rPr>
              <w:t>11%</w:t>
            </w:r>
          </w:p>
        </w:tc>
        <w:tc>
          <w:tcPr>
            <w:tcW w:w="360" w:type="dxa"/>
            <w:vAlign w:val="bottom"/>
          </w:tcPr>
          <w:p>
            <w:pPr>
              <w:spacing w:after="0"/>
              <w:rPr>
                <w:sz w:val="18"/>
                <w:szCs w:val="18"/>
                <w:color w:val="auto"/>
              </w:rPr>
            </w:pPr>
          </w:p>
        </w:tc>
        <w:tc>
          <w:tcPr>
            <w:tcW w:w="14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i w:val="1"/>
                <w:iCs w:val="1"/>
                <w:color w:val="auto"/>
              </w:rPr>
              <w:t>13%</w:t>
            </w:r>
          </w:p>
        </w:tc>
        <w:tc>
          <w:tcPr>
            <w:tcW w:w="144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49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10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1,468</w:t>
            </w:r>
          </w:p>
        </w:tc>
        <w:tc>
          <w:tcPr>
            <w:tcW w:w="36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1,709</w:t>
            </w:r>
          </w:p>
        </w:tc>
        <w:tc>
          <w:tcPr>
            <w:tcW w:w="16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-14%</w:t>
            </w:r>
          </w:p>
        </w:tc>
      </w:tr>
      <w:tr>
        <w:trPr>
          <w:trHeight w:val="236"/>
        </w:trPr>
        <w:tc>
          <w:tcPr>
            <w:tcW w:w="4960" w:type="dxa"/>
            <w:vAlign w:val="bottom"/>
          </w:tcPr>
          <w:p>
            <w:pPr>
              <w:ind w:left="360"/>
              <w:spacing w:after="0"/>
              <w:rPr>
                <w:sz w:val="20"/>
                <w:szCs w:val="20"/>
                <w:color w:val="auto"/>
              </w:rPr>
            </w:pPr>
            <w:r>
              <w:rPr>
                <w:rFonts w:ascii="Times New Roman" w:cs="Times New Roman" w:eastAsia="Times New Roman" w:hAnsi="Times New Roman"/>
                <w:sz w:val="18"/>
                <w:szCs w:val="18"/>
                <w:i w:val="1"/>
                <w:iCs w:val="1"/>
                <w:color w:val="auto"/>
              </w:rPr>
              <w:t>% of Net sales</w:t>
            </w:r>
          </w:p>
        </w:tc>
        <w:tc>
          <w:tcPr>
            <w:tcW w:w="10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5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i w:val="1"/>
                <w:iCs w:val="1"/>
                <w:color w:val="auto"/>
              </w:rPr>
              <w:t>15%</w:t>
            </w:r>
          </w:p>
        </w:tc>
        <w:tc>
          <w:tcPr>
            <w:tcW w:w="360" w:type="dxa"/>
            <w:vAlign w:val="bottom"/>
          </w:tcPr>
          <w:p>
            <w:pPr>
              <w:spacing w:after="0"/>
              <w:rPr>
                <w:sz w:val="20"/>
                <w:szCs w:val="20"/>
                <w:color w:val="auto"/>
              </w:rPr>
            </w:pPr>
          </w:p>
        </w:tc>
        <w:tc>
          <w:tcPr>
            <w:tcW w:w="14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i w:val="1"/>
                <w:iCs w:val="1"/>
                <w:color w:val="auto"/>
              </w:rPr>
              <w:t>15%</w:t>
            </w:r>
          </w:p>
        </w:tc>
        <w:tc>
          <w:tcPr>
            <w:tcW w:w="1440" w:type="dxa"/>
            <w:vAlign w:val="bottom"/>
          </w:tcPr>
          <w:p>
            <w:pPr>
              <w:spacing w:after="0"/>
              <w:rPr>
                <w:sz w:val="20"/>
                <w:szCs w:val="20"/>
                <w:color w:val="auto"/>
              </w:rPr>
            </w:pPr>
          </w:p>
        </w:tc>
        <w:tc>
          <w:tcPr>
            <w:tcW w:w="160" w:type="dxa"/>
            <w:vAlign w:val="bottom"/>
          </w:tcPr>
          <w:p>
            <w:pPr>
              <w:spacing w:after="0"/>
              <w:rPr>
                <w:sz w:val="20"/>
                <w:szCs w:val="20"/>
                <w:color w:val="auto"/>
              </w:rPr>
            </w:pPr>
          </w:p>
        </w:tc>
      </w:tr>
      <w:tr>
        <w:trPr>
          <w:trHeight w:val="223"/>
        </w:trPr>
        <w:tc>
          <w:tcPr>
            <w:tcW w:w="496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operating expenses</w:t>
            </w:r>
          </w:p>
        </w:tc>
        <w:tc>
          <w:tcPr>
            <w:tcW w:w="1020" w:type="dxa"/>
            <w:vAlign w:val="bottom"/>
            <w:tcBorders>
              <w:top w:val="single" w:sz="8" w:color="CCEEFF"/>
              <w:bottom w:val="single" w:sz="8" w:color="CCEEFF"/>
            </w:tcBorders>
            <w:shd w:val="clear" w:color="auto" w:fill="CCEEFF"/>
          </w:tcPr>
          <w:p>
            <w:pPr>
              <w:spacing w:after="0"/>
              <w:rPr>
                <w:sz w:val="19"/>
                <w:szCs w:val="19"/>
                <w:color w:val="auto"/>
              </w:rPr>
            </w:pPr>
          </w:p>
        </w:tc>
        <w:tc>
          <w:tcPr>
            <w:tcW w:w="320" w:type="dxa"/>
            <w:vAlign w:val="bottom"/>
            <w:tcBorders>
              <w:top w:val="single" w:sz="8" w:color="auto"/>
              <w:bottom w:val="single" w:sz="8" w:color="auto"/>
            </w:tcBorders>
            <w:shd w:val="clear" w:color="auto" w:fill="CCEEFF"/>
          </w:tcPr>
          <w:p>
            <w:pPr>
              <w:spacing w:after="0"/>
              <w:rPr>
                <w:sz w:val="19"/>
                <w:szCs w:val="19"/>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4,063</w:t>
            </w:r>
          </w:p>
        </w:tc>
        <w:tc>
          <w:tcPr>
            <w:tcW w:w="380" w:type="dxa"/>
            <w:vAlign w:val="bottom"/>
            <w:tcBorders>
              <w:top w:val="single" w:sz="8" w:color="CCEEFF"/>
              <w:bottom w:val="single" w:sz="8" w:color="CCEEFF"/>
            </w:tcBorders>
            <w:shd w:val="clear" w:color="auto" w:fill="CCEEFF"/>
          </w:tcPr>
          <w:p>
            <w:pPr>
              <w:spacing w:after="0"/>
              <w:rPr>
                <w:sz w:val="19"/>
                <w:szCs w:val="19"/>
                <w:color w:val="auto"/>
              </w:rPr>
            </w:pPr>
          </w:p>
        </w:tc>
        <w:tc>
          <w:tcPr>
            <w:tcW w:w="360" w:type="dxa"/>
            <w:vAlign w:val="bottom"/>
            <w:tcBorders>
              <w:top w:val="single" w:sz="8" w:color="auto"/>
              <w:bottom w:val="single" w:sz="8" w:color="auto"/>
            </w:tcBorders>
            <w:shd w:val="clear" w:color="auto" w:fill="CCEEFF"/>
          </w:tcPr>
          <w:p>
            <w:pPr>
              <w:spacing w:after="0"/>
              <w:rPr>
                <w:sz w:val="19"/>
                <w:szCs w:val="19"/>
                <w:color w:val="auto"/>
              </w:rPr>
            </w:pP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5,276</w:t>
            </w:r>
          </w:p>
        </w:tc>
        <w:tc>
          <w:tcPr>
            <w:tcW w:w="380" w:type="dxa"/>
            <w:vAlign w:val="bottom"/>
            <w:tcBorders>
              <w:top w:val="single" w:sz="8" w:color="CCEEFF"/>
              <w:bottom w:val="single" w:sz="8" w:color="CCEEFF"/>
            </w:tcBorders>
            <w:shd w:val="clear" w:color="auto" w:fill="CCEEFF"/>
          </w:tcPr>
          <w:p>
            <w:pPr>
              <w:spacing w:after="0"/>
              <w:rPr>
                <w:sz w:val="19"/>
                <w:szCs w:val="19"/>
                <w:color w:val="auto"/>
              </w:rPr>
            </w:pPr>
          </w:p>
        </w:tc>
        <w:tc>
          <w:tcPr>
            <w:tcW w:w="1600" w:type="dxa"/>
            <w:vAlign w:val="bottom"/>
            <w:tcBorders>
              <w:top w:val="single" w:sz="8" w:color="CCEEFF"/>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-23%</w:t>
            </w:r>
          </w:p>
        </w:tc>
      </w:tr>
      <w:tr>
        <w:trPr>
          <w:trHeight w:val="216"/>
        </w:trPr>
        <w:tc>
          <w:tcPr>
            <w:tcW w:w="49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4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Loss from operations</w:t>
            </w:r>
          </w:p>
        </w:tc>
        <w:tc>
          <w:tcPr>
            <w:tcW w:w="1340" w:type="dxa"/>
            <w:vAlign w:val="bottom"/>
            <w:gridSpan w:val="2"/>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(650)</w:t>
            </w:r>
          </w:p>
        </w:tc>
        <w:tc>
          <w:tcPr>
            <w:tcW w:w="360" w:type="dxa"/>
            <w:vAlign w:val="bottom"/>
            <w:shd w:val="clear" w:color="auto" w:fill="CCEEFF"/>
          </w:tcPr>
          <w:p>
            <w:pPr>
              <w:jc w:val="right"/>
              <w:ind w:right="196"/>
              <w:spacing w:after="0"/>
              <w:rPr>
                <w:sz w:val="20"/>
                <w:szCs w:val="20"/>
                <w:color w:val="auto"/>
              </w:rPr>
            </w:pPr>
            <w:r>
              <w:rPr>
                <w:rFonts w:ascii="Times New Roman" w:cs="Times New Roman" w:eastAsia="Times New Roman" w:hAnsi="Times New Roman"/>
                <w:sz w:val="17"/>
                <w:szCs w:val="17"/>
                <w:color w:val="auto"/>
                <w:w w:val="70"/>
              </w:rPr>
              <w:t>$</w:t>
            </w:r>
          </w:p>
        </w:tc>
        <w:tc>
          <w:tcPr>
            <w:tcW w:w="14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(2,578)</w:t>
            </w:r>
          </w:p>
        </w:tc>
        <w:tc>
          <w:tcPr>
            <w:tcW w:w="16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-76%</w:t>
            </w:r>
          </w:p>
        </w:tc>
      </w:tr>
      <w:tr>
        <w:trPr>
          <w:trHeight w:val="216"/>
        </w:trPr>
        <w:tc>
          <w:tcPr>
            <w:tcW w:w="49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37"/>
        </w:trPr>
        <w:tc>
          <w:tcPr>
            <w:tcW w:w="4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expense and other expense</w:t>
            </w:r>
          </w:p>
        </w:tc>
        <w:tc>
          <w:tcPr>
            <w:tcW w:w="1340" w:type="dxa"/>
            <w:vAlign w:val="bottom"/>
            <w:gridSpan w:val="2"/>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(1,023)</w:t>
            </w:r>
          </w:p>
        </w:tc>
        <w:tc>
          <w:tcPr>
            <w:tcW w:w="360" w:type="dxa"/>
            <w:vAlign w:val="bottom"/>
            <w:shd w:val="clear" w:color="auto" w:fill="CCEEFF"/>
          </w:tcPr>
          <w:p>
            <w:pPr>
              <w:jc w:val="right"/>
              <w:ind w:right="196"/>
              <w:spacing w:after="0"/>
              <w:rPr>
                <w:sz w:val="20"/>
                <w:szCs w:val="20"/>
                <w:color w:val="auto"/>
              </w:rPr>
            </w:pPr>
            <w:r>
              <w:rPr>
                <w:rFonts w:ascii="Times New Roman" w:cs="Times New Roman" w:eastAsia="Times New Roman" w:hAnsi="Times New Roman"/>
                <w:sz w:val="17"/>
                <w:szCs w:val="17"/>
                <w:color w:val="auto"/>
                <w:w w:val="70"/>
              </w:rPr>
              <w:t>$</w:t>
            </w:r>
          </w:p>
        </w:tc>
        <w:tc>
          <w:tcPr>
            <w:tcW w:w="14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(1,779)</w:t>
            </w:r>
          </w:p>
        </w:tc>
        <w:tc>
          <w:tcPr>
            <w:tcW w:w="16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-42%</w:t>
            </w:r>
          </w:p>
        </w:tc>
      </w:tr>
      <w:tr>
        <w:trPr>
          <w:trHeight w:val="216"/>
        </w:trPr>
        <w:tc>
          <w:tcPr>
            <w:tcW w:w="4960" w:type="dxa"/>
            <w:vAlign w:val="bottom"/>
            <w:tcBorders>
              <w:top w:val="single" w:sz="8" w:color="CCEEFF"/>
            </w:tcBorders>
          </w:tcPr>
          <w:p>
            <w:pPr>
              <w:spacing w:after="0"/>
              <w:rPr>
                <w:sz w:val="18"/>
                <w:szCs w:val="18"/>
                <w:color w:val="auto"/>
              </w:rPr>
            </w:pPr>
          </w:p>
        </w:tc>
        <w:tc>
          <w:tcPr>
            <w:tcW w:w="1020" w:type="dxa"/>
            <w:vAlign w:val="bottom"/>
            <w:tcBorders>
              <w:top w:val="single" w:sz="8" w:color="CCEEFF"/>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380" w:type="dxa"/>
            <w:vAlign w:val="bottom"/>
            <w:tcBorders>
              <w:top w:val="single" w:sz="8" w:color="CCEEFF"/>
            </w:tcBorders>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spacing w:after="0"/>
              <w:rPr>
                <w:sz w:val="18"/>
                <w:szCs w:val="18"/>
                <w:color w:val="auto"/>
              </w:rPr>
            </w:pPr>
          </w:p>
        </w:tc>
        <w:tc>
          <w:tcPr>
            <w:tcW w:w="380" w:type="dxa"/>
            <w:vAlign w:val="bottom"/>
            <w:tcBorders>
              <w:top w:val="single" w:sz="8" w:color="CCEEFF"/>
            </w:tcBorders>
          </w:tcPr>
          <w:p>
            <w:pPr>
              <w:spacing w:after="0"/>
              <w:rPr>
                <w:sz w:val="18"/>
                <w:szCs w:val="18"/>
                <w:color w:val="auto"/>
              </w:rPr>
            </w:pPr>
          </w:p>
        </w:tc>
        <w:tc>
          <w:tcPr>
            <w:tcW w:w="144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r>
      <w:tr>
        <w:trPr>
          <w:trHeight w:val="243"/>
        </w:trPr>
        <w:tc>
          <w:tcPr>
            <w:tcW w:w="4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loss</w:t>
            </w:r>
          </w:p>
        </w:tc>
        <w:tc>
          <w:tcPr>
            <w:tcW w:w="1340" w:type="dxa"/>
            <w:vAlign w:val="bottom"/>
            <w:gridSpan w:val="2"/>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(1,673)</w:t>
            </w:r>
          </w:p>
        </w:tc>
        <w:tc>
          <w:tcPr>
            <w:tcW w:w="360" w:type="dxa"/>
            <w:vAlign w:val="bottom"/>
            <w:shd w:val="clear" w:color="auto" w:fill="CCEEFF"/>
          </w:tcPr>
          <w:p>
            <w:pPr>
              <w:jc w:val="right"/>
              <w:ind w:right="196"/>
              <w:spacing w:after="0"/>
              <w:rPr>
                <w:sz w:val="20"/>
                <w:szCs w:val="20"/>
                <w:color w:val="auto"/>
              </w:rPr>
            </w:pPr>
            <w:r>
              <w:rPr>
                <w:rFonts w:ascii="Times New Roman" w:cs="Times New Roman" w:eastAsia="Times New Roman" w:hAnsi="Times New Roman"/>
                <w:sz w:val="17"/>
                <w:szCs w:val="17"/>
                <w:color w:val="auto"/>
                <w:w w:val="70"/>
              </w:rPr>
              <w:t>$</w:t>
            </w:r>
          </w:p>
        </w:tc>
        <w:tc>
          <w:tcPr>
            <w:tcW w:w="14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(4,357)</w:t>
            </w:r>
          </w:p>
        </w:tc>
        <w:tc>
          <w:tcPr>
            <w:tcW w:w="1600" w:type="dxa"/>
            <w:vAlign w:val="bottom"/>
            <w:gridSpan w:val="2"/>
            <w:shd w:val="clear" w:color="auto" w:fill="CCEEFF"/>
          </w:tcPr>
          <w:p>
            <w:pPr>
              <w:jc w:val="right"/>
              <w:ind w:right="20"/>
              <w:spacing w:after="0" w:line="243" w:lineRule="exact"/>
              <w:rPr>
                <w:sz w:val="20"/>
                <w:szCs w:val="20"/>
                <w:color w:val="auto"/>
              </w:rPr>
            </w:pPr>
            <w:r>
              <w:rPr>
                <w:rFonts w:ascii="Times New Roman" w:cs="Times New Roman" w:eastAsia="Times New Roman" w:hAnsi="Times New Roman"/>
                <w:sz w:val="15"/>
                <w:szCs w:val="15"/>
                <w:color w:val="auto"/>
              </w:rPr>
              <w:t>-62</w:t>
            </w:r>
            <w:r>
              <w:rPr>
                <w:rFonts w:ascii="Times New Roman" w:cs="Times New Roman" w:eastAsia="Times New Roman" w:hAnsi="Times New Roman"/>
                <w:sz w:val="28"/>
                <w:szCs w:val="28"/>
                <w:color w:val="auto"/>
                <w:vertAlign w:val="superscript"/>
              </w:rPr>
              <w:t>%</w:t>
            </w:r>
          </w:p>
        </w:tc>
      </w:tr>
      <w:tr>
        <w:trPr>
          <w:trHeight w:val="20"/>
        </w:trPr>
        <w:tc>
          <w:tcPr>
            <w:tcW w:w="496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r>
      <w:tr>
        <w:trPr>
          <w:trHeight w:val="197"/>
        </w:trPr>
        <w:tc>
          <w:tcPr>
            <w:tcW w:w="49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160" w:type="dxa"/>
            <w:vAlign w:val="bottom"/>
          </w:tcPr>
          <w:p>
            <w:pPr>
              <w:spacing w:after="0"/>
              <w:rPr>
                <w:sz w:val="17"/>
                <w:szCs w:val="17"/>
                <w:color w:val="auto"/>
              </w:rPr>
            </w:pPr>
          </w:p>
        </w:tc>
      </w:tr>
      <w:tr>
        <w:trPr>
          <w:trHeight w:val="237"/>
        </w:trPr>
        <w:tc>
          <w:tcPr>
            <w:tcW w:w="4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Loss per share – basic and diluted</w:t>
            </w:r>
          </w:p>
        </w:tc>
        <w:tc>
          <w:tcPr>
            <w:tcW w:w="1340" w:type="dxa"/>
            <w:vAlign w:val="bottom"/>
            <w:gridSpan w:val="2"/>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(0.40)</w:t>
            </w:r>
          </w:p>
        </w:tc>
        <w:tc>
          <w:tcPr>
            <w:tcW w:w="360" w:type="dxa"/>
            <w:vAlign w:val="bottom"/>
            <w:shd w:val="clear" w:color="auto" w:fill="CCEEFF"/>
          </w:tcPr>
          <w:p>
            <w:pPr>
              <w:jc w:val="right"/>
              <w:ind w:right="196"/>
              <w:spacing w:after="0"/>
              <w:rPr>
                <w:sz w:val="20"/>
                <w:szCs w:val="20"/>
                <w:color w:val="auto"/>
              </w:rPr>
            </w:pPr>
            <w:r>
              <w:rPr>
                <w:rFonts w:ascii="Times New Roman" w:cs="Times New Roman" w:eastAsia="Times New Roman" w:hAnsi="Times New Roman"/>
                <w:sz w:val="17"/>
                <w:szCs w:val="17"/>
                <w:color w:val="auto"/>
                <w:w w:val="70"/>
              </w:rPr>
              <w:t>$</w:t>
            </w:r>
          </w:p>
        </w:tc>
        <w:tc>
          <w:tcPr>
            <w:tcW w:w="14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(1.70)</w:t>
            </w:r>
          </w:p>
        </w:tc>
        <w:tc>
          <w:tcPr>
            <w:tcW w:w="16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-77%</w:t>
            </w:r>
          </w:p>
        </w:tc>
      </w:tr>
      <w:tr>
        <w:trPr>
          <w:trHeight w:val="216"/>
        </w:trPr>
        <w:tc>
          <w:tcPr>
            <w:tcW w:w="4960" w:type="dxa"/>
            <w:vAlign w:val="bottom"/>
            <w:tcBorders>
              <w:top w:val="single" w:sz="8" w:color="CCEEFF"/>
            </w:tcBorders>
          </w:tcPr>
          <w:p>
            <w:pPr>
              <w:spacing w:after="0"/>
              <w:rPr>
                <w:sz w:val="18"/>
                <w:szCs w:val="18"/>
                <w:color w:val="auto"/>
              </w:rPr>
            </w:pPr>
          </w:p>
        </w:tc>
        <w:tc>
          <w:tcPr>
            <w:tcW w:w="1020" w:type="dxa"/>
            <w:vAlign w:val="bottom"/>
            <w:tcBorders>
              <w:top w:val="single" w:sz="8" w:color="CCEEFF"/>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380" w:type="dxa"/>
            <w:vAlign w:val="bottom"/>
            <w:tcBorders>
              <w:top w:val="single" w:sz="8" w:color="CCEEFF"/>
            </w:tcBorders>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spacing w:after="0"/>
              <w:rPr>
                <w:sz w:val="18"/>
                <w:szCs w:val="18"/>
                <w:color w:val="auto"/>
              </w:rPr>
            </w:pPr>
          </w:p>
        </w:tc>
        <w:tc>
          <w:tcPr>
            <w:tcW w:w="380" w:type="dxa"/>
            <w:vAlign w:val="bottom"/>
            <w:tcBorders>
              <w:top w:val="single" w:sz="8" w:color="CCEEFF"/>
            </w:tcBorders>
          </w:tcPr>
          <w:p>
            <w:pPr>
              <w:spacing w:after="0"/>
              <w:rPr>
                <w:sz w:val="18"/>
                <w:szCs w:val="18"/>
                <w:color w:val="auto"/>
              </w:rPr>
            </w:pPr>
          </w:p>
        </w:tc>
        <w:tc>
          <w:tcPr>
            <w:tcW w:w="144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r>
      <w:tr>
        <w:trPr>
          <w:trHeight w:val="216"/>
        </w:trPr>
        <w:tc>
          <w:tcPr>
            <w:tcW w:w="4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Weighted average shares outstanding - basic &amp; diluted</w:t>
            </w:r>
          </w:p>
        </w:tc>
        <w:tc>
          <w:tcPr>
            <w:tcW w:w="10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4,187,291</w:t>
            </w:r>
          </w:p>
        </w:tc>
        <w:tc>
          <w:tcPr>
            <w:tcW w:w="36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2,559,855</w:t>
            </w:r>
          </w:p>
        </w:tc>
        <w:tc>
          <w:tcPr>
            <w:tcW w:w="16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64%</w:t>
            </w:r>
          </w:p>
        </w:tc>
      </w:tr>
    </w:tbl>
    <w:p>
      <w:pPr>
        <w:spacing w:after="0" w:line="196" w:lineRule="exact"/>
        <w:rPr>
          <w:sz w:val="20"/>
          <w:szCs w:val="20"/>
          <w:color w:val="auto"/>
        </w:rPr>
      </w:pPr>
    </w:p>
    <w:p>
      <w:pPr>
        <w:jc w:val="both"/>
        <w:ind w:firstLine="8"/>
        <w:spacing w:after="0" w:line="258" w:lineRule="auto"/>
        <w:tabs>
          <w:tab w:leader="none" w:pos="283" w:val="left"/>
        </w:tabs>
        <w:numPr>
          <w:ilvl w:val="0"/>
          <w:numId w:val="6"/>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We define gross billing as the total sales for the Company unadjusted for costs related to generating those sales. Management utilizes gross billing as an indicator of and to monitor operating performance of products and salespersons before the effect of any promotional or other allowances, which are determined in accordance with GAAP, and can mask certain performance issues. We believe that the presentation of gross billing provides a useful measure of our operating performance. Additionally, gross billing may not be comparable to similarly titled measures used by other companies, as gross billing has been defined by our internal reporting practices</w:t>
      </w:r>
      <w:r>
        <w:rPr>
          <w:rFonts w:ascii="Times New Roman" w:cs="Times New Roman" w:eastAsia="Times New Roman" w:hAnsi="Times New Roman"/>
          <w:sz w:val="18"/>
          <w:szCs w:val="18"/>
          <w:color w:val="auto"/>
        </w:rPr>
        <w:t>.</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19" w:name="page20"/>
    <w:bookmarkEnd w:id="19"/>
    <w:p>
      <w:pPr>
        <w:jc w:val="both"/>
        <w:ind w:firstLine="8"/>
        <w:spacing w:after="0" w:line="252" w:lineRule="auto"/>
        <w:tabs>
          <w:tab w:leader="none" w:pos="300" w:val="left"/>
        </w:tabs>
        <w:numPr>
          <w:ilvl w:val="0"/>
          <w:numId w:val="7"/>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We define promotional and other allowances as costs deducted from gross billing which are associated with generating those sales. Management utilizes promotional and other allowances as an indicator of and to monitor operating performance of products, salespersons, and customer agreements. We believe that the presentation of promotional and other allowances provides a useful measure of our operating performance. The presentation of promotional and other allowances facilitates an evaluation of their impact on the determination of net sales and the spending levels incurred or correlated with such sales. The expenditures described in this line item are determined in accordance with GAAP and meet GAAP requirements, the disclosure thereof does not conform to GAAP presentation requirements. Additionally, our definition of promotional and other allowances may not be comparable to similar items presented by other companies. Promotional and other allowances primarily include consideration given to the Company’s distributors or retail customers including, but not limited to the following: (i) reimbursements given to the Company’s distributors for agreed portions of their promotional spend with retailers, including slotting, shelf space allowances and other fees for both new and existing products; (ii) the Company’s agreed share of fees given to distributors and/or directly to retailers for in-store marketing and promotional activities; (iii) the Company’s agreed share of slotting, shelf space allowances and other fees given directly to retailers; (iv) incentives given to the Company’s distributors and/or retailers for achieving or exceeding certain predetermined sales goals; and (v) discounted or free products. Promotional and other allowances constitute a material portion of our marketing activities. The Company’s promotional allowance programs with its numerous distributors and/or retailers are executed through separate agreements in the ordinary course of business. These agreements generally provide for one or more of the arrangements described above and are of varying durations, ranging from one week to one year.</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Sales, Cost of Sales, and Gross Margins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following chart sets forth key statistics for the transition of the Company’s top line activity from the first quarter of 2023 through the first quarter of 2024.</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138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38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380" w:type="dxa"/>
            <w:vAlign w:val="bottom"/>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680" w:type="dxa"/>
            <w:vAlign w:val="bottom"/>
            <w:tcBorders>
              <w:bottom w:val="single" w:sz="8" w:color="auto"/>
            </w:tcBorders>
          </w:tcPr>
          <w:p>
            <w:pPr>
              <w:jc w:val="center"/>
              <w:ind w:left="150"/>
              <w:spacing w:after="0"/>
              <w:rPr>
                <w:sz w:val="20"/>
                <w:szCs w:val="20"/>
                <w:color w:val="auto"/>
              </w:rPr>
            </w:pPr>
            <w:r>
              <w:rPr>
                <w:rFonts w:ascii="Times New Roman" w:cs="Times New Roman" w:eastAsia="Times New Roman" w:hAnsi="Times New Roman"/>
                <w:sz w:val="18"/>
                <w:szCs w:val="18"/>
                <w:b w:val="1"/>
                <w:bCs w:val="1"/>
                <w:color w:val="auto"/>
                <w:w w:val="98"/>
              </w:rPr>
              <w:t>vs PY</w:t>
            </w:r>
          </w:p>
        </w:tc>
        <w:tc>
          <w:tcPr>
            <w:tcW w:w="320" w:type="dxa"/>
            <w:vAlign w:val="bottom"/>
            <w:tcBorders>
              <w:bottom w:val="single" w:sz="8" w:color="auto"/>
            </w:tcBorders>
          </w:tcPr>
          <w:p>
            <w:pPr>
              <w:spacing w:after="0"/>
              <w:rPr>
                <w:sz w:val="21"/>
                <w:szCs w:val="21"/>
                <w:color w:val="auto"/>
              </w:rPr>
            </w:pPr>
          </w:p>
        </w:tc>
        <w:tc>
          <w:tcPr>
            <w:tcW w:w="38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580" w:type="dxa"/>
            <w:vAlign w:val="bottom"/>
            <w:tcBorders>
              <w:bottom w:val="single" w:sz="8" w:color="auto"/>
            </w:tcBorders>
            <w:gridSpan w:val="5"/>
          </w:tcPr>
          <w:p>
            <w:pPr>
              <w:ind w:left="120"/>
              <w:spacing w:after="0"/>
              <w:rPr>
                <w:sz w:val="20"/>
                <w:szCs w:val="20"/>
                <w:color w:val="auto"/>
              </w:rPr>
            </w:pPr>
            <w:r>
              <w:rPr>
                <w:rFonts w:ascii="Times New Roman" w:cs="Times New Roman" w:eastAsia="Times New Roman" w:hAnsi="Times New Roman"/>
                <w:sz w:val="18"/>
                <w:szCs w:val="18"/>
                <w:b w:val="1"/>
                <w:bCs w:val="1"/>
                <w:color w:val="auto"/>
              </w:rPr>
              <w:t>Q1 Per Case</w:t>
            </w:r>
          </w:p>
        </w:tc>
        <w:tc>
          <w:tcPr>
            <w:tcW w:w="900" w:type="dxa"/>
            <w:vAlign w:val="bottom"/>
            <w:tcBorders>
              <w:bottom w:val="single" w:sz="8" w:color="auto"/>
            </w:tcBorders>
          </w:tcPr>
          <w:p>
            <w:pPr>
              <w:spacing w:after="0"/>
              <w:rPr>
                <w:sz w:val="21"/>
                <w:szCs w:val="21"/>
                <w:color w:val="auto"/>
              </w:rPr>
            </w:pPr>
          </w:p>
        </w:tc>
        <w:tc>
          <w:tcPr>
            <w:tcW w:w="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6"/>
        </w:trPr>
        <w:tc>
          <w:tcPr>
            <w:tcW w:w="1380" w:type="dxa"/>
            <w:vAlign w:val="bottom"/>
            <w:tcBorders>
              <w:bottom w:val="single" w:sz="8" w:color="CCEEFF"/>
            </w:tcBorders>
          </w:tcPr>
          <w:p>
            <w:pPr>
              <w:spacing w:after="0"/>
              <w:rPr>
                <w:sz w:val="20"/>
                <w:szCs w:val="20"/>
                <w:color w:val="auto"/>
              </w:rPr>
            </w:pPr>
          </w:p>
        </w:tc>
        <w:tc>
          <w:tcPr>
            <w:tcW w:w="148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center"/>
              <w:ind w:right="150"/>
              <w:spacing w:after="0"/>
              <w:rPr>
                <w:sz w:val="20"/>
                <w:szCs w:val="20"/>
                <w:color w:val="auto"/>
              </w:rPr>
            </w:pPr>
            <w:r>
              <w:rPr>
                <w:rFonts w:ascii="Times New Roman" w:cs="Times New Roman" w:eastAsia="Times New Roman" w:hAnsi="Times New Roman"/>
                <w:sz w:val="18"/>
                <w:szCs w:val="18"/>
                <w:b w:val="1"/>
                <w:bCs w:val="1"/>
                <w:color w:val="auto"/>
              </w:rPr>
              <w:t>Q1</w:t>
            </w:r>
          </w:p>
        </w:tc>
        <w:tc>
          <w:tcPr>
            <w:tcW w:w="380" w:type="dxa"/>
            <w:vAlign w:val="bottom"/>
            <w:tcBorders>
              <w:bottom w:val="single" w:sz="8" w:color="CCEEFF"/>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center"/>
              <w:ind w:right="130"/>
              <w:spacing w:after="0"/>
              <w:rPr>
                <w:sz w:val="20"/>
                <w:szCs w:val="20"/>
                <w:color w:val="auto"/>
              </w:rPr>
            </w:pPr>
            <w:r>
              <w:rPr>
                <w:rFonts w:ascii="Times New Roman" w:cs="Times New Roman" w:eastAsia="Times New Roman" w:hAnsi="Times New Roman"/>
                <w:sz w:val="18"/>
                <w:szCs w:val="18"/>
                <w:b w:val="1"/>
                <w:bCs w:val="1"/>
                <w:color w:val="auto"/>
                <w:w w:val="95"/>
              </w:rPr>
              <w:t>Q1</w:t>
            </w:r>
          </w:p>
        </w:tc>
        <w:tc>
          <w:tcPr>
            <w:tcW w:w="380" w:type="dxa"/>
            <w:vAlign w:val="bottom"/>
            <w:tcBorders>
              <w:bottom w:val="single" w:sz="8" w:color="CCEEFF"/>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jc w:val="center"/>
              <w:ind w:left="130"/>
              <w:spacing w:after="0"/>
              <w:rPr>
                <w:sz w:val="20"/>
                <w:szCs w:val="20"/>
                <w:color w:val="auto"/>
              </w:rPr>
            </w:pPr>
            <w:r>
              <w:rPr>
                <w:rFonts w:ascii="Times New Roman" w:cs="Times New Roman" w:eastAsia="Times New Roman" w:hAnsi="Times New Roman"/>
                <w:sz w:val="18"/>
                <w:szCs w:val="18"/>
                <w:b w:val="1"/>
                <w:bCs w:val="1"/>
                <w:color w:val="auto"/>
                <w:w w:val="95"/>
              </w:rPr>
              <w:t>Q1</w:t>
            </w:r>
          </w:p>
        </w:tc>
        <w:tc>
          <w:tcPr>
            <w:tcW w:w="320" w:type="dxa"/>
            <w:vAlign w:val="bottom"/>
            <w:tcBorders>
              <w:bottom w:val="single" w:sz="8" w:color="auto"/>
            </w:tcBorders>
          </w:tcPr>
          <w:p>
            <w:pPr>
              <w:spacing w:after="0"/>
              <w:rPr>
                <w:sz w:val="20"/>
                <w:szCs w:val="20"/>
                <w:color w:val="auto"/>
              </w:rPr>
            </w:pPr>
          </w:p>
        </w:tc>
        <w:tc>
          <w:tcPr>
            <w:tcW w:w="38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60" w:type="dxa"/>
            <w:vAlign w:val="bottom"/>
            <w:tcBorders>
              <w:bottom w:val="single" w:sz="8" w:color="CCEEFF"/>
            </w:tcBorders>
          </w:tcPr>
          <w:p>
            <w:pPr>
              <w:spacing w:after="0"/>
              <w:rPr>
                <w:sz w:val="20"/>
                <w:szCs w:val="20"/>
                <w:color w:val="auto"/>
              </w:rPr>
            </w:pPr>
          </w:p>
        </w:tc>
        <w:tc>
          <w:tcPr>
            <w:tcW w:w="16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2023</w:t>
            </w:r>
          </w:p>
        </w:tc>
        <w:tc>
          <w:tcPr>
            <w:tcW w:w="320" w:type="dxa"/>
            <w:vAlign w:val="bottom"/>
            <w:tcBorders>
              <w:bottom w:val="single" w:sz="8" w:color="CCEEFF"/>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8"/>
                <w:szCs w:val="18"/>
                <w:b w:val="1"/>
                <w:bCs w:val="1"/>
                <w:color w:val="auto"/>
              </w:rPr>
              <w:t>vs PY</w:t>
            </w:r>
          </w:p>
        </w:tc>
        <w:tc>
          <w:tcPr>
            <w:tcW w:w="16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1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Cases:</w:t>
            </w:r>
          </w:p>
        </w:tc>
        <w:tc>
          <w:tcPr>
            <w:tcW w:w="14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1480" w:type="dxa"/>
            <w:vAlign w:val="bottom"/>
          </w:tcPr>
          <w:p>
            <w:pPr>
              <w:jc w:val="center"/>
              <w:ind w:right="50"/>
              <w:spacing w:after="0"/>
              <w:rPr>
                <w:sz w:val="20"/>
                <w:szCs w:val="20"/>
                <w:color w:val="auto"/>
              </w:rPr>
            </w:pPr>
            <w:r>
              <w:rPr>
                <w:rFonts w:ascii="Times New Roman" w:cs="Times New Roman" w:eastAsia="Times New Roman" w:hAnsi="Times New Roman"/>
                <w:sz w:val="18"/>
                <w:szCs w:val="18"/>
                <w:color w:val="auto"/>
                <w:w w:val="99"/>
              </w:rPr>
              <w:t>Reed’s</w:t>
            </w:r>
          </w:p>
        </w:tc>
        <w:tc>
          <w:tcPr>
            <w:tcW w:w="240" w:type="dxa"/>
            <w:vAlign w:val="bottom"/>
          </w:tcPr>
          <w:p>
            <w:pPr>
              <w:spacing w:after="0"/>
              <w:rPr>
                <w:sz w:val="18"/>
                <w:szCs w:val="18"/>
                <w:color w:val="auto"/>
              </w:rPr>
            </w:pPr>
          </w:p>
        </w:tc>
        <w:tc>
          <w:tcPr>
            <w:tcW w:w="126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348</w:t>
            </w:r>
          </w:p>
        </w:tc>
        <w:tc>
          <w:tcPr>
            <w:tcW w:w="220" w:type="dxa"/>
            <w:vAlign w:val="bottom"/>
          </w:tcPr>
          <w:p>
            <w:pPr>
              <w:spacing w:after="0"/>
              <w:rPr>
                <w:sz w:val="18"/>
                <w:szCs w:val="18"/>
                <w:color w:val="auto"/>
              </w:rPr>
            </w:pPr>
          </w:p>
        </w:tc>
        <w:tc>
          <w:tcPr>
            <w:tcW w:w="126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370</w:t>
            </w: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7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w:t>
            </w: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1380" w:type="dxa"/>
            <w:vAlign w:val="bottom"/>
            <w:shd w:val="clear" w:color="auto" w:fill="CCEEFF"/>
          </w:tcPr>
          <w:p>
            <w:pPr>
              <w:spacing w:after="0"/>
              <w:rPr>
                <w:sz w:val="19"/>
                <w:szCs w:val="19"/>
                <w:color w:val="auto"/>
              </w:rPr>
            </w:pPr>
          </w:p>
        </w:tc>
        <w:tc>
          <w:tcPr>
            <w:tcW w:w="1480" w:type="dxa"/>
            <w:vAlign w:val="bottom"/>
            <w:shd w:val="clear" w:color="auto" w:fill="CCEEFF"/>
          </w:tcPr>
          <w:p>
            <w:pPr>
              <w:jc w:val="center"/>
              <w:ind w:right="50"/>
              <w:spacing w:after="0"/>
              <w:rPr>
                <w:sz w:val="20"/>
                <w:szCs w:val="20"/>
                <w:color w:val="auto"/>
              </w:rPr>
            </w:pPr>
            <w:r>
              <w:rPr>
                <w:rFonts w:ascii="Times New Roman" w:cs="Times New Roman" w:eastAsia="Times New Roman" w:hAnsi="Times New Roman"/>
                <w:sz w:val="18"/>
                <w:szCs w:val="18"/>
                <w:color w:val="auto"/>
                <w:w w:val="96"/>
              </w:rPr>
              <w:t>Virgil’s</w:t>
            </w: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w:t>
            </w:r>
          </w:p>
        </w:tc>
        <w:tc>
          <w:tcPr>
            <w:tcW w:w="3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241</w:t>
            </w:r>
          </w:p>
        </w:tc>
        <w:tc>
          <w:tcPr>
            <w:tcW w:w="10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7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-37%</w:t>
            </w: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38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CCEEFF"/>
            </w:tcBorders>
            <w:vMerge w:val="restart"/>
          </w:tcPr>
          <w:p>
            <w:pPr>
              <w:jc w:val="center"/>
              <w:ind w:right="70"/>
              <w:spacing w:after="0"/>
              <w:rPr>
                <w:sz w:val="20"/>
                <w:szCs w:val="20"/>
                <w:color w:val="auto"/>
              </w:rPr>
            </w:pPr>
            <w:r>
              <w:rPr>
                <w:rFonts w:ascii="Times New Roman" w:cs="Times New Roman" w:eastAsia="Times New Roman" w:hAnsi="Times New Roman"/>
                <w:sz w:val="18"/>
                <w:szCs w:val="18"/>
                <w:color w:val="auto"/>
                <w:w w:val="98"/>
              </w:rPr>
              <w:t>Total Core</w:t>
            </w: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380" w:type="dxa"/>
            <w:vAlign w:val="bottom"/>
            <w:tcBorders>
              <w:top w:val="single" w:sz="8" w:color="CCEEFF"/>
            </w:tcBorders>
            <w:vMerge w:val="restart"/>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380" w:type="dxa"/>
            <w:vAlign w:val="bottom"/>
            <w:tcBorders>
              <w:top w:val="single" w:sz="8" w:color="CCEEFF"/>
            </w:tcBorders>
            <w:vMerge w:val="restart"/>
          </w:tcPr>
          <w:p>
            <w:pPr>
              <w:spacing w:after="0" w:line="20" w:lineRule="exact"/>
              <w:rPr>
                <w:sz w:val="1"/>
                <w:szCs w:val="1"/>
                <w:color w:val="auto"/>
              </w:rPr>
            </w:pPr>
          </w:p>
        </w:tc>
        <w:tc>
          <w:tcPr>
            <w:tcW w:w="100" w:type="dxa"/>
            <w:vAlign w:val="bottom"/>
            <w:tcBorders>
              <w:top w:val="single" w:sz="8" w:color="CCEEFF"/>
            </w:tcBorders>
            <w:vMerge w:val="restart"/>
          </w:tcPr>
          <w:p>
            <w:pPr>
              <w:spacing w:after="0" w:line="20" w:lineRule="exact"/>
              <w:rPr>
                <w:sz w:val="1"/>
                <w:szCs w:val="1"/>
                <w:color w:val="auto"/>
              </w:rPr>
            </w:pPr>
          </w:p>
        </w:tc>
        <w:tc>
          <w:tcPr>
            <w:tcW w:w="680" w:type="dxa"/>
            <w:vAlign w:val="bottom"/>
            <w:tcBorders>
              <w:top w:val="single" w:sz="8" w:color="auto"/>
            </w:tcBorders>
            <w:shd w:val="clear" w:color="auto" w:fill="000000"/>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3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1380" w:type="dxa"/>
            <w:vAlign w:val="bottom"/>
          </w:tcPr>
          <w:p>
            <w:pPr>
              <w:spacing w:after="0"/>
              <w:rPr>
                <w:sz w:val="17"/>
                <w:szCs w:val="17"/>
                <w:color w:val="auto"/>
              </w:rPr>
            </w:pPr>
          </w:p>
        </w:tc>
        <w:tc>
          <w:tcPr>
            <w:tcW w:w="1480" w:type="dxa"/>
            <w:vAlign w:val="bottom"/>
            <w:vMerge w:val="continue"/>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499</w:t>
            </w:r>
          </w:p>
        </w:tc>
        <w:tc>
          <w:tcPr>
            <w:tcW w:w="380" w:type="dxa"/>
            <w:vAlign w:val="bottom"/>
            <w:vMerge w:val="continue"/>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611</w:t>
            </w:r>
          </w:p>
        </w:tc>
        <w:tc>
          <w:tcPr>
            <w:tcW w:w="380" w:type="dxa"/>
            <w:vAlign w:val="bottom"/>
            <w:vMerge w:val="continue"/>
          </w:tcPr>
          <w:p>
            <w:pPr>
              <w:spacing w:after="0"/>
              <w:rPr>
                <w:sz w:val="17"/>
                <w:szCs w:val="17"/>
                <w:color w:val="auto"/>
              </w:rPr>
            </w:pPr>
          </w:p>
        </w:tc>
        <w:tc>
          <w:tcPr>
            <w:tcW w:w="100" w:type="dxa"/>
            <w:vAlign w:val="bottom"/>
            <w:vMerge w:val="continue"/>
          </w:tcPr>
          <w:p>
            <w:pPr>
              <w:spacing w:after="0"/>
              <w:rPr>
                <w:sz w:val="17"/>
                <w:szCs w:val="17"/>
                <w:color w:val="auto"/>
              </w:rPr>
            </w:pPr>
          </w:p>
        </w:tc>
        <w:tc>
          <w:tcPr>
            <w:tcW w:w="680" w:type="dxa"/>
            <w:vAlign w:val="bottom"/>
          </w:tcPr>
          <w:p>
            <w:pPr>
              <w:spacing w:after="0"/>
              <w:rPr>
                <w:sz w:val="17"/>
                <w:szCs w:val="17"/>
                <w:color w:val="auto"/>
              </w:rPr>
            </w:pPr>
          </w:p>
        </w:tc>
        <w:tc>
          <w:tcPr>
            <w:tcW w:w="700" w:type="dxa"/>
            <w:vAlign w:val="bottom"/>
            <w:gridSpan w:val="2"/>
          </w:tcPr>
          <w:p>
            <w:pPr>
              <w:jc w:val="right"/>
              <w:ind w:right="220"/>
              <w:spacing w:after="0" w:line="203" w:lineRule="exact"/>
              <w:rPr>
                <w:sz w:val="20"/>
                <w:szCs w:val="20"/>
                <w:color w:val="auto"/>
              </w:rPr>
            </w:pPr>
            <w:r>
              <w:rPr>
                <w:rFonts w:ascii="Times New Roman" w:cs="Times New Roman" w:eastAsia="Times New Roman" w:hAnsi="Times New Roman"/>
                <w:sz w:val="18"/>
                <w:szCs w:val="18"/>
                <w:color w:val="auto"/>
              </w:rPr>
              <w:t>-18%</w:t>
            </w: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1380" w:type="dxa"/>
            <w:vAlign w:val="bottom"/>
            <w:shd w:val="clear" w:color="auto" w:fill="CCEEFF"/>
          </w:tcPr>
          <w:p>
            <w:pPr>
              <w:spacing w:after="0"/>
              <w:rPr>
                <w:sz w:val="19"/>
                <w:szCs w:val="19"/>
                <w:color w:val="auto"/>
              </w:rPr>
            </w:pPr>
          </w:p>
        </w:tc>
        <w:tc>
          <w:tcPr>
            <w:tcW w:w="1480" w:type="dxa"/>
            <w:vAlign w:val="bottom"/>
            <w:shd w:val="clear" w:color="auto" w:fill="CCEEFF"/>
          </w:tcPr>
          <w:p>
            <w:pPr>
              <w:jc w:val="center"/>
              <w:ind w:right="50"/>
              <w:spacing w:after="0"/>
              <w:rPr>
                <w:sz w:val="20"/>
                <w:szCs w:val="20"/>
                <w:color w:val="auto"/>
              </w:rPr>
            </w:pPr>
            <w:r>
              <w:rPr>
                <w:rFonts w:ascii="Times New Roman" w:cs="Times New Roman" w:eastAsia="Times New Roman" w:hAnsi="Times New Roman"/>
                <w:sz w:val="18"/>
                <w:szCs w:val="18"/>
                <w:color w:val="auto"/>
                <w:w w:val="99"/>
              </w:rPr>
              <w:t>Non Core</w:t>
            </w: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7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w w:val="95"/>
              </w:rPr>
              <w:t>-100%</w:t>
            </w: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38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CCEEFF"/>
            </w:tcBorders>
            <w:vMerge w:val="restart"/>
          </w:tcPr>
          <w:p>
            <w:pPr>
              <w:jc w:val="center"/>
              <w:ind w:right="50"/>
              <w:spacing w:after="0"/>
              <w:rPr>
                <w:sz w:val="20"/>
                <w:szCs w:val="20"/>
                <w:color w:val="auto"/>
              </w:rPr>
            </w:pPr>
            <w:r>
              <w:rPr>
                <w:rFonts w:ascii="Times New Roman" w:cs="Times New Roman" w:eastAsia="Times New Roman" w:hAnsi="Times New Roman"/>
                <w:sz w:val="18"/>
                <w:szCs w:val="18"/>
                <w:color w:val="auto"/>
                <w:w w:val="99"/>
              </w:rPr>
              <w:t>Total</w:t>
            </w: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380" w:type="dxa"/>
            <w:vAlign w:val="bottom"/>
            <w:tcBorders>
              <w:top w:val="single" w:sz="8" w:color="CCEEFF"/>
            </w:tcBorders>
            <w:vMerge w:val="restart"/>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380" w:type="dxa"/>
            <w:vAlign w:val="bottom"/>
            <w:tcBorders>
              <w:top w:val="single" w:sz="8" w:color="CCEEFF"/>
            </w:tcBorders>
            <w:vMerge w:val="restart"/>
          </w:tcPr>
          <w:p>
            <w:pPr>
              <w:spacing w:after="0" w:line="20" w:lineRule="exact"/>
              <w:rPr>
                <w:sz w:val="1"/>
                <w:szCs w:val="1"/>
                <w:color w:val="auto"/>
              </w:rPr>
            </w:pPr>
          </w:p>
        </w:tc>
        <w:tc>
          <w:tcPr>
            <w:tcW w:w="100" w:type="dxa"/>
            <w:vAlign w:val="bottom"/>
            <w:tcBorders>
              <w:top w:val="single" w:sz="8" w:color="CCEEFF"/>
            </w:tcBorders>
            <w:vMerge w:val="restart"/>
          </w:tcPr>
          <w:p>
            <w:pPr>
              <w:spacing w:after="0" w:line="20" w:lineRule="exact"/>
              <w:rPr>
                <w:sz w:val="1"/>
                <w:szCs w:val="1"/>
                <w:color w:val="auto"/>
              </w:rPr>
            </w:pPr>
          </w:p>
        </w:tc>
        <w:tc>
          <w:tcPr>
            <w:tcW w:w="680" w:type="dxa"/>
            <w:vAlign w:val="bottom"/>
            <w:tcBorders>
              <w:top w:val="single" w:sz="8" w:color="auto"/>
            </w:tcBorders>
            <w:shd w:val="clear" w:color="auto" w:fill="000000"/>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3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1380" w:type="dxa"/>
            <w:vAlign w:val="bottom"/>
          </w:tcPr>
          <w:p>
            <w:pPr>
              <w:spacing w:after="0"/>
              <w:rPr>
                <w:sz w:val="17"/>
                <w:szCs w:val="17"/>
                <w:color w:val="auto"/>
              </w:rPr>
            </w:pPr>
          </w:p>
        </w:tc>
        <w:tc>
          <w:tcPr>
            <w:tcW w:w="1480" w:type="dxa"/>
            <w:vAlign w:val="bottom"/>
            <w:vMerge w:val="continue"/>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499</w:t>
            </w:r>
          </w:p>
        </w:tc>
        <w:tc>
          <w:tcPr>
            <w:tcW w:w="380" w:type="dxa"/>
            <w:vAlign w:val="bottom"/>
            <w:vMerge w:val="continue"/>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613</w:t>
            </w:r>
          </w:p>
        </w:tc>
        <w:tc>
          <w:tcPr>
            <w:tcW w:w="380" w:type="dxa"/>
            <w:vAlign w:val="bottom"/>
            <w:vMerge w:val="continue"/>
          </w:tcPr>
          <w:p>
            <w:pPr>
              <w:spacing w:after="0"/>
              <w:rPr>
                <w:sz w:val="17"/>
                <w:szCs w:val="17"/>
                <w:color w:val="auto"/>
              </w:rPr>
            </w:pPr>
          </w:p>
        </w:tc>
        <w:tc>
          <w:tcPr>
            <w:tcW w:w="100" w:type="dxa"/>
            <w:vAlign w:val="bottom"/>
            <w:vMerge w:val="continue"/>
          </w:tcPr>
          <w:p>
            <w:pPr>
              <w:spacing w:after="0"/>
              <w:rPr>
                <w:sz w:val="17"/>
                <w:szCs w:val="17"/>
                <w:color w:val="auto"/>
              </w:rPr>
            </w:pPr>
          </w:p>
        </w:tc>
        <w:tc>
          <w:tcPr>
            <w:tcW w:w="680" w:type="dxa"/>
            <w:vAlign w:val="bottom"/>
          </w:tcPr>
          <w:p>
            <w:pPr>
              <w:spacing w:after="0"/>
              <w:rPr>
                <w:sz w:val="17"/>
                <w:szCs w:val="17"/>
                <w:color w:val="auto"/>
              </w:rPr>
            </w:pPr>
          </w:p>
        </w:tc>
        <w:tc>
          <w:tcPr>
            <w:tcW w:w="700" w:type="dxa"/>
            <w:vAlign w:val="bottom"/>
            <w:gridSpan w:val="2"/>
          </w:tcPr>
          <w:p>
            <w:pPr>
              <w:jc w:val="right"/>
              <w:ind w:right="220"/>
              <w:spacing w:after="0" w:line="203" w:lineRule="exact"/>
              <w:rPr>
                <w:sz w:val="20"/>
                <w:szCs w:val="20"/>
                <w:color w:val="auto"/>
              </w:rPr>
            </w:pPr>
            <w:r>
              <w:rPr>
                <w:rFonts w:ascii="Times New Roman" w:cs="Times New Roman" w:eastAsia="Times New Roman" w:hAnsi="Times New Roman"/>
                <w:sz w:val="18"/>
                <w:szCs w:val="18"/>
                <w:color w:val="auto"/>
              </w:rPr>
              <w:t>-19%</w:t>
            </w: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38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80" w:type="dxa"/>
            <w:vAlign w:val="bottom"/>
          </w:tcPr>
          <w:p>
            <w:pPr>
              <w:spacing w:after="0"/>
              <w:rPr>
                <w:sz w:val="20"/>
                <w:szCs w:val="20"/>
                <w:color w:val="auto"/>
              </w:rPr>
            </w:pPr>
            <w:r>
              <w:rPr>
                <w:rFonts w:ascii="Times New Roman" w:cs="Times New Roman" w:eastAsia="Times New Roman" w:hAnsi="Times New Roman"/>
                <w:sz w:val="18"/>
                <w:szCs w:val="18"/>
                <w:color w:val="auto"/>
              </w:rPr>
              <w:t>Gross Billing:</w:t>
            </w:r>
          </w:p>
        </w:tc>
        <w:tc>
          <w:tcPr>
            <w:tcW w:w="14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80" w:type="dxa"/>
            <w:vAlign w:val="bottom"/>
            <w:shd w:val="clear" w:color="auto" w:fill="CCEEFF"/>
          </w:tcPr>
          <w:p>
            <w:pPr>
              <w:spacing w:after="0"/>
              <w:rPr>
                <w:sz w:val="18"/>
                <w:szCs w:val="18"/>
                <w:color w:val="auto"/>
              </w:rPr>
            </w:pPr>
          </w:p>
        </w:tc>
        <w:tc>
          <w:tcPr>
            <w:tcW w:w="1480" w:type="dxa"/>
            <w:vAlign w:val="bottom"/>
            <w:shd w:val="clear" w:color="auto" w:fill="CCEEFF"/>
          </w:tcPr>
          <w:p>
            <w:pPr>
              <w:jc w:val="center"/>
              <w:ind w:right="50"/>
              <w:spacing w:after="0"/>
              <w:rPr>
                <w:sz w:val="20"/>
                <w:szCs w:val="20"/>
                <w:color w:val="auto"/>
              </w:rPr>
            </w:pPr>
            <w:r>
              <w:rPr>
                <w:rFonts w:ascii="Times New Roman" w:cs="Times New Roman" w:eastAsia="Times New Roman" w:hAnsi="Times New Roman"/>
                <w:sz w:val="18"/>
                <w:szCs w:val="18"/>
                <w:color w:val="auto"/>
                <w:w w:val="97"/>
              </w:rPr>
              <w:t>Core</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10,377</w:t>
            </w:r>
          </w:p>
        </w:tc>
        <w:tc>
          <w:tcPr>
            <w:tcW w:w="220" w:type="dxa"/>
            <w:vAlign w:val="bottom"/>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126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12,333</w:t>
            </w: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-16%</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20.80</w:t>
            </w:r>
          </w:p>
        </w:tc>
        <w:tc>
          <w:tcPr>
            <w:tcW w:w="360" w:type="dxa"/>
            <w:vAlign w:val="bottom"/>
            <w:gridSpan w:val="2"/>
            <w:shd w:val="clear" w:color="auto" w:fill="CCEEFF"/>
          </w:tcPr>
          <w:p>
            <w:pPr>
              <w:jc w:val="right"/>
              <w:ind w:right="36"/>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20.18</w:t>
            </w: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30"/>
        </w:trPr>
        <w:tc>
          <w:tcPr>
            <w:tcW w:w="1380" w:type="dxa"/>
            <w:vAlign w:val="bottom"/>
          </w:tcPr>
          <w:p>
            <w:pPr>
              <w:spacing w:after="0"/>
              <w:rPr>
                <w:sz w:val="19"/>
                <w:szCs w:val="19"/>
                <w:color w:val="auto"/>
              </w:rPr>
            </w:pPr>
          </w:p>
        </w:tc>
        <w:tc>
          <w:tcPr>
            <w:tcW w:w="1480" w:type="dxa"/>
            <w:vAlign w:val="bottom"/>
          </w:tcPr>
          <w:p>
            <w:pPr>
              <w:jc w:val="center"/>
              <w:ind w:right="50"/>
              <w:spacing w:after="0"/>
              <w:rPr>
                <w:sz w:val="20"/>
                <w:szCs w:val="20"/>
                <w:color w:val="auto"/>
              </w:rPr>
            </w:pPr>
            <w:r>
              <w:rPr>
                <w:rFonts w:ascii="Times New Roman" w:cs="Times New Roman" w:eastAsia="Times New Roman" w:hAnsi="Times New Roman"/>
                <w:sz w:val="18"/>
                <w:szCs w:val="18"/>
                <w:color w:val="auto"/>
                <w:w w:val="99"/>
              </w:rPr>
              <w:t>Non Core</w:t>
            </w: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3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6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120</w:t>
            </w:r>
          </w:p>
        </w:tc>
        <w:tc>
          <w:tcPr>
            <w:tcW w:w="1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-98%</w:t>
            </w:r>
          </w:p>
        </w:tc>
        <w:tc>
          <w:tcPr>
            <w:tcW w:w="240" w:type="dxa"/>
            <w:vAlign w:val="bottom"/>
          </w:tcPr>
          <w:p>
            <w:pPr>
              <w:spacing w:after="0"/>
              <w:rPr>
                <w:sz w:val="19"/>
                <w:szCs w:val="19"/>
                <w:color w:val="auto"/>
              </w:rPr>
            </w:pP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gridSpan w:val="2"/>
          </w:tcPr>
          <w:p>
            <w:pPr>
              <w:jc w:val="right"/>
              <w:ind w:right="36"/>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60.60-</w:t>
            </w:r>
          </w:p>
        </w:tc>
        <w:tc>
          <w:tcPr>
            <w:tcW w:w="1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
        </w:trPr>
        <w:tc>
          <w:tcPr>
            <w:tcW w:w="1380" w:type="dxa"/>
            <w:vAlign w:val="bottom"/>
            <w:shd w:val="clear" w:color="auto" w:fill="CCEEFF"/>
          </w:tcPr>
          <w:p>
            <w:pPr>
              <w:spacing w:after="0"/>
              <w:rPr>
                <w:sz w:val="2"/>
                <w:szCs w:val="2"/>
                <w:color w:val="auto"/>
              </w:rPr>
            </w:pPr>
          </w:p>
        </w:tc>
        <w:tc>
          <w:tcPr>
            <w:tcW w:w="1480" w:type="dxa"/>
            <w:vAlign w:val="bottom"/>
            <w:vMerge w:val="restart"/>
            <w:shd w:val="clear" w:color="auto" w:fill="CCEEFF"/>
          </w:tcPr>
          <w:p>
            <w:pPr>
              <w:jc w:val="center"/>
              <w:ind w:right="50"/>
              <w:spacing w:after="0"/>
              <w:rPr>
                <w:sz w:val="20"/>
                <w:szCs w:val="20"/>
                <w:color w:val="auto"/>
              </w:rPr>
            </w:pPr>
            <w:r>
              <w:rPr>
                <w:rFonts w:ascii="Times New Roman" w:cs="Times New Roman" w:eastAsia="Times New Roman" w:hAnsi="Times New Roman"/>
                <w:sz w:val="18"/>
                <w:szCs w:val="18"/>
                <w:color w:val="auto"/>
                <w:w w:val="99"/>
              </w:rPr>
              <w:t>Total</w:t>
            </w: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380" w:type="dxa"/>
            <w:vAlign w:val="bottom"/>
            <w:vMerge w:val="restart"/>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380" w:type="dxa"/>
            <w:vAlign w:val="bottom"/>
            <w:vMerge w:val="restart"/>
            <w:shd w:val="clear" w:color="auto" w:fill="CCEEFF"/>
          </w:tcPr>
          <w:p>
            <w:pPr>
              <w:spacing w:after="0"/>
              <w:rPr>
                <w:sz w:val="2"/>
                <w:szCs w:val="2"/>
                <w:color w:val="auto"/>
              </w:rPr>
            </w:pPr>
          </w:p>
        </w:tc>
        <w:tc>
          <w:tcPr>
            <w:tcW w:w="100" w:type="dxa"/>
            <w:vAlign w:val="bottom"/>
            <w:vMerge w:val="restart"/>
            <w:shd w:val="clear" w:color="auto" w:fill="CCEEFF"/>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60" w:type="dxa"/>
            <w:vAlign w:val="bottom"/>
            <w:vMerge w:val="restart"/>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320" w:type="dxa"/>
            <w:vAlign w:val="bottom"/>
            <w:vMerge w:val="restart"/>
            <w:shd w:val="clear" w:color="auto" w:fill="CCEEFF"/>
          </w:tcPr>
          <w:p>
            <w:pPr>
              <w:spacing w:after="0"/>
              <w:rPr>
                <w:sz w:val="2"/>
                <w:szCs w:val="2"/>
                <w:color w:val="auto"/>
              </w:rPr>
            </w:pPr>
          </w:p>
        </w:tc>
        <w:tc>
          <w:tcPr>
            <w:tcW w:w="100" w:type="dxa"/>
            <w:vAlign w:val="bottom"/>
            <w:vMerge w:val="restart"/>
            <w:shd w:val="clear" w:color="auto" w:fill="CCEEFF"/>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1380" w:type="dxa"/>
            <w:vAlign w:val="bottom"/>
            <w:shd w:val="clear" w:color="auto" w:fill="CCEEFF"/>
          </w:tcPr>
          <w:p>
            <w:pPr>
              <w:spacing w:after="0"/>
              <w:rPr>
                <w:sz w:val="18"/>
                <w:szCs w:val="18"/>
                <w:color w:val="auto"/>
              </w:rPr>
            </w:pPr>
          </w:p>
        </w:tc>
        <w:tc>
          <w:tcPr>
            <w:tcW w:w="1480" w:type="dxa"/>
            <w:vAlign w:val="bottom"/>
            <w:vMerge w:val="continue"/>
            <w:shd w:val="clear" w:color="auto" w:fill="CCEEFF"/>
          </w:tcPr>
          <w:p>
            <w:pPr>
              <w:spacing w:after="0"/>
              <w:rPr>
                <w:sz w:val="18"/>
                <w:szCs w:val="18"/>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10,379</w:t>
            </w:r>
          </w:p>
        </w:tc>
        <w:tc>
          <w:tcPr>
            <w:tcW w:w="380" w:type="dxa"/>
            <w:vAlign w:val="bottom"/>
            <w:vMerge w:val="continue"/>
            <w:shd w:val="clear" w:color="auto" w:fill="CCEEFF"/>
          </w:tcPr>
          <w:p>
            <w:pPr>
              <w:spacing w:after="0"/>
              <w:rPr>
                <w:sz w:val="18"/>
                <w:szCs w:val="18"/>
                <w:color w:val="auto"/>
              </w:rPr>
            </w:pPr>
          </w:p>
        </w:tc>
        <w:tc>
          <w:tcPr>
            <w:tcW w:w="220" w:type="dxa"/>
            <w:vAlign w:val="bottom"/>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12,453</w:t>
            </w:r>
          </w:p>
        </w:tc>
        <w:tc>
          <w:tcPr>
            <w:tcW w:w="380" w:type="dxa"/>
            <w:vAlign w:val="bottom"/>
            <w:vMerge w:val="continue"/>
            <w:shd w:val="clear" w:color="auto" w:fill="CCEEFF"/>
          </w:tcPr>
          <w:p>
            <w:pPr>
              <w:spacing w:after="0"/>
              <w:rPr>
                <w:sz w:val="18"/>
                <w:szCs w:val="18"/>
                <w:color w:val="auto"/>
              </w:rPr>
            </w:pPr>
          </w:p>
        </w:tc>
        <w:tc>
          <w:tcPr>
            <w:tcW w:w="100" w:type="dxa"/>
            <w:vAlign w:val="bottom"/>
            <w:vMerge w:val="continue"/>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-17%</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20.80</w:t>
            </w:r>
          </w:p>
        </w:tc>
        <w:tc>
          <w:tcPr>
            <w:tcW w:w="160" w:type="dxa"/>
            <w:vAlign w:val="bottom"/>
            <w:vMerge w:val="continue"/>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20.31</w:t>
            </w:r>
          </w:p>
        </w:tc>
        <w:tc>
          <w:tcPr>
            <w:tcW w:w="320" w:type="dxa"/>
            <w:vAlign w:val="bottom"/>
            <w:vMerge w:val="continue"/>
            <w:shd w:val="clear" w:color="auto" w:fill="CCEEFF"/>
          </w:tcPr>
          <w:p>
            <w:pPr>
              <w:spacing w:after="0"/>
              <w:rPr>
                <w:sz w:val="18"/>
                <w:szCs w:val="18"/>
                <w:color w:val="auto"/>
              </w:rPr>
            </w:pPr>
          </w:p>
        </w:tc>
        <w:tc>
          <w:tcPr>
            <w:tcW w:w="100" w:type="dxa"/>
            <w:vAlign w:val="bottom"/>
            <w:vMerge w:val="continue"/>
            <w:shd w:val="clear" w:color="auto" w:fill="CCEEFF"/>
          </w:tcPr>
          <w:p>
            <w:pPr>
              <w:spacing w:after="0"/>
              <w:rPr>
                <w:sz w:val="18"/>
                <w:szCs w:val="18"/>
                <w:color w:val="auto"/>
              </w:rPr>
            </w:pPr>
          </w:p>
        </w:tc>
        <w:tc>
          <w:tcPr>
            <w:tcW w:w="10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Discounts:</w:t>
            </w:r>
          </w:p>
        </w:tc>
        <w:tc>
          <w:tcPr>
            <w:tcW w:w="1480" w:type="dxa"/>
            <w:vAlign w:val="bottom"/>
            <w:shd w:val="clear" w:color="auto" w:fill="CCEEFF"/>
          </w:tcPr>
          <w:p>
            <w:pPr>
              <w:jc w:val="center"/>
              <w:ind w:right="50"/>
              <w:spacing w:after="0"/>
              <w:rPr>
                <w:sz w:val="20"/>
                <w:szCs w:val="20"/>
                <w:color w:val="auto"/>
              </w:rPr>
            </w:pPr>
            <w:r>
              <w:rPr>
                <w:rFonts w:ascii="Times New Roman" w:cs="Times New Roman" w:eastAsia="Times New Roman" w:hAnsi="Times New Roman"/>
                <w:sz w:val="18"/>
                <w:szCs w:val="18"/>
                <w:color w:val="auto"/>
                <w:w w:val="99"/>
              </w:rPr>
              <w:t>Total</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(784)</w:t>
            </w:r>
          </w:p>
        </w:tc>
        <w:tc>
          <w:tcPr>
            <w:tcW w:w="220" w:type="dxa"/>
            <w:vAlign w:val="bottom"/>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12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(1,296)</w:t>
            </w: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-40%</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(1.57)</w:t>
            </w:r>
          </w:p>
        </w:tc>
        <w:tc>
          <w:tcPr>
            <w:tcW w:w="360" w:type="dxa"/>
            <w:vAlign w:val="bottom"/>
            <w:gridSpan w:val="2"/>
            <w:shd w:val="clear" w:color="auto" w:fill="CCEEFF"/>
          </w:tcPr>
          <w:p>
            <w:pPr>
              <w:jc w:val="right"/>
              <w:ind w:right="36"/>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(2.11)</w:t>
            </w: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-26%</w:t>
            </w: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COGS:</w:t>
            </w:r>
          </w:p>
        </w:tc>
        <w:tc>
          <w:tcPr>
            <w:tcW w:w="14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1480" w:type="dxa"/>
            <w:vAlign w:val="bottom"/>
          </w:tcPr>
          <w:p>
            <w:pPr>
              <w:jc w:val="center"/>
              <w:ind w:right="50"/>
              <w:spacing w:after="0"/>
              <w:rPr>
                <w:sz w:val="20"/>
                <w:szCs w:val="20"/>
                <w:color w:val="auto"/>
              </w:rPr>
            </w:pPr>
            <w:r>
              <w:rPr>
                <w:rFonts w:ascii="Times New Roman" w:cs="Times New Roman" w:eastAsia="Times New Roman" w:hAnsi="Times New Roman"/>
                <w:sz w:val="18"/>
                <w:szCs w:val="18"/>
                <w:color w:val="auto"/>
                <w:w w:val="97"/>
              </w:rPr>
              <w:t>Core</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(6,182)</w:t>
            </w:r>
          </w:p>
        </w:tc>
        <w:tc>
          <w:tcPr>
            <w:tcW w:w="220" w:type="dxa"/>
            <w:vAlign w:val="bottom"/>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12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(8,422)</w:t>
            </w: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7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-27%</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(12.39)</w:t>
            </w:r>
          </w:p>
        </w:tc>
        <w:tc>
          <w:tcPr>
            <w:tcW w:w="360" w:type="dxa"/>
            <w:vAlign w:val="bottom"/>
            <w:gridSpan w:val="2"/>
          </w:tcPr>
          <w:p>
            <w:pPr>
              <w:jc w:val="right"/>
              <w:ind w:right="36"/>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(13.78)</w:t>
            </w:r>
          </w:p>
        </w:tc>
        <w:tc>
          <w:tcPr>
            <w:tcW w:w="100" w:type="dxa"/>
            <w:vAlign w:val="bottom"/>
          </w:tcPr>
          <w:p>
            <w:pPr>
              <w:spacing w:after="0"/>
              <w:rPr>
                <w:sz w:val="18"/>
                <w:szCs w:val="18"/>
                <w:color w:val="auto"/>
              </w:rPr>
            </w:pPr>
          </w:p>
        </w:tc>
        <w:tc>
          <w:tcPr>
            <w:tcW w:w="10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-10%</w:t>
            </w:r>
          </w:p>
        </w:tc>
        <w:tc>
          <w:tcPr>
            <w:tcW w:w="0" w:type="dxa"/>
            <w:vAlign w:val="bottom"/>
          </w:tcPr>
          <w:p>
            <w:pPr>
              <w:spacing w:after="0"/>
              <w:rPr>
                <w:sz w:val="1"/>
                <w:szCs w:val="1"/>
                <w:color w:val="auto"/>
              </w:rPr>
            </w:pPr>
          </w:p>
        </w:tc>
      </w:tr>
      <w:tr>
        <w:trPr>
          <w:trHeight w:val="230"/>
        </w:trPr>
        <w:tc>
          <w:tcPr>
            <w:tcW w:w="1380" w:type="dxa"/>
            <w:vAlign w:val="bottom"/>
            <w:shd w:val="clear" w:color="auto" w:fill="CCEEFF"/>
          </w:tcPr>
          <w:p>
            <w:pPr>
              <w:spacing w:after="0"/>
              <w:rPr>
                <w:sz w:val="19"/>
                <w:szCs w:val="19"/>
                <w:color w:val="auto"/>
              </w:rPr>
            </w:pPr>
          </w:p>
        </w:tc>
        <w:tc>
          <w:tcPr>
            <w:tcW w:w="1480" w:type="dxa"/>
            <w:vAlign w:val="bottom"/>
            <w:shd w:val="clear" w:color="auto" w:fill="CCEEFF"/>
          </w:tcPr>
          <w:p>
            <w:pPr>
              <w:jc w:val="center"/>
              <w:ind w:right="50"/>
              <w:spacing w:after="0"/>
              <w:rPr>
                <w:sz w:val="20"/>
                <w:szCs w:val="20"/>
                <w:color w:val="auto"/>
              </w:rPr>
            </w:pPr>
            <w:r>
              <w:rPr>
                <w:rFonts w:ascii="Times New Roman" w:cs="Times New Roman" w:eastAsia="Times New Roman" w:hAnsi="Times New Roman"/>
                <w:sz w:val="18"/>
                <w:szCs w:val="18"/>
                <w:color w:val="auto"/>
                <w:w w:val="99"/>
              </w:rPr>
              <w:t>Non Core</w:t>
            </w: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(37)</w:t>
            </w:r>
          </w:p>
        </w:tc>
        <w:tc>
          <w:tcPr>
            <w:tcW w:w="10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7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w w:val="95"/>
              </w:rPr>
              <w:t>-100%</w:t>
            </w:r>
          </w:p>
        </w:tc>
        <w:tc>
          <w:tcPr>
            <w:tcW w:w="24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gridSpan w:val="2"/>
            <w:shd w:val="clear" w:color="auto" w:fill="CCEEFF"/>
          </w:tcPr>
          <w:p>
            <w:pPr>
              <w:jc w:val="right"/>
              <w:ind w:right="36"/>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(18.50)</w:t>
            </w:r>
          </w:p>
        </w:tc>
        <w:tc>
          <w:tcPr>
            <w:tcW w:w="10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38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CCEEFF"/>
            </w:tcBorders>
            <w:vMerge w:val="restart"/>
          </w:tcPr>
          <w:p>
            <w:pPr>
              <w:jc w:val="center"/>
              <w:ind w:right="50"/>
              <w:spacing w:after="0"/>
              <w:rPr>
                <w:sz w:val="20"/>
                <w:szCs w:val="20"/>
                <w:color w:val="auto"/>
              </w:rPr>
            </w:pPr>
            <w:r>
              <w:rPr>
                <w:rFonts w:ascii="Times New Roman" w:cs="Times New Roman" w:eastAsia="Times New Roman" w:hAnsi="Times New Roman"/>
                <w:sz w:val="18"/>
                <w:szCs w:val="18"/>
                <w:color w:val="auto"/>
                <w:w w:val="99"/>
              </w:rPr>
              <w:t>Total</w:t>
            </w: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380" w:type="dxa"/>
            <w:vAlign w:val="bottom"/>
            <w:tcBorders>
              <w:top w:val="single" w:sz="8" w:color="CCEEFF"/>
            </w:tcBorders>
            <w:vMerge w:val="restart"/>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380" w:type="dxa"/>
            <w:vAlign w:val="bottom"/>
            <w:tcBorders>
              <w:top w:val="single" w:sz="8" w:color="CCEEFF"/>
            </w:tcBorders>
            <w:vMerge w:val="restart"/>
          </w:tcPr>
          <w:p>
            <w:pPr>
              <w:spacing w:after="0" w:line="20" w:lineRule="exact"/>
              <w:rPr>
                <w:sz w:val="1"/>
                <w:szCs w:val="1"/>
                <w:color w:val="auto"/>
              </w:rPr>
            </w:pPr>
          </w:p>
        </w:tc>
        <w:tc>
          <w:tcPr>
            <w:tcW w:w="100" w:type="dxa"/>
            <w:vAlign w:val="bottom"/>
            <w:tcBorders>
              <w:top w:val="single" w:sz="8" w:color="CCEEFF"/>
            </w:tcBorders>
            <w:vMerge w:val="restart"/>
          </w:tcPr>
          <w:p>
            <w:pPr>
              <w:spacing w:after="0" w:line="20" w:lineRule="exact"/>
              <w:rPr>
                <w:sz w:val="1"/>
                <w:szCs w:val="1"/>
                <w:color w:val="auto"/>
              </w:rPr>
            </w:pPr>
          </w:p>
        </w:tc>
        <w:tc>
          <w:tcPr>
            <w:tcW w:w="680" w:type="dxa"/>
            <w:vAlign w:val="bottom"/>
            <w:tcBorders>
              <w:top w:val="single" w:sz="8" w:color="auto"/>
            </w:tcBorders>
            <w:shd w:val="clear" w:color="auto" w:fill="000000"/>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3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vMerge w:val="restart"/>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800" w:type="dxa"/>
            <w:vAlign w:val="bottom"/>
            <w:tcBorders>
              <w:top w:val="single" w:sz="8" w:color="auto"/>
            </w:tcBorders>
            <w:shd w:val="clear" w:color="auto" w:fill="000000"/>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1380" w:type="dxa"/>
            <w:vAlign w:val="bottom"/>
          </w:tcPr>
          <w:p>
            <w:pPr>
              <w:spacing w:after="0"/>
              <w:rPr>
                <w:sz w:val="17"/>
                <w:szCs w:val="17"/>
                <w:color w:val="auto"/>
              </w:rPr>
            </w:pPr>
          </w:p>
        </w:tc>
        <w:tc>
          <w:tcPr>
            <w:tcW w:w="1480" w:type="dxa"/>
            <w:vAlign w:val="bottom"/>
            <w:vMerge w:val="continue"/>
          </w:tcPr>
          <w:p>
            <w:pPr>
              <w:spacing w:after="0"/>
              <w:rPr>
                <w:sz w:val="17"/>
                <w:szCs w:val="17"/>
                <w:color w:val="auto"/>
              </w:rPr>
            </w:pPr>
          </w:p>
        </w:tc>
        <w:tc>
          <w:tcPr>
            <w:tcW w:w="240" w:type="dxa"/>
            <w:vAlign w:val="bottom"/>
          </w:tcPr>
          <w:p>
            <w:pPr>
              <w:jc w:val="right"/>
              <w:ind w:right="50"/>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(6,182)</w:t>
            </w:r>
          </w:p>
        </w:tc>
        <w:tc>
          <w:tcPr>
            <w:tcW w:w="380" w:type="dxa"/>
            <w:vAlign w:val="bottom"/>
            <w:vMerge w:val="continue"/>
          </w:tcPr>
          <w:p>
            <w:pPr>
              <w:spacing w:after="0"/>
              <w:rPr>
                <w:sz w:val="17"/>
                <w:szCs w:val="17"/>
                <w:color w:val="auto"/>
              </w:rPr>
            </w:pPr>
          </w:p>
        </w:tc>
        <w:tc>
          <w:tcPr>
            <w:tcW w:w="220" w:type="dxa"/>
            <w:vAlign w:val="bottom"/>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(8,459)</w:t>
            </w:r>
          </w:p>
        </w:tc>
        <w:tc>
          <w:tcPr>
            <w:tcW w:w="380" w:type="dxa"/>
            <w:vAlign w:val="bottom"/>
            <w:vMerge w:val="continue"/>
          </w:tcPr>
          <w:p>
            <w:pPr>
              <w:spacing w:after="0"/>
              <w:rPr>
                <w:sz w:val="17"/>
                <w:szCs w:val="17"/>
                <w:color w:val="auto"/>
              </w:rPr>
            </w:pPr>
          </w:p>
        </w:tc>
        <w:tc>
          <w:tcPr>
            <w:tcW w:w="100" w:type="dxa"/>
            <w:vAlign w:val="bottom"/>
            <w:vMerge w:val="continue"/>
          </w:tcPr>
          <w:p>
            <w:pPr>
              <w:spacing w:after="0"/>
              <w:rPr>
                <w:sz w:val="17"/>
                <w:szCs w:val="17"/>
                <w:color w:val="auto"/>
              </w:rPr>
            </w:pPr>
          </w:p>
        </w:tc>
        <w:tc>
          <w:tcPr>
            <w:tcW w:w="680" w:type="dxa"/>
            <w:vAlign w:val="bottom"/>
          </w:tcPr>
          <w:p>
            <w:pPr>
              <w:spacing w:after="0"/>
              <w:rPr>
                <w:sz w:val="17"/>
                <w:szCs w:val="17"/>
                <w:color w:val="auto"/>
              </w:rPr>
            </w:pPr>
          </w:p>
        </w:tc>
        <w:tc>
          <w:tcPr>
            <w:tcW w:w="700" w:type="dxa"/>
            <w:vAlign w:val="bottom"/>
            <w:gridSpan w:val="2"/>
          </w:tcPr>
          <w:p>
            <w:pPr>
              <w:jc w:val="right"/>
              <w:ind w:right="220"/>
              <w:spacing w:after="0" w:line="203" w:lineRule="exact"/>
              <w:rPr>
                <w:sz w:val="20"/>
                <w:szCs w:val="20"/>
                <w:color w:val="auto"/>
              </w:rPr>
            </w:pPr>
            <w:r>
              <w:rPr>
                <w:rFonts w:ascii="Times New Roman" w:cs="Times New Roman" w:eastAsia="Times New Roman" w:hAnsi="Times New Roman"/>
                <w:sz w:val="18"/>
                <w:szCs w:val="18"/>
                <w:color w:val="auto"/>
              </w:rPr>
              <w:t>-27%</w:t>
            </w:r>
          </w:p>
        </w:tc>
        <w:tc>
          <w:tcPr>
            <w:tcW w:w="240" w:type="dxa"/>
            <w:vAlign w:val="bottom"/>
          </w:tcPr>
          <w:p>
            <w:pPr>
              <w:jc w:val="right"/>
              <w:ind w:right="50"/>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gridSpan w:val="2"/>
          </w:tcPr>
          <w:p>
            <w:pPr>
              <w:jc w:val="right"/>
              <w:ind w:right="100"/>
              <w:spacing w:after="0" w:line="203" w:lineRule="exact"/>
              <w:rPr>
                <w:sz w:val="20"/>
                <w:szCs w:val="20"/>
                <w:color w:val="auto"/>
              </w:rPr>
            </w:pPr>
            <w:r>
              <w:rPr>
                <w:rFonts w:ascii="Times New Roman" w:cs="Times New Roman" w:eastAsia="Times New Roman" w:hAnsi="Times New Roman"/>
                <w:sz w:val="18"/>
                <w:szCs w:val="18"/>
                <w:color w:val="auto"/>
              </w:rPr>
              <w:t>(12.39)</w:t>
            </w:r>
          </w:p>
        </w:tc>
        <w:tc>
          <w:tcPr>
            <w:tcW w:w="160" w:type="dxa"/>
            <w:vAlign w:val="bottom"/>
            <w:vMerge w:val="continue"/>
          </w:tcPr>
          <w:p>
            <w:pPr>
              <w:spacing w:after="0"/>
              <w:rPr>
                <w:sz w:val="17"/>
                <w:szCs w:val="17"/>
                <w:color w:val="auto"/>
              </w:rPr>
            </w:pPr>
          </w:p>
        </w:tc>
        <w:tc>
          <w:tcPr>
            <w:tcW w:w="200" w:type="dxa"/>
            <w:vAlign w:val="bottom"/>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gridSpan w:val="2"/>
          </w:tcPr>
          <w:p>
            <w:pPr>
              <w:jc w:val="right"/>
              <w:ind w:right="260"/>
              <w:spacing w:after="0" w:line="203" w:lineRule="exact"/>
              <w:rPr>
                <w:sz w:val="20"/>
                <w:szCs w:val="20"/>
                <w:color w:val="auto"/>
              </w:rPr>
            </w:pPr>
            <w:r>
              <w:rPr>
                <w:rFonts w:ascii="Times New Roman" w:cs="Times New Roman" w:eastAsia="Times New Roman" w:hAnsi="Times New Roman"/>
                <w:sz w:val="18"/>
                <w:szCs w:val="18"/>
                <w:color w:val="auto"/>
              </w:rPr>
              <w:t>(13.80)</w:t>
            </w:r>
          </w:p>
        </w:tc>
        <w:tc>
          <w:tcPr>
            <w:tcW w:w="100" w:type="dxa"/>
            <w:vAlign w:val="bottom"/>
          </w:tcPr>
          <w:p>
            <w:pPr>
              <w:spacing w:after="0"/>
              <w:rPr>
                <w:sz w:val="17"/>
                <w:szCs w:val="17"/>
                <w:color w:val="auto"/>
              </w:rPr>
            </w:pPr>
          </w:p>
        </w:tc>
        <w:tc>
          <w:tcPr>
            <w:tcW w:w="1060" w:type="dxa"/>
            <w:vAlign w:val="bottom"/>
            <w:gridSpan w:val="2"/>
          </w:tcPr>
          <w:p>
            <w:pPr>
              <w:jc w:val="right"/>
              <w:ind w:right="20"/>
              <w:spacing w:after="0" w:line="203" w:lineRule="exact"/>
              <w:rPr>
                <w:sz w:val="20"/>
                <w:szCs w:val="20"/>
                <w:color w:val="auto"/>
              </w:rPr>
            </w:pPr>
            <w:r>
              <w:rPr>
                <w:rFonts w:ascii="Times New Roman" w:cs="Times New Roman" w:eastAsia="Times New Roman" w:hAnsi="Times New Roman"/>
                <w:sz w:val="18"/>
                <w:szCs w:val="18"/>
                <w:color w:val="auto"/>
              </w:rPr>
              <w:t>-10%</w:t>
            </w:r>
          </w:p>
        </w:tc>
        <w:tc>
          <w:tcPr>
            <w:tcW w:w="0" w:type="dxa"/>
            <w:vAlign w:val="bottom"/>
          </w:tcPr>
          <w:p>
            <w:pPr>
              <w:spacing w:after="0"/>
              <w:rPr>
                <w:sz w:val="1"/>
                <w:szCs w:val="1"/>
                <w:color w:val="auto"/>
              </w:rPr>
            </w:pPr>
          </w:p>
        </w:tc>
      </w:tr>
      <w:tr>
        <w:trPr>
          <w:trHeight w:val="216"/>
        </w:trPr>
        <w:tc>
          <w:tcPr>
            <w:tcW w:w="138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80" w:type="dxa"/>
            <w:vAlign w:val="bottom"/>
          </w:tcPr>
          <w:p>
            <w:pPr>
              <w:spacing w:after="0"/>
              <w:rPr>
                <w:sz w:val="20"/>
                <w:szCs w:val="20"/>
                <w:color w:val="auto"/>
              </w:rPr>
            </w:pPr>
            <w:r>
              <w:rPr>
                <w:rFonts w:ascii="Times New Roman" w:cs="Times New Roman" w:eastAsia="Times New Roman" w:hAnsi="Times New Roman"/>
                <w:sz w:val="18"/>
                <w:szCs w:val="18"/>
                <w:color w:val="auto"/>
              </w:rPr>
              <w:t>Gross Margin:</w:t>
            </w:r>
          </w:p>
        </w:tc>
        <w:tc>
          <w:tcPr>
            <w:tcW w:w="1480" w:type="dxa"/>
            <w:vAlign w:val="bottom"/>
          </w:tcPr>
          <w:p>
            <w:pPr>
              <w:spacing w:after="0"/>
              <w:rPr>
                <w:sz w:val="18"/>
                <w:szCs w:val="18"/>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3,413</w:t>
            </w:r>
          </w:p>
        </w:tc>
        <w:tc>
          <w:tcPr>
            <w:tcW w:w="220" w:type="dxa"/>
            <w:vAlign w:val="bottom"/>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126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2,698</w:t>
            </w: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7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27%</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6.84</w:t>
            </w:r>
          </w:p>
        </w:tc>
        <w:tc>
          <w:tcPr>
            <w:tcW w:w="360" w:type="dxa"/>
            <w:vAlign w:val="bottom"/>
            <w:gridSpan w:val="2"/>
          </w:tcPr>
          <w:p>
            <w:pPr>
              <w:jc w:val="right"/>
              <w:ind w:right="36"/>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4.40</w:t>
            </w:r>
          </w:p>
        </w:tc>
        <w:tc>
          <w:tcPr>
            <w:tcW w:w="100" w:type="dxa"/>
            <w:vAlign w:val="bottom"/>
          </w:tcPr>
          <w:p>
            <w:pPr>
              <w:spacing w:after="0"/>
              <w:rPr>
                <w:sz w:val="18"/>
                <w:szCs w:val="18"/>
                <w:color w:val="auto"/>
              </w:rPr>
            </w:pPr>
          </w:p>
        </w:tc>
        <w:tc>
          <w:tcPr>
            <w:tcW w:w="10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55%</w:t>
            </w:r>
          </w:p>
        </w:tc>
        <w:tc>
          <w:tcPr>
            <w:tcW w:w="0" w:type="dxa"/>
            <w:vAlign w:val="bottom"/>
          </w:tcPr>
          <w:p>
            <w:pPr>
              <w:spacing w:after="0"/>
              <w:rPr>
                <w:sz w:val="1"/>
                <w:szCs w:val="1"/>
                <w:color w:val="auto"/>
              </w:rPr>
            </w:pPr>
          </w:p>
        </w:tc>
      </w:tr>
      <w:tr>
        <w:trPr>
          <w:trHeight w:val="216"/>
        </w:trPr>
        <w:tc>
          <w:tcPr>
            <w:tcW w:w="1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as % Net Sales</w:t>
            </w:r>
          </w:p>
        </w:tc>
        <w:tc>
          <w:tcPr>
            <w:tcW w:w="14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36%</w:t>
            </w:r>
          </w:p>
        </w:tc>
        <w:tc>
          <w:tcPr>
            <w:tcW w:w="2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24%</w:t>
            </w: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Sales, Cost of Sales, and Gross Margins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part of the Company’s ongoing initiative to simplify and streamline operations the Company has identified core products on which to place its strategic focus. These core products consist of Reed’s and Virgil’s branded beverages. Non-core products consist primarily of candy and slower selling discontinued Reed’s and Virgil’s SKUs.</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During 2023, the Company licensed its candy business to Rootstock Trading, a company founded and owned by our former Chief Sales Officer, Neal Cohane. As part of this agreement, Rootstock agrees to pay a royalty on a percentage of its net sales of licensed products. The royalty fees are 0% for 2023, 2% for 2024, 4% for 2025, and 5% thereafter.</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Core beverage volume for the three months ended March 31, 2024, represents 100% of all beverage volume.</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6" w:right="339" w:bottom="1440" w:gutter="0" w:footer="0" w:header="0"/>
        </w:sectPr>
      </w:pPr>
    </w:p>
    <w:bookmarkStart w:id="20" w:name="page21"/>
    <w:bookmarkEnd w:id="20"/>
    <w:p>
      <w:pPr>
        <w:jc w:val="both"/>
        <w:spacing w:after="0" w:line="261" w:lineRule="auto"/>
        <w:rPr>
          <w:sz w:val="20"/>
          <w:szCs w:val="20"/>
          <w:color w:val="auto"/>
        </w:rPr>
      </w:pPr>
      <w:r>
        <w:rPr>
          <w:rFonts w:ascii="Times New Roman" w:cs="Times New Roman" w:eastAsia="Times New Roman" w:hAnsi="Times New Roman"/>
          <w:sz w:val="18"/>
          <w:szCs w:val="18"/>
          <w:color w:val="auto"/>
        </w:rPr>
        <w:t>Core brand gross billing decreased by 16% to $10,377 compared to $12,333 during the same period last year, driven by a Reed’s volume decline of 6% and Virgil’s volume decline of 37%. The result is a decrease in total gross billing of 17%, to $10,379 during the three months ended March 31, 2024, from $12,453 in the same period last year. Price on our core brands increased 3% to $20.80 per case. The increase was a result of price increases across the channels of our product lines.</w:t>
      </w:r>
    </w:p>
    <w:p>
      <w:pPr>
        <w:spacing w:after="0" w:line="18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Discounts as a percentage of gross sales decreased to 8% from 10% in the same period last year. This decline in discounts partially offset the revenue decline. Net sales revenue decreased 14% in the three months ended March 31, 2024, to $9,595, compared to $11,157 in the same period last year.</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Cost of Goods Sold</w:t>
      </w:r>
    </w:p>
    <w:p>
      <w:pPr>
        <w:spacing w:after="0" w:line="22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Cost of goods sold decreased $2,277 during the three months ended March 31, 2024, as compared to the same period last year. As a percentage of net sales, cost of goods sold for the three months ended March 31, 2023, was 64% as compared to 76% for the same period last year.</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total cost of goods per case increased to $12.39 per case in the three months ended March 31, 2024, from $13.80 per case for the same period last year. The cost of goods sold per case on core brands was $12.39 during the three months ended March 31, 2024, compared to $13.78 for the same period last year.</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Gross Margin</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Gross margin was 36% for the three months ended March 31, 2024, compared to 24% for the same period last year.</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Operating Expenses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Delivery and Handling Expenses</w:t>
      </w:r>
    </w:p>
    <w:p>
      <w:pPr>
        <w:spacing w:after="0" w:line="22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Delivery and handling expenses consist of delivery costs to customers and warehousing costs incurred for handling our finished goods after production. Delivery and handling expenses decreased by $618 in the three months ended March 31, 2024, to $1,502 from $2,120 in the same period last year, driven by our efforts to mitigate inflationary costs. Delivery costs in the three months ended March 31, 2024, were 16% of net sales and $3.01 per case, compared to 19% of net sales and $3.46 per case during the same period last year.</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Selling and Marketing Expenses</w:t>
      </w:r>
    </w:p>
    <w:p>
      <w:pPr>
        <w:spacing w:after="0" w:line="22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Marketing expenses consist of direct marketing, marketing labor, and marketing support costs. Selling expenses consist of all other selling-related expenses including personnel and contractor support. Total selling and marketing expenses were $1,093 during the three months ended March 31, 2024, compared to $1,447 during the same period last year. As a percentage of net sales, selling and marketing costs was 11% during the three months ended March 31, 2024, as compared to 13% during the same period last year. The decrease was primarily driven by lower employee related costs, marketing expenditures, and travel and entertainment expense, partially offset by slightly higher professional fees.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General and Administrative Expenses</w:t>
      </w:r>
    </w:p>
    <w:p>
      <w:pPr>
        <w:spacing w:after="0" w:line="22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General and administrative expenses consist primarily of the cost of executive, administrative, and finance personnel, as well as professional fees. General and administrative expenses decreased in the three months ended March 31, 2024, to $1,468 from $1,709, a decrease of $241 over the same period last year. As a percentage of net sales, general and administrative expenses were 15% during the three months ended March 31, 2024, as compared to 15% during the same period last year. The decrease was driven by lower employee related costs, professional fees, and stock compensation.</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Loss from Operations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loss from operations was $650 for the three months ended March 31, 2024, as compared to a loss of $2,578 in the same period last year driven by decreased gross profit offset by decreases in operating expenses discussed above.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Interest and Other Expense</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Interest and other expense for the three months ended March 31, 2024, consisted of $1,023 of interest expense. During the same period last year, interest and other expense consisted of $1,779 of interest expense.</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b w:val="1"/>
          <w:bCs w:val="1"/>
          <w:u w:val="single" w:color="auto"/>
          <w:color w:val="auto"/>
        </w:rPr>
        <w:t>Modified EBITDA</w:t>
      </w:r>
    </w:p>
    <w:p>
      <w:pPr>
        <w:spacing w:after="0" w:line="229" w:lineRule="exact"/>
        <w:rPr>
          <w:sz w:val="20"/>
          <w:szCs w:val="20"/>
          <w:color w:val="auto"/>
        </w:rPr>
      </w:pPr>
    </w:p>
    <w:p>
      <w:pPr>
        <w:jc w:val="both"/>
        <w:ind w:right="20"/>
        <w:spacing w:after="0" w:line="258" w:lineRule="auto"/>
        <w:rPr>
          <w:sz w:val="20"/>
          <w:szCs w:val="20"/>
          <w:color w:val="auto"/>
        </w:rPr>
      </w:pPr>
      <w:r>
        <w:rPr>
          <w:rFonts w:ascii="Times New Roman" w:cs="Times New Roman" w:eastAsia="Times New Roman" w:hAnsi="Times New Roman"/>
          <w:sz w:val="18"/>
          <w:szCs w:val="18"/>
          <w:color w:val="auto"/>
        </w:rPr>
        <w:t>In addition to our GAAP results, we present Modified EBITDA as a supplemental measure of our performance. However, Modified EBITDA is not a recognized measurement under GAAP and should not be considered as an alternative to net income, income from operations or any other performance measure derived in accordance with GAAP, or as an alternative to cash flow from operating activities as a measure of liquidity. We define Modified EBITDA as net income (loss), plus interest expense, depreciation and amortization, stock-based compensation, changes in fair value of warrant expense, legal settlements, and one-time restructuring-related costs including employee severance and asset impairment.</w:t>
      </w:r>
    </w:p>
    <w:p>
      <w:pPr>
        <w:spacing w:after="0" w:line="18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Management considers our core operating performance to be that which our managers can affect in any particular period through their management of the resources that affect our underlying revenue and profit generating operations during that period. Non-GAAP adjustments to our results prepared in accordance with GAAP are itemized below. You are encouraged to evaluate these adjustments and the reasons we consider them appropriate for supplemental analysis. In evaluating Modified EBITDA, you should be aware that in the future we may incur expenses that are the same as or similar to some of the adjustments in this presentation. Our presentation of Modified EBITDA should not be construed as an inference that our future results will be unaffected by unusual or non-recurring items.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Set forth below is a reconciliation of net loss to Modified EBITDA for the three months ended March 31, 2024 and 2023 (unaudited; in thousands):</w:t>
      </w:r>
    </w:p>
    <w:p>
      <w:pPr>
        <w:spacing w:after="0" w:line="221" w:lineRule="exact"/>
        <w:rPr>
          <w:sz w:val="20"/>
          <w:szCs w:val="20"/>
          <w:color w:val="auto"/>
        </w:rPr>
      </w:pPr>
    </w:p>
    <w:p>
      <w:pPr>
        <w:jc w:val="center"/>
        <w:ind w:left="7760"/>
        <w:spacing w:after="0"/>
        <w:rPr>
          <w:sz w:val="20"/>
          <w:szCs w:val="20"/>
          <w:color w:val="auto"/>
        </w:rPr>
      </w:pPr>
      <w:r>
        <w:rPr>
          <w:rFonts w:ascii="Times New Roman" w:cs="Times New Roman" w:eastAsia="Times New Roman" w:hAnsi="Times New Roman"/>
          <w:sz w:val="18"/>
          <w:szCs w:val="18"/>
          <w:b w:val="1"/>
          <w:bCs w:val="1"/>
          <w:color w:val="auto"/>
        </w:rPr>
        <w:t>Three Months Ended</w:t>
      </w:r>
    </w:p>
    <w:p>
      <w:pPr>
        <w:spacing w:after="0" w:line="31" w:lineRule="exact"/>
        <w:rPr>
          <w:sz w:val="20"/>
          <w:szCs w:val="20"/>
          <w:color w:val="auto"/>
        </w:rPr>
      </w:pPr>
    </w:p>
    <w:p>
      <w:pPr>
        <w:jc w:val="center"/>
        <w:ind w:left="7760"/>
        <w:spacing w:after="0"/>
        <w:rPr>
          <w:sz w:val="20"/>
          <w:szCs w:val="20"/>
          <w:color w:val="auto"/>
        </w:rPr>
      </w:pPr>
      <w:r>
        <w:rPr>
          <w:rFonts w:ascii="Times New Roman" w:cs="Times New Roman" w:eastAsia="Times New Roman" w:hAnsi="Times New Roman"/>
          <w:sz w:val="18"/>
          <w:szCs w:val="18"/>
          <w:b w:val="1"/>
          <w:bCs w:val="1"/>
          <w:color w:val="auto"/>
        </w:rPr>
        <w:t>March 31</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5600" w:type="dxa"/>
            <w:vAlign w:val="bottom"/>
            <w:tcBorders>
              <w:bottom w:val="single" w:sz="8" w:color="CCEEFF"/>
            </w:tcBorders>
          </w:tcPr>
          <w:p>
            <w:pPr>
              <w:spacing w:after="0"/>
              <w:rPr>
                <w:sz w:val="21"/>
                <w:szCs w:val="21"/>
                <w:color w:val="auto"/>
              </w:rPr>
            </w:pPr>
          </w:p>
        </w:tc>
        <w:tc>
          <w:tcPr>
            <w:tcW w:w="2280" w:type="dxa"/>
            <w:vAlign w:val="bottom"/>
            <w:tcBorders>
              <w:bottom w:val="single" w:sz="8" w:color="CCEEFF"/>
            </w:tcBorders>
          </w:tcPr>
          <w:p>
            <w:pPr>
              <w:spacing w:after="0"/>
              <w:rPr>
                <w:sz w:val="21"/>
                <w:szCs w:val="21"/>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2024</w:t>
            </w:r>
          </w:p>
        </w:tc>
        <w:tc>
          <w:tcPr>
            <w:tcW w:w="500" w:type="dxa"/>
            <w:vAlign w:val="bottom"/>
            <w:tcBorders>
              <w:top w:val="single" w:sz="8" w:color="auto"/>
              <w:bottom w:val="single" w:sz="8" w:color="auto"/>
            </w:tcBorders>
          </w:tcPr>
          <w:p>
            <w:pPr>
              <w:spacing w:after="0"/>
              <w:rPr>
                <w:sz w:val="21"/>
                <w:szCs w:val="21"/>
                <w:color w:val="auto"/>
              </w:rPr>
            </w:pPr>
          </w:p>
        </w:tc>
        <w:tc>
          <w:tcPr>
            <w:tcW w:w="200" w:type="dxa"/>
            <w:vAlign w:val="bottom"/>
            <w:tcBorders>
              <w:top w:val="single" w:sz="8" w:color="auto"/>
              <w:bottom w:val="single" w:sz="8" w:color="CCEEFF"/>
            </w:tcBorders>
          </w:tcPr>
          <w:p>
            <w:pPr>
              <w:spacing w:after="0"/>
              <w:rPr>
                <w:sz w:val="21"/>
                <w:szCs w:val="21"/>
                <w:color w:val="auto"/>
              </w:rPr>
            </w:pPr>
          </w:p>
        </w:tc>
        <w:tc>
          <w:tcPr>
            <w:tcW w:w="140" w:type="dxa"/>
            <w:vAlign w:val="bottom"/>
            <w:tcBorders>
              <w:top w:val="single" w:sz="8" w:color="auto"/>
              <w:bottom w:val="single" w:sz="8" w:color="CCEEFF"/>
            </w:tcBorders>
          </w:tcPr>
          <w:p>
            <w:pPr>
              <w:spacing w:after="0"/>
              <w:rPr>
                <w:sz w:val="21"/>
                <w:szCs w:val="21"/>
                <w:color w:val="auto"/>
              </w:rPr>
            </w:pPr>
          </w:p>
        </w:tc>
        <w:tc>
          <w:tcPr>
            <w:tcW w:w="320" w:type="dxa"/>
            <w:vAlign w:val="bottom"/>
            <w:tcBorders>
              <w:top w:val="single" w:sz="8" w:color="auto"/>
              <w:bottom w:val="single" w:sz="8" w:color="auto"/>
            </w:tcBorders>
          </w:tcPr>
          <w:p>
            <w:pPr>
              <w:spacing w:after="0"/>
              <w:rPr>
                <w:sz w:val="21"/>
                <w:szCs w:val="21"/>
                <w:color w:val="auto"/>
              </w:rPr>
            </w:pPr>
          </w:p>
        </w:tc>
        <w:tc>
          <w:tcPr>
            <w:tcW w:w="1140" w:type="dxa"/>
            <w:vAlign w:val="bottom"/>
            <w:tcBorders>
              <w:top w:val="single" w:sz="8" w:color="auto"/>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Borders>
              <w:bottom w:val="single" w:sz="8" w:color="CCEEFF"/>
            </w:tcBorders>
          </w:tcPr>
          <w:p>
            <w:pPr>
              <w:spacing w:after="0"/>
              <w:rPr>
                <w:sz w:val="21"/>
                <w:szCs w:val="21"/>
                <w:color w:val="auto"/>
              </w:rPr>
            </w:pPr>
          </w:p>
        </w:tc>
      </w:tr>
      <w:tr>
        <w:trPr>
          <w:trHeight w:val="216"/>
        </w:trPr>
        <w:tc>
          <w:tcPr>
            <w:tcW w:w="5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w:t>
            </w:r>
          </w:p>
        </w:tc>
        <w:tc>
          <w:tcPr>
            <w:tcW w:w="228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794"/>
              <w:spacing w:after="0"/>
              <w:rPr>
                <w:sz w:val="20"/>
                <w:szCs w:val="20"/>
                <w:color w:val="auto"/>
              </w:rPr>
            </w:pPr>
            <w:r>
              <w:rPr>
                <w:rFonts w:ascii="Times New Roman" w:cs="Times New Roman" w:eastAsia="Times New Roman" w:hAnsi="Times New Roman"/>
                <w:sz w:val="17"/>
                <w:szCs w:val="17"/>
                <w:color w:val="auto"/>
                <w:w w:val="70"/>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1"/>
              </w:rPr>
              <w:t>(1,673)</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(4,357)</w:t>
            </w:r>
          </w:p>
        </w:tc>
        <w:tc>
          <w:tcPr>
            <w:tcW w:w="100" w:type="dxa"/>
            <w:vAlign w:val="bottom"/>
            <w:shd w:val="clear" w:color="auto" w:fill="CCEEFF"/>
          </w:tcPr>
          <w:p>
            <w:pPr>
              <w:spacing w:after="0"/>
              <w:rPr>
                <w:sz w:val="18"/>
                <w:szCs w:val="18"/>
                <w:color w:val="auto"/>
              </w:rPr>
            </w:pPr>
          </w:p>
        </w:tc>
      </w:tr>
      <w:tr>
        <w:trPr>
          <w:trHeight w:val="216"/>
        </w:trPr>
        <w:tc>
          <w:tcPr>
            <w:tcW w:w="560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Modified EBITDA adjustments:</w:t>
            </w:r>
          </w:p>
        </w:tc>
        <w:tc>
          <w:tcPr>
            <w:tcW w:w="22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600" w:type="dxa"/>
            <w:vAlign w:val="bottom"/>
          </w:tcPr>
          <w:p>
            <w:pPr>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22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7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68</w:t>
            </w: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80</w:t>
            </w:r>
          </w:p>
        </w:tc>
      </w:tr>
      <w:tr>
        <w:trPr>
          <w:trHeight w:val="216"/>
        </w:trPr>
        <w:tc>
          <w:tcPr>
            <w:tcW w:w="5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Tax expense</w:t>
            </w:r>
          </w:p>
        </w:tc>
        <w:tc>
          <w:tcPr>
            <w:tcW w:w="22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54</w:t>
            </w:r>
          </w:p>
        </w:tc>
        <w:tc>
          <w:tcPr>
            <w:tcW w:w="1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600" w:type="dxa"/>
            <w:vAlign w:val="bottom"/>
          </w:tcPr>
          <w:p>
            <w:pPr>
              <w:spacing w:after="0"/>
              <w:rPr>
                <w:sz w:val="20"/>
                <w:szCs w:val="20"/>
                <w:color w:val="auto"/>
              </w:rPr>
            </w:pPr>
            <w:r>
              <w:rPr>
                <w:rFonts w:ascii="Times New Roman" w:cs="Times New Roman" w:eastAsia="Times New Roman" w:hAnsi="Times New Roman"/>
                <w:sz w:val="18"/>
                <w:szCs w:val="18"/>
                <w:color w:val="auto"/>
              </w:rPr>
              <w:t>Interest expense</w:t>
            </w:r>
          </w:p>
        </w:tc>
        <w:tc>
          <w:tcPr>
            <w:tcW w:w="22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7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1,023</w:t>
            </w: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1,779</w:t>
            </w:r>
          </w:p>
        </w:tc>
      </w:tr>
      <w:tr>
        <w:trPr>
          <w:trHeight w:val="216"/>
        </w:trPr>
        <w:tc>
          <w:tcPr>
            <w:tcW w:w="5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Product quality hold write-down</w:t>
            </w:r>
          </w:p>
        </w:tc>
        <w:tc>
          <w:tcPr>
            <w:tcW w:w="22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29</w:t>
            </w:r>
          </w:p>
        </w:tc>
        <w:tc>
          <w:tcPr>
            <w:tcW w:w="1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36"/>
        </w:trPr>
        <w:tc>
          <w:tcPr>
            <w:tcW w:w="5600" w:type="dxa"/>
            <w:vAlign w:val="bottom"/>
          </w:tcPr>
          <w:p>
            <w:pPr>
              <w:spacing w:after="0"/>
              <w:rPr>
                <w:sz w:val="20"/>
                <w:szCs w:val="20"/>
                <w:color w:val="auto"/>
              </w:rPr>
            </w:pPr>
            <w:r>
              <w:rPr>
                <w:rFonts w:ascii="Times New Roman" w:cs="Times New Roman" w:eastAsia="Times New Roman" w:hAnsi="Times New Roman"/>
                <w:sz w:val="18"/>
                <w:szCs w:val="18"/>
                <w:color w:val="auto"/>
              </w:rPr>
              <w:t>Stock option and other noncash compensation</w:t>
            </w:r>
          </w:p>
        </w:tc>
        <w:tc>
          <w:tcPr>
            <w:tcW w:w="22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7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129</w:t>
            </w:r>
          </w:p>
        </w:tc>
        <w:tc>
          <w:tcPr>
            <w:tcW w:w="1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233</w:t>
            </w:r>
          </w:p>
        </w:tc>
      </w:tr>
      <w:tr>
        <w:trPr>
          <w:trHeight w:val="223"/>
        </w:trPr>
        <w:tc>
          <w:tcPr>
            <w:tcW w:w="5600" w:type="dxa"/>
            <w:vAlign w:val="bottom"/>
            <w:tcBorders>
              <w:top w:val="single" w:sz="8" w:color="CCEEFF"/>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 EBITDA adjustments</w:t>
            </w:r>
          </w:p>
        </w:tc>
        <w:tc>
          <w:tcPr>
            <w:tcW w:w="2280" w:type="dxa"/>
            <w:vAlign w:val="bottom"/>
            <w:tcBorders>
              <w:top w:val="single" w:sz="8" w:color="CCEEFF"/>
              <w:bottom w:val="single" w:sz="8" w:color="CCEEFF"/>
            </w:tcBorders>
            <w:shd w:val="clear" w:color="auto" w:fill="CCEEFF"/>
          </w:tcPr>
          <w:p>
            <w:pPr>
              <w:spacing w:after="0"/>
              <w:rPr>
                <w:sz w:val="19"/>
                <w:szCs w:val="19"/>
                <w:color w:val="auto"/>
              </w:rPr>
            </w:pPr>
          </w:p>
        </w:tc>
        <w:tc>
          <w:tcPr>
            <w:tcW w:w="960" w:type="dxa"/>
            <w:vAlign w:val="bottom"/>
            <w:tcBorders>
              <w:top w:val="single" w:sz="8" w:color="auto"/>
              <w:bottom w:val="single" w:sz="8" w:color="auto"/>
            </w:tcBorders>
            <w:shd w:val="clear" w:color="auto" w:fill="CCEEFF"/>
          </w:tcPr>
          <w:p>
            <w:pPr>
              <w:jc w:val="right"/>
              <w:ind w:right="794"/>
              <w:spacing w:after="0"/>
              <w:rPr>
                <w:sz w:val="20"/>
                <w:szCs w:val="20"/>
                <w:color w:val="auto"/>
              </w:rPr>
            </w:pPr>
            <w:r>
              <w:rPr>
                <w:rFonts w:ascii="Times New Roman" w:cs="Times New Roman" w:eastAsia="Times New Roman" w:hAnsi="Times New Roman"/>
                <w:sz w:val="17"/>
                <w:szCs w:val="17"/>
                <w:color w:val="auto"/>
                <w:w w:val="70"/>
              </w:rPr>
              <w:t>$</w:t>
            </w:r>
          </w:p>
        </w:tc>
        <w:tc>
          <w:tcPr>
            <w:tcW w:w="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1,303</w:t>
            </w:r>
          </w:p>
        </w:tc>
        <w:tc>
          <w:tcPr>
            <w:tcW w:w="20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32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2,092</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16"/>
        </w:trPr>
        <w:tc>
          <w:tcPr>
            <w:tcW w:w="560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43"/>
        </w:trPr>
        <w:tc>
          <w:tcPr>
            <w:tcW w:w="5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Modified EBITDA</w:t>
            </w:r>
          </w:p>
        </w:tc>
        <w:tc>
          <w:tcPr>
            <w:tcW w:w="3240" w:type="dxa"/>
            <w:vAlign w:val="bottom"/>
            <w:gridSpan w:val="2"/>
            <w:shd w:val="clear" w:color="auto" w:fill="CCEEFF"/>
          </w:tcPr>
          <w:p>
            <w:pPr>
              <w:jc w:val="right"/>
              <w:ind w:right="794"/>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(370)</w:t>
            </w:r>
          </w:p>
        </w:tc>
        <w:tc>
          <w:tcPr>
            <w:tcW w:w="460" w:type="dxa"/>
            <w:vAlign w:val="bottom"/>
            <w:gridSpan w:val="2"/>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(2,265)</w:t>
            </w:r>
          </w:p>
        </w:tc>
      </w:tr>
      <w:tr>
        <w:trPr>
          <w:trHeight w:val="20"/>
        </w:trPr>
        <w:tc>
          <w:tcPr>
            <w:tcW w:w="5600" w:type="dxa"/>
            <w:vAlign w:val="bottom"/>
            <w:tcBorders>
              <w:top w:val="single" w:sz="8" w:color="CCEEFF"/>
            </w:tcBorders>
          </w:tcPr>
          <w:p>
            <w:pPr>
              <w:spacing w:after="0" w:line="20" w:lineRule="exact"/>
              <w:rPr>
                <w:sz w:val="1"/>
                <w:szCs w:val="1"/>
                <w:color w:val="auto"/>
              </w:rPr>
            </w:pPr>
          </w:p>
        </w:tc>
        <w:tc>
          <w:tcPr>
            <w:tcW w:w="228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r>
    </w:tbl>
    <w:p>
      <w:pPr>
        <w:spacing w:after="0" w:line="19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present Modified EBITDA because we believe it assists investors and analysts in comparing our performance across reporting periods on a consistent basis by excluding items that we do not believe are indicative of our core operating performance. In addition, we use Modified EBITDA in developing our internal budgets, forecasts and strategic plan; in analyzing the effectiveness of our business strategies in evaluating potential acquisitions; making compensation decisions; and in communications with our board of directors concerning our financial performance. Modified EBITDA has limitations as an analytical tool, which includes, among others, the following:</w:t>
      </w:r>
    </w:p>
    <w:p>
      <w:pPr>
        <w:spacing w:after="0" w:line="183" w:lineRule="exact"/>
        <w:rPr>
          <w:sz w:val="20"/>
          <w:szCs w:val="20"/>
          <w:color w:val="auto"/>
        </w:rPr>
      </w:pPr>
    </w:p>
    <w:p>
      <w:pPr>
        <w:ind w:left="980" w:hanging="324"/>
        <w:spacing w:after="0"/>
        <w:tabs>
          <w:tab w:leader="none" w:pos="9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Modified EBITDA does not reflect our cash expenditures, or future requirements, for capital expenditures or contractual commitments;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Modified EBITDA does not reflect changes in, or cash requirements for, our working capital needs;</w:t>
      </w:r>
    </w:p>
    <w:p>
      <w:pPr>
        <w:spacing w:after="0" w:line="225"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Modified EBITDA does not reflect future interest expense, or the cash requirements necessary to service interest or principal payments, on our debts; and</w:t>
      </w:r>
    </w:p>
    <w:p>
      <w:pPr>
        <w:spacing w:after="0" w:line="161"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Although depreciation and amortization are non-cash charges, the assets being depreciated and amortized will often have to be replaced in the future, and Modified EBITDA does not reflect any cash requirements for such replacements.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Liquidity and Capital Resources</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 xml:space="preserve">For the three months ended March 31, 2024, the Company recorded a net loss of $1,673 and used cash in operations of $2,395. In accordance with Accounting Standards Codification (“ASC”) 205-40, </w:t>
      </w:r>
      <w:r>
        <w:rPr>
          <w:rFonts w:ascii="Times New Roman" w:cs="Times New Roman" w:eastAsia="Times New Roman" w:hAnsi="Times New Roman"/>
          <w:sz w:val="18"/>
          <w:szCs w:val="18"/>
          <w:i w:val="1"/>
          <w:iCs w:val="1"/>
          <w:color w:val="auto"/>
        </w:rPr>
        <w:t>Going Concern</w:t>
      </w:r>
      <w:r>
        <w:rPr>
          <w:rFonts w:ascii="Times New Roman" w:cs="Times New Roman" w:eastAsia="Times New Roman" w:hAnsi="Times New Roman"/>
          <w:sz w:val="18"/>
          <w:szCs w:val="18"/>
          <w:color w:val="auto"/>
        </w:rPr>
        <w:t>, the Company’s management has evaluated whether there are conditions and events, considered in the aggregate, that raise substantial doubt about the Company’s ability to continue as a going concern within one year after the date the accompanying financial statements were issued. As of the issuance date of these financial statements, management expects that the Company’s existing cash of $314, which includes $4,100 of additional cash received during the three months ended March 31, 2024, from investments with significant stockholders and expected cash flow from operations, will be sufficient to fund the Company’s current operating plan for at least twelve months from the date of issuance of these financial statements. The financial statements do not include any adjustments that might be necessary if the Company is unable to continue as a going concern.</w:t>
      </w:r>
    </w:p>
    <w:p>
      <w:pPr>
        <w:spacing w:after="0" w:line="19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Management’s assessment whether there is sufficient cash on hand, together with expected capital raises, to assure operations for a period of at least twelve months from the date these financial statements are issued, is based on conditions that are known and reasonably knowable to management, considering various scenarios, projections, and estimates and certain key assumptions. These assumptions include, among other factors, management’s ability to raise additional capital, and the expected timing and nature of the Company’s forecasted cash expenditures.</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Historically, the Company has financed its operations through public and private sales of common stock, convertible debt instruments, credit lines from financial institutions, and cash generated from operations. As we seek additional sources of financing, there can be no assurance that such financing would be available to us on favorable terms or at all. Our ability to obtain additional financing in the debt and equity capital markets is subject to several factors, including market and economic conditions, our performance and investor sentiment with respect to us and our industry.</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4" w:right="339" w:bottom="272"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 and Estimates</w:t>
      </w:r>
    </w:p>
    <w:p>
      <w:pPr>
        <w:spacing w:after="0" w:line="2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preparation of the Company’s financial statements in conformity with generally accepted accounting principles in the United States (“U.S. GAAP”) requires management to make estimates and assumptions that affect the reported amounts of assets and liabilities at the date of the financial statements and the reported amounts of expenses during the reporting period. Some of those judgments can be subjective and complex, and therefore, actual results could differ materially from those estimates under different assumptions or conditions. Management bases its estimates on historical experience and on various assumptions that are believed to be reasonable in relation to the financial statements taken as a whole under the circumstances, the results of which form the basis for making judgments about the carrying values of assets and liabilities that are not readily apparent from other sources. Management regularly evaluates the key factors and assumptions used to develop the estimates utilizing currently available information, changes in facts and circumstances, historical experience and reasonable assumptions. After such evaluations, if deemed appropriate, those estimates are adjusted accordingly. Actual results could differ from those estimates. Significant estimates include those related to assumptions used in estimates for reserves of uncollectible accounts, inventory obsolescence, depreciable lives of property and equipment, analysis of impairments of recorded long-term tangible and intangible assets, realization of deferred tax assets, accruals for potential liabilities and assumptions made in valuing stock instruments issued for services. There were no changes to our critical accounting policies described in the condensed financial statements included in our 2023 10-K that impacted our condensed financial statements and related notes included herein.</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Accounting Pronouncements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Note 2 of the Notes to Condensed Financial Statements for a discussion of recent accounting pronouncements.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Quantitative and Qualitative Disclosures About Market Risk.</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smaller reporting company is not required to provide the information required by this Item.</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Controls and Procedures.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Evaluation of Disclosure Controls and Procedures</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Under the supervision and with the participation of our management, including our Chief Executive Officer and our Chief Financial Officer, we conducted an evaluation of our disclosure controls and procedures (as defined in Rules 13a-15(e) and 15d-15(e) under the Securities Exchange Act of 1934, as amended (the “Exchange Act”). Based on this evaluation, our Chief Executive Officer and our Chief Financial Officer concluded that the Company’s disclosure controls and procedures were effective as of March 31, 2023, to provide reasonable assurance that information required to be disclosed in the reports that we file or submit under the Exchange Act is recorded, processed, summarized and reported within the time periods specified in the SEC’s rules and forms, and that such information is accumulated and communicated to our management, including our Chief Executive Officer and Chief Financial Officer, as appropriate, to allow timely decisions regarding required disclosures.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Changes in Internal Control Over Financial Reporting</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There have been no changes in the Company’s internal control over financial reporting during the three months ended March 31, 2024 that have materially affected, or are reasonably likely to materially affect, the Company’s internal control over financial reporting.</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b w:val="1"/>
          <w:bCs w:val="1"/>
          <w:color w:val="auto"/>
        </w:rPr>
        <w:t>PART II – OTHER INFORMATION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Legal Proceedings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are subject to a variety of variety of litigation, claims, legal or regulatory proceedings, inquiries and investigations from time to time in the ordinary course of business. Management evaluates, and periodically re-evaluates, whether the final result of any of the foregoing may be expected to have a material adverse effect on our financial condition, results of operations or cash flows. Management has determined that no disclosure is required under this Item 1.</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Except as set forth below, there have been no material changes with respect to the risk factors disclosed in our 2023 Form 10-K.</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Risks Related to Our Debt Service Obligations</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ability to service our indebtedness will depend on our ability to generate cash in the future.</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At March 31, 2024, our outstanding obligation on our 10% Secured Convertible Notes (“Notes”) was approximately $18.7 million and the balance on our ABL line of credit was approximately $8 million. Our Note holders have been amenable to making accommodations under the Notes by waiving conditions and financial covenants in exchange for certain negotiated penalties in lieu of declaring default. Our business may not generate sufficient cash to fund our working capital requirements, capital expenditure, debt service and other liquidity needs, which could result in our inability to comply with financial and other covenants contained in our debt agreements, our being unable to repay or pay interest and penalties on our indebtedness, and our inability to fund our other liquidity needs. If we are unable to service our debt obligations and maintain compliance with our financial and other covenants or, in the alternative, continue to negotiate suitable accommodations and fund our other liquidity needs, we could be forced to curtail our operations, our creditors could accelerate our indebtedness and exercise other remedies. We could be required to pursue one or more alternative strategies, such as selling assets or refinancing or restructuring our indebtedness. However, such alternatives may not be feasible or adequate.</w:t>
      </w:r>
    </w:p>
    <w:p>
      <w:pPr>
        <w:spacing w:after="0" w:line="184"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Holders of our Notes have been amenable to making accommodations under the Notes by waiving conditions and financial covenants in exchange for certain negotiated penalties in lieu of declaring default. If do not meet our obligations under the Notes and are unable to negotiate accommodations in the future, the Note holders may declare a default, which would likely force us into bankruptcy.</w:t>
      </w:r>
    </w:p>
    <w:p>
      <w:pPr>
        <w:spacing w:after="0" w:line="17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At March 31, 2024, our outstanding obligation under the Notes was approximately $18.7 million. The Notes are secured by substantially all of the Company’s assets. The indebtedness under the Notes limits our growth, and management of the debt requires a significant amount of time and effort of our executive officers. While we have been successful negotiating waivers and amendments under the Notes, we may not be able to continue to do so in the future. We have further been exploring our options to refinance these Notes. If we are unable to service or repay these obligations at maturity and we are otherwise unable to extend the maturity dates or refinance these obligations, we may default. A default would trigger acceleration under the Notes, and it is unlikely that we would have sufficient funds to make these payments. Upon a default, the holders have the right to exercise their remedies to collect, including foreclosing on our assets. Accordingly, we would likely be forced to seek bankruptcy protection in the event of default.</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Unregistered Sales of Equity Securities and Use of Proceeds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 that have not been previously disclosed in a Current Report on Form 8-K.</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Defaults Upon Senior Securities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Mine Safety Disclosures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Other Information</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Company has not yet satisfied conditions required for issuance of the amended and restated Notes and equitization of certain interest and fees owing on the Notes. The conversion rate under the amended and restated Notes is to be based on the pricing and size of the Company’s proposed equity financing of a minimum of $3 million (which will include conversion of approximately $4.1 million of previously funded SAFE investments into equity of the Company). Delays related to the Company’s evaluation of long term financing options have delayed the proposed financing. On May 17, 2024, Reed’s entered into a Limited Waiver, Deferral, and Amendment and Restatement Agreement (the “Waiver and Amendment”) with each holder. The holders agreed to temporarily waive certain specified events of default and the payment of Excess ABL Fees through June 10, 2024. Further, the holders agreed to waive the payment of monthly amortization payments through June 30, 2024. Amortization payments are scheduled to resume on July 1, 2024. The Company further remitted $40 representing all interest (including default interest) to the holders and reimbursed the holders for certain fees and expenses.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6. Exhibits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Exhibit Index on page. [8].</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4" w:right="339" w:bottom="1122" w:gutter="0" w:footer="0" w:header="0"/>
        </w:sectPr>
      </w:pPr>
    </w:p>
    <w:bookmarkStart w:id="24" w:name="page25"/>
    <w:bookmarkEnd w:id="24"/>
    <w:p>
      <w:pPr>
        <w:jc w:val="center"/>
        <w:spacing w:after="0"/>
        <w:rPr>
          <w:sz w:val="20"/>
          <w:szCs w:val="20"/>
          <w:color w:val="auto"/>
        </w:rPr>
      </w:pPr>
      <w:r>
        <w:rPr>
          <w:rFonts w:ascii="Times New Roman" w:cs="Times New Roman" w:eastAsia="Times New Roman" w:hAnsi="Times New Roman"/>
          <w:sz w:val="18"/>
          <w:szCs w:val="18"/>
          <w:b w:val="1"/>
          <w:bCs w:val="1"/>
          <w:color w:val="auto"/>
        </w:rPr>
        <w:t>INDEX TO EXHIBITS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ITEM 15(a)(3)</w:t>
      </w:r>
    </w:p>
    <w:p>
      <w:pPr>
        <w:spacing w:after="0" w:line="20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following is a list of the exhibits filed as part of this Form 10-Q. The documents incorporated by reference can be viewed on the SEC’s website at http://www.sec.gov.</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Exhibit</w:t>
      </w:r>
    </w:p>
    <w:p>
      <w:pPr>
        <w:spacing w:after="0" w:line="229" w:lineRule="exact"/>
        <w:rPr>
          <w:sz w:val="20"/>
          <w:szCs w:val="20"/>
          <w:color w:val="auto"/>
        </w:rPr>
      </w:pPr>
    </w:p>
    <w:p>
      <w:pPr>
        <w:spacing w:after="0"/>
        <w:tabs>
          <w:tab w:leader="none" w:pos="64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3(i)</w:t>
      </w:r>
      <w:r>
        <w:rPr>
          <w:sz w:val="20"/>
          <w:szCs w:val="20"/>
          <w:color w:val="auto"/>
        </w:rPr>
        <w:tab/>
      </w:r>
      <w:hyperlink r:id="rId35">
        <w:r>
          <w:rPr>
            <w:rFonts w:ascii="Times New Roman" w:cs="Times New Roman" w:eastAsia="Times New Roman" w:hAnsi="Times New Roman"/>
            <w:sz w:val="18"/>
            <w:szCs w:val="18"/>
            <w:u w:val="single" w:color="auto"/>
            <w:color w:val="0000EE"/>
          </w:rPr>
          <w:t>Certificate of Incorporation of Reeds, Inc. which is incorporated herein by reference to exhibit 3(iv) to Form 10-K filed with SEC on May 15,</w:t>
        </w:r>
      </w:hyperlink>
    </w:p>
    <w:p>
      <w:pPr>
        <w:spacing w:after="0" w:line="27" w:lineRule="exact"/>
        <w:rPr>
          <w:sz w:val="20"/>
          <w:szCs w:val="20"/>
          <w:color w:val="auto"/>
        </w:rPr>
      </w:pPr>
    </w:p>
    <w:p>
      <w:pPr>
        <w:ind w:left="660"/>
        <w:spacing w:after="0"/>
        <w:rPr>
          <w:rFonts w:ascii="Times New Roman" w:cs="Times New Roman" w:eastAsia="Times New Roman" w:hAnsi="Times New Roman"/>
          <w:sz w:val="18"/>
          <w:szCs w:val="18"/>
          <w:u w:val="single" w:color="auto"/>
          <w:color w:val="0000EE"/>
        </w:rPr>
      </w:pPr>
      <w:hyperlink r:id="rId35">
        <w:r>
          <w:rPr>
            <w:rFonts w:ascii="Times New Roman" w:cs="Times New Roman" w:eastAsia="Times New Roman" w:hAnsi="Times New Roman"/>
            <w:sz w:val="18"/>
            <w:szCs w:val="18"/>
            <w:u w:val="single" w:color="auto"/>
            <w:color w:val="0000EE"/>
          </w:rPr>
          <w:t>2023.</w:t>
        </w:r>
      </w:hyperlink>
    </w:p>
    <w:p>
      <w:pPr>
        <w:spacing w:after="0" w:line="9" w:lineRule="exact"/>
        <w:rPr>
          <w:sz w:val="20"/>
          <w:szCs w:val="20"/>
          <w:color w:val="auto"/>
        </w:rPr>
      </w:pPr>
    </w:p>
    <w:p>
      <w:pPr>
        <w:jc w:val="both"/>
        <w:ind w:left="660" w:right="20" w:hanging="659"/>
        <w:spacing w:after="0" w:line="250" w:lineRule="auto"/>
        <w:tabs>
          <w:tab w:leader="none" w:pos="64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3(ii)</w:t>
      </w:r>
      <w:r>
        <w:rPr>
          <w:sz w:val="20"/>
          <w:szCs w:val="20"/>
          <w:color w:val="auto"/>
        </w:rPr>
        <w:tab/>
      </w:r>
      <w:hyperlink r:id="rId36">
        <w:r>
          <w:rPr>
            <w:rFonts w:ascii="Times New Roman" w:cs="Times New Roman" w:eastAsia="Times New Roman" w:hAnsi="Times New Roman"/>
            <w:sz w:val="18"/>
            <w:szCs w:val="18"/>
            <w:u w:val="single" w:color="auto"/>
            <w:color w:val="0000EE"/>
          </w:rPr>
          <w:t>Amended and Restated Bylaws of Reed’s, Inc. which is incorporated by reference to Exhibit 3.8 to Form 10-K/A filed with the SEC on April 8,</w:t>
        </w:r>
      </w:hyperlink>
      <w:r>
        <w:rPr>
          <w:rFonts w:ascii="Times New Roman" w:cs="Times New Roman" w:eastAsia="Times New Roman" w:hAnsi="Times New Roman"/>
          <w:sz w:val="18"/>
          <w:szCs w:val="18"/>
          <w:u w:val="single" w:color="auto"/>
          <w:color w:val="0000EE"/>
        </w:rPr>
        <w:t xml:space="preserve"> </w:t>
      </w:r>
      <w:hyperlink r:id="rId36">
        <w:r>
          <w:rPr>
            <w:rFonts w:ascii="Times New Roman" w:cs="Times New Roman" w:eastAsia="Times New Roman" w:hAnsi="Times New Roman"/>
            <w:sz w:val="18"/>
            <w:szCs w:val="18"/>
            <w:u w:val="single" w:color="auto"/>
            <w:color w:val="0000EE"/>
          </w:rPr>
          <w:t>2020.</w:t>
        </w:r>
      </w:hyperlink>
    </w:p>
    <w:p>
      <w:pPr>
        <w:spacing w:after="0" w:line="1" w:lineRule="exact"/>
        <w:rPr>
          <w:sz w:val="20"/>
          <w:szCs w:val="20"/>
          <w:color w:val="auto"/>
        </w:rPr>
      </w:pPr>
    </w:p>
    <w:p>
      <w:pPr>
        <w:jc w:val="both"/>
        <w:ind w:left="660" w:hanging="647"/>
        <w:spacing w:after="0" w:line="250" w:lineRule="auto"/>
        <w:tabs>
          <w:tab w:leader="none" w:pos="64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4.1</w:t>
      </w:r>
      <w:r>
        <w:rPr>
          <w:sz w:val="20"/>
          <w:szCs w:val="20"/>
          <w:color w:val="auto"/>
        </w:rPr>
        <w:tab/>
      </w:r>
      <w:hyperlink r:id="rId37">
        <w:r>
          <w:rPr>
            <w:rFonts w:ascii="Times New Roman" w:cs="Times New Roman" w:eastAsia="Times New Roman" w:hAnsi="Times New Roman"/>
            <w:sz w:val="18"/>
            <w:szCs w:val="18"/>
            <w:u w:val="single" w:color="auto"/>
            <w:color w:val="0000EE"/>
          </w:rPr>
          <w:t>Simple Agreement for Future Equity by and between Reed’s, Inc. and D&amp;D Source of Life Holding Ltd. dated February 8, 2024 which is</w:t>
        </w:r>
      </w:hyperlink>
      <w:r>
        <w:rPr>
          <w:rFonts w:ascii="Times New Roman" w:cs="Times New Roman" w:eastAsia="Times New Roman" w:hAnsi="Times New Roman"/>
          <w:sz w:val="18"/>
          <w:szCs w:val="18"/>
          <w:u w:val="single" w:color="auto"/>
          <w:color w:val="0000EE"/>
        </w:rPr>
        <w:t xml:space="preserve"> </w:t>
      </w:r>
      <w:hyperlink r:id="rId37">
        <w:r>
          <w:rPr>
            <w:rFonts w:ascii="Times New Roman" w:cs="Times New Roman" w:eastAsia="Times New Roman" w:hAnsi="Times New Roman"/>
            <w:sz w:val="18"/>
            <w:szCs w:val="18"/>
            <w:u w:val="single" w:color="auto"/>
            <w:color w:val="0000EE"/>
          </w:rPr>
          <w:t>incorporated by reference to Exhibit 4.7 to Form 10-K as filed with the SEC on April 1, 2024.</w:t>
        </w:r>
      </w:hyperlink>
    </w:p>
    <w:p>
      <w:pPr>
        <w:spacing w:after="0" w:line="1" w:lineRule="exact"/>
        <w:rPr>
          <w:sz w:val="20"/>
          <w:szCs w:val="20"/>
          <w:color w:val="auto"/>
        </w:rPr>
      </w:pPr>
    </w:p>
    <w:p>
      <w:pPr>
        <w:jc w:val="both"/>
        <w:ind w:left="660" w:hanging="647"/>
        <w:spacing w:after="0" w:line="250" w:lineRule="auto"/>
        <w:tabs>
          <w:tab w:leader="none" w:pos="64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4.2</w:t>
      </w:r>
      <w:r>
        <w:rPr>
          <w:sz w:val="20"/>
          <w:szCs w:val="20"/>
          <w:color w:val="auto"/>
        </w:rPr>
        <w:tab/>
      </w:r>
      <w:hyperlink r:id="rId38">
        <w:r>
          <w:rPr>
            <w:rFonts w:ascii="Times New Roman" w:cs="Times New Roman" w:eastAsia="Times New Roman" w:hAnsi="Times New Roman"/>
            <w:sz w:val="18"/>
            <w:szCs w:val="18"/>
            <w:u w:val="single" w:color="auto"/>
            <w:color w:val="0000EE"/>
          </w:rPr>
          <w:t>Simple Agreement for Future Equity by and between Reed’s, Inc. and John J. Bello dated March 7, 2024 which is incorporated by reference to</w:t>
        </w:r>
      </w:hyperlink>
      <w:r>
        <w:rPr>
          <w:rFonts w:ascii="Times New Roman" w:cs="Times New Roman" w:eastAsia="Times New Roman" w:hAnsi="Times New Roman"/>
          <w:sz w:val="18"/>
          <w:szCs w:val="18"/>
          <w:u w:val="single" w:color="auto"/>
          <w:color w:val="0000EE"/>
        </w:rPr>
        <w:t xml:space="preserve"> </w:t>
      </w:r>
      <w:hyperlink r:id="rId38">
        <w:r>
          <w:rPr>
            <w:rFonts w:ascii="Times New Roman" w:cs="Times New Roman" w:eastAsia="Times New Roman" w:hAnsi="Times New Roman"/>
            <w:sz w:val="18"/>
            <w:szCs w:val="18"/>
            <w:u w:val="single" w:color="auto"/>
            <w:color w:val="0000EE"/>
          </w:rPr>
          <w:t>Exhibit 4.8 to Form 10-K as filed with the SEC on April 1, 2024.</w:t>
        </w:r>
      </w:hyperlink>
    </w:p>
    <w:p>
      <w:pPr>
        <w:spacing w:after="0" w:line="1" w:lineRule="exact"/>
        <w:rPr>
          <w:sz w:val="20"/>
          <w:szCs w:val="20"/>
          <w:color w:val="auto"/>
        </w:rPr>
      </w:pPr>
    </w:p>
    <w:p>
      <w:pPr>
        <w:jc w:val="both"/>
        <w:ind w:left="660" w:right="20" w:hanging="647"/>
        <w:spacing w:after="0" w:line="250" w:lineRule="auto"/>
        <w:tabs>
          <w:tab w:leader="none" w:pos="64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4.3</w:t>
      </w:r>
      <w:r>
        <w:rPr>
          <w:sz w:val="20"/>
          <w:szCs w:val="20"/>
          <w:color w:val="auto"/>
        </w:rPr>
        <w:tab/>
      </w:r>
      <w:hyperlink r:id="rId39">
        <w:r>
          <w:rPr>
            <w:rFonts w:ascii="Times New Roman" w:cs="Times New Roman" w:eastAsia="Times New Roman" w:hAnsi="Times New Roman"/>
            <w:sz w:val="18"/>
            <w:szCs w:val="18"/>
            <w:u w:val="single" w:color="auto"/>
            <w:color w:val="0000EE"/>
          </w:rPr>
          <w:t>Simple Agreement for Future Equity by and between Reed’s, Inc. and Union Square Park Partners LP dated February 8, 2024 which is</w:t>
        </w:r>
      </w:hyperlink>
      <w:r>
        <w:rPr>
          <w:rFonts w:ascii="Times New Roman" w:cs="Times New Roman" w:eastAsia="Times New Roman" w:hAnsi="Times New Roman"/>
          <w:sz w:val="18"/>
          <w:szCs w:val="18"/>
          <w:u w:val="single" w:color="auto"/>
          <w:color w:val="0000EE"/>
        </w:rPr>
        <w:t xml:space="preserve"> </w:t>
      </w:r>
      <w:hyperlink r:id="rId39">
        <w:r>
          <w:rPr>
            <w:rFonts w:ascii="Times New Roman" w:cs="Times New Roman" w:eastAsia="Times New Roman" w:hAnsi="Times New Roman"/>
            <w:sz w:val="18"/>
            <w:szCs w:val="18"/>
            <w:u w:val="single" w:color="auto"/>
            <w:color w:val="0000EE"/>
          </w:rPr>
          <w:t>incorporated by reference to Exhibit 4.9 to Form 10-K as filed with the SEC on April 1, 2024.</w:t>
        </w:r>
      </w:hyperlink>
    </w:p>
    <w:p>
      <w:pPr>
        <w:spacing w:after="0" w:line="1" w:lineRule="exact"/>
        <w:rPr>
          <w:sz w:val="20"/>
          <w:szCs w:val="20"/>
          <w:color w:val="auto"/>
        </w:rPr>
      </w:pPr>
    </w:p>
    <w:p>
      <w:pPr>
        <w:jc w:val="both"/>
        <w:ind w:left="660" w:hanging="647"/>
        <w:spacing w:after="0" w:line="250" w:lineRule="auto"/>
        <w:tabs>
          <w:tab w:leader="none" w:pos="64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10.1</w:t>
      </w:r>
      <w:r>
        <w:rPr>
          <w:sz w:val="20"/>
          <w:szCs w:val="20"/>
          <w:color w:val="auto"/>
        </w:rPr>
        <w:tab/>
      </w:r>
      <w:hyperlink r:id="rId40">
        <w:r>
          <w:rPr>
            <w:rFonts w:ascii="Times New Roman" w:cs="Times New Roman" w:eastAsia="Times New Roman" w:hAnsi="Times New Roman"/>
            <w:sz w:val="18"/>
            <w:szCs w:val="18"/>
            <w:u w:val="single" w:color="auto"/>
            <w:color w:val="0000EE"/>
          </w:rPr>
          <w:t>Limited Waiver, Deferral, and Amendment and Restatement Agreement by and between Reed’s, Inc. and each holder and Wilmington Savings</w:t>
        </w:r>
      </w:hyperlink>
      <w:r>
        <w:rPr>
          <w:rFonts w:ascii="Times New Roman" w:cs="Times New Roman" w:eastAsia="Times New Roman" w:hAnsi="Times New Roman"/>
          <w:sz w:val="18"/>
          <w:szCs w:val="18"/>
          <w:u w:val="single" w:color="auto"/>
          <w:color w:val="0000EE"/>
        </w:rPr>
        <w:t xml:space="preserve"> </w:t>
      </w:r>
      <w:hyperlink r:id="rId40">
        <w:r>
          <w:rPr>
            <w:rFonts w:ascii="Times New Roman" w:cs="Times New Roman" w:eastAsia="Times New Roman" w:hAnsi="Times New Roman"/>
            <w:sz w:val="18"/>
            <w:szCs w:val="18"/>
            <w:u w:val="single" w:color="auto"/>
            <w:color w:val="0000EE"/>
          </w:rPr>
          <w:t>Fund Society, FSB, holder representative and collateral agent dated February 12, 2024 which is incorporated by reference to Exhibit 10.3 to Form</w:t>
        </w:r>
      </w:hyperlink>
      <w:r>
        <w:rPr>
          <w:rFonts w:ascii="Times New Roman" w:cs="Times New Roman" w:eastAsia="Times New Roman" w:hAnsi="Times New Roman"/>
          <w:sz w:val="18"/>
          <w:szCs w:val="18"/>
          <w:u w:val="single" w:color="auto"/>
          <w:color w:val="0000EE"/>
        </w:rPr>
        <w:t xml:space="preserve"> </w:t>
      </w:r>
      <w:hyperlink r:id="rId40">
        <w:r>
          <w:rPr>
            <w:rFonts w:ascii="Times New Roman" w:cs="Times New Roman" w:eastAsia="Times New Roman" w:hAnsi="Times New Roman"/>
            <w:sz w:val="18"/>
            <w:szCs w:val="18"/>
            <w:u w:val="single" w:color="auto"/>
            <w:color w:val="0000EE"/>
          </w:rPr>
          <w:t>8-K as filed with the SEC February 13, 2024.</w:t>
        </w:r>
      </w:hyperlink>
    </w:p>
    <w:p>
      <w:pPr>
        <w:spacing w:after="0" w:line="1" w:lineRule="exact"/>
        <w:rPr>
          <w:rFonts w:ascii="Times New Roman" w:cs="Times New Roman" w:eastAsia="Times New Roman" w:hAnsi="Times New Roman"/>
          <w:sz w:val="18"/>
          <w:szCs w:val="18"/>
          <w:u w:val="single" w:color="auto"/>
          <w:color w:val="0000EE"/>
        </w:rPr>
      </w:pPr>
    </w:p>
    <w:p>
      <w:pPr>
        <w:jc w:val="both"/>
        <w:ind w:left="660" w:hanging="647"/>
        <w:spacing w:after="0" w:line="250" w:lineRule="auto"/>
        <w:tabs>
          <w:tab w:leader="none" w:pos="64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10.2</w:t>
      </w:r>
      <w:r>
        <w:rPr>
          <w:sz w:val="20"/>
          <w:szCs w:val="20"/>
          <w:color w:val="auto"/>
        </w:rPr>
        <w:tab/>
      </w:r>
      <w:hyperlink r:id="rId41">
        <w:r>
          <w:rPr>
            <w:rFonts w:ascii="Times New Roman" w:cs="Times New Roman" w:eastAsia="Times New Roman" w:hAnsi="Times New Roman"/>
            <w:sz w:val="18"/>
            <w:szCs w:val="18"/>
            <w:u w:val="single" w:color="auto"/>
            <w:color w:val="0000EE"/>
          </w:rPr>
          <w:t>Amendment to Limited Waiver, Deferral, and Amendment and Restatement Agreement by and between Reed’s, Inc. and each holder and</w:t>
        </w:r>
      </w:hyperlink>
      <w:r>
        <w:rPr>
          <w:rFonts w:ascii="Times New Roman" w:cs="Times New Roman" w:eastAsia="Times New Roman" w:hAnsi="Times New Roman"/>
          <w:sz w:val="18"/>
          <w:szCs w:val="18"/>
          <w:u w:val="single" w:color="auto"/>
          <w:color w:val="0000EE"/>
        </w:rPr>
        <w:t xml:space="preserve"> </w:t>
      </w:r>
      <w:hyperlink r:id="rId41">
        <w:r>
          <w:rPr>
            <w:rFonts w:ascii="Times New Roman" w:cs="Times New Roman" w:eastAsia="Times New Roman" w:hAnsi="Times New Roman"/>
            <w:sz w:val="18"/>
            <w:szCs w:val="18"/>
            <w:u w:val="single" w:color="auto"/>
            <w:color w:val="0000EE"/>
          </w:rPr>
          <w:t>Wilmington Savings Fund Society, FSB, holder representative and collateral agent dated April 1, 2024 which is incorporated by reference to</w:t>
        </w:r>
      </w:hyperlink>
      <w:r>
        <w:rPr>
          <w:rFonts w:ascii="Times New Roman" w:cs="Times New Roman" w:eastAsia="Times New Roman" w:hAnsi="Times New Roman"/>
          <w:sz w:val="18"/>
          <w:szCs w:val="18"/>
          <w:u w:val="single" w:color="auto"/>
          <w:color w:val="0000EE"/>
        </w:rPr>
        <w:t xml:space="preserve"> </w:t>
      </w:r>
      <w:hyperlink r:id="rId41">
        <w:r>
          <w:rPr>
            <w:rFonts w:ascii="Times New Roman" w:cs="Times New Roman" w:eastAsia="Times New Roman" w:hAnsi="Times New Roman"/>
            <w:sz w:val="18"/>
            <w:szCs w:val="18"/>
            <w:u w:val="single" w:color="auto"/>
            <w:color w:val="0000EE"/>
          </w:rPr>
          <w:t>Exhibit 10.1 to Form 8-K/A as filed with the SEC on April 3, 2024.</w:t>
        </w:r>
      </w:hyperlink>
    </w:p>
    <w:p>
      <w:pPr>
        <w:spacing w:after="0" w:line="1" w:lineRule="exact"/>
        <w:rPr>
          <w:rFonts w:ascii="Times New Roman" w:cs="Times New Roman" w:eastAsia="Times New Roman" w:hAnsi="Times New Roman"/>
          <w:sz w:val="18"/>
          <w:szCs w:val="18"/>
          <w:u w:val="single" w:color="auto"/>
          <w:color w:val="0000EE"/>
        </w:rPr>
      </w:pPr>
    </w:p>
    <w:p>
      <w:pPr>
        <w:jc w:val="both"/>
        <w:ind w:left="660" w:hanging="647"/>
        <w:spacing w:after="0" w:line="250" w:lineRule="auto"/>
        <w:tabs>
          <w:tab w:leader="none" w:pos="640" w:val="left"/>
        </w:tabs>
        <w:rPr>
          <w:sz w:val="20"/>
          <w:szCs w:val="20"/>
          <w:color w:val="auto"/>
        </w:rPr>
      </w:pPr>
      <w:r>
        <w:rPr>
          <w:rFonts w:ascii="Times New Roman" w:cs="Times New Roman" w:eastAsia="Times New Roman" w:hAnsi="Times New Roman"/>
          <w:sz w:val="18"/>
          <w:szCs w:val="18"/>
          <w:color w:val="auto"/>
        </w:rPr>
        <w:t>10.3</w:t>
      </w:r>
      <w:r>
        <w:rPr>
          <w:sz w:val="20"/>
          <w:szCs w:val="20"/>
          <w:color w:val="auto"/>
        </w:rPr>
        <w:tab/>
      </w:r>
      <w:r>
        <w:rPr>
          <w:rFonts w:ascii="Times New Roman" w:cs="Times New Roman" w:eastAsia="Times New Roman" w:hAnsi="Times New Roman"/>
          <w:sz w:val="18"/>
          <w:szCs w:val="18"/>
          <w:u w:val="single" w:color="auto"/>
          <w:color w:val="0000EE"/>
        </w:rPr>
        <w:t>Limited Waiver and Deferral Agreement by and between Reed’s, Inc. and each holder and Wilmington Savings Fund Society, FSB, holder representative and collateral agent dated May 17, 2024.</w:t>
      </w:r>
    </w:p>
    <w:p>
      <w:pPr>
        <w:spacing w:after="0" w:line="1" w:lineRule="exact"/>
        <w:rPr>
          <w:rFonts w:ascii="Times New Roman" w:cs="Times New Roman" w:eastAsia="Times New Roman" w:hAnsi="Times New Roman"/>
          <w:sz w:val="18"/>
          <w:szCs w:val="18"/>
          <w:u w:val="single" w:color="auto"/>
          <w:color w:val="0000EE"/>
        </w:rPr>
      </w:pPr>
    </w:p>
    <w:p>
      <w:pPr>
        <w:ind w:left="660" w:hanging="652"/>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0000EE"/>
        </w:rPr>
        <w:t>Certification of our Chief Executive Officer and our Chief Financial Officer pursuant to Section 302 of the Sarbanes-Oxley Act of 2002.</w:t>
      </w:r>
    </w:p>
    <w:p>
      <w:pPr>
        <w:spacing w:after="0" w:line="9"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0000EE"/>
        </w:rPr>
        <w:t>Certification of our Chief Executive Officer and our Chief Financial Officer pursuant to Section 906 of the Sarbanes-Oxley Act of 2002.</w:t>
      </w:r>
    </w:p>
    <w:p>
      <w:pPr>
        <w:spacing w:after="0" w:line="9" w:lineRule="exact"/>
        <w:rPr>
          <w:rFonts w:ascii="Times New Roman" w:cs="Times New Roman" w:eastAsia="Times New Roman" w:hAnsi="Times New Roman"/>
          <w:sz w:val="18"/>
          <w:szCs w:val="18"/>
          <w:u w:val="single" w:color="auto"/>
          <w:color w:val="0000EE"/>
        </w:rPr>
      </w:pPr>
    </w:p>
    <w:p>
      <w:pPr>
        <w:jc w:val="both"/>
        <w:ind w:left="660" w:hanging="659"/>
        <w:spacing w:after="0" w:line="250" w:lineRule="auto"/>
        <w:tabs>
          <w:tab w:leader="none" w:pos="640" w:val="left"/>
        </w:tabs>
        <w:rPr>
          <w:sz w:val="20"/>
          <w:szCs w:val="20"/>
          <w:color w:val="auto"/>
        </w:rPr>
      </w:pPr>
      <w:r>
        <w:rPr>
          <w:rFonts w:ascii="Times New Roman" w:cs="Times New Roman" w:eastAsia="Times New Roman" w:hAnsi="Times New Roman"/>
          <w:sz w:val="18"/>
          <w:szCs w:val="18"/>
          <w:color w:val="auto"/>
        </w:rPr>
        <w:t>101</w:t>
      </w:r>
      <w:r>
        <w:rPr>
          <w:sz w:val="20"/>
          <w:szCs w:val="20"/>
          <w:color w:val="auto"/>
        </w:rPr>
        <w:tab/>
      </w:r>
      <w:r>
        <w:rPr>
          <w:rFonts w:ascii="Times New Roman" w:cs="Times New Roman" w:eastAsia="Times New Roman" w:hAnsi="Times New Roman"/>
          <w:sz w:val="18"/>
          <w:szCs w:val="18"/>
          <w:color w:val="auto"/>
        </w:rPr>
        <w:t>The following materials from Reed’s, Inc.’s Quarterly Report on Form 10-Q for the quarter ended March 31, 2024 formatted in iXBRL (Inline eXtensible Business Reporting Language): (i) the Condensed Balance Sheets, (ii) the Condensed Statements of Operations, (iii) the Condensed Statements of Changes in Stockholders (Deficit), (iv) the Condensed Statements of Cash Flows, and (v) Notes to Condensed Financial Statements.</w:t>
      </w:r>
    </w:p>
    <w:p>
      <w:pPr>
        <w:spacing w:after="0" w:line="1" w:lineRule="exact"/>
        <w:rPr>
          <w:rFonts w:ascii="Times New Roman" w:cs="Times New Roman" w:eastAsia="Times New Roman" w:hAnsi="Times New Roman"/>
          <w:sz w:val="18"/>
          <w:szCs w:val="18"/>
          <w:u w:val="single" w:color="auto"/>
          <w:color w:val="0000EE"/>
        </w:rPr>
      </w:pPr>
    </w:p>
    <w:p>
      <w:pPr>
        <w:ind w:left="660" w:hanging="652"/>
        <w:spacing w:after="0" w:line="260" w:lineRule="auto"/>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cover page from the Reed’s, Inc. Quarterly Report on Form 10-Q for the quarter ended March 31, 2024, formatted in Inline XBRL and contained in Exhibit 101.</w:t>
      </w:r>
    </w:p>
    <w:p>
      <w:pPr>
        <w:spacing w:after="0" w:line="181" w:lineRule="exact"/>
        <w:rPr>
          <w:rFonts w:ascii="Times New Roman" w:cs="Times New Roman" w:eastAsia="Times New Roman" w:hAnsi="Times New Roman"/>
          <w:sz w:val="18"/>
          <w:szCs w:val="18"/>
          <w:u w:val="single" w:color="auto"/>
          <w:color w:val="0000EE"/>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u w:val="single" w:color="auto"/>
          <w:color w:val="0000EE"/>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25" w:name="page26"/>
    <w:bookmarkEnd w:id="25"/>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62"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Reed’s, Inc.</w:t>
      </w:r>
    </w:p>
    <w:p>
      <w:pPr>
        <w:spacing w:after="0" w:line="2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(Registrant)</w:t>
      </w:r>
    </w:p>
    <w:p>
      <w:pPr>
        <w:spacing w:after="0" w:line="205" w:lineRule="exact"/>
        <w:rPr>
          <w:sz w:val="20"/>
          <w:szCs w:val="20"/>
          <w:color w:val="auto"/>
        </w:rPr>
      </w:pPr>
    </w:p>
    <w:p>
      <w:pPr>
        <w:spacing w:after="0"/>
        <w:tabs>
          <w:tab w:leader="none" w:pos="5600" w:val="left"/>
        </w:tabs>
        <w:rPr>
          <w:sz w:val="20"/>
          <w:szCs w:val="20"/>
          <w:color w:val="auto"/>
        </w:rPr>
      </w:pPr>
      <w:r>
        <w:rPr>
          <w:rFonts w:ascii="Times New Roman" w:cs="Times New Roman" w:eastAsia="Times New Roman" w:hAnsi="Times New Roman"/>
          <w:sz w:val="18"/>
          <w:szCs w:val="18"/>
          <w:color w:val="auto"/>
        </w:rPr>
        <w:t>Date: May 20, 2024</w:t>
      </w:r>
      <w:r>
        <w:rPr>
          <w:sz w:val="20"/>
          <w:szCs w:val="20"/>
          <w:color w:val="auto"/>
        </w:rPr>
        <w:tab/>
      </w:r>
      <w:r>
        <w:rPr>
          <w:rFonts w:ascii="Times New Roman" w:cs="Times New Roman" w:eastAsia="Times New Roman" w:hAnsi="Times New Roman"/>
          <w:sz w:val="17"/>
          <w:szCs w:val="17"/>
          <w:i w:val="1"/>
          <w:iCs w:val="1"/>
          <w:color w:val="auto"/>
        </w:rPr>
        <w:t>/s/ Norman E. Snyder,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27305</wp:posOffset>
            </wp:positionV>
            <wp:extent cx="356616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43">
                      <a:extLst>
                        <a:ext uri="{28A0092B-C50C-407E-A947-70E740481C1C}"/>
                      </a:extLst>
                    </a:blip>
                    <a:srcRect/>
                    <a:stretch>
                      <a:fillRect/>
                    </a:stretch>
                  </pic:blipFill>
                  <pic:spPr bwMode="auto">
                    <a:xfrm>
                      <a:off x="0" y="0"/>
                      <a:ext cx="3566160" cy="17145"/>
                    </a:xfrm>
                    <a:prstGeom prst="rect">
                      <a:avLst/>
                    </a:prstGeom>
                    <a:noFill/>
                  </pic:spPr>
                </pic:pic>
              </a:graphicData>
            </a:graphic>
          </wp:anchor>
        </w:drawing>
      </w:r>
    </w:p>
    <w:p>
      <w:pPr>
        <w:spacing w:after="0" w:line="32"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Norman E. Snyder, Jr.</w:t>
      </w:r>
    </w:p>
    <w:p>
      <w:pPr>
        <w:spacing w:after="0" w:line="2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Chief Executive Officer</w:t>
      </w:r>
    </w:p>
    <w:p>
      <w:pPr>
        <w:spacing w:after="0" w:line="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(Principal Executive Officer)</w:t>
      </w:r>
    </w:p>
    <w:p>
      <w:pPr>
        <w:spacing w:after="0" w:line="205" w:lineRule="exact"/>
        <w:rPr>
          <w:sz w:val="20"/>
          <w:szCs w:val="20"/>
          <w:color w:val="auto"/>
        </w:rPr>
      </w:pPr>
    </w:p>
    <w:p>
      <w:pPr>
        <w:spacing w:after="0"/>
        <w:tabs>
          <w:tab w:leader="none" w:pos="5600" w:val="left"/>
        </w:tabs>
        <w:rPr>
          <w:sz w:val="20"/>
          <w:szCs w:val="20"/>
          <w:color w:val="auto"/>
        </w:rPr>
      </w:pPr>
      <w:r>
        <w:rPr>
          <w:rFonts w:ascii="Times New Roman" w:cs="Times New Roman" w:eastAsia="Times New Roman" w:hAnsi="Times New Roman"/>
          <w:sz w:val="18"/>
          <w:szCs w:val="18"/>
          <w:color w:val="auto"/>
        </w:rPr>
        <w:t>Date: May 20, 2024</w:t>
      </w:r>
      <w:r>
        <w:rPr>
          <w:sz w:val="20"/>
          <w:szCs w:val="20"/>
          <w:color w:val="auto"/>
        </w:rPr>
        <w:tab/>
      </w:r>
      <w:r>
        <w:rPr>
          <w:rFonts w:ascii="Times New Roman" w:cs="Times New Roman" w:eastAsia="Times New Roman" w:hAnsi="Times New Roman"/>
          <w:sz w:val="17"/>
          <w:szCs w:val="17"/>
          <w:i w:val="1"/>
          <w:iCs w:val="1"/>
          <w:color w:val="auto"/>
        </w:rPr>
        <w:t>/s/ Joann Tinnelly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27305</wp:posOffset>
            </wp:positionV>
            <wp:extent cx="356616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44">
                      <a:extLst>
                        <a:ext uri="{28A0092B-C50C-407E-A947-70E740481C1C}"/>
                      </a:extLst>
                    </a:blip>
                    <a:srcRect/>
                    <a:stretch>
                      <a:fillRect/>
                    </a:stretch>
                  </pic:blipFill>
                  <pic:spPr bwMode="auto">
                    <a:xfrm>
                      <a:off x="0" y="0"/>
                      <a:ext cx="3566160" cy="17145"/>
                    </a:xfrm>
                    <a:prstGeom prst="rect">
                      <a:avLst/>
                    </a:prstGeom>
                    <a:noFill/>
                  </pic:spPr>
                </pic:pic>
              </a:graphicData>
            </a:graphic>
          </wp:anchor>
        </w:drawing>
      </w:r>
    </w:p>
    <w:p>
      <w:pPr>
        <w:spacing w:after="0" w:line="32"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Joann Tinnelly</w:t>
      </w:r>
    </w:p>
    <w:p>
      <w:pPr>
        <w:spacing w:after="0" w:line="2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(Principal Financial Officer)</w:t>
      </w:r>
    </w:p>
    <w:p>
      <w:pPr>
        <w:spacing w:after="0" w:line="2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4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26" w:name="page27"/>
    <w:bookmarkEnd w:id="26"/>
    <w:p>
      <w:pPr>
        <w:jc w:val="right"/>
        <w:spacing w:after="0"/>
        <w:rPr>
          <w:sz w:val="20"/>
          <w:szCs w:val="20"/>
          <w:color w:val="auto"/>
        </w:rPr>
      </w:pPr>
      <w:r>
        <w:rPr>
          <w:rFonts w:ascii="Times New Roman" w:cs="Times New Roman" w:eastAsia="Times New Roman" w:hAnsi="Times New Roman"/>
          <w:sz w:val="18"/>
          <w:szCs w:val="18"/>
          <w:b w:val="1"/>
          <w:bCs w:val="1"/>
          <w:color w:val="auto"/>
        </w:rPr>
        <w:t>Exhibit 10.3</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LIMITED WAIVER AND DEFERRAL AGREEMENT</w:t>
      </w:r>
    </w:p>
    <w:p>
      <w:pPr>
        <w:spacing w:after="0" w:line="225"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color w:val="auto"/>
        </w:rPr>
        <w:t>THIS LIMITED WAIVER AND DEFERRAL AGREEMENT (this “</w:t>
      </w:r>
      <w:r>
        <w:rPr>
          <w:rFonts w:ascii="Times New Roman" w:cs="Times New Roman" w:eastAsia="Times New Roman" w:hAnsi="Times New Roman"/>
          <w:sz w:val="18"/>
          <w:szCs w:val="18"/>
          <w:b w:val="1"/>
          <w:bCs w:val="1"/>
          <w:color w:val="auto"/>
        </w:rPr>
        <w:t>Waiver</w:t>
      </w:r>
      <w:r>
        <w:rPr>
          <w:rFonts w:ascii="Times New Roman" w:cs="Times New Roman" w:eastAsia="Times New Roman" w:hAnsi="Times New Roman"/>
          <w:sz w:val="18"/>
          <w:szCs w:val="18"/>
          <w:color w:val="auto"/>
        </w:rPr>
        <w:t>”) is dated and effective as of May 17, 2024 between REED’S, INC., a Delaware corporation (the “</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 the Holders party hereto, and WILMINGTON SAVINGS FUND SOCIETY, FSB, as Holder Representative and Collateral Agent (the “</w:t>
      </w:r>
      <w:r>
        <w:rPr>
          <w:rFonts w:ascii="Times New Roman" w:cs="Times New Roman" w:eastAsia="Times New Roman" w:hAnsi="Times New Roman"/>
          <w:sz w:val="18"/>
          <w:szCs w:val="18"/>
          <w:b w:val="1"/>
          <w:bCs w:val="1"/>
          <w:color w:val="auto"/>
        </w:rPr>
        <w:t>Agent</w:t>
      </w:r>
      <w:r>
        <w:rPr>
          <w:rFonts w:ascii="Times New Roman" w:cs="Times New Roman" w:eastAsia="Times New Roman" w:hAnsi="Times New Roman"/>
          <w:sz w:val="18"/>
          <w:szCs w:val="18"/>
          <w:color w:val="auto"/>
        </w:rPr>
        <w:t>”).</w:t>
      </w:r>
    </w:p>
    <w:p>
      <w:pPr>
        <w:spacing w:after="0" w:line="175"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WHEREAS, on May 9, 2022, the Company, the Holder Representative and each purchaser on the schedule of purchasers thereto entered into that certain Note Purchase Agreement, (as amended, the “</w:t>
      </w:r>
      <w:r>
        <w:rPr>
          <w:rFonts w:ascii="Times New Roman" w:cs="Times New Roman" w:eastAsia="Times New Roman" w:hAnsi="Times New Roman"/>
          <w:sz w:val="18"/>
          <w:szCs w:val="18"/>
          <w:b w:val="1"/>
          <w:bCs w:val="1"/>
          <w:color w:val="auto"/>
        </w:rPr>
        <w:t>Note Purchase Agreement</w:t>
      </w:r>
      <w:r>
        <w:rPr>
          <w:rFonts w:ascii="Times New Roman" w:cs="Times New Roman" w:eastAsia="Times New Roman" w:hAnsi="Times New Roman"/>
          <w:sz w:val="18"/>
          <w:szCs w:val="18"/>
          <w:color w:val="auto"/>
        </w:rPr>
        <w:t>”), pursuant to which the Company issued 10% Secured Convertible Notes, (as amended each, a “</w:t>
      </w:r>
      <w:r>
        <w:rPr>
          <w:rFonts w:ascii="Times New Roman" w:cs="Times New Roman" w:eastAsia="Times New Roman" w:hAnsi="Times New Roman"/>
          <w:sz w:val="18"/>
          <w:szCs w:val="18"/>
          <w:b w:val="1"/>
          <w:bCs w:val="1"/>
          <w:color w:val="auto"/>
        </w:rPr>
        <w:t>Note</w:t>
      </w:r>
      <w:r>
        <w:rPr>
          <w:rFonts w:ascii="Times New Roman" w:cs="Times New Roman" w:eastAsia="Times New Roman" w:hAnsi="Times New Roman"/>
          <w:sz w:val="18"/>
          <w:szCs w:val="18"/>
          <w:color w:val="auto"/>
        </w:rPr>
        <w:t>”, and collectively, the “</w:t>
      </w:r>
      <w:r>
        <w:rPr>
          <w:rFonts w:ascii="Times New Roman" w:cs="Times New Roman" w:eastAsia="Times New Roman" w:hAnsi="Times New Roman"/>
          <w:sz w:val="18"/>
          <w:szCs w:val="18"/>
          <w:b w:val="1"/>
          <w:bCs w:val="1"/>
          <w:color w:val="auto"/>
        </w:rPr>
        <w:t>Notes</w:t>
      </w:r>
      <w:r>
        <w:rPr>
          <w:rFonts w:ascii="Times New Roman" w:cs="Times New Roman" w:eastAsia="Times New Roman" w:hAnsi="Times New Roman"/>
          <w:sz w:val="18"/>
          <w:szCs w:val="18"/>
          <w:color w:val="auto"/>
        </w:rPr>
        <w:t>”), and as of the date hereof, the outstanding Notes include Note No. 1, Note No. 2, Note No. 3 and Note No. 4 (the “</w:t>
      </w:r>
      <w:r>
        <w:rPr>
          <w:rFonts w:ascii="Times New Roman" w:cs="Times New Roman" w:eastAsia="Times New Roman" w:hAnsi="Times New Roman"/>
          <w:sz w:val="18"/>
          <w:szCs w:val="18"/>
          <w:b w:val="1"/>
          <w:bCs w:val="1"/>
          <w:color w:val="auto"/>
        </w:rPr>
        <w:t>Original Notes</w:t>
      </w:r>
      <w:r>
        <w:rPr>
          <w:rFonts w:ascii="Times New Roman" w:cs="Times New Roman" w:eastAsia="Times New Roman" w:hAnsi="Times New Roman"/>
          <w:sz w:val="18"/>
          <w:szCs w:val="18"/>
          <w:color w:val="auto"/>
        </w:rPr>
        <w:t>”) and Note No. 9, Note No. 10, Note No. 11, Note No. 12, Note No. 13, Note No. 14, Note No. 15 and Note No. 16 (the “</w:t>
      </w:r>
      <w:r>
        <w:rPr>
          <w:rFonts w:ascii="Times New Roman" w:cs="Times New Roman" w:eastAsia="Times New Roman" w:hAnsi="Times New Roman"/>
          <w:sz w:val="18"/>
          <w:szCs w:val="18"/>
          <w:b w:val="1"/>
          <w:bCs w:val="1"/>
          <w:color w:val="auto"/>
        </w:rPr>
        <w:t>Option Notes</w:t>
      </w:r>
      <w:r>
        <w:rPr>
          <w:rFonts w:ascii="Times New Roman" w:cs="Times New Roman" w:eastAsia="Times New Roman" w:hAnsi="Times New Roman"/>
          <w:sz w:val="18"/>
          <w:szCs w:val="18"/>
          <w:color w:val="auto"/>
        </w:rPr>
        <w:t>”).</w:t>
      </w:r>
    </w:p>
    <w:p>
      <w:pPr>
        <w:spacing w:after="0" w:line="183"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WHEREAS, on February 10, 2023, the Company, the Holders and the Agent entered into a Limited Waiver and Deferral Agreement (the “</w:t>
      </w:r>
      <w:r>
        <w:rPr>
          <w:rFonts w:ascii="Times New Roman" w:cs="Times New Roman" w:eastAsia="Times New Roman" w:hAnsi="Times New Roman"/>
          <w:sz w:val="18"/>
          <w:szCs w:val="18"/>
          <w:b w:val="1"/>
          <w:bCs w:val="1"/>
          <w:color w:val="auto"/>
        </w:rPr>
        <w:t>February 2023 Limited Waiver</w:t>
      </w:r>
      <w:r>
        <w:rPr>
          <w:rFonts w:ascii="Times New Roman" w:cs="Times New Roman" w:eastAsia="Times New Roman" w:hAnsi="Times New Roman"/>
          <w:sz w:val="18"/>
          <w:szCs w:val="18"/>
          <w:color w:val="auto"/>
        </w:rPr>
        <w:t>”), pursuant to which the parties agreed to, among other things, (i) waive certain provisions of the Notes relating to a Fundamental Change resulting from a delisting of the Common Stock, (ii) waiving certain Events of Default, (iii) foregoing certain Amortization Payments through June 30, 2023 and (iv) deferring certain fees payable under the Notes with regard to the Indebtedness of the ABL Lenders arising under the ABL Debt Documents at each calendar month end exceeding the applicable amount set forth in clause (n) of the definition of Permitted Indebtedness.</w:t>
      </w:r>
    </w:p>
    <w:p>
      <w:pPr>
        <w:spacing w:after="0" w:line="183"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WHEREAS, on April 11, 2023, the Company, the Holders and the Agent entered into a Limited Waiver, pursuant to which the parties agreed to further waive certain provisions of the Notes relating to the Fundamental Change resulting from the delisting of the Common Stock from the Nasdaq Stock Market (the “</w:t>
      </w:r>
      <w:r>
        <w:rPr>
          <w:rFonts w:ascii="Times New Roman" w:cs="Times New Roman" w:eastAsia="Times New Roman" w:hAnsi="Times New Roman"/>
          <w:sz w:val="18"/>
          <w:szCs w:val="18"/>
          <w:b w:val="1"/>
          <w:bCs w:val="1"/>
          <w:color w:val="auto"/>
        </w:rPr>
        <w:t>Delisting</w:t>
      </w:r>
      <w:r>
        <w:rPr>
          <w:rFonts w:ascii="Times New Roman" w:cs="Times New Roman" w:eastAsia="Times New Roman" w:hAnsi="Times New Roman"/>
          <w:sz w:val="18"/>
          <w:szCs w:val="18"/>
          <w:color w:val="auto"/>
        </w:rPr>
        <w:t>”).</w:t>
      </w:r>
    </w:p>
    <w:p>
      <w:pPr>
        <w:spacing w:after="0" w:line="172"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color w:val="auto"/>
        </w:rPr>
        <w:t>WHEREAS, on May 30, 2023, the Company, the Holders and the Agent entered into a Limited Waiver and Deferral Agreement (the “</w:t>
      </w:r>
      <w:r>
        <w:rPr>
          <w:rFonts w:ascii="Times New Roman" w:cs="Times New Roman" w:eastAsia="Times New Roman" w:hAnsi="Times New Roman"/>
          <w:sz w:val="18"/>
          <w:szCs w:val="18"/>
          <w:b w:val="1"/>
          <w:bCs w:val="1"/>
          <w:color w:val="auto"/>
        </w:rPr>
        <w:t>May 2023</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Limited Waiver</w:t>
      </w:r>
      <w:r>
        <w:rPr>
          <w:rFonts w:ascii="Times New Roman" w:cs="Times New Roman" w:eastAsia="Times New Roman" w:hAnsi="Times New Roman"/>
          <w:sz w:val="18"/>
          <w:szCs w:val="18"/>
          <w:color w:val="auto"/>
        </w:rPr>
        <w:t>”), pursuant to which the parties agreed to, among other things, (i) further defer the Deferred ABL Fees (as defined in the February 2023</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Limited Waiver) to September 29, 2023, and (ii) rescind the Holders’ election to receive monthly Amortization Payments otherwise due and payable during the period from December 1, 2022 until September 29, 2023.</w:t>
      </w:r>
    </w:p>
    <w:p>
      <w:pPr>
        <w:spacing w:after="0" w:line="176"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color w:val="auto"/>
        </w:rPr>
        <w:t>WHEREAS, on October 5, 2023, the Company, the Holders and the Agent entered into a Limited Waiver and Deferral Agreement (the “</w:t>
      </w:r>
      <w:r>
        <w:rPr>
          <w:rFonts w:ascii="Times New Roman" w:cs="Times New Roman" w:eastAsia="Times New Roman" w:hAnsi="Times New Roman"/>
          <w:sz w:val="18"/>
          <w:szCs w:val="18"/>
          <w:b w:val="1"/>
          <w:bCs w:val="1"/>
          <w:color w:val="auto"/>
        </w:rPr>
        <w:t>October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2023 Limited Waiver</w:t>
      </w:r>
      <w:r>
        <w:rPr>
          <w:rFonts w:ascii="Times New Roman" w:cs="Times New Roman" w:eastAsia="Times New Roman" w:hAnsi="Times New Roman"/>
          <w:sz w:val="18"/>
          <w:szCs w:val="18"/>
          <w:color w:val="auto"/>
        </w:rPr>
        <w:t>”), pursuant to which the parties agreed to, among other things, (i) further defer the Updated Deferred ABL Fees (as defined in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October 2023 Limited Waiver) to November 28, 2023, and (ii) rescind the Holders’ election to receive monthly Amortization Payments otherwise due and payable during the period from December 1, 2022 until October 31, 2023.</w:t>
      </w:r>
    </w:p>
    <w:p>
      <w:pPr>
        <w:spacing w:after="0" w:line="180"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WHEREAS, on February 12, 2024, the Company, the Holders and the Agent entered into a Limited Waiver, Deferral and Amendment and Restatement Agreement (as such agreement was subsequently amended, the “</w:t>
      </w:r>
      <w:r>
        <w:rPr>
          <w:rFonts w:ascii="Times New Roman" w:cs="Times New Roman" w:eastAsia="Times New Roman" w:hAnsi="Times New Roman"/>
          <w:sz w:val="18"/>
          <w:szCs w:val="18"/>
          <w:b w:val="1"/>
          <w:bCs w:val="1"/>
          <w:color w:val="auto"/>
        </w:rPr>
        <w:t>A&amp;R Agreement</w:t>
      </w:r>
      <w:r>
        <w:rPr>
          <w:rFonts w:ascii="Times New Roman" w:cs="Times New Roman" w:eastAsia="Times New Roman" w:hAnsi="Times New Roman"/>
          <w:sz w:val="18"/>
          <w:szCs w:val="18"/>
          <w:color w:val="auto"/>
        </w:rPr>
        <w:t>”), pursuant to which the parties agreed to, among other things, (i) waive certain Defaults and Events of Default with respect to the Notes and (ii) subject to the satisfaction of certain conditions precedent (the “</w:t>
      </w:r>
      <w:r>
        <w:rPr>
          <w:rFonts w:ascii="Times New Roman" w:cs="Times New Roman" w:eastAsia="Times New Roman" w:hAnsi="Times New Roman"/>
          <w:sz w:val="18"/>
          <w:szCs w:val="18"/>
          <w:b w:val="1"/>
          <w:bCs w:val="1"/>
          <w:color w:val="auto"/>
        </w:rPr>
        <w:t>A&amp;R Conditions Precedent</w:t>
      </w:r>
      <w:r>
        <w:rPr>
          <w:rFonts w:ascii="Times New Roman" w:cs="Times New Roman" w:eastAsia="Times New Roman" w:hAnsi="Times New Roman"/>
          <w:sz w:val="18"/>
          <w:szCs w:val="18"/>
          <w:color w:val="auto"/>
        </w:rPr>
        <w:t>”), to amend and restate the Notes and to equitize certain interest and fees owing on the Notes as set forth in the A&amp;R Agreement.</w:t>
      </w:r>
    </w:p>
    <w:p>
      <w:pPr>
        <w:spacing w:after="0" w:line="183"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WHEREAS, the A&amp;R Conditions Precedent were never satisfied (and as a result the A&amp;R Effective Date (as defined in the A&amp;R Agreement) never occurred) and the waivers provided by the A&amp;R Agreement have expired.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251460</wp:posOffset>
            </wp:positionV>
            <wp:extent cx="713232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4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27" w:name="page28"/>
    <w:bookmarkEnd w:id="27"/>
    <w:p>
      <w:pPr>
        <w:jc w:val="both"/>
        <w:ind w:right="20" w:firstLine="648"/>
        <w:spacing w:after="0" w:line="266" w:lineRule="auto"/>
        <w:rPr>
          <w:sz w:val="20"/>
          <w:szCs w:val="20"/>
          <w:color w:val="auto"/>
        </w:rPr>
      </w:pPr>
      <w:r>
        <w:rPr>
          <w:rFonts w:ascii="Times New Roman" w:cs="Times New Roman" w:eastAsia="Times New Roman" w:hAnsi="Times New Roman"/>
          <w:sz w:val="18"/>
          <w:szCs w:val="18"/>
          <w:color w:val="auto"/>
        </w:rPr>
        <w:t>WHEREAS, the Company (i) has paid all accrued and unpaid Cash Interest (other than Default Interest (as defined below)) on the Original Notes through May 9, 2024 and (ii) assuming the satisfaction of the conditions set forth in Section 6 of this Waiver, will have paid all accrued and unpaid Cash Interest (other than Default Interest) on the Option Notes through April 30, 2024.</w:t>
      </w:r>
    </w:p>
    <w:p>
      <w:pPr>
        <w:spacing w:after="0" w:line="176"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NOW, THEREFORE, in consideration of the premises and for other good and valuable consideration (the receipt and sufficiency of which is hereby acknowledged), the parties hereto, intending to be legally bound hereby, agree as follows:</w:t>
      </w:r>
    </w:p>
    <w:p>
      <w:pPr>
        <w:spacing w:after="0" w:line="162" w:lineRule="exact"/>
        <w:rPr>
          <w:sz w:val="20"/>
          <w:szCs w:val="20"/>
          <w:color w:val="auto"/>
        </w:rPr>
      </w:pPr>
    </w:p>
    <w:p>
      <w:pPr>
        <w:ind w:left="840" w:hanging="184"/>
        <w:spacing w:after="0"/>
        <w:tabs>
          <w:tab w:leader="none" w:pos="840"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Incorporation of Terms</w:t>
      </w:r>
      <w:r>
        <w:rPr>
          <w:rFonts w:ascii="Times New Roman" w:cs="Times New Roman" w:eastAsia="Times New Roman" w:hAnsi="Times New Roman"/>
          <w:sz w:val="18"/>
          <w:szCs w:val="18"/>
          <w:color w:val="auto"/>
        </w:rPr>
        <w:t>. All capitalized terms not otherwise defined herein shall have the same meaning as in the Notes.</w:t>
      </w:r>
    </w:p>
    <w:p>
      <w:pPr>
        <w:spacing w:after="0" w:line="225" w:lineRule="exact"/>
        <w:rPr>
          <w:rFonts w:ascii="Times New Roman" w:cs="Times New Roman" w:eastAsia="Times New Roman" w:hAnsi="Times New Roman"/>
          <w:sz w:val="18"/>
          <w:szCs w:val="18"/>
          <w:color w:val="auto"/>
        </w:rPr>
      </w:pPr>
    </w:p>
    <w:p>
      <w:pPr>
        <w:jc w:val="both"/>
        <w:ind w:firstLine="656"/>
        <w:spacing w:after="0" w:line="261" w:lineRule="auto"/>
        <w:tabs>
          <w:tab w:leader="none" w:pos="841"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Representations and Warranties</w:t>
      </w:r>
      <w:r>
        <w:rPr>
          <w:rFonts w:ascii="Times New Roman" w:cs="Times New Roman" w:eastAsia="Times New Roman" w:hAnsi="Times New Roman"/>
          <w:sz w:val="18"/>
          <w:szCs w:val="18"/>
          <w:color w:val="auto"/>
        </w:rPr>
        <w:t>. The Company hereby represents and warrants that after giving effect to this Waiver, all representations and warranties contained in the Notes are true and correct, in all material respects, on and as of the date hereof, except (a) to the extent that such representations and warranties specifically refer to an earlier date, in which case they shall be true and correct as of such earlier date, and (b) in the case of any representation and warranty qualified by materiality, they shall be true and correct in all respects.</w:t>
      </w:r>
    </w:p>
    <w:p>
      <w:pPr>
        <w:spacing w:after="0" w:line="179" w:lineRule="exact"/>
        <w:rPr>
          <w:rFonts w:ascii="Times New Roman" w:cs="Times New Roman" w:eastAsia="Times New Roman" w:hAnsi="Times New Roman"/>
          <w:sz w:val="18"/>
          <w:szCs w:val="18"/>
          <w:color w:val="auto"/>
        </w:rPr>
      </w:pPr>
    </w:p>
    <w:p>
      <w:pPr>
        <w:ind w:left="840" w:hanging="184"/>
        <w:spacing w:after="0"/>
        <w:tabs>
          <w:tab w:leader="none" w:pos="840"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Waivers</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jc w:val="both"/>
        <w:ind w:firstLine="1304"/>
        <w:spacing w:after="0" w:line="261" w:lineRule="auto"/>
        <w:tabs>
          <w:tab w:leader="none" w:pos="1550" w:val="left"/>
        </w:tabs>
        <w:numPr>
          <w:ilvl w:val="2"/>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Subject to the satisfaction of the conditions precedent set forth in Section 6 of this Waiver, Agent (as directed by all Holders below) and the Holders party hereto hereby temporarily waive the Specified Events of Default under the Notes (as listed on </w:t>
      </w:r>
      <w:r>
        <w:rPr>
          <w:rFonts w:ascii="Times New Roman" w:cs="Times New Roman" w:eastAsia="Times New Roman" w:hAnsi="Times New Roman"/>
          <w:sz w:val="18"/>
          <w:szCs w:val="18"/>
          <w:u w:val="single" w:color="auto"/>
          <w:color w:val="auto"/>
        </w:rPr>
        <w:t>Annex A</w:t>
      </w:r>
      <w:r>
        <w:rPr>
          <w:rFonts w:ascii="Times New Roman" w:cs="Times New Roman" w:eastAsia="Times New Roman" w:hAnsi="Times New Roman"/>
          <w:sz w:val="18"/>
          <w:szCs w:val="18"/>
          <w:color w:val="auto"/>
        </w:rPr>
        <w:t xml:space="preserve"> hereto) through and including the earlier to occur of (i) the date that any Event of Default (other than a Specified Event of Default) occurs under the Notes or any other Note Document and (ii) June 10, 2024 (such period, the “</w:t>
      </w:r>
      <w:r>
        <w:rPr>
          <w:rFonts w:ascii="Times New Roman" w:cs="Times New Roman" w:eastAsia="Times New Roman" w:hAnsi="Times New Roman"/>
          <w:sz w:val="18"/>
          <w:szCs w:val="18"/>
          <w:b w:val="1"/>
          <w:bCs w:val="1"/>
          <w:color w:val="auto"/>
        </w:rPr>
        <w:t>Waiver Period</w:t>
      </w:r>
      <w:r>
        <w:rPr>
          <w:rFonts w:ascii="Times New Roman" w:cs="Times New Roman" w:eastAsia="Times New Roman" w:hAnsi="Times New Roman"/>
          <w:sz w:val="18"/>
          <w:szCs w:val="18"/>
          <w:color w:val="auto"/>
        </w:rPr>
        <w:t>”).</w:t>
      </w:r>
    </w:p>
    <w:p>
      <w:pPr>
        <w:spacing w:after="0" w:line="179" w:lineRule="exact"/>
        <w:rPr>
          <w:rFonts w:ascii="Times New Roman" w:cs="Times New Roman" w:eastAsia="Times New Roman" w:hAnsi="Times New Roman"/>
          <w:sz w:val="18"/>
          <w:szCs w:val="18"/>
          <w:color w:val="auto"/>
        </w:rPr>
      </w:pPr>
    </w:p>
    <w:p>
      <w:pPr>
        <w:jc w:val="both"/>
        <w:ind w:firstLine="1304"/>
        <w:spacing w:after="0" w:line="261" w:lineRule="auto"/>
        <w:tabs>
          <w:tab w:leader="none" w:pos="1555" w:val="left"/>
        </w:tabs>
        <w:numPr>
          <w:ilvl w:val="2"/>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set forth in Section 3(a), in the event that the Specified Events of Default have not been resolved in a manner acceptable to the Majority Holders on or before the expiration of the applicable Waiver Period, (i) the waiver provided in Section 3(a) shall terminate immediately, and</w:t>
      </w:r>
    </w:p>
    <w:p>
      <w:pPr>
        <w:ind w:left="280" w:hanging="272"/>
        <w:spacing w:after="0"/>
        <w:tabs>
          <w:tab w:leader="none" w:pos="2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Specified Events of Default shall be deemed to have occurred and be continuing for all purposes of the Notes and the other Note Documents.</w:t>
      </w:r>
    </w:p>
    <w:p>
      <w:pPr>
        <w:spacing w:after="0" w:line="206" w:lineRule="exact"/>
        <w:rPr>
          <w:rFonts w:ascii="Times New Roman" w:cs="Times New Roman" w:eastAsia="Times New Roman" w:hAnsi="Times New Roman"/>
          <w:sz w:val="18"/>
          <w:szCs w:val="18"/>
          <w:color w:val="auto"/>
        </w:rPr>
      </w:pPr>
    </w:p>
    <w:p>
      <w:pPr>
        <w:jc w:val="both"/>
        <w:ind w:firstLine="1304"/>
        <w:spacing w:after="0" w:line="261" w:lineRule="auto"/>
        <w:tabs>
          <w:tab w:leader="none" w:pos="1550" w:val="left"/>
        </w:tabs>
        <w:numPr>
          <w:ilvl w:val="2"/>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Subject to the satisfaction of the conditions precedent set forth in Section 6 of this Waiver, Agent (as directed by all Holders below) and the Holders party hereto hereby temporarily waive any requirement pursuant to Section 6 of the Notes that the Company conduct a repurchase of Notes as a result of the Delisting prior to June 10, 2024,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that</w:t>
      </w:r>
      <w:r>
        <w:rPr>
          <w:rFonts w:ascii="Times New Roman" w:cs="Times New Roman" w:eastAsia="Times New Roman" w:hAnsi="Times New Roman"/>
          <w:sz w:val="18"/>
          <w:szCs w:val="18"/>
          <w:color w:val="auto"/>
        </w:rPr>
        <w:t>, for all purposes under the Notes, the Company shall treat the Delisting, and the resulting Fundamental Change and Make-Whole Fundamental Change, as if they occurred and became effective on and as of June 10, 2024.</w:t>
      </w:r>
    </w:p>
    <w:p>
      <w:pPr>
        <w:spacing w:after="0" w:line="179" w:lineRule="exact"/>
        <w:rPr>
          <w:rFonts w:ascii="Times New Roman" w:cs="Times New Roman" w:eastAsia="Times New Roman" w:hAnsi="Times New Roman"/>
          <w:sz w:val="18"/>
          <w:szCs w:val="18"/>
          <w:color w:val="auto"/>
        </w:rPr>
      </w:pPr>
    </w:p>
    <w:p>
      <w:pPr>
        <w:jc w:val="both"/>
        <w:ind w:firstLine="1304"/>
        <w:spacing w:after="0" w:line="254" w:lineRule="auto"/>
        <w:tabs>
          <w:tab w:leader="none" w:pos="1552" w:val="left"/>
        </w:tabs>
        <w:numPr>
          <w:ilvl w:val="2"/>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This Section 3 shall be effective only to the extent specifically set forth herein and shall not be construed as a consent to or waiver of any breach or Default other than as specifically waived herein and shall not (i) affect the right of Agent or any of the Holders to demand strict compliance by Company with all terms and conditions of the Notes, except as specifically consented to, modified or waived by the terms hereof, (ii) be deemed a consent to or waiver of any future transaction or action on the part of any Note Party requiring the Holders’ or the Majority Holders’ consent or approval under the Notes, or (iii) diminish, prejudice or waive any of Agent’s or any Holders’ rights and remedies under the Notes or applicable law, whether arising as a consequence of any Event of Default which may now exist or otherwise, and Agent and each of the Holders hereby reserve all of such rights and remedies. For the avoidance of doubt and notwithstanding anything herein to the contrary, to the extent any provision of the Notes is qualified by, or requires the absence of, any Default or Event of Default, a Default or Event of Default shall be deemed to </w:t>
      </w:r>
      <w:r>
        <w:rPr>
          <w:rFonts w:ascii="Times New Roman" w:cs="Times New Roman" w:eastAsia="Times New Roman" w:hAnsi="Times New Roman"/>
          <w:sz w:val="18"/>
          <w:szCs w:val="18"/>
          <w:b w:val="1"/>
          <w:bCs w:val="1"/>
          <w:u w:val="single" w:color="auto"/>
          <w:color w:val="auto"/>
        </w:rPr>
        <w:t>not</w:t>
      </w:r>
      <w:r>
        <w:rPr>
          <w:rFonts w:ascii="Times New Roman" w:cs="Times New Roman" w:eastAsia="Times New Roman" w:hAnsi="Times New Roman"/>
          <w:sz w:val="18"/>
          <w:szCs w:val="18"/>
          <w:color w:val="auto"/>
        </w:rPr>
        <w:t xml:space="preserve"> have occurred for purposes of such provisions.</w:t>
      </w:r>
    </w:p>
    <w:p>
      <w:pPr>
        <w:spacing w:after="0" w:line="18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28" w:name="page29"/>
    <w:bookmarkEnd w:id="28"/>
    <w:p>
      <w:pPr>
        <w:ind w:left="820" w:hanging="184"/>
        <w:spacing w:after="0"/>
        <w:tabs>
          <w:tab w:leader="none" w:pos="8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Certain ABL Fees, Conversion/PIK Schedule and Default Interest</w:t>
      </w:r>
      <w:r>
        <w:rPr>
          <w:rFonts w:ascii="Times New Roman" w:cs="Times New Roman" w:eastAsia="Times New Roman" w:hAnsi="Times New Roman"/>
          <w:sz w:val="18"/>
          <w:szCs w:val="18"/>
          <w:color w:val="auto"/>
        </w:rPr>
        <w:t>.</w:t>
      </w:r>
    </w:p>
    <w:p>
      <w:pPr>
        <w:spacing w:after="0" w:line="223" w:lineRule="exact"/>
        <w:rPr>
          <w:rFonts w:ascii="Times New Roman" w:cs="Times New Roman" w:eastAsia="Times New Roman" w:hAnsi="Times New Roman"/>
          <w:sz w:val="18"/>
          <w:szCs w:val="18"/>
          <w:color w:val="auto"/>
        </w:rPr>
      </w:pPr>
    </w:p>
    <w:p>
      <w:pPr>
        <w:ind w:left="1520" w:hanging="236"/>
        <w:spacing w:after="0"/>
        <w:tabs>
          <w:tab w:leader="none" w:pos="1520"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Certain ABL Fees and Amortization</w:t>
      </w:r>
      <w:r>
        <w:rPr>
          <w:rFonts w:ascii="Times New Roman" w:cs="Times New Roman" w:eastAsia="Times New Roman" w:hAnsi="Times New Roman"/>
          <w:sz w:val="18"/>
          <w:szCs w:val="18"/>
          <w:color w:val="auto"/>
        </w:rPr>
        <w:t>. Subject to the satisfaction of the conditions precedent set forth in Section 6 of this Waiver:</w:t>
      </w:r>
    </w:p>
    <w:p>
      <w:pPr>
        <w:spacing w:after="0" w:line="227" w:lineRule="exact"/>
        <w:rPr>
          <w:rFonts w:ascii="Times New Roman" w:cs="Times New Roman" w:eastAsia="Times New Roman" w:hAnsi="Times New Roman"/>
          <w:sz w:val="18"/>
          <w:szCs w:val="18"/>
          <w:color w:val="auto"/>
        </w:rPr>
      </w:pPr>
    </w:p>
    <w:p>
      <w:pPr>
        <w:jc w:val="both"/>
        <w:ind w:left="640" w:firstLine="1292"/>
        <w:spacing w:after="0" w:line="258" w:lineRule="auto"/>
        <w:tabs>
          <w:tab w:leader="none" w:pos="2161" w:val="left"/>
        </w:tabs>
        <w:numPr>
          <w:ilvl w:val="2"/>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Notwithstanding anything to the contrary in the February 2023 Limited Waiver, the May 2023 Limited Waiver, the October 2023 Limited Waiver, the A&amp;R Agreement or Section 12(g) of the Notes, the Updated Deferred ABL Fees (as defined in the October 2023 Limited Waiver) and any fee payable pursuant to Section 12(g) of the Notes between November 28, 2023 and June 10, 2024, shall become due and payable in cash on June 10, 2024. The Company and the Holders acknowledge and agree that a complete listing of all fees payable pursuant to Section 12(g) of the Notes as of the date hereof is set forth on </w:t>
      </w:r>
      <w:r>
        <w:rPr>
          <w:rFonts w:ascii="Times New Roman" w:cs="Times New Roman" w:eastAsia="Times New Roman" w:hAnsi="Times New Roman"/>
          <w:sz w:val="18"/>
          <w:szCs w:val="18"/>
          <w:u w:val="single" w:color="auto"/>
          <w:color w:val="auto"/>
        </w:rPr>
        <w:t>Annex B</w:t>
      </w:r>
      <w:r>
        <w:rPr>
          <w:rFonts w:ascii="Times New Roman" w:cs="Times New Roman" w:eastAsia="Times New Roman" w:hAnsi="Times New Roman"/>
          <w:sz w:val="18"/>
          <w:szCs w:val="18"/>
          <w:color w:val="auto"/>
        </w:rPr>
        <w:t xml:space="preserve"> hereto.</w:t>
      </w:r>
    </w:p>
    <w:p>
      <w:pPr>
        <w:spacing w:after="0" w:line="183" w:lineRule="exact"/>
        <w:rPr>
          <w:rFonts w:ascii="Times New Roman" w:cs="Times New Roman" w:eastAsia="Times New Roman" w:hAnsi="Times New Roman"/>
          <w:sz w:val="18"/>
          <w:szCs w:val="18"/>
          <w:color w:val="auto"/>
        </w:rPr>
      </w:pPr>
    </w:p>
    <w:p>
      <w:pPr>
        <w:jc w:val="both"/>
        <w:ind w:left="640" w:firstLine="1292"/>
        <w:spacing w:after="0" w:line="253" w:lineRule="auto"/>
        <w:tabs>
          <w:tab w:leader="none" w:pos="2226" w:val="left"/>
        </w:tabs>
        <w:numPr>
          <w:ilvl w:val="2"/>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anything to the contrary in Section 2(b) of the Notes, (i) the Holders agree to rescind their election to receive monthly Amortization Payments otherwise due and payable during the period from December 1, 2023 until June 30, 2024 (the “</w:t>
      </w:r>
      <w:r>
        <w:rPr>
          <w:rFonts w:ascii="Times New Roman" w:cs="Times New Roman" w:eastAsia="Times New Roman" w:hAnsi="Times New Roman"/>
          <w:sz w:val="18"/>
          <w:szCs w:val="18"/>
          <w:b w:val="1"/>
          <w:bCs w:val="1"/>
          <w:color w:val="auto"/>
        </w:rPr>
        <w:t>Foregone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Amortization Payments</w:t>
      </w:r>
      <w:r>
        <w:rPr>
          <w:rFonts w:ascii="Times New Roman" w:cs="Times New Roman" w:eastAsia="Times New Roman" w:hAnsi="Times New Roman"/>
          <w:sz w:val="18"/>
          <w:szCs w:val="18"/>
          <w:color w:val="auto"/>
        </w:rPr>
        <w:t>”), (ii) the applicable portion of the aggregate Principal Amounts included in the Foregone Amortization Payments shall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remain part of the aggregate Principal Amount of the applicable Note outstanding and shall become due and owing in accordance with the terms of such Notes and (iii) Interest shall continue to accrue on such Principal Amounts without interruption (which interest, in the case of all periods from, and including, December 1, 2023 shall include Default Interest (as defined below) as contemplated by Section 2(a) of the Notes and Section 4(c) of this Waiver). The Company and Holders hereby acknowledge and agree that Amortization Payments shall resume on July 1, 2024. The Company and Holders hereby acknowledge and agree that the updated amortization schedule is, as of the date hereof, true and accurate as set forth on </w:t>
      </w:r>
      <w:r>
        <w:rPr>
          <w:rFonts w:ascii="Times New Roman" w:cs="Times New Roman" w:eastAsia="Times New Roman" w:hAnsi="Times New Roman"/>
          <w:sz w:val="18"/>
          <w:szCs w:val="18"/>
          <w:u w:val="single" w:color="auto"/>
          <w:color w:val="auto"/>
        </w:rPr>
        <w:t>Annex C</w:t>
      </w:r>
      <w:r>
        <w:rPr>
          <w:rFonts w:ascii="Times New Roman" w:cs="Times New Roman" w:eastAsia="Times New Roman" w:hAnsi="Times New Roman"/>
          <w:sz w:val="18"/>
          <w:szCs w:val="18"/>
          <w:color w:val="auto"/>
        </w:rPr>
        <w:t xml:space="preserve"> hereto. For the avoidance of doubt, such updated amortization schedule has been calculated without consideration of any Default Interest paid or payable after the date hereof as contemplated by Section 2(a) of the Notes and Section 4(c) of this Waiver.</w:t>
      </w:r>
    </w:p>
    <w:p>
      <w:pPr>
        <w:spacing w:after="0" w:line="192" w:lineRule="exact"/>
        <w:rPr>
          <w:rFonts w:ascii="Times New Roman" w:cs="Times New Roman" w:eastAsia="Times New Roman" w:hAnsi="Times New Roman"/>
          <w:sz w:val="18"/>
          <w:szCs w:val="18"/>
          <w:color w:val="auto"/>
        </w:rPr>
      </w:pPr>
    </w:p>
    <w:p>
      <w:pPr>
        <w:ind w:left="-20" w:firstLine="1304"/>
        <w:spacing w:after="0" w:line="284" w:lineRule="auto"/>
        <w:tabs>
          <w:tab w:leader="none" w:pos="1531"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Conversion/PIK Schedule</w:t>
      </w:r>
      <w:r>
        <w:rPr>
          <w:rFonts w:ascii="Times New Roman" w:cs="Times New Roman" w:eastAsia="Times New Roman" w:hAnsi="Times New Roman"/>
          <w:sz w:val="18"/>
          <w:szCs w:val="18"/>
          <w:color w:val="auto"/>
        </w:rPr>
        <w:t>. The Company and Holders hereby acknowledge and agree that the Conversion/PIK Schedule in respect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each of the Original Notes is, as of the date hereof, true and accurate as set forth on </w:t>
      </w:r>
      <w:r>
        <w:rPr>
          <w:rFonts w:ascii="Times New Roman" w:cs="Times New Roman" w:eastAsia="Times New Roman" w:hAnsi="Times New Roman"/>
          <w:sz w:val="18"/>
          <w:szCs w:val="18"/>
          <w:u w:val="single" w:color="auto"/>
          <w:color w:val="auto"/>
        </w:rPr>
        <w:t>Annex D</w:t>
      </w:r>
      <w:r>
        <w:rPr>
          <w:rFonts w:ascii="Times New Roman" w:cs="Times New Roman" w:eastAsia="Times New Roman" w:hAnsi="Times New Roman"/>
          <w:sz w:val="18"/>
          <w:szCs w:val="18"/>
          <w:color w:val="auto"/>
        </w:rPr>
        <w:t xml:space="preserve"> hereto.</w:t>
      </w:r>
    </w:p>
    <w:p>
      <w:pPr>
        <w:spacing w:after="0" w:line="158" w:lineRule="exact"/>
        <w:rPr>
          <w:rFonts w:ascii="Times New Roman" w:cs="Times New Roman" w:eastAsia="Times New Roman" w:hAnsi="Times New Roman"/>
          <w:sz w:val="18"/>
          <w:szCs w:val="18"/>
          <w:color w:val="auto"/>
        </w:rPr>
      </w:pPr>
    </w:p>
    <w:p>
      <w:pPr>
        <w:jc w:val="both"/>
        <w:ind w:left="-20" w:firstLine="1304"/>
        <w:spacing w:after="0" w:line="257" w:lineRule="auto"/>
        <w:tabs>
          <w:tab w:leader="none" w:pos="1534"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Default Interest</w:t>
      </w:r>
      <w:r>
        <w:rPr>
          <w:rFonts w:ascii="Times New Roman" w:cs="Times New Roman" w:eastAsia="Times New Roman" w:hAnsi="Times New Roman"/>
          <w:sz w:val="18"/>
          <w:szCs w:val="18"/>
          <w:color w:val="auto"/>
        </w:rPr>
        <w:t>. Regardless whether any of the conditions set forth in Section 6 of this Waiver have been satisfied, the Company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acknowledges and agrees that, consistent with the A&amp;R Agreement, all outstanding Obligations under the Notes continue to bear interest, payable whenever Interest is otherwise payable pursuant to the notes, at the rate otherwise applicable thereto plus 2.00% per annum (“</w:t>
      </w:r>
      <w:r>
        <w:rPr>
          <w:rFonts w:ascii="Times New Roman" w:cs="Times New Roman" w:eastAsia="Times New Roman" w:hAnsi="Times New Roman"/>
          <w:sz w:val="18"/>
          <w:szCs w:val="18"/>
          <w:b w:val="1"/>
          <w:bCs w:val="1"/>
          <w:color w:val="auto"/>
        </w:rPr>
        <w:t>Default Interest</w:t>
      </w:r>
      <w:r>
        <w:rPr>
          <w:rFonts w:ascii="Times New Roman" w:cs="Times New Roman" w:eastAsia="Times New Roman" w:hAnsi="Times New Roman"/>
          <w:sz w:val="18"/>
          <w:szCs w:val="18"/>
          <w:color w:val="auto"/>
        </w:rPr>
        <w:t>”), and that such Default Interest is payable notwithstanding the absence of any Defaults or Events of Default as a result of the waivers provided pursuant to this Waiver. The parties acknowledge and agree that (i) through May 9, 2024, cash Default Interest totaling $48,797.58 was accrued and unpaid with respect to the Original Notes and (ii) through April 30, 2024, cash Default Interest totaling $33,750.21 was accrued and unpaid with respect to the Option Notes.</w:t>
      </w:r>
    </w:p>
    <w:p>
      <w:pPr>
        <w:spacing w:after="0" w:line="1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17145</wp:posOffset>
            </wp:positionV>
            <wp:extent cx="713232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40" w:top="688" w:right="339" w:bottom="1440" w:gutter="0" w:footer="0" w:header="0"/>
        </w:sectPr>
      </w:pPr>
    </w:p>
    <w:bookmarkStart w:id="29" w:name="page30"/>
    <w:bookmarkEnd w:id="29"/>
    <w:p>
      <w:pPr>
        <w:ind w:left="820" w:hanging="184"/>
        <w:spacing w:after="0"/>
        <w:tabs>
          <w:tab w:leader="none" w:pos="8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Releases</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jc w:val="both"/>
        <w:ind w:left="-20" w:firstLine="1304"/>
        <w:spacing w:after="0" w:line="251" w:lineRule="auto"/>
        <w:tabs>
          <w:tab w:leader="none" w:pos="1541"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on behalf of itself and each of the Note Parties (and on behalf of each Affiliate thereof) and for itself and for its successors in title and assignees and, to the extent the same is claimed by right of, through or under any of the Note Parties, for its past, present and future employees, agents, representatives (other than legal representatives), officers, directors, shareholders, and trustees (each, a “</w:t>
      </w:r>
      <w:r>
        <w:rPr>
          <w:rFonts w:ascii="Times New Roman" w:cs="Times New Roman" w:eastAsia="Times New Roman" w:hAnsi="Times New Roman"/>
          <w:sz w:val="18"/>
          <w:szCs w:val="18"/>
          <w:b w:val="1"/>
          <w:bCs w:val="1"/>
          <w:color w:val="auto"/>
        </w:rPr>
        <w:t>Releasing Party</w:t>
      </w:r>
      <w:r>
        <w:rPr>
          <w:rFonts w:ascii="Times New Roman" w:cs="Times New Roman" w:eastAsia="Times New Roman" w:hAnsi="Times New Roman"/>
          <w:sz w:val="18"/>
          <w:szCs w:val="18"/>
          <w:color w:val="auto"/>
        </w:rPr>
        <w:t>” and collectively, the “</w:t>
      </w:r>
      <w:r>
        <w:rPr>
          <w:rFonts w:ascii="Times New Roman" w:cs="Times New Roman" w:eastAsia="Times New Roman" w:hAnsi="Times New Roman"/>
          <w:sz w:val="18"/>
          <w:szCs w:val="18"/>
          <w:b w:val="1"/>
          <w:bCs w:val="1"/>
          <w:color w:val="auto"/>
        </w:rPr>
        <w:t>Releasing Parties</w:t>
      </w:r>
      <w:r>
        <w:rPr>
          <w:rFonts w:ascii="Times New Roman" w:cs="Times New Roman" w:eastAsia="Times New Roman" w:hAnsi="Times New Roman"/>
          <w:sz w:val="18"/>
          <w:szCs w:val="18"/>
          <w:color w:val="auto"/>
        </w:rPr>
        <w:t>”), does hereby remise, release and discharge, and shall be deemed to have forever remised, released and discharged, the Agent, and each of the Holders in their respective capacities as such under the Note Documents, and the Agent’s and each Holder’s respective successors-in-title, legal representatives and assignees, past, present and future officers, directors, affiliates, shareholders, trustees, agents, employees, consultants, experts, advisors, attorneys and other professionals and all other persons and entities to whom the Agent and each of the Holders or any of their respective successors-in-title, legal representatives and assignees, past, present and future officers, directors, affiliates, shareholders, trustees, agents, employees, consultants, experts, advisors, attorneys and other professionals would be liable if such persons or entities were found to be liable to any Releasing Party or any of them (collectively, hereinafter the “</w:t>
      </w:r>
      <w:r>
        <w:rPr>
          <w:rFonts w:ascii="Times New Roman" w:cs="Times New Roman" w:eastAsia="Times New Roman" w:hAnsi="Times New Roman"/>
          <w:sz w:val="18"/>
          <w:szCs w:val="18"/>
          <w:b w:val="1"/>
          <w:bCs w:val="1"/>
          <w:color w:val="auto"/>
        </w:rPr>
        <w:t>Releasees</w:t>
      </w:r>
      <w:r>
        <w:rPr>
          <w:rFonts w:ascii="Times New Roman" w:cs="Times New Roman" w:eastAsia="Times New Roman" w:hAnsi="Times New Roman"/>
          <w:sz w:val="18"/>
          <w:szCs w:val="18"/>
          <w:color w:val="auto"/>
        </w:rPr>
        <w:t>”), from any and all manner of action and actions, cause and causes of action, claims, charges, demands, counterclaims, crossclaims, suits, debts, dues, sums of money, accounts, reckonings, bonds, bills, specialties, covenants, contracts, rights of setoff and recoupment, controversies, damages, judgments, expenses, executions, liens, claims of liens, claims of costs, penalties, attorneys’ fees, or any other compensation, recovery or relief on account of any liability, obligation, demand or cause of action of whatever nature, whether in law, equity or otherwise, whether known or unknown, fixed or contingent, joint and/or several, secured or unsecured, due or not due, primary or secondary, liquidated or unliquidated, contractual or tortious, direct, indirect, or derivative, asserted or unasserted, foreseen or unforeseen, suspected or unsuspected, now existing, heretofore existing or which may heretofore accrue against any of the Releasees, and which are, in each case, based on any act, fact, event or omission or other matter, cause or thing occurring at any time prior to or on the date hereof in any way, directly or indirectly arising out of, connected with or relating to the Notes or any other Note Document and the transactions contemplated thereby, and all other agreements, certificates, instruments and other documents and statements (whether written or oral) related to any of the foregoing (each, a “</w:t>
      </w:r>
      <w:r>
        <w:rPr>
          <w:rFonts w:ascii="Times New Roman" w:cs="Times New Roman" w:eastAsia="Times New Roman" w:hAnsi="Times New Roman"/>
          <w:sz w:val="18"/>
          <w:szCs w:val="18"/>
          <w:b w:val="1"/>
          <w:bCs w:val="1"/>
          <w:color w:val="auto"/>
        </w:rPr>
        <w:t>Claim</w:t>
      </w:r>
      <w:r>
        <w:rPr>
          <w:rFonts w:ascii="Times New Roman" w:cs="Times New Roman" w:eastAsia="Times New Roman" w:hAnsi="Times New Roman"/>
          <w:sz w:val="18"/>
          <w:szCs w:val="18"/>
          <w:color w:val="auto"/>
        </w:rPr>
        <w:t>” and collectively, the “</w:t>
      </w:r>
      <w:r>
        <w:rPr>
          <w:rFonts w:ascii="Times New Roman" w:cs="Times New Roman" w:eastAsia="Times New Roman" w:hAnsi="Times New Roman"/>
          <w:sz w:val="18"/>
          <w:szCs w:val="18"/>
          <w:b w:val="1"/>
          <w:bCs w:val="1"/>
          <w:color w:val="auto"/>
        </w:rPr>
        <w:t>Claims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that</w:t>
      </w:r>
      <w:r>
        <w:rPr>
          <w:rFonts w:ascii="Times New Roman" w:cs="Times New Roman" w:eastAsia="Times New Roman" w:hAnsi="Times New Roman"/>
          <w:sz w:val="18"/>
          <w:szCs w:val="18"/>
          <w:color w:val="auto"/>
        </w:rPr>
        <w:t>, no Releasing Party shall have any obligation with respect to Claims to the extent such Claims are determined by a court of competent jurisdiction by final and non-appealable judgment to have resulted from the gross negligence or willful misconduct of any Releasee. Each Releasing Party further stipulates and agrees with respect to all Claims, that it hereby waives, to the fullest extent permitted by applicable law, any and all provisions, rights, and benefits conferred by any applicable U.S. federal or state law, or any principle of common law, that would otherwise limit a release or discharge of any unknown Claims pursuant to this Section 5.</w:t>
      </w:r>
    </w:p>
    <w:p>
      <w:pPr>
        <w:spacing w:after="0" w:line="204" w:lineRule="exact"/>
        <w:rPr>
          <w:rFonts w:ascii="Times New Roman" w:cs="Times New Roman" w:eastAsia="Times New Roman" w:hAnsi="Times New Roman"/>
          <w:sz w:val="18"/>
          <w:szCs w:val="18"/>
          <w:color w:val="auto"/>
        </w:rPr>
      </w:pPr>
    </w:p>
    <w:p>
      <w:pPr>
        <w:jc w:val="both"/>
        <w:ind w:left="-20" w:firstLine="1304"/>
        <w:spacing w:after="0" w:line="256" w:lineRule="auto"/>
        <w:tabs>
          <w:tab w:leader="none" w:pos="1552"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on behalf of each Note Party, itself and its successors, assigns, and other legal representatives, hereby absolutely, unconditionally and irrevocably, covenants and agrees with and in favor of each Releasee that it will not sue (at law, in equity, in any regulatory proceeding or otherwise) any Releasee on the basis of any Claim released, remised and discharged by any Note Party pursuant to Section 5(a) of this Waiver. If any Note Party or any of its successors, assigns or other legal representatives violates the foregoing covenant, the Note Parties, each for itself and its successors, assigns and legal representatives, agrees to pay, in addition to such other damages as any Releasee may sustain as a result of such violation, all attorneys’ fees and costs incurred by any Releasee as a result of such violation.</w:t>
      </w:r>
    </w:p>
    <w:p>
      <w:pPr>
        <w:spacing w:after="0" w:line="187" w:lineRule="exact"/>
        <w:rPr>
          <w:rFonts w:ascii="Times New Roman" w:cs="Times New Roman" w:eastAsia="Times New Roman" w:hAnsi="Times New Roman"/>
          <w:sz w:val="18"/>
          <w:szCs w:val="18"/>
          <w:color w:val="auto"/>
        </w:rPr>
      </w:pPr>
    </w:p>
    <w:p>
      <w:pPr>
        <w:ind w:left="-20" w:firstLine="656"/>
        <w:spacing w:after="0" w:line="282" w:lineRule="auto"/>
        <w:tabs>
          <w:tab w:leader="none" w:pos="835"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Conditions to Effectiveness</w:t>
      </w:r>
      <w:r>
        <w:rPr>
          <w:rFonts w:ascii="Times New Roman" w:cs="Times New Roman" w:eastAsia="Times New Roman" w:hAnsi="Times New Roman"/>
          <w:sz w:val="18"/>
          <w:szCs w:val="18"/>
          <w:color w:val="auto"/>
        </w:rPr>
        <w:t>. This Waiver shall not be effective until each of the following conditions precedent has been fulfilled to the satisfaction of the Agent (at the direction of all Holders):</w:t>
      </w:r>
    </w:p>
    <w:p>
      <w:pPr>
        <w:spacing w:after="0" w:line="161" w:lineRule="exact"/>
        <w:rPr>
          <w:rFonts w:ascii="Times New Roman" w:cs="Times New Roman" w:eastAsia="Times New Roman" w:hAnsi="Times New Roman"/>
          <w:sz w:val="18"/>
          <w:szCs w:val="18"/>
          <w:color w:val="auto"/>
        </w:rPr>
      </w:pPr>
    </w:p>
    <w:p>
      <w:pPr>
        <w:ind w:left="-20" w:right="20" w:firstLine="1304"/>
        <w:spacing w:after="0" w:line="282" w:lineRule="auto"/>
        <w:tabs>
          <w:tab w:leader="none" w:pos="1525"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Waiver shall have been duly executed and delivered by the Company, the Agent, and the Majority Holders, and the Agent shall have received evidence thereof.</w:t>
      </w:r>
    </w:p>
    <w:p>
      <w:pPr>
        <w:spacing w:after="0" w:line="161" w:lineRule="exact"/>
        <w:rPr>
          <w:rFonts w:ascii="Times New Roman" w:cs="Times New Roman" w:eastAsia="Times New Roman" w:hAnsi="Times New Roman"/>
          <w:sz w:val="18"/>
          <w:szCs w:val="18"/>
          <w:color w:val="auto"/>
        </w:rPr>
      </w:pPr>
    </w:p>
    <w:p>
      <w:pPr>
        <w:ind w:left="1520" w:hanging="236"/>
        <w:spacing w:after="0"/>
        <w:tabs>
          <w:tab w:leader="none" w:pos="1520"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After giving effect to this Waiver, no Default or Event of Default shall have occurred and be continuing.</w:t>
      </w:r>
    </w:p>
    <w:p>
      <w:pPr>
        <w:spacing w:after="0" w:line="225" w:lineRule="exact"/>
        <w:rPr>
          <w:rFonts w:ascii="Times New Roman" w:cs="Times New Roman" w:eastAsia="Times New Roman" w:hAnsi="Times New Roman"/>
          <w:sz w:val="18"/>
          <w:szCs w:val="18"/>
          <w:color w:val="auto"/>
        </w:rPr>
      </w:pPr>
    </w:p>
    <w:p>
      <w:pPr>
        <w:jc w:val="both"/>
        <w:ind w:left="-20" w:firstLine="1304"/>
        <w:spacing w:after="0" w:line="266" w:lineRule="auto"/>
        <w:tabs>
          <w:tab w:leader="none" w:pos="1539"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shall have paid (i) all accrued and unpaid Interest (other than Default Interest) as of April 30, 2024 on the Option Notes, totaling $39,781.33, (ii) all outstanding fees and expenses of King &amp; Spalding LLP, counsel to the Holders, and (iii) all outstanding fees and expenses of Chapman and Cutler LLP, counsel to the Agent.</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17145</wp:posOffset>
            </wp:positionV>
            <wp:extent cx="713232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40" w:top="688" w:right="339" w:bottom="1440" w:gutter="0" w:footer="0" w:header="0"/>
        </w:sectPr>
      </w:pPr>
    </w:p>
    <w:bookmarkStart w:id="30" w:name="page31"/>
    <w:bookmarkEnd w:id="30"/>
    <w:p>
      <w:pPr>
        <w:ind w:firstLine="656"/>
        <w:spacing w:after="0" w:line="282" w:lineRule="auto"/>
        <w:tabs>
          <w:tab w:leader="none" w:pos="868"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Binding Effect</w:t>
      </w:r>
      <w:r>
        <w:rPr>
          <w:rFonts w:ascii="Times New Roman" w:cs="Times New Roman" w:eastAsia="Times New Roman" w:hAnsi="Times New Roman"/>
          <w:sz w:val="18"/>
          <w:szCs w:val="18"/>
          <w:color w:val="auto"/>
        </w:rPr>
        <w:t>. The terms and provisions hereof shall be binding upon and inure to the benefit of the parties hereto and their heirs, representatives, successors and assigns.</w:t>
      </w:r>
    </w:p>
    <w:p>
      <w:pPr>
        <w:spacing w:after="0" w:line="161" w:lineRule="exact"/>
        <w:rPr>
          <w:rFonts w:ascii="Times New Roman" w:cs="Times New Roman" w:eastAsia="Times New Roman" w:hAnsi="Times New Roman"/>
          <w:sz w:val="18"/>
          <w:szCs w:val="18"/>
          <w:color w:val="auto"/>
        </w:rPr>
      </w:pPr>
    </w:p>
    <w:p>
      <w:pPr>
        <w:ind w:firstLine="656"/>
        <w:spacing w:after="0" w:line="282" w:lineRule="auto"/>
        <w:tabs>
          <w:tab w:leader="none" w:pos="841"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Reaffirmation of Obligations</w:t>
      </w:r>
      <w:r>
        <w:rPr>
          <w:rFonts w:ascii="Times New Roman" w:cs="Times New Roman" w:eastAsia="Times New Roman" w:hAnsi="Times New Roman"/>
          <w:sz w:val="18"/>
          <w:szCs w:val="18"/>
          <w:color w:val="auto"/>
        </w:rPr>
        <w:t>. The Company hereby ratifies the Note Documents and acknowledges and reaffirms (a) that it is bound by all terms of the Note Documents applicable to it and (b) that it is responsible for the observance and full performance of its respective Obligations.</w:t>
      </w:r>
    </w:p>
    <w:p>
      <w:pPr>
        <w:spacing w:after="0" w:line="161" w:lineRule="exact"/>
        <w:rPr>
          <w:rFonts w:ascii="Times New Roman" w:cs="Times New Roman" w:eastAsia="Times New Roman" w:hAnsi="Times New Roman"/>
          <w:sz w:val="18"/>
          <w:szCs w:val="18"/>
          <w:color w:val="auto"/>
        </w:rPr>
      </w:pPr>
    </w:p>
    <w:p>
      <w:pPr>
        <w:ind w:left="840" w:hanging="184"/>
        <w:spacing w:after="0"/>
        <w:tabs>
          <w:tab w:leader="none" w:pos="8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Note Document</w:t>
      </w:r>
      <w:r>
        <w:rPr>
          <w:rFonts w:ascii="Times New Roman" w:cs="Times New Roman" w:eastAsia="Times New Roman" w:hAnsi="Times New Roman"/>
          <w:sz w:val="18"/>
          <w:szCs w:val="18"/>
          <w:color w:val="auto"/>
        </w:rPr>
        <w:t>. This Waiver shall constitute a Note Document under the terms of each Note.</w:t>
      </w:r>
    </w:p>
    <w:p>
      <w:pPr>
        <w:spacing w:after="0" w:line="225" w:lineRule="exact"/>
        <w:rPr>
          <w:rFonts w:ascii="Times New Roman" w:cs="Times New Roman" w:eastAsia="Times New Roman" w:hAnsi="Times New Roman"/>
          <w:sz w:val="18"/>
          <w:szCs w:val="18"/>
          <w:color w:val="auto"/>
        </w:rPr>
      </w:pPr>
    </w:p>
    <w:p>
      <w:pPr>
        <w:jc w:val="both"/>
        <w:ind w:firstLine="656"/>
        <w:spacing w:after="0" w:line="266" w:lineRule="auto"/>
        <w:tabs>
          <w:tab w:leader="none" w:pos="918"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Multiple Counterparts</w:t>
      </w:r>
      <w:r>
        <w:rPr>
          <w:rFonts w:ascii="Times New Roman" w:cs="Times New Roman" w:eastAsia="Times New Roman" w:hAnsi="Times New Roman"/>
          <w:sz w:val="18"/>
          <w:szCs w:val="18"/>
          <w:color w:val="auto"/>
        </w:rPr>
        <w:t>. This Waiver may be executed in counterparts (and by different parties hereto in different counterparts), each of which shall constitute an original, but all of which when taken together shall constitute a single contract. Delivery of an executed counterpart of a signature page of this Waiver by telecopy, pdf or other electronic transmission shall be as effective as delivery of a manually executed counterpart of this Waiver.</w:t>
      </w:r>
    </w:p>
    <w:p>
      <w:pPr>
        <w:spacing w:after="0" w:line="175" w:lineRule="exact"/>
        <w:rPr>
          <w:rFonts w:ascii="Times New Roman" w:cs="Times New Roman" w:eastAsia="Times New Roman" w:hAnsi="Times New Roman"/>
          <w:sz w:val="18"/>
          <w:szCs w:val="18"/>
          <w:color w:val="auto"/>
        </w:rPr>
      </w:pPr>
    </w:p>
    <w:p>
      <w:pPr>
        <w:jc w:val="both"/>
        <w:ind w:firstLine="656"/>
        <w:spacing w:after="0" w:line="261" w:lineRule="auto"/>
        <w:tabs>
          <w:tab w:leader="none" w:pos="925"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Governing Law</w:t>
      </w:r>
      <w:r>
        <w:rPr>
          <w:rFonts w:ascii="Times New Roman" w:cs="Times New Roman" w:eastAsia="Times New Roman" w:hAnsi="Times New Roman"/>
          <w:sz w:val="18"/>
          <w:szCs w:val="18"/>
          <w:color w:val="auto"/>
        </w:rPr>
        <w:t>. THIS WAIVER AND ANY CLAIMS, CONTROVERSY, DISPUTE OR CAUSE OF ACTION, WHETHER IN LAW OR EQUITY, WHETHER IN CONTRACT OR IN TORT OR OTHERWISE BASED UPON, ARISING OUT OF OR RELATING TO THIS WAIVER AND THE TRANSACTIONS CONTEMPLATED HEREBY SHALL BE GOVERNED BY, AND CONSTRUED IN ACCORDANCE WITH, THE LAW OF THE STATE OF NEW YORK.</w:t>
      </w:r>
    </w:p>
    <w:p>
      <w:pPr>
        <w:spacing w:after="0" w:line="179" w:lineRule="exact"/>
        <w:rPr>
          <w:rFonts w:ascii="Times New Roman" w:cs="Times New Roman" w:eastAsia="Times New Roman" w:hAnsi="Times New Roman"/>
          <w:sz w:val="18"/>
          <w:szCs w:val="18"/>
          <w:color w:val="auto"/>
        </w:rPr>
      </w:pPr>
    </w:p>
    <w:p>
      <w:pPr>
        <w:ind w:firstLine="656"/>
        <w:spacing w:after="0" w:line="282" w:lineRule="auto"/>
        <w:tabs>
          <w:tab w:leader="none" w:pos="918"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Consent to Jurisdiction; Service of Process; Agreement of Jury Trial</w:t>
      </w:r>
      <w:r>
        <w:rPr>
          <w:rFonts w:ascii="Times New Roman" w:cs="Times New Roman" w:eastAsia="Times New Roman" w:hAnsi="Times New Roman"/>
          <w:sz w:val="18"/>
          <w:szCs w:val="18"/>
          <w:color w:val="auto"/>
        </w:rPr>
        <w:t>. The jurisdiction, service of process and waiver of jury trial provisions set forth in subsections 13(h) and 13(i) of the Notes are hereby incorporated by reference.</w:t>
      </w:r>
    </w:p>
    <w:p>
      <w:pPr>
        <w:spacing w:after="0" w:line="161" w:lineRule="exact"/>
        <w:rPr>
          <w:rFonts w:ascii="Times New Roman" w:cs="Times New Roman" w:eastAsia="Times New Roman" w:hAnsi="Times New Roman"/>
          <w:sz w:val="18"/>
          <w:szCs w:val="18"/>
          <w:color w:val="auto"/>
        </w:rPr>
      </w:pPr>
    </w:p>
    <w:p>
      <w:pPr>
        <w:jc w:val="both"/>
        <w:ind w:firstLine="656"/>
        <w:spacing w:after="0" w:line="266" w:lineRule="auto"/>
        <w:tabs>
          <w:tab w:leader="none" w:pos="931"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Agent Authorization</w:t>
      </w:r>
      <w:r>
        <w:rPr>
          <w:rFonts w:ascii="Times New Roman" w:cs="Times New Roman" w:eastAsia="Times New Roman" w:hAnsi="Times New Roman"/>
          <w:sz w:val="18"/>
          <w:szCs w:val="18"/>
          <w:color w:val="auto"/>
        </w:rPr>
        <w:t>. Each of the undersigned Holders hereby authorizes and directs Agent to execute and deliver this Waiver on its behalf and, by its execution below, each of the undersigned Holders agrees to be bound by the terms and conditions of this Waiver. In executing this Waiver, the Agent shall be entitled to all of the rights, benefits, protections, indemnities and immunities afforded to it pursuant to the Note Documents.</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[Signature page follows]</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5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31" w:name="page32"/>
    <w:bookmarkEnd w:id="31"/>
    <w:p>
      <w:pPr>
        <w:ind w:firstLine="648"/>
        <w:spacing w:after="0" w:line="282" w:lineRule="auto"/>
        <w:rPr>
          <w:sz w:val="20"/>
          <w:szCs w:val="20"/>
          <w:color w:val="auto"/>
        </w:rPr>
      </w:pPr>
      <w:r>
        <w:rPr>
          <w:rFonts w:ascii="Times New Roman" w:cs="Times New Roman" w:eastAsia="Times New Roman" w:hAnsi="Times New Roman"/>
          <w:sz w:val="18"/>
          <w:szCs w:val="18"/>
          <w:color w:val="auto"/>
        </w:rPr>
        <w:t>IN WITNESS WHEREOF, this Limited Waiver and Deferral Agreement has been duly executed and delivered by each of the parties hereto as of the date first above written.</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5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COMPANY:</w:t>
            </w:r>
          </w:p>
        </w:tc>
        <w:tc>
          <w:tcPr>
            <w:tcW w:w="5720" w:type="dxa"/>
            <w:vAlign w:val="bottom"/>
            <w:gridSpan w:val="2"/>
          </w:tcPr>
          <w:p>
            <w:pPr>
              <w:ind w:left="220"/>
              <w:spacing w:after="0"/>
              <w:rPr>
                <w:sz w:val="20"/>
                <w:szCs w:val="20"/>
                <w:color w:val="auto"/>
              </w:rPr>
            </w:pPr>
            <w:r>
              <w:rPr>
                <w:rFonts w:ascii="Times New Roman" w:cs="Times New Roman" w:eastAsia="Times New Roman" w:hAnsi="Times New Roman"/>
                <w:sz w:val="18"/>
                <w:szCs w:val="18"/>
                <w:b w:val="1"/>
                <w:bCs w:val="1"/>
                <w:color w:val="auto"/>
              </w:rPr>
              <w:t>HOLDER REPRESENTATIVE:</w:t>
            </w:r>
          </w:p>
        </w:tc>
      </w:tr>
      <w:tr>
        <w:trPr>
          <w:trHeight w:val="414"/>
        </w:trPr>
        <w:tc>
          <w:tcPr>
            <w:tcW w:w="55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Reed’s, Inc.</w:t>
            </w:r>
          </w:p>
        </w:tc>
        <w:tc>
          <w:tcPr>
            <w:tcW w:w="572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Wilmington Savings Fund Society, FSB, solely in its capacity as the Holder</w:t>
            </w:r>
          </w:p>
        </w:tc>
      </w:tr>
      <w:tr>
        <w:trPr>
          <w:trHeight w:val="234"/>
        </w:trPr>
        <w:tc>
          <w:tcPr>
            <w:tcW w:w="580" w:type="dxa"/>
            <w:vAlign w:val="bottom"/>
          </w:tcPr>
          <w:p>
            <w:pPr>
              <w:spacing w:after="0"/>
              <w:rPr>
                <w:sz w:val="20"/>
                <w:szCs w:val="20"/>
                <w:color w:val="auto"/>
              </w:rPr>
            </w:pPr>
          </w:p>
        </w:tc>
        <w:tc>
          <w:tcPr>
            <w:tcW w:w="4940" w:type="dxa"/>
            <w:vAlign w:val="bottom"/>
          </w:tcPr>
          <w:p>
            <w:pPr>
              <w:spacing w:after="0"/>
              <w:rPr>
                <w:sz w:val="20"/>
                <w:szCs w:val="20"/>
                <w:color w:val="auto"/>
              </w:rPr>
            </w:pPr>
          </w:p>
        </w:tc>
        <w:tc>
          <w:tcPr>
            <w:tcW w:w="572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Representative</w:t>
            </w:r>
          </w:p>
        </w:tc>
      </w:tr>
      <w:tr>
        <w:trPr>
          <w:trHeight w:val="439"/>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49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i w:val="1"/>
                <w:iCs w:val="1"/>
                <w:color w:val="auto"/>
              </w:rPr>
              <w:t>/s/ Norman E. Snyder, Jr.</w:t>
            </w:r>
          </w:p>
        </w:tc>
        <w:tc>
          <w:tcPr>
            <w:tcW w:w="7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By:</w:t>
            </w:r>
          </w:p>
        </w:tc>
        <w:tc>
          <w:tcPr>
            <w:tcW w:w="49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i w:val="1"/>
                <w:iCs w:val="1"/>
                <w:color w:val="auto"/>
              </w:rPr>
              <w:t>/s/ Raye Goldsborough</w:t>
            </w:r>
          </w:p>
        </w:tc>
      </w:tr>
      <w:tr>
        <w:trPr>
          <w:trHeight w:val="198"/>
        </w:trPr>
        <w:tc>
          <w:tcPr>
            <w:tcW w:w="58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Name:</w:t>
            </w:r>
          </w:p>
        </w:tc>
        <w:tc>
          <w:tcPr>
            <w:tcW w:w="494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Norman E. Snyder, Jr</w:t>
            </w:r>
          </w:p>
        </w:tc>
        <w:tc>
          <w:tcPr>
            <w:tcW w:w="780" w:type="dxa"/>
            <w:vAlign w:val="bottom"/>
          </w:tcPr>
          <w:p>
            <w:pPr>
              <w:ind w:left="220"/>
              <w:spacing w:after="0" w:line="198" w:lineRule="exact"/>
              <w:rPr>
                <w:sz w:val="20"/>
                <w:szCs w:val="20"/>
                <w:color w:val="auto"/>
              </w:rPr>
            </w:pPr>
            <w:r>
              <w:rPr>
                <w:rFonts w:ascii="Times New Roman" w:cs="Times New Roman" w:eastAsia="Times New Roman" w:hAnsi="Times New Roman"/>
                <w:sz w:val="18"/>
                <w:szCs w:val="18"/>
                <w:color w:val="auto"/>
              </w:rPr>
              <w:t>Name:</w:t>
            </w:r>
          </w:p>
        </w:tc>
        <w:tc>
          <w:tcPr>
            <w:tcW w:w="494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Raye Goldsborough</w:t>
            </w:r>
          </w:p>
        </w:tc>
      </w:tr>
      <w:tr>
        <w:trPr>
          <w:trHeight w:val="234"/>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4940" w:type="dxa"/>
            <w:vAlign w:val="bottom"/>
          </w:tcPr>
          <w:p>
            <w:pPr>
              <w:spacing w:after="0"/>
              <w:rPr>
                <w:sz w:val="20"/>
                <w:szCs w:val="20"/>
                <w:color w:val="auto"/>
              </w:rPr>
            </w:pPr>
            <w:r>
              <w:rPr>
                <w:rFonts w:ascii="Times New Roman" w:cs="Times New Roman" w:eastAsia="Times New Roman" w:hAnsi="Times New Roman"/>
                <w:sz w:val="18"/>
                <w:szCs w:val="18"/>
                <w:color w:val="auto"/>
              </w:rPr>
              <w:t>CEO</w:t>
            </w:r>
          </w:p>
        </w:tc>
        <w:tc>
          <w:tcPr>
            <w:tcW w:w="7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Title:</w:t>
            </w:r>
          </w:p>
        </w:tc>
        <w:tc>
          <w:tcPr>
            <w:tcW w:w="4940" w:type="dxa"/>
            <w:vAlign w:val="bottom"/>
          </w:tcPr>
          <w:p>
            <w:pPr>
              <w:spacing w:after="0"/>
              <w:rPr>
                <w:sz w:val="20"/>
                <w:szCs w:val="20"/>
                <w:color w:val="auto"/>
              </w:rPr>
            </w:pPr>
            <w:r>
              <w:rPr>
                <w:rFonts w:ascii="Times New Roman" w:cs="Times New Roman" w:eastAsia="Times New Roman" w:hAnsi="Times New Roman"/>
                <w:sz w:val="18"/>
                <w:szCs w:val="18"/>
                <w:color w:val="auto"/>
              </w:rPr>
              <w:t>Vice President</w:t>
            </w:r>
          </w:p>
        </w:tc>
      </w:tr>
      <w:tr>
        <w:trPr>
          <w:trHeight w:val="432"/>
        </w:trPr>
        <w:tc>
          <w:tcPr>
            <w:tcW w:w="55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HOLDERS:</w:t>
            </w:r>
          </w:p>
        </w:tc>
        <w:tc>
          <w:tcPr>
            <w:tcW w:w="5720" w:type="dxa"/>
            <w:vAlign w:val="bottom"/>
            <w:gridSpan w:val="2"/>
          </w:tcPr>
          <w:p>
            <w:pPr>
              <w:ind w:left="220"/>
              <w:spacing w:after="0"/>
              <w:rPr>
                <w:sz w:val="20"/>
                <w:szCs w:val="20"/>
                <w:color w:val="auto"/>
              </w:rPr>
            </w:pPr>
            <w:r>
              <w:rPr>
                <w:rFonts w:ascii="Times New Roman" w:cs="Times New Roman" w:eastAsia="Times New Roman" w:hAnsi="Times New Roman"/>
                <w:sz w:val="18"/>
                <w:szCs w:val="18"/>
                <w:b w:val="1"/>
                <w:bCs w:val="1"/>
                <w:color w:val="auto"/>
              </w:rPr>
              <w:t>COLLATERAL AGENT:</w:t>
            </w:r>
          </w:p>
        </w:tc>
      </w:tr>
      <w:tr>
        <w:trPr>
          <w:trHeight w:val="414"/>
        </w:trPr>
        <w:tc>
          <w:tcPr>
            <w:tcW w:w="55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Whitebox Multi-Strategy Partners, LP</w:t>
            </w:r>
          </w:p>
        </w:tc>
        <w:tc>
          <w:tcPr>
            <w:tcW w:w="572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Wilmington Savings Fund Society, FSB, solely in its capacity as the</w:t>
            </w:r>
          </w:p>
        </w:tc>
      </w:tr>
      <w:tr>
        <w:trPr>
          <w:trHeight w:val="234"/>
        </w:trPr>
        <w:tc>
          <w:tcPr>
            <w:tcW w:w="580" w:type="dxa"/>
            <w:vAlign w:val="bottom"/>
          </w:tcPr>
          <w:p>
            <w:pPr>
              <w:spacing w:after="0"/>
              <w:rPr>
                <w:sz w:val="20"/>
                <w:szCs w:val="20"/>
                <w:color w:val="auto"/>
              </w:rPr>
            </w:pPr>
          </w:p>
        </w:tc>
        <w:tc>
          <w:tcPr>
            <w:tcW w:w="4940" w:type="dxa"/>
            <w:vAlign w:val="bottom"/>
          </w:tcPr>
          <w:p>
            <w:pPr>
              <w:spacing w:after="0"/>
              <w:rPr>
                <w:sz w:val="20"/>
                <w:szCs w:val="20"/>
                <w:color w:val="auto"/>
              </w:rPr>
            </w:pPr>
          </w:p>
        </w:tc>
        <w:tc>
          <w:tcPr>
            <w:tcW w:w="572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Collateral Agent</w:t>
            </w:r>
          </w:p>
        </w:tc>
      </w:tr>
      <w:tr>
        <w:trPr>
          <w:trHeight w:val="439"/>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49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i w:val="1"/>
                <w:iCs w:val="1"/>
                <w:color w:val="auto"/>
              </w:rPr>
              <w:t>/s/ Andrew Thau</w:t>
            </w:r>
          </w:p>
        </w:tc>
        <w:tc>
          <w:tcPr>
            <w:tcW w:w="7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By:</w:t>
            </w:r>
          </w:p>
        </w:tc>
        <w:tc>
          <w:tcPr>
            <w:tcW w:w="49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i w:val="1"/>
                <w:iCs w:val="1"/>
                <w:color w:val="auto"/>
              </w:rPr>
              <w:t>/s/ Raye Goldsborough</w:t>
            </w:r>
          </w:p>
        </w:tc>
      </w:tr>
      <w:tr>
        <w:trPr>
          <w:trHeight w:val="225"/>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Name:</w:t>
            </w:r>
          </w:p>
        </w:tc>
        <w:tc>
          <w:tcPr>
            <w:tcW w:w="4940" w:type="dxa"/>
            <w:vAlign w:val="bottom"/>
          </w:tcPr>
          <w:p>
            <w:pPr>
              <w:spacing w:after="0"/>
              <w:rPr>
                <w:sz w:val="20"/>
                <w:szCs w:val="20"/>
                <w:color w:val="auto"/>
              </w:rPr>
            </w:pPr>
            <w:r>
              <w:rPr>
                <w:rFonts w:ascii="Times New Roman" w:cs="Times New Roman" w:eastAsia="Times New Roman" w:hAnsi="Times New Roman"/>
                <w:sz w:val="18"/>
                <w:szCs w:val="18"/>
                <w:color w:val="auto"/>
              </w:rPr>
              <w:t>Andrew Thau</w:t>
            </w:r>
          </w:p>
        </w:tc>
        <w:tc>
          <w:tcPr>
            <w:tcW w:w="7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Name:</w:t>
            </w:r>
          </w:p>
        </w:tc>
        <w:tc>
          <w:tcPr>
            <w:tcW w:w="4940" w:type="dxa"/>
            <w:vAlign w:val="bottom"/>
          </w:tcPr>
          <w:p>
            <w:pPr>
              <w:spacing w:after="0"/>
              <w:rPr>
                <w:sz w:val="20"/>
                <w:szCs w:val="20"/>
                <w:color w:val="auto"/>
              </w:rPr>
            </w:pPr>
            <w:r>
              <w:rPr>
                <w:rFonts w:ascii="Times New Roman" w:cs="Times New Roman" w:eastAsia="Times New Roman" w:hAnsi="Times New Roman"/>
                <w:sz w:val="18"/>
                <w:szCs w:val="18"/>
                <w:color w:val="auto"/>
              </w:rPr>
              <w:t>Raye Goldsborough</w:t>
            </w:r>
          </w:p>
        </w:tc>
      </w:tr>
      <w:tr>
        <w:trPr>
          <w:trHeight w:val="234"/>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4940" w:type="dxa"/>
            <w:vAlign w:val="bottom"/>
          </w:tcPr>
          <w:p>
            <w:pPr>
              <w:spacing w:after="0"/>
              <w:rPr>
                <w:sz w:val="20"/>
                <w:szCs w:val="20"/>
                <w:color w:val="auto"/>
              </w:rPr>
            </w:pPr>
            <w:r>
              <w:rPr>
                <w:rFonts w:ascii="Times New Roman" w:cs="Times New Roman" w:eastAsia="Times New Roman" w:hAnsi="Times New Roman"/>
                <w:sz w:val="18"/>
                <w:szCs w:val="18"/>
                <w:color w:val="auto"/>
              </w:rPr>
              <w:t>Authorized Signatory</w:t>
            </w:r>
          </w:p>
        </w:tc>
        <w:tc>
          <w:tcPr>
            <w:tcW w:w="7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Title:</w:t>
            </w:r>
          </w:p>
        </w:tc>
        <w:tc>
          <w:tcPr>
            <w:tcW w:w="4940" w:type="dxa"/>
            <w:vAlign w:val="bottom"/>
          </w:tcPr>
          <w:p>
            <w:pPr>
              <w:spacing w:after="0"/>
              <w:rPr>
                <w:sz w:val="20"/>
                <w:szCs w:val="20"/>
                <w:color w:val="auto"/>
              </w:rPr>
            </w:pPr>
            <w:r>
              <w:rPr>
                <w:rFonts w:ascii="Times New Roman" w:cs="Times New Roman" w:eastAsia="Times New Roman" w:hAnsi="Times New Roman"/>
                <w:sz w:val="18"/>
                <w:szCs w:val="18"/>
                <w:color w:val="auto"/>
              </w:rPr>
              <w:t>Vice President</w:t>
            </w: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Whitebox Relative Value Partners, LP</w:t>
      </w:r>
    </w:p>
    <w:p>
      <w:pPr>
        <w:spacing w:after="0" w:line="227" w:lineRule="exact"/>
        <w:rPr>
          <w:sz w:val="20"/>
          <w:szCs w:val="20"/>
          <w:color w:val="auto"/>
        </w:rPr>
      </w:pPr>
    </w:p>
    <w:p>
      <w:pPr>
        <w:spacing w:after="0"/>
        <w:tabs>
          <w:tab w:leader="none" w:pos="56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 Andrew Thau</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18415</wp:posOffset>
            </wp:positionV>
            <wp:extent cx="314579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51">
                      <a:extLst>
                        <a:ext uri="{28A0092B-C50C-407E-A947-70E740481C1C}"/>
                      </a:extLst>
                    </a:blip>
                    <a:srcRect/>
                    <a:stretch>
                      <a:fillRect/>
                    </a:stretch>
                  </pic:blipFill>
                  <pic:spPr bwMode="auto">
                    <a:xfrm>
                      <a:off x="0" y="0"/>
                      <a:ext cx="3145790" cy="17145"/>
                    </a:xfrm>
                    <a:prstGeom prst="rect">
                      <a:avLst/>
                    </a:prstGeom>
                    <a:noFill/>
                  </pic:spPr>
                </pic:pic>
              </a:graphicData>
            </a:graphic>
          </wp:anchor>
        </w:drawing>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 Andrew Thau</w:t>
      </w:r>
    </w:p>
    <w:p>
      <w:pPr>
        <w:spacing w:after="0" w:line="36" w:lineRule="exact"/>
        <w:rPr>
          <w:sz w:val="20"/>
          <w:szCs w:val="20"/>
          <w:color w:val="auto"/>
        </w:rPr>
      </w:pPr>
    </w:p>
    <w:p>
      <w:pPr>
        <w:spacing w:after="0"/>
        <w:tabs>
          <w:tab w:leader="none" w:pos="56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Authorized Signatory</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Pandora Select Partners, LP</w:t>
      </w:r>
    </w:p>
    <w:p>
      <w:pPr>
        <w:spacing w:after="0" w:line="227" w:lineRule="exact"/>
        <w:rPr>
          <w:sz w:val="20"/>
          <w:szCs w:val="20"/>
          <w:color w:val="auto"/>
        </w:rPr>
      </w:pPr>
    </w:p>
    <w:p>
      <w:pPr>
        <w:spacing w:after="0"/>
        <w:tabs>
          <w:tab w:leader="none" w:pos="56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i w:val="1"/>
          <w:iCs w:val="1"/>
          <w:color w:val="auto"/>
        </w:rPr>
        <w:t>/s/ Andrew Thau</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18415</wp:posOffset>
            </wp:positionV>
            <wp:extent cx="314579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52">
                      <a:extLst>
                        <a:ext uri="{28A0092B-C50C-407E-A947-70E740481C1C}"/>
                      </a:extLst>
                    </a:blip>
                    <a:srcRect/>
                    <a:stretch>
                      <a:fillRect/>
                    </a:stretch>
                  </pic:blipFill>
                  <pic:spPr bwMode="auto">
                    <a:xfrm>
                      <a:off x="0" y="0"/>
                      <a:ext cx="3145790" cy="17145"/>
                    </a:xfrm>
                    <a:prstGeom prst="rect">
                      <a:avLst/>
                    </a:prstGeom>
                    <a:noFill/>
                  </pic:spPr>
                </pic:pic>
              </a:graphicData>
            </a:graphic>
          </wp:anchor>
        </w:drawing>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 Andrew Thau</w:t>
      </w:r>
    </w:p>
    <w:p>
      <w:pPr>
        <w:spacing w:after="0" w:line="36" w:lineRule="exact"/>
        <w:rPr>
          <w:sz w:val="20"/>
          <w:szCs w:val="20"/>
          <w:color w:val="auto"/>
        </w:rPr>
      </w:pPr>
    </w:p>
    <w:p>
      <w:pPr>
        <w:spacing w:after="0"/>
        <w:tabs>
          <w:tab w:leader="none" w:pos="56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Authorized Signatory</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Whitebox GT Fund, LP</w:t>
      </w:r>
    </w:p>
    <w:p>
      <w:pPr>
        <w:spacing w:after="0" w:line="227" w:lineRule="exact"/>
        <w:rPr>
          <w:sz w:val="20"/>
          <w:szCs w:val="20"/>
          <w:color w:val="auto"/>
        </w:rPr>
      </w:pPr>
    </w:p>
    <w:p>
      <w:pPr>
        <w:spacing w:after="0"/>
        <w:tabs>
          <w:tab w:leader="none" w:pos="56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 Andrew Thau</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18415</wp:posOffset>
            </wp:positionV>
            <wp:extent cx="314579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53">
                      <a:extLst>
                        <a:ext uri="{28A0092B-C50C-407E-A947-70E740481C1C}"/>
                      </a:extLst>
                    </a:blip>
                    <a:srcRect/>
                    <a:stretch>
                      <a:fillRect/>
                    </a:stretch>
                  </pic:blipFill>
                  <pic:spPr bwMode="auto">
                    <a:xfrm>
                      <a:off x="0" y="0"/>
                      <a:ext cx="3145790" cy="17145"/>
                    </a:xfrm>
                    <a:prstGeom prst="rect">
                      <a:avLst/>
                    </a:prstGeom>
                    <a:noFill/>
                  </pic:spPr>
                </pic:pic>
              </a:graphicData>
            </a:graphic>
          </wp:anchor>
        </w:drawing>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 Andrew Thau</w:t>
      </w:r>
    </w:p>
    <w:p>
      <w:pPr>
        <w:spacing w:after="0" w:line="36" w:lineRule="exact"/>
        <w:rPr>
          <w:sz w:val="20"/>
          <w:szCs w:val="20"/>
          <w:color w:val="auto"/>
        </w:rPr>
      </w:pPr>
    </w:p>
    <w:p>
      <w:pPr>
        <w:spacing w:after="0"/>
        <w:tabs>
          <w:tab w:leader="none" w:pos="56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Authorized Signatory</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[Signature Page to Limited Waiver]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291465</wp:posOffset>
            </wp:positionV>
            <wp:extent cx="713232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5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32" w:name="page33"/>
    <w:bookmarkEnd w:id="32"/>
    <w:p>
      <w:pPr>
        <w:jc w:val="right"/>
        <w:spacing w:after="0"/>
        <w:rPr>
          <w:sz w:val="20"/>
          <w:szCs w:val="20"/>
          <w:color w:val="auto"/>
        </w:rPr>
      </w:pPr>
      <w:r>
        <w:rPr>
          <w:rFonts w:ascii="Times New Roman" w:cs="Times New Roman" w:eastAsia="Times New Roman" w:hAnsi="Times New Roman"/>
          <w:sz w:val="18"/>
          <w:szCs w:val="18"/>
          <w:b w:val="1"/>
          <w:bCs w:val="1"/>
          <w:color w:val="auto"/>
        </w:rPr>
        <w:t>Annex A to</w:t>
      </w:r>
    </w:p>
    <w:p>
      <w:pPr>
        <w:spacing w:after="0" w:line="3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Limited Waiver and Deferral Agreement</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Specified Events of Default</w:t>
      </w:r>
    </w:p>
    <w:p>
      <w:pPr>
        <w:spacing w:after="0" w:line="229" w:lineRule="exact"/>
        <w:rPr>
          <w:sz w:val="20"/>
          <w:szCs w:val="20"/>
          <w:color w:val="auto"/>
        </w:rPr>
      </w:pPr>
    </w:p>
    <w:p>
      <w:pPr>
        <w:ind w:left="660" w:hanging="328"/>
        <w:spacing w:after="0"/>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failure to comply with Section 4(f) of the Notes on or prior to the date hereof.</w:t>
      </w:r>
    </w:p>
    <w:p>
      <w:pPr>
        <w:spacing w:after="0" w:line="225"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failure to comply with Section 7(w) of the Notes on or prior to the date hereof by maintaining Indebtedness in favor of the ABL Lenders arising under the ABL Debt Documents that exceeds the amount permitted by clause (n) of the definition of Permitted Indebtedness in the Notes.</w:t>
      </w:r>
    </w:p>
    <w:p>
      <w:pPr>
        <w:spacing w:after="0" w:line="17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failure to comply with Section 7(kk) of the Notes on or prior to the date hereof.</w:t>
      </w:r>
    </w:p>
    <w:p>
      <w:pPr>
        <w:spacing w:after="0" w:line="225" w:lineRule="exact"/>
        <w:rPr>
          <w:rFonts w:ascii="Times New Roman" w:cs="Times New Roman" w:eastAsia="Times New Roman" w:hAnsi="Times New Roman"/>
          <w:sz w:val="18"/>
          <w:szCs w:val="18"/>
          <w:color w:val="auto"/>
        </w:rPr>
      </w:pPr>
    </w:p>
    <w:p>
      <w:pPr>
        <w:jc w:val="both"/>
        <w:ind w:left="660" w:hanging="328"/>
        <w:spacing w:after="0" w:line="261" w:lineRule="auto"/>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failure to timely pay on or prior to the date hereof (a) the Principal Amount as required by Section 2(a) of each Option Note at their maturity, (b) any Cash Interest (including Default Interest) as required by Section 2(d) of each Option Note, (c) the Principal Amount of any amortization payment pursuant to Section 2(b) of each Original Note and (d) any Cash Interest or PIK Interest (including Default Interest) as required by Section 2(d) of each Original Note.</w:t>
      </w:r>
    </w:p>
    <w:p>
      <w:pPr>
        <w:spacing w:after="0" w:line="179"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failure to timely pay (a) on or prior to the date hereof the Amortization Payments due on December 1, 2023, January 1, 2024, February 1, 2024, March 1, 2024, April 1, 2024 and May 1, 2024 as required by Section 2(b) of the Notes, or (b) on or prior to the date hereof the Excess ABL Fee as required under Section 12(g) of the Notes.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260350</wp:posOffset>
            </wp:positionV>
            <wp:extent cx="713232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5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33" w:name="page34"/>
    <w:bookmarkEnd w:id="33"/>
    <w:p>
      <w:pPr>
        <w:jc w:val="right"/>
        <w:spacing w:after="0"/>
        <w:rPr>
          <w:sz w:val="20"/>
          <w:szCs w:val="20"/>
          <w:color w:val="auto"/>
        </w:rPr>
      </w:pPr>
      <w:r>
        <w:rPr>
          <w:rFonts w:ascii="Times New Roman" w:cs="Times New Roman" w:eastAsia="Times New Roman" w:hAnsi="Times New Roman"/>
          <w:sz w:val="18"/>
          <w:szCs w:val="18"/>
          <w:b w:val="1"/>
          <w:bCs w:val="1"/>
          <w:color w:val="auto"/>
        </w:rPr>
        <w:t>Annex B to</w:t>
      </w:r>
    </w:p>
    <w:p>
      <w:pPr>
        <w:spacing w:after="0" w:line="3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Limited Waiver and Deferral Agreement</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ABL Fees</w:t>
      </w:r>
    </w:p>
    <w:p>
      <w:pPr>
        <w:spacing w:after="0" w:line="225"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Fees payable pursuant to Section 12(g) with respect to Indebtedness in favor of the ABL Lenders arising under the ABL Debt Documents for the month ending as of each date listed below:</w:t>
      </w:r>
    </w:p>
    <w:p>
      <w:pPr>
        <w:spacing w:after="0" w:line="162" w:lineRule="exact"/>
        <w:rPr>
          <w:sz w:val="20"/>
          <w:szCs w:val="20"/>
          <w:color w:val="auto"/>
        </w:rPr>
      </w:pPr>
    </w:p>
    <w:p>
      <w:pPr>
        <w:ind w:left="660"/>
        <w:spacing w:after="0"/>
        <w:tabs>
          <w:tab w:leader="none" w:pos="5800" w:val="left"/>
        </w:tabs>
        <w:rPr>
          <w:sz w:val="20"/>
          <w:szCs w:val="20"/>
          <w:color w:val="auto"/>
        </w:rPr>
      </w:pPr>
      <w:r>
        <w:rPr>
          <w:rFonts w:ascii="Times New Roman" w:cs="Times New Roman" w:eastAsia="Times New Roman" w:hAnsi="Times New Roman"/>
          <w:sz w:val="18"/>
          <w:szCs w:val="18"/>
          <w:color w:val="auto"/>
        </w:rPr>
        <w:t>Date</w:t>
      </w:r>
      <w:r>
        <w:rPr>
          <w:sz w:val="20"/>
          <w:szCs w:val="20"/>
          <w:color w:val="auto"/>
        </w:rPr>
        <w:tab/>
      </w:r>
      <w:r>
        <w:rPr>
          <w:rFonts w:ascii="Times New Roman" w:cs="Times New Roman" w:eastAsia="Times New Roman" w:hAnsi="Times New Roman"/>
          <w:sz w:val="18"/>
          <w:szCs w:val="18"/>
          <w:color w:val="auto"/>
        </w:rPr>
        <w:t>Excess ABL Fee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[OMITTED]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291465</wp:posOffset>
            </wp:positionV>
            <wp:extent cx="713232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5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34" w:name="page35"/>
    <w:bookmarkEnd w:id="34"/>
    <w:p>
      <w:pPr>
        <w:jc w:val="right"/>
        <w:spacing w:after="0"/>
        <w:rPr>
          <w:sz w:val="20"/>
          <w:szCs w:val="20"/>
          <w:color w:val="auto"/>
        </w:rPr>
      </w:pPr>
      <w:r>
        <w:rPr>
          <w:rFonts w:ascii="Times New Roman" w:cs="Times New Roman" w:eastAsia="Times New Roman" w:hAnsi="Times New Roman"/>
          <w:sz w:val="18"/>
          <w:szCs w:val="18"/>
          <w:b w:val="1"/>
          <w:bCs w:val="1"/>
          <w:color w:val="auto"/>
        </w:rPr>
        <w:t>Annex C to</w:t>
      </w:r>
    </w:p>
    <w:p>
      <w:pPr>
        <w:spacing w:after="0" w:line="3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Limited Waiver and Deferral Agreement</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Updated Amortization Schedule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(Calculated without giving effect to Default Interest occurring after the date hereof)</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Attached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[OMITTED]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291465</wp:posOffset>
            </wp:positionV>
            <wp:extent cx="713232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0"/>
          </w:cols>
          <w:pgMar w:left="980" w:top="684" w:right="339" w:bottom="1440" w:gutter="0" w:footer="0" w:header="0"/>
        </w:sectPr>
      </w:pPr>
    </w:p>
    <w:bookmarkStart w:id="35" w:name="page36"/>
    <w:bookmarkEnd w:id="35"/>
    <w:p>
      <w:pPr>
        <w:jc w:val="right"/>
        <w:spacing w:after="0"/>
        <w:rPr>
          <w:sz w:val="20"/>
          <w:szCs w:val="20"/>
          <w:color w:val="auto"/>
        </w:rPr>
      </w:pPr>
      <w:r>
        <w:rPr>
          <w:rFonts w:ascii="Times New Roman" w:cs="Times New Roman" w:eastAsia="Times New Roman" w:hAnsi="Times New Roman"/>
          <w:sz w:val="18"/>
          <w:szCs w:val="18"/>
          <w:b w:val="1"/>
          <w:bCs w:val="1"/>
          <w:color w:val="auto"/>
        </w:rPr>
        <w:t>Annex D to</w:t>
      </w:r>
    </w:p>
    <w:p>
      <w:pPr>
        <w:spacing w:after="0" w:line="3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Limited Waiver and Deferral Agreement</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Conversion / PIK Schedules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See attached.</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[OMITTED]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291465</wp:posOffset>
            </wp:positionV>
            <wp:extent cx="713232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36" w:name="page37"/>
    <w:bookmarkEnd w:id="36"/>
    <w:p>
      <w:pPr>
        <w:ind w:left="10240"/>
        <w:spacing w:after="0"/>
        <w:rPr>
          <w:sz w:val="20"/>
          <w:szCs w:val="20"/>
          <w:color w:val="auto"/>
        </w:rPr>
      </w:pPr>
      <w:r>
        <w:rPr>
          <w:rFonts w:ascii="Times New Roman" w:cs="Times New Roman" w:eastAsia="Times New Roman" w:hAnsi="Times New Roman"/>
          <w:sz w:val="18"/>
          <w:szCs w:val="18"/>
          <w:b w:val="1"/>
          <w:bCs w:val="1"/>
          <w:color w:val="auto"/>
        </w:rPr>
        <w:t>EXHIBIT 31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Principal Executive Officer</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Norman E. Snyder, Jr., certify that:</w:t>
      </w:r>
    </w:p>
    <w:p>
      <w:pPr>
        <w:spacing w:after="0" w:line="225" w:lineRule="exact"/>
        <w:rPr>
          <w:sz w:val="20"/>
          <w:szCs w:val="20"/>
          <w:color w:val="auto"/>
        </w:rPr>
      </w:pPr>
    </w:p>
    <w:p>
      <w:pPr>
        <w:ind w:left="840" w:hanging="184"/>
        <w:spacing w:after="0"/>
        <w:tabs>
          <w:tab w:leader="none" w:pos="84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Reed’s, Inc.;</w:t>
      </w:r>
    </w:p>
    <w:p>
      <w:pPr>
        <w:spacing w:after="0" w:line="225" w:lineRule="exact"/>
        <w:rPr>
          <w:rFonts w:ascii="Times New Roman" w:cs="Times New Roman" w:eastAsia="Times New Roman" w:hAnsi="Times New Roman"/>
          <w:sz w:val="18"/>
          <w:szCs w:val="18"/>
          <w:color w:val="auto"/>
        </w:rPr>
      </w:pPr>
    </w:p>
    <w:p>
      <w:pPr>
        <w:jc w:val="both"/>
        <w:ind w:right="20" w:firstLine="656"/>
        <w:spacing w:after="0" w:line="266" w:lineRule="auto"/>
        <w:tabs>
          <w:tab w:leader="none" w:pos="835"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firstLine="656"/>
        <w:spacing w:after="0" w:line="282" w:lineRule="auto"/>
        <w:tabs>
          <w:tab w:leader="none" w:pos="836"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jc w:val="both"/>
        <w:ind w:firstLine="656"/>
        <w:spacing w:after="0" w:line="266" w:lineRule="auto"/>
        <w:tabs>
          <w:tab w:leader="none" w:pos="831"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5" w:lineRule="exact"/>
        <w:rPr>
          <w:rFonts w:ascii="Times New Roman" w:cs="Times New Roman" w:eastAsia="Times New Roman" w:hAnsi="Times New Roman"/>
          <w:sz w:val="18"/>
          <w:szCs w:val="18"/>
          <w:color w:val="auto"/>
        </w:rPr>
      </w:pPr>
    </w:p>
    <w:p>
      <w:pPr>
        <w:jc w:val="both"/>
        <w:ind w:left="660" w:firstLine="644"/>
        <w:spacing w:after="0" w:line="266" w:lineRule="auto"/>
        <w:tabs>
          <w:tab w:leader="none" w:pos="1585" w:val="left"/>
        </w:tabs>
        <w:numPr>
          <w:ilvl w:val="1"/>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jc w:val="both"/>
        <w:ind w:left="660" w:firstLine="644"/>
        <w:spacing w:after="0" w:line="266" w:lineRule="auto"/>
        <w:tabs>
          <w:tab w:leader="none" w:pos="1571" w:val="left"/>
        </w:tabs>
        <w:numPr>
          <w:ilvl w:val="1"/>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ind w:left="660" w:right="20" w:firstLine="644"/>
        <w:spacing w:after="0" w:line="282" w:lineRule="auto"/>
        <w:tabs>
          <w:tab w:leader="none" w:pos="1566" w:val="left"/>
        </w:tabs>
        <w:numPr>
          <w:ilvl w:val="1"/>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1" w:lineRule="exact"/>
        <w:rPr>
          <w:rFonts w:ascii="Times New Roman" w:cs="Times New Roman" w:eastAsia="Times New Roman" w:hAnsi="Times New Roman"/>
          <w:sz w:val="18"/>
          <w:szCs w:val="18"/>
          <w:color w:val="auto"/>
        </w:rPr>
      </w:pPr>
    </w:p>
    <w:p>
      <w:pPr>
        <w:ind w:left="660" w:right="20" w:firstLine="644"/>
        <w:spacing w:after="0" w:line="312" w:lineRule="auto"/>
        <w:tabs>
          <w:tab w:leader="none" w:pos="1563" w:val="left"/>
        </w:tabs>
        <w:numPr>
          <w:ilvl w:val="1"/>
          <w:numId w:val="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Disclosed in this report any change in the registrant’s internal control over financial reporting that occurred during the registrant’s first fiscal quarter that has materially affected, or is reasonably likely to materially affect, the registrant’s internal control over financial reporting; and</w:t>
      </w:r>
    </w:p>
    <w:p>
      <w:pPr>
        <w:spacing w:after="0" w:line="139" w:lineRule="exact"/>
        <w:rPr>
          <w:rFonts w:ascii="Times New Roman" w:cs="Times New Roman" w:eastAsia="Times New Roman" w:hAnsi="Times New Roman"/>
          <w:sz w:val="17"/>
          <w:szCs w:val="17"/>
          <w:color w:val="auto"/>
        </w:rPr>
      </w:pPr>
    </w:p>
    <w:p>
      <w:pPr>
        <w:ind w:right="20" w:firstLine="656"/>
        <w:spacing w:after="0" w:line="282" w:lineRule="auto"/>
        <w:tabs>
          <w:tab w:leader="none" w:pos="828"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1" w:lineRule="exact"/>
        <w:rPr>
          <w:rFonts w:ascii="Times New Roman" w:cs="Times New Roman" w:eastAsia="Times New Roman" w:hAnsi="Times New Roman"/>
          <w:sz w:val="18"/>
          <w:szCs w:val="18"/>
          <w:color w:val="auto"/>
        </w:rPr>
      </w:pPr>
    </w:p>
    <w:p>
      <w:pPr>
        <w:ind w:left="660" w:firstLine="644"/>
        <w:spacing w:after="0" w:line="282" w:lineRule="auto"/>
        <w:tabs>
          <w:tab w:leader="none" w:pos="1554" w:val="left"/>
        </w:tabs>
        <w:numPr>
          <w:ilvl w:val="1"/>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660" w:firstLine="644"/>
        <w:spacing w:after="0" w:line="282" w:lineRule="auto"/>
        <w:tabs>
          <w:tab w:leader="none" w:pos="1577" w:val="left"/>
        </w:tabs>
        <w:numPr>
          <w:ilvl w:val="1"/>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Date: May 20, 2024</w:t>
      </w:r>
    </w:p>
    <w:p>
      <w:pPr>
        <w:spacing w:after="0" w:line="223"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i w:val="1"/>
          <w:iCs w:val="1"/>
          <w:color w:val="auto"/>
        </w:rPr>
        <w:t>/s/ Norman E. Snyder,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18415</wp:posOffset>
            </wp:positionV>
            <wp:extent cx="3566160"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9">
                      <a:extLst>
                        <a:ext uri="{28A0092B-C50C-407E-A947-70E740481C1C}"/>
                      </a:extLst>
                    </a:blip>
                    <a:srcRect/>
                    <a:stretch>
                      <a:fillRect/>
                    </a:stretch>
                  </pic:blipFill>
                  <pic:spPr bwMode="auto">
                    <a:xfrm>
                      <a:off x="0" y="0"/>
                      <a:ext cx="3566160" cy="17145"/>
                    </a:xfrm>
                    <a:prstGeom prst="rect">
                      <a:avLst/>
                    </a:prstGeom>
                    <a:noFill/>
                  </pic:spPr>
                </pic:pic>
              </a:graphicData>
            </a:graphic>
          </wp:anchor>
        </w:drawing>
      </w:r>
    </w:p>
    <w:p>
      <w:pPr>
        <w:spacing w:after="0" w:line="18"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Name: Norman E. Snyder, Jr.</w:t>
      </w:r>
    </w:p>
    <w:p>
      <w:pPr>
        <w:spacing w:after="0" w:line="2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Title: Chief Executive Officer</w:t>
      </w:r>
    </w:p>
    <w:p>
      <w:pPr>
        <w:spacing w:after="0" w:line="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280035</wp:posOffset>
            </wp:positionV>
            <wp:extent cx="7132320"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6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37" w:name="page38"/>
    <w:bookmarkEnd w:id="37"/>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Principal Financial Officer</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Joann Tinnelly, certify that:</w:t>
      </w:r>
    </w:p>
    <w:p>
      <w:pPr>
        <w:spacing w:after="0" w:line="225" w:lineRule="exact"/>
        <w:rPr>
          <w:sz w:val="20"/>
          <w:szCs w:val="20"/>
          <w:color w:val="auto"/>
        </w:rPr>
      </w:pPr>
    </w:p>
    <w:p>
      <w:pPr>
        <w:ind w:left="840" w:hanging="184"/>
        <w:spacing w:after="0"/>
        <w:tabs>
          <w:tab w:leader="none" w:pos="84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Reed’s, Inc.;</w:t>
      </w:r>
    </w:p>
    <w:p>
      <w:pPr>
        <w:spacing w:after="0" w:line="225" w:lineRule="exact"/>
        <w:rPr>
          <w:rFonts w:ascii="Times New Roman" w:cs="Times New Roman" w:eastAsia="Times New Roman" w:hAnsi="Times New Roman"/>
          <w:sz w:val="18"/>
          <w:szCs w:val="18"/>
          <w:color w:val="auto"/>
        </w:rPr>
      </w:pPr>
    </w:p>
    <w:p>
      <w:pPr>
        <w:jc w:val="both"/>
        <w:ind w:right="20" w:firstLine="656"/>
        <w:spacing w:after="0" w:line="266" w:lineRule="auto"/>
        <w:tabs>
          <w:tab w:leader="none" w:pos="835"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firstLine="656"/>
        <w:spacing w:after="0" w:line="282" w:lineRule="auto"/>
        <w:tabs>
          <w:tab w:leader="none" w:pos="836"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jc w:val="both"/>
        <w:ind w:firstLine="656"/>
        <w:spacing w:after="0" w:line="266" w:lineRule="auto"/>
        <w:tabs>
          <w:tab w:leader="none" w:pos="831"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5" w:lineRule="exact"/>
        <w:rPr>
          <w:rFonts w:ascii="Times New Roman" w:cs="Times New Roman" w:eastAsia="Times New Roman" w:hAnsi="Times New Roman"/>
          <w:sz w:val="18"/>
          <w:szCs w:val="18"/>
          <w:color w:val="auto"/>
        </w:rPr>
      </w:pPr>
    </w:p>
    <w:p>
      <w:pPr>
        <w:jc w:val="both"/>
        <w:ind w:left="660" w:firstLine="644"/>
        <w:spacing w:after="0" w:line="266" w:lineRule="auto"/>
        <w:tabs>
          <w:tab w:leader="none" w:pos="1585" w:val="left"/>
        </w:tabs>
        <w:numPr>
          <w:ilvl w:val="1"/>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jc w:val="both"/>
        <w:ind w:left="660" w:firstLine="644"/>
        <w:spacing w:after="0" w:line="266" w:lineRule="auto"/>
        <w:tabs>
          <w:tab w:leader="none" w:pos="1571" w:val="left"/>
        </w:tabs>
        <w:numPr>
          <w:ilvl w:val="1"/>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ind w:left="660" w:right="20" w:firstLine="644"/>
        <w:spacing w:after="0" w:line="282" w:lineRule="auto"/>
        <w:tabs>
          <w:tab w:leader="none" w:pos="1566" w:val="left"/>
        </w:tabs>
        <w:numPr>
          <w:ilvl w:val="1"/>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1" w:lineRule="exact"/>
        <w:rPr>
          <w:rFonts w:ascii="Times New Roman" w:cs="Times New Roman" w:eastAsia="Times New Roman" w:hAnsi="Times New Roman"/>
          <w:sz w:val="18"/>
          <w:szCs w:val="18"/>
          <w:color w:val="auto"/>
        </w:rPr>
      </w:pPr>
    </w:p>
    <w:p>
      <w:pPr>
        <w:ind w:left="660" w:right="20" w:firstLine="644"/>
        <w:spacing w:after="0" w:line="312" w:lineRule="auto"/>
        <w:tabs>
          <w:tab w:leader="none" w:pos="1563" w:val="left"/>
        </w:tabs>
        <w:numPr>
          <w:ilvl w:val="1"/>
          <w:numId w:val="1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Disclosed in this report any change in the registrant’s internal control over financial reporting that occurred during the registrant’s first fiscal quarter that has materially affected, or is reasonably likely to materially affect, the registrant’s internal control over financial reporting; and</w:t>
      </w:r>
    </w:p>
    <w:p>
      <w:pPr>
        <w:spacing w:after="0" w:line="139" w:lineRule="exact"/>
        <w:rPr>
          <w:rFonts w:ascii="Times New Roman" w:cs="Times New Roman" w:eastAsia="Times New Roman" w:hAnsi="Times New Roman"/>
          <w:sz w:val="17"/>
          <w:szCs w:val="17"/>
          <w:color w:val="auto"/>
        </w:rPr>
      </w:pPr>
    </w:p>
    <w:p>
      <w:pPr>
        <w:ind w:right="20" w:firstLine="656"/>
        <w:spacing w:after="0" w:line="282" w:lineRule="auto"/>
        <w:tabs>
          <w:tab w:leader="none" w:pos="828"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1" w:lineRule="exact"/>
        <w:rPr>
          <w:rFonts w:ascii="Times New Roman" w:cs="Times New Roman" w:eastAsia="Times New Roman" w:hAnsi="Times New Roman"/>
          <w:sz w:val="18"/>
          <w:szCs w:val="18"/>
          <w:color w:val="auto"/>
        </w:rPr>
      </w:pPr>
    </w:p>
    <w:p>
      <w:pPr>
        <w:ind w:left="660" w:firstLine="644"/>
        <w:spacing w:after="0" w:line="282" w:lineRule="auto"/>
        <w:tabs>
          <w:tab w:leader="none" w:pos="1554" w:val="left"/>
        </w:tabs>
        <w:numPr>
          <w:ilvl w:val="1"/>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660" w:firstLine="644"/>
        <w:spacing w:after="0" w:line="282" w:lineRule="auto"/>
        <w:tabs>
          <w:tab w:leader="none" w:pos="1577" w:val="left"/>
        </w:tabs>
        <w:numPr>
          <w:ilvl w:val="1"/>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Date: May 20, 2024</w:t>
      </w:r>
    </w:p>
    <w:p>
      <w:pPr>
        <w:spacing w:after="0" w:line="223"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i w:val="1"/>
          <w:iCs w:val="1"/>
          <w:color w:val="auto"/>
        </w:rPr>
        <w:t>/s/ Joann Tinnelly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18415</wp:posOffset>
            </wp:positionV>
            <wp:extent cx="3566160"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61">
                      <a:extLst>
                        <a:ext uri="{28A0092B-C50C-407E-A947-70E740481C1C}"/>
                      </a:extLst>
                    </a:blip>
                    <a:srcRect/>
                    <a:stretch>
                      <a:fillRect/>
                    </a:stretch>
                  </pic:blipFill>
                  <pic:spPr bwMode="auto">
                    <a:xfrm>
                      <a:off x="0" y="0"/>
                      <a:ext cx="3566160" cy="17145"/>
                    </a:xfrm>
                    <a:prstGeom prst="rect">
                      <a:avLst/>
                    </a:prstGeom>
                    <a:noFill/>
                  </pic:spPr>
                </pic:pic>
              </a:graphicData>
            </a:graphic>
          </wp:anchor>
        </w:drawing>
      </w:r>
    </w:p>
    <w:p>
      <w:pPr>
        <w:spacing w:after="0" w:line="18"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Name: Joann Tinnelly</w:t>
      </w:r>
    </w:p>
    <w:p>
      <w:pPr>
        <w:spacing w:after="0" w:line="2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Title: Chief Financial Officer</w:t>
      </w:r>
    </w:p>
    <w:p>
      <w:pPr>
        <w:spacing w:after="0" w:line="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(Principal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280035</wp:posOffset>
            </wp:positionV>
            <wp:extent cx="7132320"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6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38" w:name="page39"/>
    <w:bookmarkEnd w:id="38"/>
    <w:p>
      <w:pPr>
        <w:ind w:left="10240"/>
        <w:spacing w:after="0"/>
        <w:rPr>
          <w:sz w:val="20"/>
          <w:szCs w:val="20"/>
          <w:color w:val="auto"/>
        </w:rPr>
      </w:pPr>
      <w:r>
        <w:rPr>
          <w:rFonts w:ascii="Times New Roman" w:cs="Times New Roman" w:eastAsia="Times New Roman" w:hAnsi="Times New Roman"/>
          <w:sz w:val="18"/>
          <w:szCs w:val="18"/>
          <w:b w:val="1"/>
          <w:bCs w:val="1"/>
          <w:color w:val="auto"/>
        </w:rPr>
        <w:t>EXHIBIT 32</w:t>
      </w:r>
    </w:p>
    <w:p>
      <w:pPr>
        <w:spacing w:after="0" w:line="225" w:lineRule="exact"/>
        <w:rPr>
          <w:sz w:val="20"/>
          <w:szCs w:val="20"/>
          <w:color w:val="auto"/>
        </w:rPr>
      </w:pPr>
    </w:p>
    <w:p>
      <w:pPr>
        <w:jc w:val="center"/>
        <w:spacing w:after="0" w:line="286" w:lineRule="auto"/>
        <w:rPr>
          <w:sz w:val="20"/>
          <w:szCs w:val="20"/>
          <w:color w:val="auto"/>
        </w:rPr>
      </w:pPr>
      <w:r>
        <w:rPr>
          <w:rFonts w:ascii="Times New Roman" w:cs="Times New Roman" w:eastAsia="Times New Roman" w:hAnsi="Times New Roman"/>
          <w:sz w:val="18"/>
          <w:szCs w:val="18"/>
          <w:b w:val="1"/>
          <w:bCs w:val="1"/>
          <w:color w:val="auto"/>
        </w:rPr>
        <w:t>Certification of Principal Executive Officer Pursuant to 18 U.S.C. Section 1350 as Adopted Pursuant to Section 906 of the Sarbanes-Oxley Act of 2002</w:t>
      </w:r>
    </w:p>
    <w:p>
      <w:pPr>
        <w:spacing w:after="0" w:line="159"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Pursuant to 18 U.S.C. Section 1350, as adopted pursuant to Section 906 of the Sarbanes-Oxley Act of 2002, I, Norman E. Snyder, Jr., the Chief Executive Officer of Reed’s, Inc. (the “</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 hereby certify, that, to my knowledge:</w:t>
      </w:r>
    </w:p>
    <w:p>
      <w:pPr>
        <w:spacing w:after="0" w:line="158" w:lineRule="exact"/>
        <w:rPr>
          <w:sz w:val="20"/>
          <w:szCs w:val="20"/>
          <w:color w:val="auto"/>
        </w:rPr>
      </w:pPr>
    </w:p>
    <w:p>
      <w:pPr>
        <w:ind w:firstLine="656"/>
        <w:spacing w:after="0" w:line="286" w:lineRule="auto"/>
        <w:tabs>
          <w:tab w:leader="none" w:pos="84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Quarterly Report on Form 10-Q for the quarterly period ended March 31, 2024 (the “</w:t>
      </w:r>
      <w:r>
        <w:rPr>
          <w:rFonts w:ascii="Times New Roman" w:cs="Times New Roman" w:eastAsia="Times New Roman" w:hAnsi="Times New Roman"/>
          <w:sz w:val="18"/>
          <w:szCs w:val="18"/>
          <w:b w:val="1"/>
          <w:bCs w:val="1"/>
          <w:color w:val="auto"/>
        </w:rPr>
        <w:t>Report</w:t>
      </w:r>
      <w:r>
        <w:rPr>
          <w:rFonts w:ascii="Times New Roman" w:cs="Times New Roman" w:eastAsia="Times New Roman" w:hAnsi="Times New Roman"/>
          <w:sz w:val="18"/>
          <w:szCs w:val="18"/>
          <w:color w:val="auto"/>
        </w:rPr>
        <w:t>”) of the Company fully complies with the requirements of Section 13(a) of the Securities Exchange Act of 1934; and</w:t>
      </w:r>
    </w:p>
    <w:p>
      <w:pPr>
        <w:spacing w:after="0" w:line="158" w:lineRule="exact"/>
        <w:rPr>
          <w:rFonts w:ascii="Times New Roman" w:cs="Times New Roman" w:eastAsia="Times New Roman" w:hAnsi="Times New Roman"/>
          <w:sz w:val="18"/>
          <w:szCs w:val="18"/>
          <w:color w:val="auto"/>
        </w:rPr>
      </w:pPr>
    </w:p>
    <w:p>
      <w:pPr>
        <w:ind w:left="860" w:hanging="204"/>
        <w:spacing w:after="0"/>
        <w:tabs>
          <w:tab w:leader="none" w:pos="8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Company.</w:t>
      </w:r>
    </w:p>
    <w:p>
      <w:pPr>
        <w:spacing w:after="0" w:line="20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Date: May 20, 2024</w:t>
      </w:r>
    </w:p>
    <w:p>
      <w:pPr>
        <w:spacing w:after="0" w:line="223"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i w:val="1"/>
          <w:iCs w:val="1"/>
          <w:color w:val="auto"/>
        </w:rPr>
        <w:t>/s/ Norman E. Snyder,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18415</wp:posOffset>
            </wp:positionV>
            <wp:extent cx="3566160"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63">
                      <a:extLst>
                        <a:ext uri="{28A0092B-C50C-407E-A947-70E740481C1C}"/>
                      </a:extLst>
                    </a:blip>
                    <a:srcRect/>
                    <a:stretch>
                      <a:fillRect/>
                    </a:stretch>
                  </pic:blipFill>
                  <pic:spPr bwMode="auto">
                    <a:xfrm>
                      <a:off x="0" y="0"/>
                      <a:ext cx="3566160" cy="17145"/>
                    </a:xfrm>
                    <a:prstGeom prst="rect">
                      <a:avLst/>
                    </a:prstGeom>
                    <a:noFill/>
                  </pic:spPr>
                </pic:pic>
              </a:graphicData>
            </a:graphic>
          </wp:anchor>
        </w:drawing>
      </w:r>
    </w:p>
    <w:p>
      <w:pPr>
        <w:spacing w:after="0" w:line="18"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Name: Norman E. Snyder, Jr.</w:t>
      </w:r>
    </w:p>
    <w:p>
      <w:pPr>
        <w:spacing w:after="0" w:line="2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Title: Chief Executive Officer</w:t>
      </w:r>
    </w:p>
    <w:p>
      <w:pPr>
        <w:spacing w:after="0" w:line="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280035</wp:posOffset>
            </wp:positionV>
            <wp:extent cx="7132320"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6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39" w:name="page40"/>
    <w:bookmarkEnd w:id="39"/>
    <w:p>
      <w:pPr>
        <w:jc w:val="center"/>
        <w:spacing w:after="0" w:line="286" w:lineRule="auto"/>
        <w:rPr>
          <w:sz w:val="20"/>
          <w:szCs w:val="20"/>
          <w:color w:val="auto"/>
        </w:rPr>
      </w:pPr>
      <w:r>
        <w:rPr>
          <w:rFonts w:ascii="Times New Roman" w:cs="Times New Roman" w:eastAsia="Times New Roman" w:hAnsi="Times New Roman"/>
          <w:sz w:val="18"/>
          <w:szCs w:val="18"/>
          <w:b w:val="1"/>
          <w:bCs w:val="1"/>
          <w:color w:val="auto"/>
        </w:rPr>
        <w:t>Certification of Principal Financial Officer Pursuant to 18 U.S.C. Section 1350 as Adopted Pursuant to Section 906 of the Sarbanes-Oxley Act of 2002</w:t>
      </w:r>
    </w:p>
    <w:p>
      <w:pPr>
        <w:spacing w:after="0" w:line="15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18 U.S.C. Section 1350, as adopted pursuant to Section 906 of the Sarbanes-Oxley Act of 2002, I, Joann Tinnelly, the Chief Financial Officer of Reed’s, Inc. (the “</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 hereby certify, that, to my knowledge:</w:t>
      </w:r>
    </w:p>
    <w:p>
      <w:pPr>
        <w:spacing w:after="0" w:line="158" w:lineRule="exact"/>
        <w:rPr>
          <w:sz w:val="20"/>
          <w:szCs w:val="20"/>
          <w:color w:val="auto"/>
        </w:rPr>
      </w:pPr>
    </w:p>
    <w:p>
      <w:pPr>
        <w:ind w:firstLine="656"/>
        <w:spacing w:after="0" w:line="286" w:lineRule="auto"/>
        <w:tabs>
          <w:tab w:leader="none" w:pos="84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Quarterly Report on Form 10-Q for the quarterly period ended March 31, 2024 (the “</w:t>
      </w:r>
      <w:r>
        <w:rPr>
          <w:rFonts w:ascii="Times New Roman" w:cs="Times New Roman" w:eastAsia="Times New Roman" w:hAnsi="Times New Roman"/>
          <w:sz w:val="18"/>
          <w:szCs w:val="18"/>
          <w:b w:val="1"/>
          <w:bCs w:val="1"/>
          <w:color w:val="auto"/>
        </w:rPr>
        <w:t>Report</w:t>
      </w:r>
      <w:r>
        <w:rPr>
          <w:rFonts w:ascii="Times New Roman" w:cs="Times New Roman" w:eastAsia="Times New Roman" w:hAnsi="Times New Roman"/>
          <w:sz w:val="18"/>
          <w:szCs w:val="18"/>
          <w:color w:val="auto"/>
        </w:rPr>
        <w:t>”) of the Company fully complies with the requirements of Section 13(a) of the Securities Exchange Act of 1934; and</w:t>
      </w:r>
    </w:p>
    <w:p>
      <w:pPr>
        <w:spacing w:after="0" w:line="158" w:lineRule="exact"/>
        <w:rPr>
          <w:rFonts w:ascii="Times New Roman" w:cs="Times New Roman" w:eastAsia="Times New Roman" w:hAnsi="Times New Roman"/>
          <w:sz w:val="18"/>
          <w:szCs w:val="18"/>
          <w:color w:val="auto"/>
        </w:rPr>
      </w:pPr>
    </w:p>
    <w:p>
      <w:pPr>
        <w:ind w:left="860" w:hanging="204"/>
        <w:spacing w:after="0"/>
        <w:tabs>
          <w:tab w:leader="none" w:pos="8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Company.</w:t>
      </w:r>
    </w:p>
    <w:p>
      <w:pPr>
        <w:spacing w:after="0" w:line="20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Date: May 20, 2024</w:t>
      </w:r>
    </w:p>
    <w:p>
      <w:pPr>
        <w:spacing w:after="0" w:line="223"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i w:val="1"/>
          <w:iCs w:val="1"/>
          <w:color w:val="auto"/>
        </w:rPr>
        <w:t>/s/ Joann Tinnelly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18415</wp:posOffset>
            </wp:positionV>
            <wp:extent cx="3566160"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65">
                      <a:extLst>
                        <a:ext uri="{28A0092B-C50C-407E-A947-70E740481C1C}"/>
                      </a:extLst>
                    </a:blip>
                    <a:srcRect/>
                    <a:stretch>
                      <a:fillRect/>
                    </a:stretch>
                  </pic:blipFill>
                  <pic:spPr bwMode="auto">
                    <a:xfrm>
                      <a:off x="0" y="0"/>
                      <a:ext cx="3566160" cy="17145"/>
                    </a:xfrm>
                    <a:prstGeom prst="rect">
                      <a:avLst/>
                    </a:prstGeom>
                    <a:noFill/>
                  </pic:spPr>
                </pic:pic>
              </a:graphicData>
            </a:graphic>
          </wp:anchor>
        </w:drawing>
      </w:r>
    </w:p>
    <w:p>
      <w:pPr>
        <w:spacing w:after="0" w:line="18"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Name: Joann Tinnelly</w:t>
      </w:r>
    </w:p>
    <w:p>
      <w:pPr>
        <w:spacing w:after="0" w:line="2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Title: Chief Financial Officer</w:t>
      </w:r>
    </w:p>
    <w:p>
      <w:pPr>
        <w:spacing w:after="0" w:line="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(Principal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280035</wp:posOffset>
            </wp:positionV>
            <wp:extent cx="7132320"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6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1240"/>
      </w:cols>
      <w:pgMar w:left="320" w:top="684"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16231B"/>
    <w:multiLevelType w:val="hybridMultilevel"/>
    <w:lvl w:ilvl="0">
      <w:lvlJc w:val="left"/>
      <w:lvlText w:val="☒"/>
      <w:numFmt w:val="bullet"/>
      <w:start w:val="1"/>
    </w:lvl>
  </w:abstractNum>
  <w:abstractNum w:abstractNumId="1">
    <w:nsid w:val="1F16E9E8"/>
    <w:multiLevelType w:val="hybridMultilevel"/>
    <w:lvl w:ilvl="0">
      <w:lvlJc w:val="left"/>
      <w:lvlText w:val="☐"/>
      <w:numFmt w:val="bullet"/>
      <w:start w:val="1"/>
    </w:lvl>
  </w:abstractNum>
  <w:abstractNum w:abstractNumId="2">
    <w:nsid w:val="1190CDE7"/>
    <w:multiLevelType w:val="hybridMultilevel"/>
    <w:lvl w:ilvl="0">
      <w:lvlJc w:val="left"/>
      <w:lvlText w:val="%1."/>
      <w:numFmt w:val="decimal"/>
      <w:start w:val="1"/>
    </w:lvl>
  </w:abstractNum>
  <w:abstractNum w:abstractNumId="3">
    <w:nsid w:val="66EF438D"/>
    <w:multiLevelType w:val="hybridMultilevel"/>
    <w:lvl w:ilvl="0">
      <w:lvlJc w:val="left"/>
      <w:lvlText w:val="(%1)"/>
      <w:numFmt w:val="upperLetter"/>
      <w:start w:val="1"/>
    </w:lvl>
  </w:abstractNum>
  <w:abstractNum w:abstractNumId="4">
    <w:nsid w:val="140E0F76"/>
    <w:multiLevelType w:val="hybridMultilevel"/>
    <w:lvl w:ilvl="0">
      <w:lvlJc w:val="left"/>
      <w:lvlText w:val="(%1)"/>
      <w:numFmt w:val="upperLetter"/>
      <w:start w:val="2"/>
    </w:lvl>
  </w:abstractNum>
  <w:abstractNum w:abstractNumId="5">
    <w:nsid w:val="3352255A"/>
    <w:multiLevelType w:val="hybridMultilevel"/>
    <w:lvl w:ilvl="0">
      <w:lvlJc w:val="left"/>
      <w:lvlText w:val="(%1)"/>
      <w:numFmt w:val="upperLetter"/>
      <w:start w:val="1"/>
    </w:lvl>
  </w:abstractNum>
  <w:abstractNum w:abstractNumId="6">
    <w:nsid w:val="109CF92E"/>
    <w:multiLevelType w:val="hybridMultilevel"/>
    <w:lvl w:ilvl="0">
      <w:lvlJc w:val="left"/>
      <w:lvlText w:val="(%1)"/>
      <w:numFmt w:val="upperLetter"/>
      <w:start w:val="2"/>
    </w:lvl>
  </w:abstractNum>
  <w:abstractNum w:abstractNumId="7">
    <w:nsid w:val="DED7263"/>
    <w:multiLevelType w:val="hybridMultilevel"/>
    <w:lvl w:ilvl="0">
      <w:lvlJc w:val="left"/>
      <w:lvlText w:val="●"/>
      <w:numFmt w:val="bullet"/>
      <w:start w:val="1"/>
    </w:lvl>
  </w:abstractNum>
  <w:abstractNum w:abstractNumId="8">
    <w:nsid w:val="7FDCC233"/>
    <w:multiLevelType w:val="hybridMultilevel"/>
    <w:lvl w:ilvl="0">
      <w:lvlJc w:val="left"/>
      <w:lvlText w:val="%1"/>
      <w:numFmt w:val="decimal"/>
      <w:start w:val="31"/>
    </w:lvl>
  </w:abstractNum>
  <w:abstractNum w:abstractNumId="9">
    <w:nsid w:val="1BEFD79F"/>
    <w:multiLevelType w:val="hybridMultilevel"/>
    <w:lvl w:ilvl="0">
      <w:lvlJc w:val="left"/>
      <w:lvlText w:val="%1"/>
      <w:numFmt w:val="decimal"/>
      <w:start w:val="104"/>
    </w:lvl>
  </w:abstractNum>
  <w:abstractNum w:abstractNumId="10">
    <w:nsid w:val="41A7C4C9"/>
    <w:multiLevelType w:val="hybridMultilevel"/>
    <w:lvl w:ilvl="0">
      <w:lvlJc w:val="left"/>
      <w:lvlText w:val="%1"/>
      <w:numFmt w:val="lowerLetter"/>
      <w:start w:val="1"/>
    </w:lvl>
    <w:lvl w:ilvl="1">
      <w:lvlJc w:val="left"/>
      <w:lvlText w:val="%2."/>
      <w:numFmt w:val="decimal"/>
      <w:start w:val="1"/>
    </w:lvl>
    <w:lvl w:ilvl="2">
      <w:lvlJc w:val="left"/>
      <w:lvlText w:val="(%3)"/>
      <w:numFmt w:val="lowerLetter"/>
      <w:start w:val="1"/>
    </w:lvl>
  </w:abstractNum>
  <w:abstractNum w:abstractNumId="11">
    <w:nsid w:val="6B68079A"/>
    <w:multiLevelType w:val="hybridMultilevel"/>
    <w:lvl w:ilvl="0">
      <w:lvlJc w:val="left"/>
      <w:lvlText w:val="(%1)"/>
      <w:numFmt w:val="lowerLetter"/>
      <w:start w:val="35"/>
    </w:lvl>
    <w:lvl w:ilvl="1">
      <w:lvlJc w:val="left"/>
      <w:lvlText w:val="%2"/>
      <w:numFmt w:val="decimal"/>
      <w:start w:val="1"/>
    </w:lvl>
    <w:lvl w:ilvl="2">
      <w:lvlJc w:val="left"/>
      <w:lvlText w:val="(%3)"/>
      <w:numFmt w:val="lowerLetter"/>
      <w:start w:val="3"/>
    </w:lvl>
  </w:abstractNum>
  <w:abstractNum w:abstractNumId="12">
    <w:nsid w:val="4E6AFB66"/>
    <w:multiLevelType w:val="hybridMultilevel"/>
    <w:lvl w:ilvl="0">
      <w:lvlJc w:val="left"/>
      <w:lvlText w:val="%1."/>
      <w:numFmt w:val="decimal"/>
      <w:start w:val="4"/>
    </w:lvl>
    <w:lvl w:ilvl="1">
      <w:lvlJc w:val="left"/>
      <w:lvlText w:val="(%2)"/>
      <w:numFmt w:val="lowerLetter"/>
      <w:start w:val="1"/>
    </w:lvl>
    <w:lvl w:ilvl="2">
      <w:lvlJc w:val="left"/>
      <w:lvlText w:val="(%3)"/>
      <w:numFmt w:val="lowerRoman"/>
      <w:start w:val="1"/>
    </w:lvl>
  </w:abstractNum>
  <w:abstractNum w:abstractNumId="13">
    <w:nsid w:val="25E45D32"/>
    <w:multiLevelType w:val="hybridMultilevel"/>
    <w:lvl w:ilvl="0">
      <w:lvlJc w:val="left"/>
      <w:lvlText w:val="%1."/>
      <w:numFmt w:val="decimal"/>
      <w:start w:val="5"/>
    </w:lvl>
    <w:lvl w:ilvl="1">
      <w:lvlJc w:val="left"/>
      <w:lvlText w:val="(%2)"/>
      <w:numFmt w:val="lowerLetter"/>
      <w:start w:val="1"/>
    </w:lvl>
  </w:abstractNum>
  <w:abstractNum w:abstractNumId="14">
    <w:nsid w:val="519B500D"/>
    <w:multiLevelType w:val="hybridMultilevel"/>
    <w:lvl w:ilvl="0">
      <w:lvlJc w:val="left"/>
      <w:lvlText w:val="%1."/>
      <w:numFmt w:val="decimal"/>
      <w:start w:val="7"/>
    </w:lvl>
  </w:abstractNum>
  <w:abstractNum w:abstractNumId="15">
    <w:nsid w:val="431BD7B7"/>
    <w:multiLevelType w:val="hybridMultilevel"/>
    <w:lvl w:ilvl="0">
      <w:lvlJc w:val="left"/>
      <w:lvlText w:val="%1."/>
      <w:numFmt w:val="decimal"/>
      <w:start w:val="1"/>
    </w:lvl>
  </w:abstractNum>
  <w:abstractNum w:abstractNumId="16">
    <w:nsid w:val="3F2DBA31"/>
    <w:multiLevelType w:val="hybridMultilevel"/>
    <w:lvl w:ilvl="0">
      <w:lvlJc w:val="left"/>
      <w:lvlText w:val="%1."/>
      <w:numFmt w:val="decimal"/>
      <w:start w:val="1"/>
    </w:lvl>
    <w:lvl w:ilvl="1">
      <w:lvlJc w:val="left"/>
      <w:lvlText w:val="(%2)"/>
      <w:numFmt w:val="lowerLetter"/>
      <w:start w:val="1"/>
    </w:lvl>
  </w:abstractNum>
  <w:abstractNum w:abstractNumId="17">
    <w:nsid w:val="7C83E458"/>
    <w:multiLevelType w:val="hybridMultilevel"/>
    <w:lvl w:ilvl="0">
      <w:lvlJc w:val="left"/>
      <w:lvlText w:val="%1."/>
      <w:numFmt w:val="decimal"/>
      <w:start w:val="1"/>
    </w:lvl>
    <w:lvl w:ilvl="1">
      <w:lvlJc w:val="left"/>
      <w:lvlText w:val="(%2)"/>
      <w:numFmt w:val="lowerLetter"/>
      <w:start w:val="1"/>
    </w:lvl>
  </w:abstractNum>
  <w:abstractNum w:abstractNumId="18">
    <w:nsid w:val="257130A3"/>
    <w:multiLevelType w:val="hybridMultilevel"/>
    <w:lvl w:ilvl="0">
      <w:lvlJc w:val="left"/>
      <w:lvlText w:val="%1."/>
      <w:numFmt w:val="decimal"/>
      <w:start w:val="1"/>
    </w:lvl>
  </w:abstractNum>
  <w:abstractNum w:abstractNumId="19">
    <w:nsid w:val="62BBD95A"/>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42" Type="http://schemas.openxmlformats.org/officeDocument/2006/relationships/image" Target="media/image28.png"/><Relationship Id="rId43" Type="http://schemas.openxmlformats.org/officeDocument/2006/relationships/image" Target="media/image29.png"/><Relationship Id="rId44" Type="http://schemas.openxmlformats.org/officeDocument/2006/relationships/image" Target="media/image30.png"/><Relationship Id="rId45" Type="http://schemas.openxmlformats.org/officeDocument/2006/relationships/image" Target="media/image31.png"/><Relationship Id="rId46" Type="http://schemas.openxmlformats.org/officeDocument/2006/relationships/image" Target="media/image32.png"/><Relationship Id="rId47" Type="http://schemas.openxmlformats.org/officeDocument/2006/relationships/image" Target="media/image33.png"/><Relationship Id="rId48" Type="http://schemas.openxmlformats.org/officeDocument/2006/relationships/image" Target="media/image34.png"/><Relationship Id="rId49" Type="http://schemas.openxmlformats.org/officeDocument/2006/relationships/image" Target="media/image35.png"/><Relationship Id="rId50" Type="http://schemas.openxmlformats.org/officeDocument/2006/relationships/image" Target="media/image36.png"/><Relationship Id="rId51" Type="http://schemas.openxmlformats.org/officeDocument/2006/relationships/image" Target="media/image37.png"/><Relationship Id="rId52" Type="http://schemas.openxmlformats.org/officeDocument/2006/relationships/image" Target="media/image38.png"/><Relationship Id="rId53" Type="http://schemas.openxmlformats.org/officeDocument/2006/relationships/image" Target="media/image39.png"/><Relationship Id="rId54" Type="http://schemas.openxmlformats.org/officeDocument/2006/relationships/image" Target="media/image40.png"/><Relationship Id="rId55" Type="http://schemas.openxmlformats.org/officeDocument/2006/relationships/image" Target="media/image41.png"/><Relationship Id="rId56" Type="http://schemas.openxmlformats.org/officeDocument/2006/relationships/image" Target="media/image42.png"/><Relationship Id="rId57" Type="http://schemas.openxmlformats.org/officeDocument/2006/relationships/image" Target="media/image43.png"/><Relationship Id="rId58" Type="http://schemas.openxmlformats.org/officeDocument/2006/relationships/image" Target="media/image44.png"/><Relationship Id="rId59" Type="http://schemas.openxmlformats.org/officeDocument/2006/relationships/image" Target="media/image45.png"/><Relationship Id="rId60" Type="http://schemas.openxmlformats.org/officeDocument/2006/relationships/image" Target="media/image46.png"/><Relationship Id="rId61" Type="http://schemas.openxmlformats.org/officeDocument/2006/relationships/image" Target="media/image47.png"/><Relationship Id="rId62" Type="http://schemas.openxmlformats.org/officeDocument/2006/relationships/image" Target="media/image48.png"/><Relationship Id="rId63" Type="http://schemas.openxmlformats.org/officeDocument/2006/relationships/image" Target="media/image49.png"/><Relationship Id="rId64" Type="http://schemas.openxmlformats.org/officeDocument/2006/relationships/image" Target="media/image50.png"/><Relationship Id="rId65" Type="http://schemas.openxmlformats.org/officeDocument/2006/relationships/image" Target="media/image51.png"/><Relationship Id="rId66" Type="http://schemas.openxmlformats.org/officeDocument/2006/relationships/image" Target="media/image52.png"/><Relationship Id="rId35" Type="http://schemas.openxmlformats.org/officeDocument/2006/relationships/hyperlink" Target="https://www.sec.gov/Archives/edgar/data/1140215/000149315223017571/ex3i.htm" TargetMode="External"/><Relationship Id="rId36" Type="http://schemas.openxmlformats.org/officeDocument/2006/relationships/hyperlink" Target="https://www.sec.gov/Archives/edgar/data/1140215/000149315220006033/ex3-8.htm" TargetMode="External"/><Relationship Id="rId37" Type="http://schemas.openxmlformats.org/officeDocument/2006/relationships/hyperlink" Target="https://www.sec.gov/Archives/edgar/data/1140215/000149315224012505/ex4-7.htm" TargetMode="External"/><Relationship Id="rId38" Type="http://schemas.openxmlformats.org/officeDocument/2006/relationships/hyperlink" Target="https://www.sec.gov/Archives/edgar/data/1140215/000149315224012505/ex4-8.htm" TargetMode="External"/><Relationship Id="rId39" Type="http://schemas.openxmlformats.org/officeDocument/2006/relationships/hyperlink" Target="https://www.sec.gov/Archives/edgar/data/1140215/000149315224012505/ex4-9.htm" TargetMode="External"/><Relationship Id="rId40" Type="http://schemas.openxmlformats.org/officeDocument/2006/relationships/hyperlink" Target="https://www.sec.gov/Archives/edgar/data/1140215/000149315224005973/ex10-3.htm" TargetMode="External"/><Relationship Id="rId41" Type="http://schemas.openxmlformats.org/officeDocument/2006/relationships/hyperlink" Target="https://www.sec.gov/Archives/edgar/data/1140215/000149315224012926/ex10-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2024-05-20T15:16:28Z</dcterms:created>
  <dcterms:modified xsi:type="dcterms:W3CDTF">2024-05-20T15:16:28Z</dcterms:modified>
</cp:coreProperties>
</file>