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jc w:val="center"/>
        <w:ind w:left="3940" w:right="1480" w:hanging="2451"/>
        <w:spacing w:after="0" w:line="477" w:lineRule="auto"/>
        <w:tabs>
          <w:tab w:leader="none" w:pos="170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UNDER SECTION 13 OR 15(d) OF THE SECURITIES EXCHANGE ACT OF 1934 For the quarterly period ended March 31, 2025</w:t>
      </w:r>
    </w:p>
    <w:p>
      <w:pPr>
        <w:spacing w:after="0" w:line="41" w:lineRule="exact"/>
        <w:rPr>
          <w:sz w:val="24"/>
          <w:szCs w:val="24"/>
          <w:color w:val="auto"/>
        </w:rPr>
      </w:pPr>
    </w:p>
    <w:p>
      <w:pPr>
        <w:ind w:left="3780" w:right="2000" w:hanging="1766"/>
        <w:spacing w:after="0" w:line="500" w:lineRule="auto"/>
        <w:tabs>
          <w:tab w:leader="none" w:pos="221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UNDER SECTION 13 OR 15(d) OF THE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001-32501</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393"/>
        </w:trPr>
        <w:tc>
          <w:tcPr>
            <w:tcW w:w="3500" w:type="dxa"/>
            <w:vAlign w:val="bottom"/>
          </w:tcPr>
          <w:p>
            <w:pPr>
              <w:spacing w:after="0"/>
              <w:rPr>
                <w:sz w:val="24"/>
                <w:szCs w:val="24"/>
                <w:color w:val="auto"/>
              </w:rPr>
            </w:pPr>
          </w:p>
        </w:tc>
        <w:tc>
          <w:tcPr>
            <w:tcW w:w="7740" w:type="dxa"/>
            <w:vAlign w:val="bottom"/>
            <w:gridSpan w:val="3"/>
          </w:tcPr>
          <w:p>
            <w:pPr>
              <w:jc w:val="center"/>
              <w:ind w:right="3390"/>
              <w:spacing w:after="0"/>
              <w:rPr>
                <w:sz w:val="20"/>
                <w:szCs w:val="20"/>
                <w:color w:val="auto"/>
              </w:rPr>
            </w:pPr>
            <w:r>
              <w:rPr>
                <w:rFonts w:ascii="Times New Roman" w:cs="Times New Roman" w:eastAsia="Times New Roman" w:hAnsi="Times New Roman"/>
                <w:sz w:val="32"/>
                <w:szCs w:val="32"/>
                <w:b w:val="1"/>
                <w:bCs w:val="1"/>
                <w:color w:val="auto"/>
              </w:rPr>
              <w:t>REED’S, INC.</w:t>
            </w:r>
          </w:p>
        </w:tc>
      </w:tr>
      <w:tr>
        <w:trPr>
          <w:trHeight w:val="234"/>
        </w:trPr>
        <w:tc>
          <w:tcPr>
            <w:tcW w:w="3500" w:type="dxa"/>
            <w:vAlign w:val="bottom"/>
          </w:tcPr>
          <w:p>
            <w:pPr>
              <w:spacing w:after="0"/>
              <w:rPr>
                <w:sz w:val="20"/>
                <w:szCs w:val="20"/>
                <w:color w:val="auto"/>
              </w:rPr>
            </w:pPr>
          </w:p>
        </w:tc>
        <w:tc>
          <w:tcPr>
            <w:tcW w:w="7740" w:type="dxa"/>
            <w:vAlign w:val="bottom"/>
            <w:gridSpan w:val="3"/>
          </w:tcPr>
          <w:p>
            <w:pPr>
              <w:jc w:val="center"/>
              <w:ind w:right="34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9"/>
        </w:trPr>
        <w:tc>
          <w:tcPr>
            <w:tcW w:w="350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w w:val="98"/>
              </w:rPr>
              <w:t>Delaware</w:t>
            </w:r>
          </w:p>
        </w:tc>
        <w:tc>
          <w:tcPr>
            <w:tcW w:w="7740" w:type="dxa"/>
            <w:vAlign w:val="bottom"/>
            <w:gridSpan w:val="3"/>
          </w:tcPr>
          <w:p>
            <w:pPr>
              <w:jc w:val="center"/>
              <w:ind w:left="2140"/>
              <w:spacing w:after="0"/>
              <w:rPr>
                <w:sz w:val="20"/>
                <w:szCs w:val="20"/>
                <w:color w:val="auto"/>
              </w:rPr>
            </w:pPr>
            <w:r>
              <w:rPr>
                <w:rFonts w:ascii="Times New Roman" w:cs="Times New Roman" w:eastAsia="Times New Roman" w:hAnsi="Times New Roman"/>
                <w:sz w:val="18"/>
                <w:szCs w:val="18"/>
                <w:color w:val="auto"/>
                <w:w w:val="98"/>
              </w:rPr>
              <w:t>35-2177773</w:t>
            </w:r>
          </w:p>
        </w:tc>
      </w:tr>
      <w:tr>
        <w:trPr>
          <w:trHeight w:val="198"/>
        </w:trPr>
        <w:tc>
          <w:tcPr>
            <w:tcW w:w="3500" w:type="dxa"/>
            <w:vAlign w:val="bottom"/>
            <w:tcBorders>
              <w:top w:val="single" w:sz="8" w:color="auto"/>
            </w:tcBorders>
          </w:tcPr>
          <w:p>
            <w:pPr>
              <w:jc w:val="center"/>
              <w:ind w:left="1930"/>
              <w:spacing w:after="0" w:line="198" w:lineRule="exact"/>
              <w:rPr>
                <w:sz w:val="20"/>
                <w:szCs w:val="20"/>
                <w:color w:val="auto"/>
              </w:rPr>
            </w:pPr>
            <w:r>
              <w:rPr>
                <w:rFonts w:ascii="Times New Roman" w:cs="Times New Roman" w:eastAsia="Times New Roman" w:hAnsi="Times New Roman"/>
                <w:sz w:val="18"/>
                <w:szCs w:val="18"/>
                <w:color w:val="auto"/>
                <w:w w:val="97"/>
              </w:rPr>
              <w:t>(State of</w:t>
            </w:r>
          </w:p>
        </w:tc>
        <w:tc>
          <w:tcPr>
            <w:tcW w:w="2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500" w:type="dxa"/>
            <w:vAlign w:val="bottom"/>
          </w:tcPr>
          <w:p>
            <w:pPr>
              <w:jc w:val="center"/>
              <w:ind w:left="1930"/>
              <w:spacing w:after="0"/>
              <w:rPr>
                <w:sz w:val="20"/>
                <w:szCs w:val="20"/>
                <w:color w:val="auto"/>
              </w:rPr>
            </w:pPr>
            <w:r>
              <w:rPr>
                <w:rFonts w:ascii="Times New Roman" w:cs="Times New Roman" w:eastAsia="Times New Roman" w:hAnsi="Times New Roman"/>
                <w:sz w:val="18"/>
                <w:szCs w:val="18"/>
                <w:color w:val="auto"/>
              </w:rPr>
              <w:t>incorporation)</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500" w:type="dxa"/>
            <w:vAlign w:val="bottom"/>
          </w:tcPr>
          <w:p>
            <w:pPr>
              <w:spacing w:after="0"/>
              <w:rPr>
                <w:sz w:val="24"/>
                <w:szCs w:val="24"/>
                <w:color w:val="auto"/>
              </w:rPr>
            </w:pPr>
          </w:p>
        </w:tc>
        <w:tc>
          <w:tcPr>
            <w:tcW w:w="7740" w:type="dxa"/>
            <w:vAlign w:val="bottom"/>
            <w:gridSpan w:val="3"/>
          </w:tcPr>
          <w:p>
            <w:pPr>
              <w:jc w:val="center"/>
              <w:ind w:right="3390"/>
              <w:spacing w:after="0"/>
              <w:rPr>
                <w:sz w:val="20"/>
                <w:szCs w:val="20"/>
                <w:color w:val="auto"/>
              </w:rPr>
            </w:pPr>
            <w:r>
              <w:rPr>
                <w:rFonts w:ascii="Times New Roman" w:cs="Times New Roman" w:eastAsia="Times New Roman" w:hAnsi="Times New Roman"/>
                <w:sz w:val="18"/>
                <w:szCs w:val="18"/>
                <w:color w:val="auto"/>
                <w:w w:val="99"/>
              </w:rPr>
              <w:t>501 Merritt 7, Norwalk, CT. 06851</w:t>
            </w:r>
          </w:p>
        </w:tc>
      </w:tr>
      <w:tr>
        <w:trPr>
          <w:trHeight w:val="234"/>
        </w:trPr>
        <w:tc>
          <w:tcPr>
            <w:tcW w:w="3500" w:type="dxa"/>
            <w:vAlign w:val="bottom"/>
          </w:tcPr>
          <w:p>
            <w:pPr>
              <w:spacing w:after="0"/>
              <w:rPr>
                <w:sz w:val="20"/>
                <w:szCs w:val="20"/>
                <w:color w:val="auto"/>
              </w:rPr>
            </w:pPr>
          </w:p>
        </w:tc>
        <w:tc>
          <w:tcPr>
            <w:tcW w:w="7740" w:type="dxa"/>
            <w:vAlign w:val="bottom"/>
            <w:gridSpan w:val="3"/>
          </w:tcPr>
          <w:p>
            <w:pPr>
              <w:jc w:val="center"/>
              <w:ind w:right="33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414"/>
        </w:trPr>
        <w:tc>
          <w:tcPr>
            <w:tcW w:w="3500" w:type="dxa"/>
            <w:vAlign w:val="bottom"/>
          </w:tcPr>
          <w:p>
            <w:pPr>
              <w:spacing w:after="0"/>
              <w:rPr>
                <w:sz w:val="24"/>
                <w:szCs w:val="24"/>
                <w:color w:val="auto"/>
              </w:rPr>
            </w:pPr>
          </w:p>
        </w:tc>
        <w:tc>
          <w:tcPr>
            <w:tcW w:w="7740" w:type="dxa"/>
            <w:vAlign w:val="bottom"/>
            <w:gridSpan w:val="3"/>
          </w:tcPr>
          <w:p>
            <w:pPr>
              <w:jc w:val="center"/>
              <w:ind w:right="3410"/>
              <w:spacing w:after="0"/>
              <w:rPr>
                <w:sz w:val="20"/>
                <w:szCs w:val="20"/>
                <w:color w:val="auto"/>
              </w:rPr>
            </w:pPr>
            <w:r>
              <w:rPr>
                <w:rFonts w:ascii="Times New Roman" w:cs="Times New Roman" w:eastAsia="Times New Roman" w:hAnsi="Times New Roman"/>
                <w:sz w:val="18"/>
                <w:szCs w:val="18"/>
                <w:color w:val="auto"/>
                <w:w w:val="99"/>
              </w:rPr>
              <w:t>(800) 997-3337</w:t>
            </w:r>
          </w:p>
        </w:tc>
      </w:tr>
      <w:tr>
        <w:trPr>
          <w:trHeight w:val="234"/>
        </w:trPr>
        <w:tc>
          <w:tcPr>
            <w:tcW w:w="3500" w:type="dxa"/>
            <w:vAlign w:val="bottom"/>
          </w:tcPr>
          <w:p>
            <w:pPr>
              <w:spacing w:after="0"/>
              <w:rPr>
                <w:sz w:val="20"/>
                <w:szCs w:val="20"/>
                <w:color w:val="auto"/>
              </w:rPr>
            </w:pPr>
          </w:p>
        </w:tc>
        <w:tc>
          <w:tcPr>
            <w:tcW w:w="7740" w:type="dxa"/>
            <w:vAlign w:val="bottom"/>
            <w:gridSpan w:val="3"/>
          </w:tcPr>
          <w:p>
            <w:pPr>
              <w:jc w:val="center"/>
              <w:ind w:right="3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1" w:lineRule="exact"/>
        <w:rPr>
          <w:sz w:val="24"/>
          <w:szCs w:val="24"/>
          <w:color w:val="auto"/>
        </w:rPr>
      </w:pPr>
    </w:p>
    <w:p>
      <w:pPr>
        <w:ind w:left="1080"/>
        <w:spacing w:after="0"/>
        <w:tabs>
          <w:tab w:leader="none" w:pos="4320" w:val="left"/>
          <w:tab w:leader="none" w:pos="70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w:t>
      </w:r>
      <w:r>
        <w:rPr>
          <w:sz w:val="20"/>
          <w:szCs w:val="20"/>
          <w:color w:val="auto"/>
        </w:rPr>
        <w:tab/>
      </w:r>
      <w:r>
        <w:rPr>
          <w:rFonts w:ascii="Times New Roman" w:cs="Times New Roman" w:eastAsia="Times New Roman" w:hAnsi="Times New Roman"/>
          <w:sz w:val="18"/>
          <w:szCs w:val="18"/>
          <w:b w:val="1"/>
          <w:bCs w:val="1"/>
          <w:color w:val="auto"/>
        </w:rPr>
        <w:t>Names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ind w:right="380"/>
        <w:spacing w:after="0" w:line="26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493" w:lineRule="exact"/>
        <w:rPr>
          <w:sz w:val="24"/>
          <w:szCs w:val="24"/>
          <w:color w:val="auto"/>
        </w:rPr>
      </w:pPr>
    </w:p>
    <w:p>
      <w:pPr>
        <w:sectPr>
          <w:pgSz w:w="11900" w:h="16838" w:orient="portrait"/>
          <w:cols w:equalWidth="0" w:num="3">
            <w:col w:w="2660" w:space="720"/>
            <w:col w:w="2660" w:space="720"/>
            <w:col w:w="4480"/>
          </w:cols>
          <w:pgMar w:left="320" w:top="740"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issuer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are 45,371,247 shares of the Company’s common stock, par value $.0001 per share, outstanding as of May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0" w:type="dxa"/>
            <w:vAlign w:val="bottom"/>
            <w:gridSpan w:val="9"/>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Condensed Financial Statements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 March 31, 2025 (Unaudited) and December 31, 2024</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three months ended March 31, 2025 and 2024 (Unaudited)</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Stockholders’ Equity (Deficit) for the three months ended March 31, 2025 and 2024 (Unaudited)</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three months ended March 31, 2025 and 2024 (Unaudited)</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101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Financial Statements three months ended March 31, 2025 and 2024 (Unaudited)</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 OTHER INFORMATION</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Legal Proceedings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900" w:type="dxa"/>
            <w:vAlign w:val="bottom"/>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432"/>
        </w:trPr>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420" w:type="dxa"/>
            <w:vAlign w:val="bottom"/>
            <w:tcBorders>
              <w:top w:val="single" w:sz="8" w:color="CCEEFF"/>
              <w:bottom w:val="single" w:sz="8" w:color="auto"/>
            </w:tcBorders>
            <w:gridSpan w:val="7"/>
          </w:tcPr>
          <w:p>
            <w:pPr>
              <w:jc w:val="center"/>
              <w:ind w:right="4020"/>
              <w:spacing w:after="0"/>
              <w:rPr>
                <w:sz w:val="20"/>
                <w:szCs w:val="20"/>
                <w:color w:val="auto"/>
              </w:rPr>
            </w:pPr>
            <w:r>
              <w:rPr>
                <w:rFonts w:ascii="Times New Roman" w:cs="Times New Roman" w:eastAsia="Times New Roman" w:hAnsi="Times New Roman"/>
                <w:sz w:val="18"/>
                <w:szCs w:val="18"/>
                <w:color w:val="auto"/>
                <w:w w:val="78"/>
              </w:rPr>
              <w:t>i</w:t>
            </w: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 AND INFORMATION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report contains statements reflecting our views about our future performance that constitute “forward-looking statements” within the meaning of the Private Securities Litigation Reform Act of 1995 (Reform Act). Statements that constitute forward-looking statements within the meaning of the Reform Act are generally identified through the inclusion of words such as “aim,” “anticipate,” “believe,” “drive,” “estimate,” “expect,” “forecast,” “future,” “goal,” “guidance,” “intend,” “may,” “objective,” “outlook,” “plan,” “position,” “potential,” “project,” “seek,” “should,” “strategy,” “target,” “will” or similar statements or variations of such words and other similar expressions. All statements addressing our future operating performance, and statements addressing events and developments that we expect or anticipate will occur in the future, are forward-looking statements within the meaning of the Reform Act. These forward-looking statements are based on currently available information, operating plans and projections about future events and trends. They inherently involve risks and uncertainties that could cause actual results to differ materially from those predicted in any such forward-looking statement. These risks and uncertainties include, but are not limited to, those described in “Part I, Item 1A. Risk Factors” of our Annual Report on Form 10-K for the fiscal year ended December 31, 2024 (“2024 Form 10-K”) as updated by “Part II, Item 1A” of this report, which should be considered when evaluating our trends and future results. Investors are cautioned not to place undue reliance on any such forward-looking statements, which speak only as of the date they are made. We undertake no obligation to update any forward-looking statement, whether as a result of new information, future events or otherwise. The discussion of risks in this report is by no means all-inclusive but is designed to highlight what we believe are important factors to consider when evaluating our future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6840" w:type="dxa"/>
            <w:vAlign w:val="bottom"/>
          </w:tcPr>
          <w:p>
            <w:pPr>
              <w:jc w:val="center"/>
              <w:ind w:left="4310"/>
              <w:spacing w:after="0"/>
              <w:rPr>
                <w:sz w:val="20"/>
                <w:szCs w:val="20"/>
                <w:color w:val="auto"/>
              </w:rPr>
            </w:pPr>
            <w:r>
              <w:rPr>
                <w:rFonts w:ascii="Times New Roman" w:cs="Times New Roman" w:eastAsia="Times New Roman" w:hAnsi="Times New Roman"/>
                <w:sz w:val="18"/>
                <w:szCs w:val="18"/>
                <w:b w:val="1"/>
                <w:bCs w:val="1"/>
                <w:color w:val="auto"/>
                <w:w w:val="99"/>
              </w:rPr>
              <w:t>REED’S, INC.,</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440" w:type="dxa"/>
            <w:vAlign w:val="bottom"/>
            <w:gridSpan w:val="3"/>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440" w:type="dxa"/>
            <w:vAlign w:val="bottom"/>
            <w:gridSpan w:val="3"/>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amounts)</w:t>
            </w: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4,862</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10,391</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of $384 and $859, respectively</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3,979</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12,333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8,114</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former related party</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r>
      <w:tr>
        <w:trPr>
          <w:trHeight w:val="22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19"/>
                <w:szCs w:val="19"/>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current assets</w:t>
            </w:r>
          </w:p>
        </w:tc>
        <w:tc>
          <w:tcPr>
            <w:tcW w:w="1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$689 and $636, respectively</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tcPr>
          <w:p>
            <w:pPr>
              <w:spacing w:after="0"/>
              <w:rPr>
                <w:sz w:val="18"/>
                <w:szCs w:val="18"/>
                <w:color w:val="auto"/>
              </w:rPr>
            </w:pPr>
          </w:p>
        </w:tc>
      </w:tr>
      <w:tr>
        <w:trPr>
          <w:trHeight w:val="22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9"/>
                <w:szCs w:val="19"/>
                <w:color w:val="auto"/>
              </w:rPr>
            </w:pPr>
          </w:p>
        </w:tc>
      </w:tr>
      <w:tr>
        <w:trPr>
          <w:trHeight w:val="263"/>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24,519</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7,945</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1,314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loan, net of capitalized financing costs of $252 and $329, respectively</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9,648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9,571</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former related party</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less current portion</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19"/>
                <w:szCs w:val="19"/>
                <w:color w:val="auto"/>
              </w:rPr>
            </w:pPr>
          </w:p>
        </w:tc>
      </w:tr>
      <w:tr>
        <w:trPr>
          <w:trHeight w:val="210"/>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6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$10 par value, 500,000 shares authorized, 9,411 shares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w:t>
            </w: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0"/>
                <w:szCs w:val="20"/>
                <w:color w:val="auto"/>
              </w:rPr>
            </w:pPr>
          </w:p>
        </w:tc>
      </w:tr>
      <w:tr>
        <w:trPr>
          <w:trHeight w:val="198"/>
        </w:trPr>
        <w:tc>
          <w:tcPr>
            <w:tcW w:w="6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60,000,000 shares authorized; 45,371,247 shares issued</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and outstanding.</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158,482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158,435</w:t>
            </w:r>
          </w:p>
        </w:tc>
        <w:tc>
          <w:tcPr>
            <w:tcW w:w="80" w:type="dxa"/>
            <w:vAlign w:val="bottom"/>
            <w:shd w:val="clear" w:color="auto" w:fill="CCEEFF"/>
          </w:tcPr>
          <w:p>
            <w:pPr>
              <w:spacing w:after="0"/>
              <w:rPr>
                <w:sz w:val="18"/>
                <w:szCs w:val="18"/>
                <w:color w:val="auto"/>
              </w:rPr>
            </w:pPr>
          </w:p>
        </w:tc>
      </w:tr>
      <w:tr>
        <w:trPr>
          <w:trHeight w:val="22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(153,915)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(151,884)</w:t>
            </w: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51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00" w:type="dxa"/>
            <w:vAlign w:val="bottom"/>
            <w:shd w:val="clear" w:color="auto" w:fill="CCEEFF"/>
          </w:tcPr>
          <w:p>
            <w:pPr>
              <w:spacing w:after="0"/>
              <w:rPr>
                <w:sz w:val="18"/>
                <w:szCs w:val="18"/>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6,182</w:t>
            </w: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Delivery and handling expense</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w:t>
            </w: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8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(1,023)</w:t>
            </w:r>
          </w:p>
        </w:tc>
      </w:tr>
      <w:tr>
        <w:trPr>
          <w:trHeight w:val="210"/>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(2,031)</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2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(0.04)</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 and diluted</w:t>
            </w:r>
          </w:p>
        </w:tc>
        <w:tc>
          <w:tcPr>
            <w:tcW w:w="1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45,371,247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4,187,291</w:t>
            </w: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9100" w:type="dxa"/>
            <w:vAlign w:val="bottom"/>
            <w:gridSpan w:val="5"/>
          </w:tcPr>
          <w:p>
            <w:pPr>
              <w:ind w:left="25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right"/>
              <w:ind w:right="1490"/>
              <w:spacing w:after="0"/>
              <w:rPr>
                <w:sz w:val="20"/>
                <w:szCs w:val="20"/>
                <w:color w:val="auto"/>
              </w:rPr>
            </w:pPr>
            <w:r>
              <w:rPr>
                <w:rFonts w:ascii="Times New Roman" w:cs="Times New Roman" w:eastAsia="Times New Roman" w:hAnsi="Times New Roman"/>
                <w:sz w:val="18"/>
                <w:szCs w:val="18"/>
                <w:color w:val="auto"/>
              </w:rPr>
              <w:t>F-2</w:t>
            </w:r>
          </w:p>
        </w:tc>
        <w:tc>
          <w:tcPr>
            <w:tcW w:w="1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3580" w:type="dxa"/>
            <w:vAlign w:val="bottom"/>
          </w:tcPr>
          <w:p>
            <w:pPr>
              <w:spacing w:after="0"/>
              <w:rPr>
                <w:sz w:val="21"/>
                <w:szCs w:val="21"/>
                <w:color w:val="auto"/>
              </w:rPr>
            </w:pPr>
          </w:p>
        </w:tc>
        <w:tc>
          <w:tcPr>
            <w:tcW w:w="16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358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45,371,247</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(2,031)</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(2,031)</w:t>
            </w:r>
          </w:p>
        </w:tc>
      </w:tr>
      <w:tr>
        <w:trPr>
          <w:trHeight w:val="22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45,371,247</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158,482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(153,915</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3660" w:type="dxa"/>
            <w:vAlign w:val="bottom"/>
          </w:tcPr>
          <w:p>
            <w:pPr>
              <w:spacing w:after="0"/>
              <w:rPr>
                <w:sz w:val="21"/>
                <w:szCs w:val="21"/>
                <w:color w:val="auto"/>
              </w:rPr>
            </w:pPr>
          </w:p>
        </w:tc>
        <w:tc>
          <w:tcPr>
            <w:tcW w:w="16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Preferred Stock</w:t>
            </w:r>
          </w:p>
        </w:tc>
        <w:tc>
          <w:tcPr>
            <w:tcW w:w="1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366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9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4,187,291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119,452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3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(1,673)</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23"/>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4,187,291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(140,400</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120" w:type="dxa"/>
            <w:vAlign w:val="bottom"/>
          </w:tcPr>
          <w:p>
            <w:pPr>
              <w:spacing w:after="0"/>
              <w:rPr>
                <w:sz w:val="20"/>
                <w:szCs w:val="20"/>
                <w:color w:val="auto"/>
              </w:rPr>
            </w:pPr>
          </w:p>
        </w:tc>
        <w:tc>
          <w:tcPr>
            <w:tcW w:w="2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(2,031)</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vested options</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vested restricted shares granted to officers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write-downs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564</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right of use assets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 costs</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8,285</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(10,239)</w:t>
            </w:r>
          </w:p>
        </w:tc>
      </w:tr>
      <w:tr>
        <w:trPr>
          <w:trHeight w:val="216"/>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SAFE agreement</w:t>
            </w: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4,097</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cost recorded as debt discount</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from former related party, net</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8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Borders>
              <w:bottom w:val="single" w:sz="8" w:color="CCEEFF"/>
            </w:tcBorders>
          </w:tcPr>
          <w:p>
            <w:pPr>
              <w:spacing w:after="0"/>
              <w:rPr>
                <w:sz w:val="18"/>
                <w:szCs w:val="18"/>
                <w:color w:val="auto"/>
              </w:rPr>
            </w:pPr>
          </w:p>
        </w:tc>
      </w:tr>
      <w:tr>
        <w:trPr>
          <w:trHeight w:val="210"/>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603</w:t>
            </w:r>
          </w:p>
        </w:tc>
      </w:tr>
      <w:tr>
        <w:trPr>
          <w:trHeight w:val="263"/>
        </w:trPr>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860" w:type="dxa"/>
            <w:vAlign w:val="bottom"/>
            <w:tcBorders>
              <w:bottom w:val="single" w:sz="8" w:color="CCEEFF"/>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22"/>
                <w:szCs w:val="22"/>
                <w:color w:val="auto"/>
              </w:rPr>
            </w:pPr>
          </w:p>
        </w:tc>
      </w:tr>
      <w:tr>
        <w:trPr>
          <w:trHeight w:val="197"/>
        </w:trPr>
        <w:tc>
          <w:tcPr>
            <w:tcW w:w="6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26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199</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 of prepaid expenses and accounts payable</w:t>
            </w:r>
          </w:p>
        </w:tc>
        <w:tc>
          <w:tcPr>
            <w:tcW w:w="226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REED’S,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2025 and 2024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ind w:right="76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financial statements of Reed’s, Inc. (the “Company”, “we”, “us”, or “our”),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2024, filed with the SEC on March 28, 2025. The accompanying condensed financial statements are unaudited, but in the opinion of management, contain all adjustments, including normal recurring adjustments, necessary to present fairly the Company’s financial position as of March 31, 2025, and the results of its operations and its cash flows for the three months ended March 31, 2025 and 2024. The balance sheet as of December 31, 2024 is derived from the Company’s audited financial statements.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2025, are not necessarily indicative of the results of operations to be expected for the full fiscal year ending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a net loss of $2,031 and used cash in operations of $5,362. Cash used in operations was primarily for working capital as the Company invested $4,194 in inventory to more effectively fulfill customer demand. Historically, we have financed our operations through existing cash balances, cash generated from operations, public and private issuance of common stock, preferred stock, convertible debt instruments, term loans and credit lines from financial institutions.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we had a cash balance of $4,862 and availability under our Senior Secured Loan of $100. Our Senior Secured Loan, which provides a revolving credit commitment in an aggregate amount of $10,000, is due on November 14, 2025 (see Note 5). The Company is evaluating refinancing alternatives for the Senior Secured Loan, which may include existing or new lenders.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issuance date of the financial statements included in this Quarterly Report on Form 10-Q, management expects that the Company’s existing cash of $4,862, ongoing cash generated from operations, and access to committed financing, will be sufficient to fund the Company’s operating plan, which was approved by the Board of Directors in January 2025, for at least twelve months from the date of issuance of such financial statements; however, if the Company’s management and Board of Directors approve additional growth initiatives and related investment in human resources, working capital, new geographic markets, information technology, and other uses of cash, the Company may require additional funding.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continuing to take actions to improve the Company’s operating performance and cash generated from operations, including outsourcing our manufacturing processes, streamlining our product portfolio, negotiating equitable vendor contracts, and optimizing our selling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 Market Conditions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Inflation, actions by the Federal Reserve to address inflation, fluctuations in energy prices, and the potential impacts of tariffs and geopolitical events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vendors in our supply chain, and use alternative suppliers when necessary and available, supply chain constraints could cause a disruption in our ability to obtain raw materials required to manufacture our products and adversely affect our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credit loss reserves for accounts receivable, assumptions used in valuing inventories at net realizable value, impairment testing of recorded long-term tangible and intangible assets, the realizability of deferred tax assets and the related valuation allowance, accruals for potential liabilities, assumptions made in valuing stock instruments issued for services, and assumptions used in the determination of the Company’s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 and costs of sales are recognized when control of the products transfers to our customer, which generally occurs upon shipment from our facilities. The Company’s performance obligations are satisfied at that time.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fulfilment activity rather than a promised service to the customer. All of the Company’s products are offered for sale as finished goods only, and there are no performance obligations required post-shipment for customers to derive the expected value from them.</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allow for returns, except for damaged products when the damage occurred pre-fulfilment.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(loss) per share is computed by dividing the net income (loss) applicable to common stockholders by the weighted average number of shares of common stock outstanding during the period.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calculations of basic and diluted loss per share are the same because potential dilutive securities would have had an anti-dilutive effect. The potentially dilutive securities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2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698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549,292</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549,292</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324,202</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141,869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1,557,066</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equivalent of Series A Convertible Preferred stock</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753</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874,247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periodically issues stock options and restricted stock awards to employees and non-employees in non-capital raising transactions for services and for financing costs. The Company accounts for such grants issued and vesting based on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whereby the value of the award is measured on the date of grant and recognized for employees as compensation expense on the straight-line basis over the vesting period. Recognition of compensation expense for non-employees is in the same period and manner as if the Company had paid cash for the services.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selling and marketing expense. Advertising costs aggregated $33 and $17 for the three months ended March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During the three months ended March 31, 2025, the Company’s three largest customers accounted for 21%, 17%, and 17% of net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During the three months ended March 31, 2024, the Company’s two largest customers accounted for 19% and 13% of net sales, respectively. No other customers exceeded 10% of net sales in either period.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As of March 31, 2025, the Company had accounts receivable from two customers which comprised 28% and 21% of its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respectively. As of December 31, 2024, the Company had accounts receivable from two customers which comprised 17% and 14% of its gross accounts receivable, respectively. No other customers exceeded 10% of gross accounts receivable in either period.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Company utilizes co-packers to produce 100% of its products. </w:t>
      </w:r>
      <w:r>
        <w:rPr>
          <w:rFonts w:ascii="Times New Roman" w:cs="Times New Roman" w:eastAsia="Times New Roman" w:hAnsi="Times New Roman"/>
          <w:sz w:val="18"/>
          <w:szCs w:val="18"/>
          <w:color w:val="auto"/>
        </w:rPr>
        <w:t>During the three months ended March 31, 2025 and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utilized seven separate co-packers for most of its production and bottling of beverage products in the United States. The Company has established relationships with these co-packers, including a former related party (see Note 10). Although there are other co-packers available to the Company, a change in co-packers may cause a delay in the production process, which could adversely affect operating results.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Purchases from vendors. </w:t>
      </w:r>
      <w:r>
        <w:rPr>
          <w:rFonts w:ascii="Times New Roman" w:cs="Times New Roman" w:eastAsia="Times New Roman" w:hAnsi="Times New Roman"/>
          <w:sz w:val="18"/>
          <w:szCs w:val="18"/>
          <w:color w:val="auto"/>
        </w:rPr>
        <w:t>During the three months ended March 31, 2025, the Company’s largest vendor accounted for approximately 13% of all purchases.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2024, the Company’s largest vendor accounted for approximately 10% of all purchases. No other vendors exceeded 10% of all purchases in either period.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payable. </w:t>
      </w:r>
      <w:r>
        <w:rPr>
          <w:rFonts w:ascii="Times New Roman" w:cs="Times New Roman" w:eastAsia="Times New Roman" w:hAnsi="Times New Roman"/>
          <w:sz w:val="18"/>
          <w:szCs w:val="18"/>
          <w:color w:val="auto"/>
        </w:rPr>
        <w:t>As of March 31, 2025, one vendor accounted for 22% of total accounts payable. As of December 31, 2024, no vendor accounted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10% of total accounts payable. No other vendors exceeded 10% of accounts payable in either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Accounting Standards Codification Section 820 defines the following levels of subjectivity associated with the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Level 3—Unobservable inputs in which there is little or no market data for the asset or liability which requires the Company to develop its own assumptions.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carrying amounts of certain financial instruments, including cash and cash equivalents, accounts receivable, short-term bank loans, accounts payable, notes payable and other payables, approximate their fair values because of the short-term nature of such instruments. The carrying values of capital lease obligations and long-term financing obligations approximate their fair values because interest rates on these obligations are based on prevailing market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FASB issued ASU 2024-03 Income Statement—Reporting Comprehensive Income—Expense Disaggregation Disclosures (Subtopic 220-40) Disaggregation of Income Statement Expenses. The guidance in ASU 2024-03 requires public business entities to disclose in the notes to the financial statements, among other things, specific information about certain costs and expenses including purchases of inventory; employee compensation; and depreciation and amortization expense for each caption on the income statement where such expenses are included. The update is effective for annual reporting periods beginning after December 15, 2026, and interim reporting periods beginning after December 15, 2027. Early adoption is permitted, and the amendments may be applied prospectively to reporting periods after the effective date or retrospectively to all periods presented in the financial statements. We are currently evaluating the provisions of this guidance and assessing the potential impact on our financial statement disclosures.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Inventory</w:t>
            </w:r>
          </w:p>
        </w:tc>
        <w:tc>
          <w:tcPr>
            <w:tcW w:w="1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2860" w:type="dxa"/>
            <w:vAlign w:val="bottom"/>
            <w:gridSpan w:val="2"/>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packaging</w:t>
            </w:r>
          </w:p>
        </w:tc>
        <w:tc>
          <w:tcPr>
            <w:tcW w:w="14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1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tc>
        <w:tc>
          <w:tcPr>
            <w:tcW w:w="1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are comprised of the following:</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2860" w:type="dxa"/>
            <w:vAlign w:val="bottom"/>
            <w:gridSpan w:val="2"/>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14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46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book value</w:t>
            </w:r>
          </w:p>
        </w:tc>
        <w:tc>
          <w:tcPr>
            <w:tcW w:w="146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2025 and 2024 was $41 and $29, respectively, and amortization of right-of-use assets for the three months ended March 31, 2025 and 2024 was $12 and $39,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6040" w:type="dxa"/>
            <w:vAlign w:val="bottom"/>
          </w:tcPr>
          <w:p>
            <w:pPr>
              <w:spacing w:after="0"/>
              <w:rPr>
                <w:sz w:val="20"/>
                <w:szCs w:val="20"/>
                <w:color w:val="auto"/>
              </w:rPr>
            </w:pPr>
          </w:p>
        </w:tc>
        <w:tc>
          <w:tcPr>
            <w:tcW w:w="238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 names</w:t>
            </w:r>
          </w:p>
        </w:tc>
        <w:tc>
          <w:tcPr>
            <w:tcW w:w="9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Senior Secured Loan Payable</w:t>
            </w:r>
          </w:p>
        </w:tc>
        <w:tc>
          <w:tcPr>
            <w:tcW w:w="9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sets forth amounts in respect of our senior secured loan:</w:t>
            </w: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6040" w:type="dxa"/>
            <w:vAlign w:val="bottom"/>
          </w:tcPr>
          <w:p>
            <w:pPr>
              <w:spacing w:after="0"/>
              <w:rPr>
                <w:sz w:val="20"/>
                <w:szCs w:val="20"/>
                <w:color w:val="auto"/>
              </w:rPr>
            </w:pPr>
          </w:p>
        </w:tc>
        <w:tc>
          <w:tcPr>
            <w:tcW w:w="238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loan payable</w:t>
            </w:r>
          </w:p>
        </w:tc>
        <w:tc>
          <w:tcPr>
            <w:tcW w:w="9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financing costs</w:t>
            </w:r>
          </w:p>
        </w:tc>
        <w:tc>
          <w:tcPr>
            <w:tcW w:w="9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14, 2024, the Company entered into a Senior Secured Loan and Security Agreement (the “Loan Agreement”) with certain funds affiliated with Whitebox, as lenders, and Cantor Fitzgerald Securities, as administrative agent and collateral agent. The Loan Agreement provides a revolving credit commitment in an aggregate amount of $10,000 (the “Senior Secured Loan”). The Senior Secured Loan accrues interest at a per annum rate equal to 8.00% on the principal amount outstanding, payable quarterly in arrears. The Senior Secured Loan also accrues an unused fee at a rate per annum equal to 3.00% on the excess, if any, of the revolving credit commitment over the average principal amount outstanding from time to time during the preceding fiscal quarter, payable quarterly in arrears. The Senior Secured Loan is secured by substantially all of the Company’s assets, including all intellectual property and is due on November 14, 2025. As of March 31, 2025 and December 31, 2024, the principal amount outstanding on the Senior Secured Loan was $9,900 and the remaining availability was $100.</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financing agreement with Whitebox includes customary restrictions that limit our ability to engage in certain types of transactions. Additionally, the agreement contains a financial covenant that requires us to meet a certain minimum cash balance and liquidity threshold as of the end of each month. We were in compliance with the terms of our agreement with Whitebox as of March 31, 2025 and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$394 of direct costs associated with the Senior Secured Loan transaction, consisting primarily of broker, bank and legal fees. These costs have been capitalized and are being amortized over the 1-year life of the agreement. The unamortized debt discount balance was $329 at December 31, 2024. For the three months ended March 31, 2025, the Company incurred $18 of additional fees and amortization of debt discount was $95. The unamortized debt discount balance was $252 at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and 2024, lease costs totaled $12 and $39,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operating lease liabilities totaled $837. During the three months ended March 31, 2025, the Company made no payments towards its operating lease liability as no payments were due. As of March 31, 2025, operating lease liabilities totaled $854, of which $27 was current.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2025, the weighted average remaining lease terms for an operating lease are 10.67 years. As of March 31, 2025, the weighted average discount rate on the operating lease is 8.0%.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200" w:type="dxa"/>
            <w:vAlign w:val="bottom"/>
          </w:tcPr>
          <w:p>
            <w:pPr>
              <w:spacing w:after="0"/>
              <w:rPr>
                <w:sz w:val="20"/>
                <w:szCs w:val="20"/>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324,202</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Unvested forfeited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forfeited</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324,202</w:t>
            </w:r>
          </w:p>
        </w:tc>
        <w:tc>
          <w:tcPr>
            <w:tcW w:w="3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263,672</w:t>
            </w:r>
          </w:p>
        </w:tc>
        <w:tc>
          <w:tcPr>
            <w:tcW w:w="3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recognized $47 and $129 of compensation expense relating to vested stock options. As of March 31, 2025, the aggregate amount of unvested compensation related to stock options was approximately $60, which will be recognized as an expense as the options vest in future periods through March 28, 2027.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outstanding and exercisable options have an intrinsic value of $33 and $28, respectively. The aggregate intrinsic value was calculated as the difference between the closing market price as of March 31, 2025, which was $1.46, and the exercise price of the outstanding stock options.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Stock Warrants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Company’s warrant activity during the three months ended March 31, 2025 is as follows: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4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Terms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4300" w:type="dxa"/>
            <w:vAlign w:val="bottom"/>
          </w:tcPr>
          <w:p>
            <w:pPr>
              <w:spacing w:after="0"/>
              <w:rPr>
                <w:sz w:val="20"/>
                <w:szCs w:val="20"/>
                <w:color w:val="auto"/>
              </w:rPr>
            </w:pPr>
          </w:p>
        </w:tc>
        <w:tc>
          <w:tcPr>
            <w:tcW w:w="16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4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549,292</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8.77</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March 31,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3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outstanding and exercisable warrants have no aggregate intrinsic value. The aggregate intrinsic value was calculated as the difference between the closing market price as of March 31, 2025, which was $1.46, and the exercise price of the Company’s warrants to purchase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Transactions with California Custom Beverage, LLC, former related party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2018, the Company signed a co-packing agreement with California Custom Beverage, LLC’s (“CCB”), an entity owned by a former related party, pursuant to which CCB agreed to produce certain products for the Company for agreed fees. The co-packing agreement, as amended, includes certain provisions for product inputs, shrinkage, and quality assurance. Also beginning in 2019, CCB agreed to pay the Company a 5% royalty through 2021 on certain private label sales made by CCB.</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and December 31, 2024, accounts receivable due from and accounts payable due to CCB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60" w:type="dxa"/>
            <w:vAlign w:val="bottom"/>
          </w:tcPr>
          <w:p>
            <w:pPr>
              <w:spacing w:after="0"/>
              <w:rPr>
                <w:sz w:val="20"/>
                <w:szCs w:val="20"/>
                <w:color w:val="auto"/>
              </w:rPr>
            </w:pPr>
          </w:p>
        </w:tc>
        <w:tc>
          <w:tcPr>
            <w:tcW w:w="1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178"/>
        </w:trPr>
        <w:tc>
          <w:tcPr>
            <w:tcW w:w="68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Accounts receivable, net of provision of $1,238 and $1,238 at March 31, 2025 and December</w:t>
            </w: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 respectively</w:t>
            </w:r>
          </w:p>
        </w:tc>
        <w:tc>
          <w:tcPr>
            <w:tcW w:w="162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(payable) receivable</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CCB filed an arbitration demand alleging claims against the Company for various disputed amounts outstanding. Also in January 2024, the Company filed an arbitration demand alleging claims against CCB for various disputed amounts outstanding. The two cases were consolidated, and the arbitration process is expected to continue pending final judgment. The Company has determined that the probability of realizing any loss on the demand from CCB is remote and therefore has not recorded any additional accruals related to the demand.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 2023, the Company engaged an investment bank to explore financing options. Subject to services provided by the investment bank, management believes the Company may have a remaining obligation related to this engagement not expected to exceed $1,500, although the range of potential outcomes may be higher or lower. Management believes it has provided an adequate provision for potential amounts due, if any, in the accompanying financial statements. Management’s response includes retaining experienced specialist counsel, conducting a comprehensive assessment, and pursuing a fair and reasonable result.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 Although the results of such litigation matters and claims cannot be predicted with certainty, we believe that the final outcome of such claims and proceedings will not have a material adverse impact on our financial position, liquidity, or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as a manufacturer of carbonated beverages under Reed’s and Virgil’s brand names. The measure of segment assets is reported on the balance sheet as total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CODM reviews financial information presented and decides how to allocate resources based on net income (loss). Net income (loss) is used for evaluating financial performance.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segment expenses include research and development, salaries, insurance, and stock-based compensation. Operating expenses include all the remaining costs necessary to operate our business, which primarily include external professional services and other administrative expenses. The following table presents the significant segment expenses and other segment items regularly reviewed by our CODM.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4740" w:type="dxa"/>
            <w:vAlign w:val="bottom"/>
          </w:tcPr>
          <w:p>
            <w:pPr>
              <w:spacing w:after="0"/>
              <w:rPr>
                <w:sz w:val="20"/>
                <w:szCs w:val="20"/>
                <w:color w:val="auto"/>
              </w:rPr>
            </w:pPr>
          </w:p>
        </w:tc>
        <w:tc>
          <w:tcPr>
            <w:tcW w:w="3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Salaries</w:t>
            </w:r>
          </w:p>
        </w:tc>
        <w:tc>
          <w:tcPr>
            <w:tcW w:w="2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1,056</w:t>
            </w: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128</w:t>
            </w: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w:t>
            </w: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1,001</w:t>
            </w: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Freight and delivery</w:t>
            </w:r>
          </w:p>
        </w:tc>
        <w:tc>
          <w:tcPr>
            <w:tcW w:w="2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1,351</w:t>
            </w: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Warehousing</w:t>
            </w:r>
          </w:p>
        </w:tc>
        <w:tc>
          <w:tcPr>
            <w:tcW w:w="2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277</w:t>
            </w: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1,284</w:t>
            </w: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757</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24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2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tcBorders>
          </w:tcPr>
          <w:p>
            <w:pPr>
              <w:spacing w:after="0"/>
              <w:rPr>
                <w:sz w:val="18"/>
                <w:szCs w:val="18"/>
                <w:color w:val="auto"/>
              </w:rPr>
            </w:pPr>
          </w:p>
        </w:tc>
      </w:tr>
      <w:tr>
        <w:trPr>
          <w:trHeight w:val="223"/>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our Current Report on Form 8-K filed on April 17, 2025, on April 16, 2025, Norman E. Snyder, Jr., our Chief Executive Officer and member of our board of directors, announced his retirement. In connection with Mr. Snyder’s retirement, the Company’s board of directors appointed Cyril A. Wallace, Jr. as Chief Executive Officer and member of our board of directors, effective April 16, 2025, pursuant to an Executive Employment Agreement (the “Employment Agreement”). In order to ensure a smooth transition, Mr. Snyder agreed to continue as an employee of the Company through May 31, 2025 pursuant to a Retirement, Transition and Separation Agreement dated April 14, 2025 (the “Transition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Our discussion and analysis is intended to help the reader understand our results of operations and financial condition and is provided as an addition to, and should be read in connection with, our condensed financial statements and the accompanying notes. Cautionary statements on page ii of this report and in “Part I, Item 1A. Risk Factors” of our 2024 Form 10-K, as updated by “Part II, Item 1A” of this report, should be considered when evaluating our trends and future results.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 addition to our GAAP results, the following discussion includes Modified EBITDA as a supplemental measure of our performance. 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is not a recognized measurement under GAAP and should not be considered as an alternative to net income (loss), income (loss)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insurance settlements, contract proceedings,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also includes the use of gross billing, a key performance indicator and metric. Gross billing represents invoiced amounts to distributors and retailers, excluding sales adjustments. Gross billing may include deductions from MSRP or “list price”, where applicable, and excludes promotional costs of generating such sales. Management utilizes gross billing to monitor operating performance of products and salespersons, which performance can be masked by the effect of promotional or other allowances. Management believes that the presentation of gross billing provides a useful measure of Reed’s operating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presented in the discussion below are in thousands, except share and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continued to strengthen its supply chain, implement gross margin enhancement initiatives, drive efficiencies in transportation and warehouse costs and reduce operating expenses. In addition, it continues to build its innovation pipeline with sustained growth in Reed’s Real Ginger Ale, Virgil’s Zero Sugar handcrafted sodas, Reed’s Classic and Stormy Mule, and Reed’s Hard Ginger Ale.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remains focused on driving sales growth, improving gross margin, and reducing freight costs. The sales growth focus is on channel expansion, increase in store placements, new product introduction and improved sales execution. The margin enhancement initiative is driven by packaging savings, co-packer upgrades, and better leveraged purchasing and improved efficiency. Underpinning these initiatives is a focus on strategically reducing operating costs, particularly delivery and handling expenses. In addition, the Company continues to augment its co-packer network to drive further efficiencies and build proper levels of inventory at the appropriate location to maximize delivery metrics.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 Market Conditions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U.S. economy continued to grow in the first quarter of 2025 and throughout 2024, inflation, actions by the Federal Reserve to address inflation, fluctuations in energy prices, and the potential impacts of tariffs and geopolitical events create uncertainty about the future economic environment which will continue to evolve and may impact our business in future periods. We have experienced supply chain challenges, including increased lead times, as well as inflation of raw materials, logistics and labor costs due to availability constraints and high demand. Although we regularly monitor vendors in our supply chain, and use alternative suppliers when necessary and available, supply chain constraints could cause a disruption in our ability to obtain raw materials required to manufacture our products and adversely affect our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the average cost of shipping and handling was $3.13 per case, as compared to $3.01 per case for the three months ended March 31, 2024. The Company has experienced increases in freight costs and there remains a volatile pricing environment. The Company will continue to monitor pricing and availability in transportation and has implemented plans designed to manage this risk. In the past, the Company has been negatively impacted by supply chain challenges affecting our ability to benefit from strong demand for, and increased sales of our product. Any disruption caused by labor shortages, significant raw material cost inflation, logistics issues, increased freight costs, or port congestion, may adversely impact margins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2025, as compared to March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 months ended March 31, 2025 and 2024, respectively,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gridSpan w:val="5"/>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Pct.</w:t>
            </w:r>
          </w:p>
        </w:tc>
      </w:tr>
      <w:tr>
        <w:trPr>
          <w:trHeight w:val="223"/>
        </w:trPr>
        <w:tc>
          <w:tcPr>
            <w:tcW w:w="47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19"/>
                <w:szCs w:val="19"/>
                <w:color w:val="auto"/>
              </w:rPr>
            </w:pPr>
          </w:p>
        </w:tc>
      </w:tr>
      <w:tr>
        <w:trPr>
          <w:trHeight w:val="20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 (A)</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3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Less: Promotional and other allowances (B)</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984</w:t>
            </w:r>
          </w:p>
        </w:tc>
        <w:tc>
          <w:tcPr>
            <w:tcW w:w="360" w:type="dxa"/>
            <w:vAlign w:val="bottom"/>
          </w:tcPr>
          <w:p>
            <w:pPr>
              <w:spacing w:after="0"/>
              <w:rPr>
                <w:sz w:val="19"/>
                <w:szCs w:val="19"/>
                <w:color w:val="auto"/>
              </w:rPr>
            </w:pP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3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6,627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6,182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Gross billing</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60%</w:t>
            </w:r>
          </w:p>
        </w:tc>
        <w:tc>
          <w:tcPr>
            <w:tcW w:w="3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59%</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66%</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64%</w:t>
            </w:r>
          </w:p>
        </w:tc>
        <w:tc>
          <w:tcPr>
            <w:tcW w:w="1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9"/>
        </w:trPr>
        <w:tc>
          <w:tcPr>
            <w:tcW w:w="4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3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38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34%</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36%</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Delivery and handling</w:t>
            </w: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1,627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1,502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16%</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16%</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Dollar per case ($)</w:t>
            </w: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3.13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i w:val="1"/>
                <w:iCs w:val="1"/>
                <w:color w:val="auto"/>
                <w:w w:val="70"/>
              </w:rPr>
              <w:t>$</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i w:val="1"/>
                <w:iCs w:val="1"/>
                <w:color w:val="auto"/>
              </w:rPr>
              <w:t>3.01</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1,502</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1,093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15%</w:t>
            </w:r>
          </w:p>
        </w:tc>
        <w:tc>
          <w:tcPr>
            <w:tcW w:w="3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11%</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2,015</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1,468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20%</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15%</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3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(1,742)</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other expense</w:t>
            </w: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0"/>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(2,031)</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(1,673)</w:t>
            </w:r>
          </w:p>
        </w:tc>
        <w:tc>
          <w:tcPr>
            <w:tcW w:w="1600" w:type="dxa"/>
            <w:vAlign w:val="bottom"/>
            <w:gridSpan w:val="2"/>
            <w:shd w:val="clear" w:color="auto" w:fill="CCEEFF"/>
          </w:tcPr>
          <w:p>
            <w:pPr>
              <w:jc w:val="right"/>
              <w:ind w:right="20"/>
              <w:spacing w:after="0" w:line="243" w:lineRule="exact"/>
              <w:rPr>
                <w:sz w:val="20"/>
                <w:szCs w:val="20"/>
                <w:color w:val="auto"/>
              </w:rPr>
            </w:pPr>
            <w:r>
              <w:rPr>
                <w:rFonts w:ascii="Times New Roman" w:cs="Times New Roman" w:eastAsia="Times New Roman" w:hAnsi="Times New Roman"/>
                <w:sz w:val="15"/>
                <w:szCs w:val="15"/>
                <w:color w:val="auto"/>
              </w:rPr>
              <w:t>21</w:t>
            </w:r>
            <w:r>
              <w:rPr>
                <w:rFonts w:ascii="Times New Roman" w:cs="Times New Roman" w:eastAsia="Times New Roman" w:hAnsi="Times New Roman"/>
                <w:sz w:val="28"/>
                <w:szCs w:val="28"/>
                <w:color w:val="auto"/>
                <w:vertAlign w:val="superscript"/>
              </w:rPr>
              <w:t>%</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4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 basic and diluted</w:t>
            </w: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09"/>
        </w:trPr>
        <w:tc>
          <w:tcPr>
            <w:tcW w:w="4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&amp; diluted</w:t>
            </w: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45,371,247</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4,187,291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984%</w:t>
            </w:r>
          </w:p>
        </w:tc>
      </w:tr>
      <w:tr>
        <w:trPr>
          <w:trHeight w:val="432"/>
        </w:trPr>
        <w:tc>
          <w:tcPr>
            <w:tcW w:w="47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7" w:name="page18"/>
    <w:bookmarkEnd w:id="17"/>
    <w:p>
      <w:pPr>
        <w:jc w:val="both"/>
        <w:ind w:firstLine="8"/>
        <w:spacing w:after="0" w:line="258" w:lineRule="auto"/>
        <w:tabs>
          <w:tab w:leader="none" w:pos="283"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gross billing as the total sales for the Company unadjusted for costs related to generating those sales. Management utilizes gross billing as an indicator of and to monitor operating performance of products and salespersons before the effect of any promotional or other allowances, which are determined in accordance with GAAP, and can mask certain performance issues. We believe that the presentation of gross billing provides a useful measure of our operating performance. Additionally, gross billing may not be comparable to similarly titled measures used by other companies, as gross billing has been defined by our internal reporting practices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i w:val="1"/>
          <w:iCs w:val="1"/>
          <w:color w:val="auto"/>
        </w:rPr>
      </w:pPr>
    </w:p>
    <w:p>
      <w:pPr>
        <w:jc w:val="both"/>
        <w:ind w:firstLine="8"/>
        <w:spacing w:after="0" w:line="252" w:lineRule="auto"/>
        <w:tabs>
          <w:tab w:leader="none" w:pos="28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define promotional and other allowances as costs deducted from gross billing that are associated with generating those sales. Management utilizes promotional and other allowances as an indicator of and to monitor operating performance of products, salespersons, and customer agreements. We believe that the presentation of promotional and other allowances provides a useful measure of our operating performance. The presentation of promotional and other allowances facilitates an evaluation of their impact on the determination of net sales and the spending levels incurred or correlated with such sales.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key statistics for the transition of the Company’s top line activity from the first quarter of 2024 through the first quarter of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vs PY</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Q1 Per Case</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Q1</w:t>
            </w:r>
          </w:p>
        </w:tc>
        <w:tc>
          <w:tcPr>
            <w:tcW w:w="3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3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Q1</w:t>
            </w:r>
          </w:p>
        </w:tc>
        <w:tc>
          <w:tcPr>
            <w:tcW w:w="3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vs PY</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Reed’s</w:t>
            </w:r>
          </w:p>
        </w:tc>
        <w:tc>
          <w:tcPr>
            <w:tcW w:w="24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348</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6"/>
              </w:rPr>
              <w:t>Virgil’s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151</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4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Total Core</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80" w:type="dxa"/>
            <w:vAlign w:val="bottom"/>
            <w:vMerge w:val="continue"/>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Non Core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4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80" w:type="dxa"/>
            <w:vAlign w:val="bottom"/>
            <w:vMerge w:val="continue"/>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Gross Billing:</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7"/>
              </w:rPr>
              <w:t>Core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11,013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10,377</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21.18</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19"/>
                <w:szCs w:val="19"/>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Non Core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CEEFF"/>
          </w:tcPr>
          <w:p>
            <w:pPr>
              <w:spacing w:after="0" w:line="20" w:lineRule="exact"/>
              <w:rPr>
                <w:sz w:val="1"/>
                <w:szCs w:val="1"/>
                <w:color w:val="auto"/>
              </w:rPr>
            </w:pPr>
          </w:p>
        </w:tc>
        <w:tc>
          <w:tcPr>
            <w:tcW w:w="1480" w:type="dxa"/>
            <w:vAlign w:val="bottom"/>
            <w:vMerge w:val="restart"/>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3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38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32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w:t>
            </w: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COGS: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Core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(6,627)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(6,182)</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Non Core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4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380" w:type="dxa"/>
            <w:vAlign w:val="bottom"/>
            <w:vMerge w:val="continue"/>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380" w:type="dxa"/>
            <w:vAlign w:val="bottom"/>
            <w:vMerge w:val="continue"/>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(12.39)</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4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3,413</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6.54</w:t>
            </w:r>
          </w:p>
        </w:tc>
        <w:tc>
          <w:tcPr>
            <w:tcW w:w="3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 Net Sales</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Sales, Cost of Sales, and Gross Margins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Company’s ongoing initiative to simplify and streamline operations, the Company has identified core products on which to place its strategic focus. These core products consist of Reed’s and Virgil’s branded beverages. Non-core products consist primarily of Wellness Shots, candy and slower selling discontinued Reed’s and Virgil’s SKUs.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beverage volume for the three months ended March 31, 2025, represents 100% of all beverage volume.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Core brand gross billing increased by 6% to $11,013 compared to $10,377 during the same period last year, driven by Virgil’s volume increase of 19%, partially offset by Reed’s volume decline of 2%. Price on our core brands increased 2% to $21.18 per case. The increase in gross billings was a result of higher volumes with recurring national customers, optimizing our sales prices, and the Company’s ability to produce sufficient levels of inventory to meet current demand.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Discounts as a percentage of gross sales were 9% compared to 8% in the same period last year. As a result, net sales revenue increased 5% during the three months ended March 31, 2025, to $10,029, compared to $9,595 in the same period last year driven by higher sales and higher prices for our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goods sold increased $445 during the three months ended March 31, 2025, as compared to the same period last year. As a percentage of net sales, cost of goods sold for the three months ended March 31, 2024, was 66% as compared to 64% for the same period last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cost of goods sold per case increased to $12.75 per case in the three months ended March 31, 2025, from $12.39 per case for the same period last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was 34% for the three months ended March 31, 2025, compared to 36% for the same period last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and Handling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Delivery and handling expenses consist of delivery costs to customers and warehousing costs incurred for handling our finished goods after production. Delivery and handling expenses increased by $125 in the three months ended March 31, 2025, to $1,627 from $1,502 in the same period last year, primarily driven by transportation costs associated with increased finished good production. Delivery costs in the three months ended March 31, 2025, were 16% of net sales and $3.13 per case, compared to 16% of net sales and $3.01 per case during the same period last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Marketing expenses consist of direct marketing, marketing labor, and marketing support costs. Selling expenses consist of all other selling-related expenses including personnel and contractor support. Total selling and marketing expenses were $1,502 during the three months ended March 31, 2025, compared to $1,093 during the same period last year. As a percentage of net sales, selling and marketing costs were 15% during the three months ended March 31, 2025, as compared to 11% during the same period last year. The increase was primarily driven by higher employee related costs and marketing expenditures, partially offset by lower stock compensation expense.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 of executive, administrative, and finance personnel, as well as professional fees. General and administrative expenses were $2,015 in the three months ended March 31, 2025, an increase of $547 over the same period last year. As a percentage of net sales, general and administrative expenses were 20% during the three months ended March 31, 2025, as compared to 15% during the same period last year. The increase was driven by higher employee related costs, professional fees, and customer penalties, partially offset by lower stock compensation expense, franchise taxes and board of directors’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Loss from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from operations was $1,742 for the three months ended March 31, 2025, as compared to a loss of $650 in the same period last year driven by increases in operating expenses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and Other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for the three months ended March 31, 2025, consisted of $289 of interest expense. During the same period last year, interest and other expense consisted of $1,023 of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Modified EBITDA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(loss), income (loss) from operations or any other performance measure derived in accordance with GAAP, or as an alternative to cash flow from operating activities as a measure of liquidity. We define Modified EBITDA as net income (loss), plus interest expense, tax expense, depreciation and amortization, stock-based compensation, changes in fair value of warrant expense, change in fair value of SAFE agreements, insurance settlements, contract proceedings, non-recurring professional fees, inventory write-offs associated with exited categories and major packaging and formula changes, one-time changes in policy, impact of changes to accounting methodology and one-time restructuring-related costs including employee severance and asset impairment.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a reconciliation of net loss to Modified EBITDA for the three months ended March 31, 2025 and 2024 (unaudited;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 adjustments:</w:t>
            </w:r>
          </w:p>
        </w:tc>
        <w:tc>
          <w:tcPr>
            <w:tcW w:w="2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2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6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and other noncash compensation</w:t>
            </w:r>
          </w:p>
        </w:tc>
        <w:tc>
          <w:tcPr>
            <w:tcW w:w="27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w:t>
            </w:r>
          </w:p>
        </w:tc>
        <w:tc>
          <w:tcPr>
            <w:tcW w:w="6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Severance</w:t>
            </w: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proceedings</w:t>
            </w:r>
          </w:p>
        </w:tc>
        <w:tc>
          <w:tcPr>
            <w:tcW w:w="2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Product quality hold write-down</w:t>
            </w:r>
          </w:p>
        </w:tc>
        <w:tc>
          <w:tcPr>
            <w:tcW w:w="2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EBITDA adjustments</w:t>
            </w:r>
          </w:p>
        </w:tc>
        <w:tc>
          <w:tcPr>
            <w:tcW w:w="386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397</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Modified EBITDA</w:t>
            </w:r>
          </w:p>
        </w:tc>
        <w:tc>
          <w:tcPr>
            <w:tcW w:w="386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(1,634)</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3"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our cash expenditures, or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changes in, or cash requirements for, our working capital needs;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EBITDA does not reflect future interest expense, or the cash requirements necessary to service interest or principal payments, on our debts;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the Company recorded a net loss of $2,031 and used cash in operations of $5,362. Cash used in operations was primarily for working capital as the Company invested $4,194 in inventory to more effectively fulfill customer demand. Historically, we have financed our operations through existing cash balances, cash generated from operations, public and private issuance of common stock, preferred stock, convertible debt instruments, term loans and credit lines from financial institutions.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we had a cash balance of $4,862 and availability under our Senior Secured Loan of $100. Our Senior Secured Loan, which provides a revolving credit commitment in an aggregate amount of $10,000, is due on November 14, 2025 (see Note 5). The Company is evaluating refinancing alternatives for the Senior Secured Loan, which may include existing or new lenders.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issuance date of the financial statements included in this Quarterly Report on Form 10-Q, management expects that the Company’s existing cash of $4,862, ongoing cash generated from operations, and access to committed financing, will be sufficient to fund the Company’s operating plan, which was approved by the Board of Directors in January 2025, for at least twelve months from the date of issuance of such financial statements; however, if the Company’s management and Board of Directors approve additional growth initiatives and related investment in human resources, working capital, new geographic markets, information technology, and other uses of cash, the Company may require additional funding.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alleviate any funding considerations, management periodically evaluates various funding alternatives and may seek to raise additional funds through the issuance of equity, mezzanine or debt securities, through arrangements with strategic partners, strategic transactions, or through obtaining credit from financial institutions. As we seek additional sources of financing, there can be no assurance that such financing will be available to us on favorable terms or at all. Our ability to obtain additional financing in the debt and equity capital markets is subject to several factors, including market and economic conditions, our performance and investor sentiment with respect to us and our industry.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also continuing to take actions to improve the Company’s operating performance and cash generated from operations, including outsourcing our manufacturing processes, streamlining our product portfolio, negotiating equitable vendor contracts, and optimizing our selling prices.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totaled $5,362 for the three months ended March 31, 2025, compared to $2,395 for the three months ended March 31, 2024. The increase in net cash used was primarily driven by changes in working capital, particularly an increase in inventory.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totaled $74 for the three months ended March 31, 2025, compared to $18 for the three months ended March 31, 2024. The increase in net cash used was primarily driven by purchases of property and equipment,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totaled $93 for the three months ended March 31, 2025, compared to $2,124 net cash provided by financing activities for the three months ended March 31, 2024. The net cash provided by financing activities in the three months ended March 31, 2024 was primarily driven by proceeds from the issuance of a SAFE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the Company’s financial statements in conformity with generally accepted accounting principles in the United States (“U.S. GAAP”) requires management to make estimates and assumptions that affect the reported amounts of assets and liabilities at the date of the financial statements and the reported amounts of expenses during the reporting period. Some of those judgments can be subjective and complex, and therefore, actual results could differ materially from those estimates under different assumptions or conditions. Management bases its estimates on historical experience and on various assumptions that are believed to be reasonable in relation to the financial statements taken as a whole under the circumstances, the results of which form the basis for making judgments about the carrying values of assets and liabilities that are not readily apparent from other sources. Management regularly evaluates the key factors and assumptions used to develop the estimates utilizing currently available information, changes in facts and circumstances, historical experience and reasonable assumptions. After such evaluations, if deemed appropriate, those estimates are adjusted accordingly. Actual results could differ from those estimates. Significant estimates include those related to assumptions used in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 There were no changes to our critical accounting policies described in the condensed financial statements included in our 2024 Form 10-K that impacted our condensed financial statements and related notes included herein.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690" w:gutter="0" w:footer="0" w:header="0"/>
        </w:sectPr>
      </w:pPr>
    </w:p>
    <w:bookmarkStart w:id="21" w:name="page22"/>
    <w:bookmarkEnd w:id="21"/>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conducted an evaluation of our disclosure controls and procedures (as defined in Rules 13a-15(e) and 15d-15(e) under the Securities Exchange Act of 1934, as amended (the “Exchange Act”). Based on this evaluation, our Chief Executive Officer and our Chief Financial Officer concluded that the Company’s disclosure controls and procedures were effective as of March 31, 2025,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three months ended March 31, 2025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description of our legal proceedings, please see Note 9 “</w:t>
      </w:r>
      <w:r>
        <w:rPr>
          <w:rFonts w:ascii="Times New Roman" w:cs="Times New Roman" w:eastAsia="Times New Roman" w:hAnsi="Times New Roman"/>
          <w:sz w:val="18"/>
          <w:szCs w:val="18"/>
          <w:i w:val="1"/>
          <w:iCs w:val="1"/>
          <w:color w:val="auto"/>
        </w:rPr>
        <w:t>Transactions with California Custom Beverage, LLC, former related party”</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Condensed Financial Statements set forth in Part I, Item 1 Condensed Financial Statements of this Quarterly Report.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party to ordinary, routine litigation incidental to our business, including routine litigation matters tendered to our insurance carriers. Our management evaluates our exposure to these claims and proceedings individually and in the aggregate and provides for potential losses on such litigation if the amount of the loss is estimable and the loss is probable. Although the results of such routine litigation matters and claims cannot be predicted with certainty, we believe that the final outcome of such routine litigation and claims will not have a material adverse impact on our financial position, liquidity,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below, there have been no material changes with respect to the risk factors disclosed in our 2024 Form 10-K.</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Secured Loan matures in November 2025. If we are unable to secure refinancing on favorable terms, or at all, our ability to continue to operate our business could be impaired, which would adversely affect our financial position and results of operations.</w:t>
      </w:r>
    </w:p>
    <w:p>
      <w:pPr>
        <w:spacing w:after="0" w:line="3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Senior Secured Loan is due on November 14, 2025. The Senior Secured Loan provides a revolving credit commitment in an aggregate amount of $10,000 and, as of March 31, 2025, the principal amount outstanding was $9,900 and the remaining availability was $100. The Senior Secured Loan accrues interest at a per annum rate equal to 8.00% on the principal amount outstanding, payable quarterly in arrears. The Senior Secured Loan also accrues an unused fee at a rate per annum equal to 3.00% on the excess, if any, of the revolving credit commitment over the average principal amount outstanding from time to time during the preceding fiscal quarter, payable quarterly in arrears. The Senior Secured Loan is secured by substantially all of the Company’s assets, including all intellectual property. The Company is evaluating refinancing alternatives for the Senior Secured Loan, which may include existing or new lenders. As we seek refinancing alternatives, there can be no assurance that such refinancing will be available to us on favorable terms or at all. If we are unable to secure refinancing on favorable terms, or at all, our ability to continue to operate our business could be impaired, which would adversely affect our financial position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secure additional financing on favorable terms, or at all, when we require it, our ability to continue to grow our business or react to market conditions could be impaired and in turn adversely affect our financial position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continue to expand, grow and develop our business, which may require additional capital to develop new products, enhance our platform, expand distribution, improve our operating infrastructure, react to market conditions and finance working capital requirements.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which would adversely affect our financial position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that have not been previously disclosed in a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ectPr>
          <w:pgSz w:w="11900" w:h="16860" w:orient="portrait"/>
          <w:cols w:equalWidth="0" w:num="1">
            <w:col w:w="11240"/>
          </w:cols>
          <w:pgMar w:left="320" w:top="684" w:right="33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procedures by which security holders may recommend nominees to the Company’s board of directors.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executive officers adopted, modified or terminated a “Rule 10b5-1 trading arrangement” or a “non-Rule 10b5-1 trading arrangement” as such terms are defined under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Exhibits.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15(a)(3)</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list of the exhibits filed as part of this Form 10-Q. The documents incorporated by reference can be viewed on the SEC’s website at http://www.sec.gov.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3(i)</w:t>
      </w:r>
      <w:r>
        <w:rPr>
          <w:sz w:val="20"/>
          <w:szCs w:val="20"/>
          <w:color w:val="auto"/>
        </w:rPr>
        <w:tab/>
      </w:r>
      <w:hyperlink r:id="rId30">
        <w:r>
          <w:rPr>
            <w:rFonts w:ascii="Times New Roman" w:cs="Times New Roman" w:eastAsia="Times New Roman" w:hAnsi="Times New Roman"/>
            <w:sz w:val="18"/>
            <w:szCs w:val="18"/>
            <w:u w:val="single" w:color="auto"/>
            <w:color w:val="0000EE"/>
          </w:rPr>
          <w:t>Certificate of Incorporation of Reeds, Inc. which is incorporated herein by reference to exhibit 3(i) to Form 10-K filed with SEC on March 28,</w:t>
        </w:r>
      </w:hyperlink>
    </w:p>
    <w:p>
      <w:pPr>
        <w:spacing w:after="0" w:line="27" w:lineRule="exact"/>
        <w:rPr>
          <w:sz w:val="20"/>
          <w:szCs w:val="20"/>
          <w:color w:val="auto"/>
        </w:rPr>
      </w:pPr>
    </w:p>
    <w:p>
      <w:pPr>
        <w:ind w:left="660"/>
        <w:spacing w:after="0"/>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2025.</w:t>
        </w:r>
      </w:hyperlink>
    </w:p>
    <w:p>
      <w:pPr>
        <w:spacing w:after="0" w:line="9" w:lineRule="exact"/>
        <w:rPr>
          <w:sz w:val="20"/>
          <w:szCs w:val="20"/>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3(ii) </w:t>
      </w:r>
      <w:hyperlink r:id="rId31">
        <w:r>
          <w:rPr>
            <w:rFonts w:ascii="Times New Roman" w:cs="Times New Roman" w:eastAsia="Times New Roman" w:hAnsi="Times New Roman"/>
            <w:sz w:val="18"/>
            <w:szCs w:val="18"/>
            <w:u w:val="single" w:color="auto"/>
            <w:color w:val="0000EE"/>
          </w:rPr>
          <w:t>Amended and Restated Bylaws of Reed’s, Inc. which is incorporated by reference to exhibit 3(ii) to Form 10-K filed with SEC on March 28, 2025.</w:t>
        </w:r>
      </w:hyperlink>
      <w:r>
        <w:rPr>
          <w:rFonts w:ascii="Times New Roman" w:cs="Times New Roman" w:eastAsia="Times New Roman" w:hAnsi="Times New Roman"/>
          <w:sz w:val="18"/>
          <w:szCs w:val="18"/>
          <w:color w:val="auto"/>
        </w:rPr>
        <w:t xml:space="preserve"> 10.1* </w:t>
      </w:r>
      <w:hyperlink r:id="rId32">
        <w:r>
          <w:rPr>
            <w:rFonts w:ascii="Times New Roman" w:cs="Times New Roman" w:eastAsia="Times New Roman" w:hAnsi="Times New Roman"/>
            <w:sz w:val="18"/>
            <w:szCs w:val="18"/>
            <w:u w:val="single" w:color="auto"/>
            <w:color w:val="0000EE"/>
          </w:rPr>
          <w:t>Employment Agreement by and between Reed’s, Inc. and Douglas W. McCurdy dated January 31, 2025, which is incorporated by reference to</w:t>
        </w:r>
      </w:hyperlink>
    </w:p>
    <w:p>
      <w:pPr>
        <w:spacing w:after="0" w:line="1" w:lineRule="exact"/>
        <w:rPr>
          <w:sz w:val="20"/>
          <w:szCs w:val="20"/>
          <w:color w:val="auto"/>
        </w:rPr>
      </w:pPr>
    </w:p>
    <w:p>
      <w:pPr>
        <w:ind w:left="660"/>
        <w:spacing w:after="0"/>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Exhibit 10.4 to Form 10-K filed March 28, 2025.</w:t>
        </w:r>
      </w:hyperlink>
    </w:p>
    <w:p>
      <w:pPr>
        <w:spacing w:after="0" w:line="9" w:lineRule="exact"/>
        <w:rPr>
          <w:sz w:val="20"/>
          <w:szCs w:val="20"/>
          <w:color w:val="auto"/>
        </w:rPr>
      </w:pPr>
    </w:p>
    <w:p>
      <w:pPr>
        <w:ind w:left="660" w:hanging="647"/>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33">
        <w:r>
          <w:rPr>
            <w:rFonts w:ascii="Times New Roman" w:cs="Times New Roman" w:eastAsia="Times New Roman" w:hAnsi="Times New Roman"/>
            <w:sz w:val="18"/>
            <w:szCs w:val="18"/>
            <w:u w:val="single" w:color="auto"/>
            <w:color w:val="0000EE"/>
          </w:rPr>
          <w:t>Amendment to Shareholders Agreement dated January 24, 2025 by and between Reed’s, Inc. and D&amp;D Source of Life Holding Ltd which is</w:t>
        </w:r>
      </w:hyperlink>
      <w:r>
        <w:rPr>
          <w:rFonts w:ascii="Times New Roman" w:cs="Times New Roman" w:eastAsia="Times New Roman" w:hAnsi="Times New Roman"/>
          <w:sz w:val="18"/>
          <w:szCs w:val="18"/>
          <w:u w:val="single" w:color="auto"/>
          <w:color w:val="0000EE"/>
        </w:rPr>
        <w:t xml:space="preserve"> </w:t>
      </w:r>
      <w:hyperlink r:id="rId33">
        <w:r>
          <w:rPr>
            <w:rFonts w:ascii="Times New Roman" w:cs="Times New Roman" w:eastAsia="Times New Roman" w:hAnsi="Times New Roman"/>
            <w:sz w:val="18"/>
            <w:szCs w:val="18"/>
            <w:u w:val="single" w:color="auto"/>
            <w:color w:val="0000EE"/>
          </w:rPr>
          <w:t>incorporated by reference to Exhibit 10.1 to Form 8-K filed with the SEC January 28, 2025.</w:t>
        </w:r>
      </w:hyperlink>
    </w:p>
    <w:p>
      <w:pPr>
        <w:spacing w:after="0" w:line="1" w:lineRule="exact"/>
        <w:rPr>
          <w:sz w:val="20"/>
          <w:szCs w:val="20"/>
          <w:color w:val="auto"/>
        </w:rPr>
      </w:pPr>
    </w:p>
    <w:p>
      <w:pPr>
        <w:ind w:left="660" w:hanging="647"/>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34">
        <w:r>
          <w:rPr>
            <w:rFonts w:ascii="Times New Roman" w:cs="Times New Roman" w:eastAsia="Times New Roman" w:hAnsi="Times New Roman"/>
            <w:sz w:val="18"/>
            <w:szCs w:val="18"/>
            <w:u w:val="single" w:color="auto"/>
            <w:color w:val="0000EE"/>
          </w:rPr>
          <w:t>Board Observer Agreement dated January 24, 2025 by and between Reed’s, Inc. and D&amp;D Source of Life Holding Ltd which is incorporated by</w:t>
        </w:r>
      </w:hyperlink>
      <w:r>
        <w:rPr>
          <w:rFonts w:ascii="Times New Roman" w:cs="Times New Roman" w:eastAsia="Times New Roman" w:hAnsi="Times New Roman"/>
          <w:sz w:val="18"/>
          <w:szCs w:val="18"/>
          <w:u w:val="single" w:color="auto"/>
          <w:color w:val="0000EE"/>
        </w:rPr>
        <w:t xml:space="preserve"> </w:t>
      </w:r>
      <w:hyperlink r:id="rId34">
        <w:r>
          <w:rPr>
            <w:rFonts w:ascii="Times New Roman" w:cs="Times New Roman" w:eastAsia="Times New Roman" w:hAnsi="Times New Roman"/>
            <w:sz w:val="18"/>
            <w:szCs w:val="18"/>
            <w:u w:val="single" w:color="auto"/>
            <w:color w:val="0000EE"/>
          </w:rPr>
          <w:t>reference to Exhibit 10.2 to Form 8-K filed with the SEC January 28, 2025.</w:t>
        </w:r>
      </w:hyperlink>
    </w:p>
    <w:p>
      <w:pPr>
        <w:spacing w:after="0" w:line="1" w:lineRule="exact"/>
        <w:rPr>
          <w:sz w:val="20"/>
          <w:szCs w:val="20"/>
          <w:color w:val="auto"/>
        </w:rPr>
      </w:pPr>
    </w:p>
    <w:p>
      <w:pPr>
        <w:ind w:left="660" w:right="20" w:hanging="647"/>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35">
        <w:r>
          <w:rPr>
            <w:rFonts w:ascii="Times New Roman" w:cs="Times New Roman" w:eastAsia="Times New Roman" w:hAnsi="Times New Roman"/>
            <w:sz w:val="18"/>
            <w:szCs w:val="18"/>
            <w:u w:val="single" w:color="auto"/>
            <w:color w:val="0000EE"/>
          </w:rPr>
          <w:t>Retirement, Transition and Separation Agreement by and between Reed’s, Inc. and Norman E. Snyder, Jr. dated April 14, 2025, which is</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incorporated by reference to Exhibit 10.1 to Form 8-K filed with the SEC April 17, 2025.</w:t>
        </w:r>
      </w:hyperlink>
    </w:p>
    <w:p>
      <w:pPr>
        <w:spacing w:after="0" w:line="1" w:lineRule="exact"/>
        <w:rPr>
          <w:sz w:val="20"/>
          <w:szCs w:val="20"/>
          <w:color w:val="auto"/>
        </w:rPr>
      </w:pPr>
    </w:p>
    <w:p>
      <w:pPr>
        <w:ind w:left="660" w:hanging="647"/>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36">
        <w:r>
          <w:rPr>
            <w:rFonts w:ascii="Times New Roman" w:cs="Times New Roman" w:eastAsia="Times New Roman" w:hAnsi="Times New Roman"/>
            <w:sz w:val="18"/>
            <w:szCs w:val="18"/>
            <w:u w:val="single" w:color="auto"/>
            <w:color w:val="0000EE"/>
          </w:rPr>
          <w:t>Executive Employment Agreement by and between Reed’s, Inc. and Cyril Wallace dated April 16, 2025, which is incorporated by reference to</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Exhibit 10.2 to Form 8-K filed with the SEC April 17, 2025.</w:t>
        </w:r>
      </w:hyperlink>
    </w:p>
    <w:p>
      <w:pPr>
        <w:spacing w:after="0" w:line="1" w:lineRule="exact"/>
        <w:rPr>
          <w:sz w:val="20"/>
          <w:szCs w:val="20"/>
          <w:color w:val="auto"/>
        </w:rPr>
      </w:pPr>
    </w:p>
    <w:p>
      <w:pPr>
        <w:ind w:left="660" w:hanging="647"/>
        <w:spacing w:after="0" w:line="250" w:lineRule="auto"/>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37">
        <w:r>
          <w:rPr>
            <w:rFonts w:ascii="Times New Roman" w:cs="Times New Roman" w:eastAsia="Times New Roman" w:hAnsi="Times New Roman"/>
            <w:sz w:val="18"/>
            <w:szCs w:val="18"/>
            <w:u w:val="single" w:color="auto"/>
            <w:color w:val="0000EE"/>
          </w:rPr>
          <w:t>Form of Confidentiality and Proprietary Information Agreement, which is incorporated by reference to Exhibit 10.4 to Form 8-K filed with the</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SEC April 17, 2025.</w:t>
        </w:r>
      </w:hyperlink>
    </w:p>
    <w:p>
      <w:pPr>
        <w:spacing w:after="0" w:line="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our Chief Executive Officer and our Chief Financial Officer pursuant to Section 302 of the Sarbanes-Oxley Act of 2002.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our Chief Executive Officer and our Chief Financial Officer pursuant to Section 906 of the Sarbanes-Oxley Act of 2002.</w:t>
      </w:r>
    </w:p>
    <w:p>
      <w:pPr>
        <w:spacing w:after="0" w:line="9" w:lineRule="exact"/>
        <w:rPr>
          <w:sz w:val="20"/>
          <w:szCs w:val="20"/>
          <w:color w:val="auto"/>
        </w:rPr>
      </w:pPr>
    </w:p>
    <w:p>
      <w:pPr>
        <w:jc w:val="both"/>
        <w:ind w:left="660" w:hanging="652"/>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Reed’s, Inc.’s Quarterly Report on Form 10-Q for the quarter ended March 31, 2025, formatted in iXBRL (Inline eXtensible Business Reporting Language): (i) the Condensed Balance Sheets, (ii) the Condensed Statements of Operations, (iii) the Condensed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Statements of Changes in Stockholders (Deficit), (iv) the Condensed Statements of Cash Flows, and (v) Notes to Condensed Financial Statements.</w:t>
      </w:r>
    </w:p>
    <w:p>
      <w:pPr>
        <w:spacing w:after="0" w:line="9" w:lineRule="exact"/>
        <w:rPr>
          <w:sz w:val="20"/>
          <w:szCs w:val="20"/>
          <w:color w:val="auto"/>
        </w:rPr>
      </w:pPr>
    </w:p>
    <w:p>
      <w:pPr>
        <w:ind w:left="660" w:right="20" w:hanging="652"/>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Reed’s, Inc. Quarterly Report on Form 10-Q for the quarter ended March 31, 2025, formatted in Inline XBRL and contained in Exhibit 101.</w:t>
      </w:r>
    </w:p>
    <w:p>
      <w:pPr>
        <w:spacing w:after="0" w:line="181" w:lineRule="exact"/>
        <w:rPr>
          <w:sz w:val="20"/>
          <w:szCs w:val="20"/>
          <w:color w:val="auto"/>
        </w:rPr>
      </w:pPr>
    </w:p>
    <w:p>
      <w:pPr>
        <w:ind w:right="1360" w:firstLine="8"/>
        <w:spacing w:after="0" w:line="500" w:lineRule="auto"/>
        <w:tabs>
          <w:tab w:leader="none" w:pos="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and compensatory plans or arrangements required to be filed as exhibits pursuant to Item 15(a)(3) of this report. + Portions of the exhibit have been omitted.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Reed’s, Inc.</w:t>
            </w:r>
          </w:p>
        </w:tc>
      </w:tr>
      <w:tr>
        <w:trPr>
          <w:trHeight w:val="234"/>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210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Cyril A. Wallace, Jr.</w:t>
            </w:r>
          </w:p>
        </w:tc>
      </w:tr>
      <w:tr>
        <w:trPr>
          <w:trHeight w:val="191"/>
        </w:trPr>
        <w:tc>
          <w:tcPr>
            <w:tcW w:w="3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Cyril A. Wallace, Jr.</w:t>
            </w: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2025</w:t>
            </w:r>
          </w:p>
        </w:tc>
        <w:tc>
          <w:tcPr>
            <w:tcW w:w="210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Douglas W. McCurdy</w:t>
            </w:r>
          </w:p>
        </w:tc>
      </w:tr>
      <w:tr>
        <w:trPr>
          <w:trHeight w:val="191"/>
        </w:trPr>
        <w:tc>
          <w:tcPr>
            <w:tcW w:w="3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Douglas W. McCurdy</w:t>
            </w:r>
          </w:p>
        </w:tc>
      </w:tr>
      <w:tr>
        <w:trPr>
          <w:trHeight w:val="216"/>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240"/>
          </w:cols>
          <w:pgMar w:left="320" w:top="684"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Cyril A. Wallace, Jr., certify that:</w:t>
      </w:r>
    </w:p>
    <w:p>
      <w:pPr>
        <w:spacing w:after="0" w:line="225" w:lineRule="exact"/>
        <w:rPr>
          <w:sz w:val="20"/>
          <w:szCs w:val="20"/>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Reed’s,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1"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312" w:lineRule="auto"/>
        <w:tabs>
          <w:tab w:leader="none" w:pos="1563"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firstLine="656"/>
        <w:spacing w:after="0" w:line="282" w:lineRule="auto"/>
        <w:tabs>
          <w:tab w:leader="none" w:pos="8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8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Cyril A. Wallace,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Cyril A. Wallace, Jr.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W. McCurdy, certify that:</w:t>
      </w:r>
    </w:p>
    <w:p>
      <w:pPr>
        <w:spacing w:after="0" w:line="225" w:lineRule="exact"/>
        <w:rPr>
          <w:sz w:val="20"/>
          <w:szCs w:val="20"/>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Reed’s,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6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312" w:lineRule="auto"/>
        <w:tabs>
          <w:tab w:leader="none" w:pos="1563"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139" w:lineRule="exact"/>
        <w:rPr>
          <w:rFonts w:ascii="Times New Roman" w:cs="Times New Roman" w:eastAsia="Times New Roman" w:hAnsi="Times New Roman"/>
          <w:sz w:val="17"/>
          <w:szCs w:val="17"/>
          <w:color w:val="auto"/>
        </w:rPr>
      </w:pPr>
    </w:p>
    <w:p>
      <w:pPr>
        <w:ind w:firstLine="656"/>
        <w:spacing w:after="0" w:line="282" w:lineRule="auto"/>
        <w:tabs>
          <w:tab w:leader="none" w:pos="8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58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Douglas W. McCurdy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Douglas W. McCurdy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ind w:left="102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Cyril A. Wallace, Jr., the Chief Executive Officer of Reed’s,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certify, that, to my knowledge:</w:t>
      </w:r>
    </w:p>
    <w:p>
      <w:pPr>
        <w:spacing w:after="0" w:line="158" w:lineRule="exact"/>
        <w:rPr>
          <w:sz w:val="20"/>
          <w:szCs w:val="20"/>
          <w:color w:val="auto"/>
        </w:rPr>
      </w:pPr>
    </w:p>
    <w:p>
      <w:pPr>
        <w:ind w:firstLine="656"/>
        <w:spacing w:after="0" w:line="286" w:lineRule="auto"/>
        <w:tabs>
          <w:tab w:leader="none" w:pos="8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2025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of the Company fully complies with the requirements of Section 13(a) of the Securities Exchange Act of 1934; and</w:t>
      </w:r>
    </w:p>
    <w:p>
      <w:pPr>
        <w:spacing w:after="0" w:line="158"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Cyril A. Wallace,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Cyril A. Wallace, Jr.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Douglas W. McCurdy, the Chief Financial Officer of Reed’s,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certify, that, to my knowledge:</w:t>
      </w:r>
    </w:p>
    <w:p>
      <w:pPr>
        <w:spacing w:after="0" w:line="158" w:lineRule="exact"/>
        <w:rPr>
          <w:sz w:val="20"/>
          <w:szCs w:val="20"/>
          <w:color w:val="auto"/>
        </w:rPr>
      </w:pPr>
    </w:p>
    <w:p>
      <w:pPr>
        <w:ind w:firstLine="656"/>
        <w:spacing w:after="0" w:line="286" w:lineRule="auto"/>
        <w:tabs>
          <w:tab w:leader="none" w:pos="8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March 31, 2025 (the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of the Company fully complies with the requirements of Section 13(a) of the Securities Exchange Act of 1934; and</w:t>
      </w:r>
    </w:p>
    <w:p>
      <w:pPr>
        <w:spacing w:after="0" w:line="158"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/s/ Douglas W. McCurdy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Douglas W. McCurdy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upperLetter"/>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31"/>
    </w:lvl>
  </w:abstractNum>
  <w:abstractNum w:abstractNumId="6">
    <w:nsid w:val="4DB127F8"/>
    <w:multiLevelType w:val="hybridMultilevel"/>
    <w:lvl w:ilvl="0">
      <w:lvlJc w:val="left"/>
      <w:lvlText w:val="%1"/>
      <w:numFmt w:val="decimal"/>
      <w:start w:val="101"/>
    </w:lvl>
  </w:abstractNum>
  <w:abstractNum w:abstractNumId="7">
    <w:nsid w:val="216231B"/>
    <w:multiLevelType w:val="hybridMultilevel"/>
    <w:lvl w:ilvl="0">
      <w:lvlJc w:val="left"/>
      <w:lvlText w:val="%1"/>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30" Type="http://schemas.openxmlformats.org/officeDocument/2006/relationships/hyperlink" Target="https://www.sec.gov/Archives/edgar/data/1140215/000164117225001344/ex3-i.htm" TargetMode="External"/><Relationship Id="rId31" Type="http://schemas.openxmlformats.org/officeDocument/2006/relationships/hyperlink" Target="https://www.sec.gov/Archives/edgar/data/1140215/000164117225001344/ex3-ii.htm" TargetMode="External"/><Relationship Id="rId32" Type="http://schemas.openxmlformats.org/officeDocument/2006/relationships/hyperlink" Target="https://www.sec.gov/Archives/edgar/data/1140215/000164117225001344/ex10-4.htm" TargetMode="External"/><Relationship Id="rId33" Type="http://schemas.openxmlformats.org/officeDocument/2006/relationships/hyperlink" Target="https://www.sec.gov/Archives/edgar/data/1140215/000149315225004017/ex10-1.htm" TargetMode="External"/><Relationship Id="rId34" Type="http://schemas.openxmlformats.org/officeDocument/2006/relationships/hyperlink" Target="https://www.sec.gov/Archives/edgar/data/1140215/000149315225004017/ex10-2.htm" TargetMode="External"/><Relationship Id="rId35" Type="http://schemas.openxmlformats.org/officeDocument/2006/relationships/hyperlink" Target="https://www.sec.gov/Archives/edgar/data/1140215/000164117225005164/ex10-1.htm" TargetMode="External"/><Relationship Id="rId36" Type="http://schemas.openxmlformats.org/officeDocument/2006/relationships/hyperlink" Target="https://www.sec.gov/Archives/edgar/data/1140215/000164117225005164/ex10-2.htm" TargetMode="External"/><Relationship Id="rId37" Type="http://schemas.openxmlformats.org/officeDocument/2006/relationships/hyperlink" Target="https://www.sec.gov/Archives/edgar/data/1140215/000164117225005164/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2025-05-14T15:45:53Z</dcterms:created>
  <dcterms:modified xsi:type="dcterms:W3CDTF">2025-05-14T15:45:53Z</dcterms:modified>
</cp:coreProperties>
</file>