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jc w:val="center"/>
        <w:ind w:left="3780" w:right="1480" w:hanging="2291"/>
        <w:spacing w:after="0" w:line="481" w:lineRule="auto"/>
        <w:tabs>
          <w:tab w:leader="none" w:pos="16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September 30, 2020</w:t>
      </w:r>
    </w:p>
    <w:p>
      <w:pPr>
        <w:spacing w:after="0" w:line="34" w:lineRule="exact"/>
        <w:rPr>
          <w:sz w:val="24"/>
          <w:szCs w:val="24"/>
          <w:color w:val="auto"/>
        </w:rPr>
      </w:pPr>
    </w:p>
    <w:p>
      <w:pPr>
        <w:ind w:left="3780" w:right="2000" w:hanging="1768"/>
        <w:spacing w:after="0" w:line="500" w:lineRule="auto"/>
        <w:tabs>
          <w:tab w:leader="none" w:pos="22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5"/>
          </w:tcPr>
          <w:p>
            <w:pPr>
              <w:jc w:val="center"/>
              <w:ind w:left="212"/>
              <w:spacing w:after="0"/>
              <w:rPr>
                <w:sz w:val="20"/>
                <w:szCs w:val="20"/>
                <w:color w:val="auto"/>
              </w:rPr>
            </w:pPr>
            <w:r>
              <w:rPr>
                <w:rFonts w:ascii="Arial" w:cs="Arial" w:eastAsia="Arial" w:hAnsi="Arial"/>
                <w:sz w:val="32"/>
                <w:szCs w:val="32"/>
                <w:b w:val="1"/>
                <w:bCs w:val="1"/>
                <w:color w:val="auto"/>
              </w:rPr>
              <w:t>REED’S, INC.</w:t>
            </w:r>
          </w:p>
        </w:tc>
        <w:tc>
          <w:tcPr>
            <w:tcW w:w="42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7"/>
          </w:tcPr>
          <w:p>
            <w:pPr>
              <w:jc w:val="center"/>
              <w:ind w:right="36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9"/>
        </w:trPr>
        <w:tc>
          <w:tcPr>
            <w:tcW w:w="350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color w:val="auto"/>
                <w:w w:val="89"/>
              </w:rPr>
              <w:t>Delaware</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89"/>
              </w:rPr>
              <w:t>35-2177773</w:t>
            </w:r>
          </w:p>
        </w:tc>
      </w:tr>
      <w:tr>
        <w:trPr>
          <w:trHeight w:val="202"/>
        </w:trPr>
        <w:tc>
          <w:tcPr>
            <w:tcW w:w="3500" w:type="dxa"/>
            <w:vAlign w:val="bottom"/>
          </w:tcPr>
          <w:p>
            <w:pPr>
              <w:jc w:val="center"/>
              <w:ind w:left="1930"/>
              <w:spacing w:after="0" w:line="201" w:lineRule="exact"/>
              <w:rPr>
                <w:sz w:val="20"/>
                <w:szCs w:val="20"/>
                <w:color w:val="auto"/>
              </w:rPr>
            </w:pPr>
            <w:r>
              <w:rPr>
                <w:rFonts w:ascii="Arial" w:cs="Arial" w:eastAsia="Arial" w:hAnsi="Arial"/>
                <w:sz w:val="18"/>
                <w:szCs w:val="18"/>
                <w:color w:val="auto"/>
                <w:w w:val="88"/>
              </w:rPr>
              <w:t>(State of</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40" w:type="dxa"/>
            <w:vAlign w:val="bottom"/>
          </w:tcPr>
          <w:p>
            <w:pPr>
              <w:jc w:val="center"/>
              <w:ind w:right="11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500" w:type="dxa"/>
            <w:vAlign w:val="bottom"/>
          </w:tcPr>
          <w:p>
            <w:pPr>
              <w:jc w:val="center"/>
              <w:ind w:left="1930"/>
              <w:spacing w:after="0"/>
              <w:rPr>
                <w:sz w:val="20"/>
                <w:szCs w:val="20"/>
                <w:color w:val="auto"/>
              </w:rPr>
            </w:pPr>
            <w:r>
              <w:rPr>
                <w:rFonts w:ascii="Arial" w:cs="Arial" w:eastAsia="Arial" w:hAnsi="Arial"/>
                <w:sz w:val="18"/>
                <w:szCs w:val="18"/>
                <w:color w:val="auto"/>
                <w:w w:val="94"/>
              </w:rPr>
              <w:t>incorporation)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40" w:type="dxa"/>
            <w:vAlign w:val="bottom"/>
          </w:tcPr>
          <w:p>
            <w:pPr>
              <w:jc w:val="center"/>
              <w:ind w:right="11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5"/>
          </w:tcPr>
          <w:p>
            <w:pPr>
              <w:jc w:val="center"/>
              <w:ind w:left="212"/>
              <w:spacing w:after="0"/>
              <w:rPr>
                <w:sz w:val="20"/>
                <w:szCs w:val="20"/>
                <w:color w:val="auto"/>
              </w:rPr>
            </w:pPr>
            <w:r>
              <w:rPr>
                <w:rFonts w:ascii="Arial" w:cs="Arial" w:eastAsia="Arial" w:hAnsi="Arial"/>
                <w:sz w:val="18"/>
                <w:szCs w:val="18"/>
                <w:color w:val="auto"/>
                <w:w w:val="94"/>
              </w:rPr>
              <w:t>201 Merritt 7, Norwalk, CT. 06851</w:t>
            </w:r>
          </w:p>
        </w:tc>
        <w:tc>
          <w:tcPr>
            <w:tcW w:w="42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7"/>
          </w:tcPr>
          <w:p>
            <w:pPr>
              <w:jc w:val="center"/>
              <w:ind w:right="361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3500" w:type="dxa"/>
            <w:vAlign w:val="bottom"/>
          </w:tcPr>
          <w:p>
            <w:pPr>
              <w:spacing w:after="0"/>
              <w:rPr>
                <w:sz w:val="24"/>
                <w:szCs w:val="24"/>
                <w:color w:val="auto"/>
              </w:rPr>
            </w:pPr>
          </w:p>
        </w:tc>
        <w:tc>
          <w:tcPr>
            <w:tcW w:w="2700" w:type="dxa"/>
            <w:vAlign w:val="bottom"/>
            <w:gridSpan w:val="5"/>
          </w:tcPr>
          <w:p>
            <w:pPr>
              <w:jc w:val="center"/>
              <w:ind w:left="1450"/>
              <w:spacing w:after="0"/>
              <w:rPr>
                <w:sz w:val="20"/>
                <w:szCs w:val="20"/>
                <w:color w:val="auto"/>
              </w:rPr>
            </w:pPr>
            <w:r>
              <w:rPr>
                <w:rFonts w:ascii="Arial" w:cs="Arial" w:eastAsia="Arial" w:hAnsi="Arial"/>
                <w:sz w:val="18"/>
                <w:szCs w:val="18"/>
                <w:color w:val="auto"/>
                <w:w w:val="90"/>
              </w:rPr>
              <w:t>(800) 997-3337</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70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40" w:type="dxa"/>
            <w:vAlign w:val="bottom"/>
          </w:tcPr>
          <w:p>
            <w:pPr>
              <w:spacing w:after="0"/>
              <w:rPr>
                <w:sz w:val="24"/>
                <w:szCs w:val="24"/>
                <w:color w:val="auto"/>
              </w:rPr>
            </w:pPr>
          </w:p>
        </w:tc>
      </w:tr>
      <w:tr>
        <w:trPr>
          <w:trHeight w:val="439"/>
        </w:trPr>
        <w:tc>
          <w:tcPr>
            <w:tcW w:w="350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Title of Each Class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1"/>
              </w:rPr>
              <w:t>Trading Symbol</w:t>
            </w:r>
          </w:p>
        </w:tc>
        <w:tc>
          <w:tcPr>
            <w:tcW w:w="4240" w:type="dxa"/>
            <w:vAlign w:val="bottom"/>
          </w:tcPr>
          <w:p>
            <w:pPr>
              <w:jc w:val="center"/>
              <w:ind w:right="490"/>
              <w:spacing w:after="0"/>
              <w:rPr>
                <w:sz w:val="20"/>
                <w:szCs w:val="20"/>
                <w:color w:val="auto"/>
              </w:rPr>
            </w:pPr>
            <w:r>
              <w:rPr>
                <w:rFonts w:ascii="Arial" w:cs="Arial" w:eastAsia="Arial" w:hAnsi="Arial"/>
                <w:sz w:val="18"/>
                <w:szCs w:val="18"/>
                <w:b w:val="1"/>
                <w:bCs w:val="1"/>
                <w:color w:val="auto"/>
                <w:w w:val="87"/>
              </w:rPr>
              <w:t>Names of each exchange on which registered</w:t>
            </w:r>
          </w:p>
        </w:tc>
      </w:tr>
      <w:tr>
        <w:trPr>
          <w:trHeight w:val="230"/>
        </w:trPr>
        <w:tc>
          <w:tcPr>
            <w:tcW w:w="350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0"/>
              </w:rPr>
              <w:t>Common Stock</w:t>
            </w: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5"/>
              </w:rPr>
              <w:t>REED</w:t>
            </w: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24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were a total of 62,967,570 shares of Common Stock outstanding as of October 31, 2020.</w:t>
      </w:r>
    </w:p>
    <w:p>
      <w:pPr>
        <w:spacing w:after="0" w:line="17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5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720" w:type="dxa"/>
            <w:vAlign w:val="bottom"/>
          </w:tcPr>
          <w:p>
            <w:pPr>
              <w:ind w:left="560"/>
              <w:spacing w:after="0"/>
              <w:rPr>
                <w:sz w:val="20"/>
                <w:szCs w:val="20"/>
                <w:color w:val="auto"/>
              </w:rPr>
            </w:pPr>
            <w:r>
              <w:rPr>
                <w:rFonts w:ascii="Arial" w:cs="Arial" w:eastAsia="Arial" w:hAnsi="Arial"/>
                <w:sz w:val="18"/>
                <w:szCs w:val="18"/>
                <w:color w:val="auto"/>
                <w:w w:val="91"/>
              </w:rPr>
              <w:t>Non-Accelerated Filer (do not check if Smaller Reporting</w:t>
            </w:r>
          </w:p>
        </w:tc>
        <w:tc>
          <w:tcPr>
            <w:tcW w:w="0" w:type="dxa"/>
            <w:vAlign w:val="bottom"/>
          </w:tcPr>
          <w:p>
            <w:pPr>
              <w:spacing w:after="0"/>
              <w:rPr>
                <w:sz w:val="1"/>
                <w:szCs w:val="1"/>
                <w:color w:val="auto"/>
              </w:rPr>
            </w:pPr>
          </w:p>
        </w:tc>
      </w:tr>
      <w:tr>
        <w:trPr>
          <w:trHeight w:val="283"/>
        </w:trPr>
        <w:tc>
          <w:tcPr>
            <w:tcW w:w="28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3360" w:type="dxa"/>
            <w:vAlign w:val="bottom"/>
            <w:vMerge w:val="restart"/>
          </w:tcPr>
          <w:p>
            <w:pPr>
              <w:ind w:left="5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472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CAUTIONARY STATEMENT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in Item 2 of Part I of this report as well as our other public filings or public statements include forward-looking statements within the meaning of the Private Securities Litigation Reform Act of 1995. Forward-looking statements are identified by terms and phrases such as “anticipate,” “believe,” “continue,” “could,” “estimate,” “expect,” “intend,” “may,” “plan,” “predict,” “project,” “should,” and “will” and similar expressions and include references to assumptions and relate to our future prospects, developments and business strategies.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forward-looking statements involve known and unknown risks, assumptions and uncertainties and other factors that may cause our actual results, levels of activity, performance or achievements to be materially different from any future results, levels of activity, performance, or achievements expressed or implied by forward-looking statements. These risks, assumptions and uncertainties include difficulty in marketing Reed’s products and services, maintaining and protecting brand recognition, Reed’s ability to qualify for forgiveness of the PPP loan, the need for significant capital, dependence on third party distributors, dependence on third party brewers, increasing costs of fuel and freight, protection of intellectual property, competition and other factors, any of which could have an adverse effect on the business plans of Reed’s, its reputation in the industry or its expected financial return from operations and results of operations. These risks, assumptions and uncertainties are not necessarily all of the important factors that could cause actual results to differ materially from those expressed in any of our forward-looking statements.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undertake no obligation to update or revise the forward-looking statements included in this report, whether as a result of new information, future events or otherwise, after the date of this report. Our actual results, performance or achievements could differ materially from the results expressed in, or implied by, these forward-looking statements. Factors that could cause or contribute to such differences are discussed in the section entitled “Risk Factors” and “Management’s Discussion and Analysis of Financial Condition and Results of Operations” included herein and included in our Annual Report on Form 10-K for the fiscal year ended December 31, 2019, which we filed with the SEC on March 18, 2020, as amended April 8, 2020, and our Quarterly Reports on Form 10-Q for periods ended March 30, 2020 and June 30, 2020, which we filed on May 12, 2020 and August 10, 2020. These documents are available on the SEC’s website at www.sec.gov.</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 FINANCIAL INFORMATION</w:t>
              </w:r>
            </w:hyperlink>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Condensed Financial Statements</w:t>
              </w:r>
            </w:hyperlink>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Balance Sheets – September 30, 2020 (unaudited) and December 31, 2019</w:t>
              </w:r>
            </w:hyperlink>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Operations for the three and nine months ended September 30, 2020 and 2019 (unaudited)</w:t>
              </w:r>
            </w:hyperlink>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F-2</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Statements of Changes in Stockholders’ Equity (Deficit) for the three and nine months ended September 30, 2020 and 2019</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5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F-3</w:t>
            </w:r>
          </w:p>
        </w:tc>
      </w:tr>
      <w:tr>
        <w:trPr>
          <w:trHeight w:val="216"/>
        </w:trPr>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9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Statements of Cash Flows for the nine months ended September 30, 2020 and 2019 (unaudited)</w:t>
              </w:r>
            </w:hyperlink>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Financial Statements (unaudited)</w:t>
              </w:r>
            </w:hyperlink>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F-5</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 Management’s Discussion and Analysis of Financial Condition and Results of Operations</w:t>
              </w:r>
            </w:hyperlink>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3. Quantitative and Qualitative Disclosures About Market Risk</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4. Controls and Procedures</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PART II - OTHER INFORMATION</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12</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 Legal Proceedings</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12</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1A. Risk Factors</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12</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Unregistered Sales of Equity Securities and Use of Proceeds</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Defaults Upon Senior Securities</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Mine Safety Disclosures</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5. Other Information</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6. Exhibits</w:t>
              </w:r>
            </w:hyperlink>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14</w:t>
            </w:r>
          </w:p>
        </w:tc>
      </w:tr>
      <w:tr>
        <w:trPr>
          <w:trHeight w:val="439"/>
        </w:trPr>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rPr>
              <w:t>ii</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60" w:type="dxa"/>
            <w:vAlign w:val="bottom"/>
          </w:tcPr>
          <w:p>
            <w:pPr>
              <w:jc w:val="center"/>
              <w:ind w:left="4090"/>
              <w:spacing w:after="0"/>
              <w:rPr>
                <w:sz w:val="20"/>
                <w:szCs w:val="20"/>
                <w:color w:val="auto"/>
              </w:rPr>
            </w:pPr>
            <w:r>
              <w:rPr>
                <w:rFonts w:ascii="Arial" w:cs="Arial" w:eastAsia="Arial" w:hAnsi="Arial"/>
                <w:sz w:val="18"/>
                <w:szCs w:val="18"/>
                <w:b w:val="1"/>
                <w:bCs w:val="1"/>
                <w:color w:val="auto"/>
                <w:w w:val="99"/>
              </w:rPr>
              <w:t>REED’S INC.</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060" w:type="dxa"/>
            <w:vAlign w:val="bottom"/>
          </w:tcPr>
          <w:p>
            <w:pPr>
              <w:jc w:val="center"/>
              <w:ind w:left="4090"/>
              <w:spacing w:after="0"/>
              <w:rPr>
                <w:sz w:val="20"/>
                <w:szCs w:val="20"/>
                <w:color w:val="auto"/>
              </w:rPr>
            </w:pPr>
            <w:r>
              <w:rPr>
                <w:rFonts w:ascii="Arial" w:cs="Arial" w:eastAsia="Arial" w:hAnsi="Arial"/>
                <w:sz w:val="18"/>
                <w:szCs w:val="18"/>
                <w:b w:val="1"/>
                <w:bCs w:val="1"/>
                <w:color w:val="auto"/>
                <w:w w:val="98"/>
              </w:rPr>
              <w:t>CONDENSED BALANCE SHEETS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460" w:type="dxa"/>
            <w:vAlign w:val="bottom"/>
            <w:gridSpan w:val="3"/>
          </w:tcPr>
          <w:p>
            <w:pPr>
              <w:jc w:val="center"/>
              <w:ind w:left="3710"/>
              <w:spacing w:after="0"/>
              <w:rPr>
                <w:sz w:val="20"/>
                <w:szCs w:val="20"/>
                <w:color w:val="auto"/>
              </w:rPr>
            </w:pPr>
            <w:r>
              <w:rPr>
                <w:rFonts w:ascii="Arial" w:cs="Arial" w:eastAsia="Arial" w:hAnsi="Arial"/>
                <w:sz w:val="18"/>
                <w:szCs w:val="18"/>
                <w:b w:val="1"/>
                <w:bCs w:val="1"/>
                <w:color w:val="auto"/>
                <w:w w:val="87"/>
              </w:rPr>
              <w:t>(Amounts in thousands, except share amounts)</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18"/>
                <w:szCs w:val="18"/>
                <w:color w:val="auto"/>
              </w:rPr>
            </w:pP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3"/>
              </w:rPr>
              <w:t>Accounts receivable, net of allowance for doubtful accounts and returns and discounts of $194</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and $375, respectively</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4,647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2,099</w:t>
            </w:r>
          </w:p>
        </w:tc>
        <w:tc>
          <w:tcPr>
            <w:tcW w:w="80" w:type="dxa"/>
            <w:vAlign w:val="bottom"/>
          </w:tcPr>
          <w:p>
            <w:pPr>
              <w:spacing w:after="0"/>
              <w:rPr>
                <w:sz w:val="20"/>
                <w:szCs w:val="20"/>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related party</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Inventory, net of reserve for obsolescence of $224 and $646, respectively</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9,436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10,508</w:t>
            </w:r>
          </w:p>
        </w:tc>
        <w:tc>
          <w:tcPr>
            <w:tcW w:w="80" w:type="dxa"/>
            <w:vAlign w:val="bottom"/>
          </w:tcPr>
          <w:p>
            <w:pPr>
              <w:spacing w:after="0"/>
              <w:rPr>
                <w:sz w:val="18"/>
                <w:szCs w:val="18"/>
                <w:color w:val="auto"/>
              </w:rPr>
            </w:pPr>
          </w:p>
        </w:tc>
      </w:tr>
      <w:tr>
        <w:trPr>
          <w:trHeight w:val="25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21"/>
                <w:szCs w:val="21"/>
                <w:color w:val="auto"/>
              </w:rPr>
            </w:pPr>
          </w:p>
        </w:tc>
      </w:tr>
      <w:tr>
        <w:trPr>
          <w:trHeight w:val="203"/>
        </w:trPr>
        <w:tc>
          <w:tcPr>
            <w:tcW w:w="7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16,053</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14,296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w w:val="99"/>
              </w:rPr>
              <w:t>Property and equipment, net of accumulated depreciation of $316 and $482, respectively</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984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 net of impairment reserves of $96 and $96, respectively</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r>
      <w:tr>
        <w:trPr>
          <w:trHeight w:val="237"/>
        </w:trPr>
        <w:tc>
          <w:tcPr>
            <w:tcW w:w="7060" w:type="dxa"/>
            <w:vAlign w:val="bottom"/>
          </w:tcPr>
          <w:p>
            <w:pPr>
              <w:spacing w:after="0"/>
              <w:rPr>
                <w:sz w:val="20"/>
                <w:szCs w:val="20"/>
                <w:color w:val="auto"/>
              </w:rPr>
            </w:pPr>
            <w:r>
              <w:rPr>
                <w:rFonts w:ascii="Arial" w:cs="Arial" w:eastAsia="Arial" w:hAnsi="Arial"/>
                <w:sz w:val="18"/>
                <w:szCs w:val="18"/>
                <w:color w:val="auto"/>
              </w:rPr>
              <w:t>Intangible assets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0"/>
                <w:szCs w:val="20"/>
                <w:color w:val="auto"/>
              </w:rPr>
            </w:pPr>
          </w:p>
        </w:tc>
      </w:tr>
      <w:tr>
        <w:trPr>
          <w:trHeight w:val="229"/>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5,441</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5,539</w:t>
            </w: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3,177</w:t>
            </w: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 portion of note payable</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7060" w:type="dxa"/>
            <w:vAlign w:val="bottom"/>
          </w:tcPr>
          <w:p>
            <w:pPr>
              <w:spacing w:after="0"/>
              <w:rPr>
                <w:sz w:val="20"/>
                <w:szCs w:val="20"/>
                <w:color w:val="auto"/>
              </w:rPr>
            </w:pPr>
            <w:r>
              <w:rPr>
                <w:rFonts w:ascii="Arial" w:cs="Arial" w:eastAsia="Arial" w:hAnsi="Arial"/>
                <w:sz w:val="18"/>
                <w:szCs w:val="18"/>
                <w:color w:val="auto"/>
              </w:rPr>
              <w:t>Current portion of leases payable</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Leases payable, less current portion</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Convertible note to a related party</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4,689</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7060" w:type="dxa"/>
            <w:vAlign w:val="bottom"/>
          </w:tcPr>
          <w:p>
            <w:pPr>
              <w:spacing w:after="0"/>
              <w:rPr>
                <w:sz w:val="20"/>
                <w:szCs w:val="20"/>
                <w:color w:val="auto"/>
              </w:rPr>
            </w:pPr>
            <w:r>
              <w:rPr>
                <w:rFonts w:ascii="Arial" w:cs="Arial" w:eastAsia="Arial" w:hAnsi="Arial"/>
                <w:sz w:val="18"/>
                <w:szCs w:val="18"/>
                <w:color w:val="auto"/>
              </w:rPr>
              <w:t>Warrant liability</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r>
      <w:tr>
        <w:trPr>
          <w:trHeight w:val="223"/>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4"/>
              </w:rPr>
              <w:t>Series A Convertible Preferred stock, $10 par value, 500,000 shares authorized, 9,411 shares</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issued and outstanding</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$.0001 par value, 100,000,000 and 100,000,000 shares authorized, respectively;</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62,960,570 and 47,595,206 shares issued and outstanding, respectively</w:t>
            </w: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Common stock issuable, 350,000 shares at September 30, 2020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77,596</w:t>
            </w:r>
          </w:p>
        </w:tc>
        <w:tc>
          <w:tcPr>
            <w:tcW w:w="80" w:type="dxa"/>
            <w:vAlign w:val="bottom"/>
            <w:shd w:val="clear" w:color="auto" w:fill="CCEEFF"/>
          </w:tcPr>
          <w:p>
            <w:pPr>
              <w:spacing w:after="0"/>
              <w:rPr>
                <w:sz w:val="18"/>
                <w:szCs w:val="18"/>
                <w:color w:val="auto"/>
              </w:rPr>
            </w:pPr>
          </w:p>
        </w:tc>
      </w:tr>
      <w:tr>
        <w:trPr>
          <w:trHeight w:val="236"/>
        </w:trPr>
        <w:tc>
          <w:tcPr>
            <w:tcW w:w="7060" w:type="dxa"/>
            <w:vAlign w:val="bottom"/>
          </w:tcPr>
          <w:p>
            <w:pPr>
              <w:spacing w:after="0"/>
              <w:rPr>
                <w:sz w:val="20"/>
                <w:szCs w:val="20"/>
                <w:color w:val="auto"/>
              </w:rPr>
            </w:pPr>
            <w:r>
              <w:rPr>
                <w:rFonts w:ascii="Arial" w:cs="Arial" w:eastAsia="Arial" w:hAnsi="Arial"/>
                <w:sz w:val="18"/>
                <w:szCs w:val="18"/>
                <w:color w:val="auto"/>
              </w:rPr>
              <w:t>Accumulated deficit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(83,473)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(76,548)</w:t>
            </w:r>
          </w:p>
        </w:tc>
      </w:tr>
      <w:tr>
        <w:trPr>
          <w:trHeight w:val="236"/>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26,669</w:t>
            </w:r>
          </w:p>
        </w:tc>
        <w:tc>
          <w:tcPr>
            <w:tcW w:w="10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7,176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6,238</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21,694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19,390</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1,902</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4,950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1,583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2,470</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4,872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6,557</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(11,365)</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(4,565)</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(6,920)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(12,289)</w:t>
            </w: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b w:val="1"/>
                <w:bCs w:val="1"/>
                <w:color w:val="auto"/>
              </w:rPr>
              <w:t>Dividends on Series A Convertible Preferred Stock</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(2,590)</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(4,565)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(6,925)</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(12,294)</w:t>
            </w:r>
          </w:p>
        </w:tc>
      </w:tr>
      <w:tr>
        <w:trPr>
          <w:trHeight w:val="197"/>
        </w:trPr>
        <w:tc>
          <w:tcPr>
            <w:tcW w:w="4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r>
      <w:tr>
        <w:trPr>
          <w:trHeight w:val="197"/>
        </w:trPr>
        <w:tc>
          <w:tcPr>
            <w:tcW w:w="4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w w:val="97"/>
              </w:rPr>
              <w:t>Weighted average number of shares outstanding – basic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62,940,091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33,716,359</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56,706,141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32,179,119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6"/>
            <w:vMerge w:val="restart"/>
          </w:tcPr>
          <w:p>
            <w:pPr>
              <w:jc w:val="center"/>
              <w:ind w:right="140"/>
              <w:spacing w:after="0"/>
              <w:rPr>
                <w:sz w:val="20"/>
                <w:szCs w:val="20"/>
                <w:color w:val="auto"/>
              </w:rPr>
            </w:pPr>
            <w:r>
              <w:rPr>
                <w:rFonts w:ascii="Arial" w:cs="Arial" w:eastAsia="Arial" w:hAnsi="Arial"/>
                <w:sz w:val="16"/>
                <w:szCs w:val="16"/>
                <w:color w:val="auto"/>
                <w:w w:val="93"/>
              </w:rPr>
              <w:t>Common 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6"/>
            <w:vMerge w:val="continue"/>
          </w:tcPr>
          <w:p>
            <w:pPr>
              <w:spacing w:after="0"/>
              <w:rPr>
                <w:sz w:val="16"/>
                <w:szCs w:val="16"/>
                <w:color w:val="auto"/>
              </w:rPr>
            </w:pPr>
          </w:p>
        </w:tc>
        <w:tc>
          <w:tcPr>
            <w:tcW w:w="980" w:type="dxa"/>
            <w:vAlign w:val="bottom"/>
            <w:gridSpan w:val="4"/>
          </w:tcPr>
          <w:p>
            <w:pPr>
              <w:ind w:left="140"/>
              <w:spacing w:after="0"/>
              <w:rPr>
                <w:sz w:val="20"/>
                <w:szCs w:val="20"/>
                <w:color w:val="auto"/>
              </w:rPr>
            </w:pPr>
            <w:r>
              <w:rPr>
                <w:rFonts w:ascii="Arial" w:cs="Arial" w:eastAsia="Arial" w:hAnsi="Arial"/>
                <w:sz w:val="16"/>
                <w:szCs w:val="16"/>
                <w:color w:val="auto"/>
              </w:rPr>
              <w:t>Additional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146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w w:val="89"/>
              </w:rPr>
              <w:t>Preferred Stock</w:t>
            </w:r>
          </w:p>
        </w:tc>
        <w:tc>
          <w:tcPr>
            <w:tcW w:w="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gridSpan w:val="4"/>
          </w:tcPr>
          <w:p>
            <w:pPr>
              <w:jc w:val="center"/>
              <w:ind w:left="279"/>
              <w:spacing w:after="0"/>
              <w:rPr>
                <w:sz w:val="20"/>
                <w:szCs w:val="20"/>
                <w:color w:val="auto"/>
              </w:rPr>
            </w:pPr>
            <w:r>
              <w:rPr>
                <w:rFonts w:ascii="Arial" w:cs="Arial" w:eastAsia="Arial" w:hAnsi="Arial"/>
                <w:sz w:val="16"/>
                <w:szCs w:val="16"/>
                <w:color w:val="auto"/>
                <w:w w:val="90"/>
              </w:rPr>
              <w:t>Issuable</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2"/>
              </w:rPr>
              <w:t>Paid In</w:t>
            </w:r>
          </w:p>
        </w:tc>
        <w:tc>
          <w:tcPr>
            <w:tcW w:w="1280" w:type="dxa"/>
            <w:vAlign w:val="bottom"/>
            <w:gridSpan w:val="4"/>
          </w:tcPr>
          <w:p>
            <w:pPr>
              <w:ind w:left="140"/>
              <w:spacing w:after="0"/>
              <w:rPr>
                <w:sz w:val="20"/>
                <w:szCs w:val="20"/>
                <w:color w:val="auto"/>
              </w:rPr>
            </w:pPr>
            <w:r>
              <w:rPr>
                <w:rFonts w:ascii="Arial" w:cs="Arial" w:eastAsia="Arial" w:hAnsi="Arial"/>
                <w:sz w:val="16"/>
                <w:szCs w:val="16"/>
                <w:color w:val="auto"/>
              </w:rPr>
              <w:t>Accumulated</w:t>
            </w:r>
          </w:p>
        </w:tc>
        <w:tc>
          <w:tcPr>
            <w:tcW w:w="120" w:type="dxa"/>
            <w:vAlign w:val="bottom"/>
          </w:tcPr>
          <w:p>
            <w:pPr>
              <w:spacing w:after="0"/>
              <w:rPr>
                <w:sz w:val="19"/>
                <w:szCs w:val="19"/>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6"/>
                <w:szCs w:val="16"/>
                <w:color w:val="auto"/>
                <w:w w:val="94"/>
              </w:rPr>
              <w:t>Amount</w:t>
            </w:r>
          </w:p>
        </w:tc>
        <w:tc>
          <w:tcPr>
            <w:tcW w:w="28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color w:val="auto"/>
              </w:rPr>
              <w:t>Shares</w:t>
            </w:r>
          </w:p>
        </w:tc>
        <w:tc>
          <w:tcPr>
            <w:tcW w:w="560" w:type="dxa"/>
            <w:vAlign w:val="bottom"/>
            <w:gridSpan w:val="2"/>
          </w:tcPr>
          <w:p>
            <w:pPr>
              <w:ind w:left="20"/>
              <w:spacing w:after="0"/>
              <w:rPr>
                <w:sz w:val="20"/>
                <w:szCs w:val="20"/>
                <w:color w:val="auto"/>
              </w:rPr>
            </w:pPr>
            <w:r>
              <w:rPr>
                <w:rFonts w:ascii="Arial" w:cs="Arial" w:eastAsia="Arial" w:hAnsi="Arial"/>
                <w:sz w:val="16"/>
                <w:szCs w:val="16"/>
                <w:color w:val="auto"/>
                <w:w w:val="94"/>
              </w:rPr>
              <w:t>Amount</w:t>
            </w:r>
          </w:p>
        </w:tc>
        <w:tc>
          <w:tcPr>
            <w:tcW w:w="28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6"/>
                <w:szCs w:val="16"/>
                <w:color w:val="auto"/>
                <w:w w:val="94"/>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2"/>
              </w:rPr>
              <w:t>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19"/>
              <w:spacing w:after="0"/>
              <w:rPr>
                <w:sz w:val="20"/>
                <w:szCs w:val="20"/>
                <w:color w:val="auto"/>
              </w:rPr>
            </w:pPr>
            <w:r>
              <w:rPr>
                <w:rFonts w:ascii="Arial" w:cs="Arial" w:eastAsia="Arial" w:hAnsi="Arial"/>
                <w:sz w:val="16"/>
                <w:szCs w:val="16"/>
                <w:color w:val="auto"/>
              </w:rPr>
              <w:t>Deficit</w:t>
            </w:r>
          </w:p>
        </w:tc>
        <w:tc>
          <w:tcPr>
            <w:tcW w:w="120" w:type="dxa"/>
            <w:vAlign w:val="bottom"/>
          </w:tcPr>
          <w:p>
            <w:pPr>
              <w:spacing w:after="0"/>
              <w:rPr>
                <w:sz w:val="18"/>
                <w:szCs w:val="18"/>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62,928,540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84"/>
              </w:rPr>
              <w:t>9,411</w:t>
            </w: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94</w:t>
            </w: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86"/>
              </w:rPr>
              <w:t>350,000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83,364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(80,883)</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Fair value of vested options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Common shares issued on exercise of</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27,500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80" w:type="dxa"/>
            <w:vAlign w:val="bottom"/>
          </w:tcPr>
          <w:p>
            <w:pPr>
              <w:spacing w:after="0"/>
              <w:rPr>
                <w:sz w:val="20"/>
                <w:szCs w:val="20"/>
                <w:color w:val="auto"/>
              </w:rPr>
            </w:pPr>
            <w:r>
              <w:rPr>
                <w:rFonts w:ascii="Arial" w:cs="Arial" w:eastAsia="Arial" w:hAnsi="Arial"/>
                <w:sz w:val="16"/>
                <w:szCs w:val="16"/>
                <w:color w:val="auto"/>
              </w:rPr>
              <w:t>Issuance of shares for dividends on</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6"/>
                <w:szCs w:val="16"/>
                <w:color w:val="auto"/>
              </w:rPr>
              <w:t>Series A Convertible Preferred Stock</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4,530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(2,590)</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September 30, 2020</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15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62,960,570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540" w:type="dxa"/>
            <w:vAlign w:val="bottom"/>
          </w:tcPr>
          <w:p>
            <w:pPr>
              <w:ind w:left="180"/>
              <w:spacing w:after="0"/>
              <w:rPr>
                <w:sz w:val="20"/>
                <w:szCs w:val="20"/>
                <w:color w:val="auto"/>
              </w:rPr>
            </w:pPr>
            <w:r>
              <w:rPr>
                <w:rFonts w:ascii="Arial" w:cs="Arial" w:eastAsia="Arial" w:hAnsi="Arial"/>
                <w:sz w:val="16"/>
                <w:szCs w:val="16"/>
                <w:color w:val="auto"/>
                <w:w w:val="84"/>
              </w:rPr>
              <w:t>9,411</w:t>
            </w:r>
          </w:p>
        </w:tc>
        <w:tc>
          <w:tcPr>
            <w:tcW w:w="2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94</w:t>
            </w:r>
          </w:p>
        </w:tc>
        <w:tc>
          <w:tcPr>
            <w:tcW w:w="2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6"/>
                <w:szCs w:val="16"/>
                <w:color w:val="auto"/>
              </w:rPr>
              <w:t>350,000</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285</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83,646</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(83,473</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5"/>
            <w:vMerge w:val="restart"/>
          </w:tcPr>
          <w:p>
            <w:pPr>
              <w:ind w:left="200"/>
              <w:spacing w:after="0"/>
              <w:rPr>
                <w:sz w:val="20"/>
                <w:szCs w:val="20"/>
                <w:color w:val="auto"/>
              </w:rPr>
            </w:pPr>
            <w:r>
              <w:rPr>
                <w:rFonts w:ascii="Arial" w:cs="Arial" w:eastAsia="Arial" w:hAnsi="Arial"/>
                <w:sz w:val="16"/>
                <w:szCs w:val="16"/>
                <w:color w:val="auto"/>
                <w:w w:val="91"/>
              </w:rPr>
              <w:t>Common Stock</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ind w:left="18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19"/>
        </w:trPr>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4"/>
          </w:tcPr>
          <w:p>
            <w:pPr>
              <w:ind w:left="320"/>
              <w:spacing w:after="0"/>
              <w:rPr>
                <w:sz w:val="20"/>
                <w:szCs w:val="20"/>
                <w:color w:val="auto"/>
              </w:rPr>
            </w:pPr>
            <w:r>
              <w:rPr>
                <w:rFonts w:ascii="Arial" w:cs="Arial" w:eastAsia="Arial" w:hAnsi="Arial"/>
                <w:sz w:val="16"/>
                <w:szCs w:val="16"/>
                <w:color w:val="auto"/>
                <w:w w:val="98"/>
              </w:rPr>
              <w:t>Common Stock</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8"/>
          </w:tcPr>
          <w:p>
            <w:pPr>
              <w:ind w:left="180"/>
              <w:spacing w:after="0"/>
              <w:rPr>
                <w:sz w:val="20"/>
                <w:szCs w:val="20"/>
                <w:color w:val="auto"/>
              </w:rPr>
            </w:pPr>
            <w:r>
              <w:rPr>
                <w:rFonts w:ascii="Arial" w:cs="Arial" w:eastAsia="Arial" w:hAnsi="Arial"/>
                <w:sz w:val="16"/>
                <w:szCs w:val="16"/>
                <w:color w:val="auto"/>
              </w:rPr>
              <w:t>Preferred Stock</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4"/>
          </w:tcPr>
          <w:p>
            <w:pPr>
              <w:ind w:left="20"/>
              <w:spacing w:after="0"/>
              <w:rPr>
                <w:sz w:val="20"/>
                <w:szCs w:val="20"/>
                <w:color w:val="auto"/>
              </w:rPr>
            </w:pPr>
            <w:r>
              <w:rPr>
                <w:rFonts w:ascii="Arial" w:cs="Arial" w:eastAsia="Arial" w:hAnsi="Arial"/>
                <w:sz w:val="16"/>
                <w:szCs w:val="16"/>
                <w:color w:val="auto"/>
              </w:rPr>
              <w:t>Issuable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w w:val="92"/>
              </w:rPr>
              <w:t>Paid In</w:t>
            </w:r>
          </w:p>
        </w:tc>
        <w:tc>
          <w:tcPr>
            <w:tcW w:w="1060" w:type="dxa"/>
            <w:vAlign w:val="bottom"/>
            <w:gridSpan w:val="5"/>
          </w:tcPr>
          <w:p>
            <w:pPr>
              <w:ind w:left="80"/>
              <w:spacing w:after="0"/>
              <w:rPr>
                <w:sz w:val="20"/>
                <w:szCs w:val="20"/>
                <w:color w:val="auto"/>
              </w:rPr>
            </w:pPr>
            <w:r>
              <w:rPr>
                <w:rFonts w:ascii="Arial" w:cs="Arial" w:eastAsia="Arial" w:hAnsi="Arial"/>
                <w:sz w:val="16"/>
                <w:szCs w:val="16"/>
                <w:color w:val="auto"/>
              </w:rPr>
              <w:t>Accumulated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color w:val="auto"/>
              </w:rPr>
              <w:t>Shares</w:t>
            </w: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w w:val="90"/>
              </w:rPr>
              <w:t>Amount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color w:val="auto"/>
              </w:rPr>
              <w:t>Shares</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w w:val="94"/>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Shares</w:t>
            </w: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94"/>
              </w:rPr>
              <w:t>Amount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w w:val="92"/>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59"/>
              <w:spacing w:after="0"/>
              <w:rPr>
                <w:sz w:val="20"/>
                <w:szCs w:val="20"/>
                <w:color w:val="auto"/>
              </w:rPr>
            </w:pPr>
            <w:r>
              <w:rPr>
                <w:rFonts w:ascii="Arial" w:cs="Arial" w:eastAsia="Arial" w:hAnsi="Arial"/>
                <w:sz w:val="16"/>
                <w:szCs w:val="16"/>
                <w:color w:val="auto"/>
              </w:rPr>
              <w:t>Deficit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47,595,206</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79"/>
              </w:rPr>
              <w:t>9,411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77,596</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(76,548)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80" w:type="dxa"/>
            <w:vAlign w:val="bottom"/>
            <w:gridSpan w:val="2"/>
          </w:tcPr>
          <w:p>
            <w:pPr>
              <w:spacing w:after="0"/>
              <w:rPr>
                <w:sz w:val="20"/>
                <w:szCs w:val="20"/>
                <w:color w:val="auto"/>
              </w:rPr>
            </w:pPr>
            <w:r>
              <w:rPr>
                <w:rFonts w:ascii="Arial" w:cs="Arial" w:eastAsia="Arial" w:hAnsi="Arial"/>
                <w:sz w:val="16"/>
                <w:szCs w:val="16"/>
                <w:color w:val="auto"/>
              </w:rPr>
              <w:t>Fair value of vested options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722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9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vested restricted shares</w:t>
            </w:r>
          </w:p>
        </w:tc>
        <w:tc>
          <w:tcPr>
            <w:tcW w:w="82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granted to officers</w:t>
            </w:r>
          </w:p>
        </w:tc>
        <w:tc>
          <w:tcPr>
            <w:tcW w:w="8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350,000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82"/>
              </w:rPr>
              <w:t>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93"/>
        </w:trPr>
        <w:tc>
          <w:tcPr>
            <w:tcW w:w="2780" w:type="dxa"/>
            <w:vAlign w:val="bottom"/>
            <w:gridSpan w:val="2"/>
          </w:tcPr>
          <w:p>
            <w:pPr>
              <w:spacing w:after="0"/>
              <w:rPr>
                <w:sz w:val="20"/>
                <w:szCs w:val="20"/>
                <w:color w:val="auto"/>
              </w:rPr>
            </w:pPr>
            <w:r>
              <w:rPr>
                <w:rFonts w:ascii="Arial" w:cs="Arial" w:eastAsia="Arial" w:hAnsi="Arial"/>
                <w:sz w:val="16"/>
                <w:szCs w:val="16"/>
                <w:color w:val="auto"/>
              </w:rPr>
              <w:t>Dividends on Series A Convertible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4,530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 issued on exercise of</w:t>
            </w: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options</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27,500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3"/>
        </w:trPr>
        <w:tc>
          <w:tcPr>
            <w:tcW w:w="2780" w:type="dxa"/>
            <w:vAlign w:val="bottom"/>
            <w:gridSpan w:val="2"/>
          </w:tcPr>
          <w:p>
            <w:pPr>
              <w:spacing w:after="0"/>
              <w:rPr>
                <w:sz w:val="20"/>
                <w:szCs w:val="20"/>
                <w:color w:val="auto"/>
              </w:rPr>
            </w:pPr>
            <w:r>
              <w:rPr>
                <w:rFonts w:ascii="Arial" w:cs="Arial" w:eastAsia="Arial" w:hAnsi="Arial"/>
                <w:sz w:val="16"/>
                <w:szCs w:val="16"/>
                <w:color w:val="auto"/>
                <w:w w:val="98"/>
              </w:rPr>
              <w:t>Common shares issued pursuant to the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6"/>
                <w:szCs w:val="16"/>
                <w:color w:val="auto"/>
              </w:rPr>
              <w:t>rights offering, net of offering costs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15,333,334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5,309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5,310</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8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(6,920</w:t>
            </w: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(6,920)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Balance, September 30, 2020</w:t>
            </w: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62,960,570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ind w:left="180"/>
              <w:spacing w:after="0"/>
              <w:rPr>
                <w:sz w:val="20"/>
                <w:szCs w:val="20"/>
                <w:color w:val="auto"/>
              </w:rPr>
            </w:pPr>
            <w:r>
              <w:rPr>
                <w:rFonts w:ascii="Arial" w:cs="Arial" w:eastAsia="Arial" w:hAnsi="Arial"/>
                <w:sz w:val="16"/>
                <w:szCs w:val="16"/>
                <w:color w:val="auto"/>
                <w:w w:val="79"/>
              </w:rPr>
              <w:t>9,411</w:t>
            </w:r>
          </w:p>
        </w:tc>
        <w:tc>
          <w:tcPr>
            <w:tcW w:w="1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350,000</w:t>
            </w: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w w:val="82"/>
              </w:rPr>
              <w:t>285</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83,646</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(83,473</w:t>
            </w:r>
          </w:p>
        </w:tc>
        <w:tc>
          <w:tcPr>
            <w:tcW w:w="140" w:type="dxa"/>
            <w:vAlign w:val="bottom"/>
            <w:vMerge w:val="continue"/>
          </w:tcPr>
          <w:p>
            <w:pPr>
              <w:spacing w:after="0"/>
              <w:rPr>
                <w:sz w:val="17"/>
                <w:szCs w:val="17"/>
                <w:color w:val="auto"/>
              </w:rPr>
            </w:pP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558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5"/>
          </w:tcPr>
          <w:p>
            <w:pPr>
              <w:ind w:left="60"/>
              <w:spacing w:after="0"/>
              <w:rPr>
                <w:sz w:val="20"/>
                <w:szCs w:val="20"/>
                <w:color w:val="auto"/>
              </w:rPr>
            </w:pPr>
            <w:r>
              <w:rPr>
                <w:rFonts w:ascii="Arial" w:cs="Arial" w:eastAsia="Arial" w:hAnsi="Arial"/>
                <w:sz w:val="16"/>
                <w:szCs w:val="16"/>
                <w:color w:val="auto"/>
              </w:rPr>
              <w:t>Common Stock</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33"/>
        </w:trPr>
        <w:tc>
          <w:tcPr>
            <w:tcW w:w="27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w w:val="89"/>
              </w:rPr>
              <w:t>Preferred Stock</w:t>
            </w: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color w:val="auto"/>
              </w:rPr>
              <w:t>Issuable</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ind w:left="180"/>
              <w:spacing w:after="0"/>
              <w:rPr>
                <w:sz w:val="20"/>
                <w:szCs w:val="20"/>
                <w:color w:val="auto"/>
              </w:rPr>
            </w:pPr>
            <w:r>
              <w:rPr>
                <w:rFonts w:ascii="Arial" w:cs="Arial" w:eastAsia="Arial" w:hAnsi="Arial"/>
                <w:sz w:val="16"/>
                <w:szCs w:val="16"/>
                <w:color w:val="auto"/>
              </w:rPr>
              <w:t>Paid In</w:t>
            </w:r>
          </w:p>
        </w:tc>
        <w:tc>
          <w:tcPr>
            <w:tcW w:w="1060" w:type="dxa"/>
            <w:vAlign w:val="bottom"/>
            <w:gridSpan w:val="5"/>
          </w:tcPr>
          <w:p>
            <w:pPr>
              <w:spacing w:after="0"/>
              <w:rPr>
                <w:sz w:val="20"/>
                <w:szCs w:val="20"/>
                <w:color w:val="auto"/>
              </w:rPr>
            </w:pPr>
            <w:r>
              <w:rPr>
                <w:rFonts w:ascii="Arial" w:cs="Arial" w:eastAsia="Arial" w:hAnsi="Arial"/>
                <w:sz w:val="16"/>
                <w:szCs w:val="16"/>
                <w:color w:val="auto"/>
              </w:rPr>
              <w:t>Accumulated</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color w:val="auto"/>
              </w:rPr>
              <w:t>Shares</w:t>
            </w:r>
          </w:p>
        </w:tc>
        <w:tc>
          <w:tcPr>
            <w:tcW w:w="820" w:type="dxa"/>
            <w:vAlign w:val="bottom"/>
            <w:gridSpan w:val="4"/>
          </w:tcPr>
          <w:p>
            <w:pPr>
              <w:spacing w:after="0"/>
              <w:rPr>
                <w:sz w:val="20"/>
                <w:szCs w:val="20"/>
                <w:color w:val="auto"/>
              </w:rPr>
            </w:pPr>
            <w:r>
              <w:rPr>
                <w:rFonts w:ascii="Arial" w:cs="Arial" w:eastAsia="Arial" w:hAnsi="Arial"/>
                <w:sz w:val="16"/>
                <w:szCs w:val="16"/>
                <w:color w:val="auto"/>
              </w:rPr>
              <w:t>Amount</w:t>
            </w:r>
          </w:p>
        </w:tc>
        <w:tc>
          <w:tcPr>
            <w:tcW w:w="700" w:type="dxa"/>
            <w:vAlign w:val="bottom"/>
            <w:gridSpan w:val="3"/>
          </w:tcPr>
          <w:p>
            <w:pPr>
              <w:ind w:left="4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9"/>
                <w:szCs w:val="19"/>
                <w:color w:val="auto"/>
              </w:rPr>
            </w:pPr>
          </w:p>
        </w:tc>
        <w:tc>
          <w:tcPr>
            <w:tcW w:w="820" w:type="dxa"/>
            <w:vAlign w:val="bottom"/>
            <w:gridSpan w:val="5"/>
          </w:tcPr>
          <w:p>
            <w:pPr>
              <w:spacing w:after="0"/>
              <w:rPr>
                <w:sz w:val="20"/>
                <w:szCs w:val="20"/>
                <w:color w:val="auto"/>
              </w:rPr>
            </w:pPr>
            <w:r>
              <w:rPr>
                <w:rFonts w:ascii="Arial" w:cs="Arial" w:eastAsia="Arial" w:hAnsi="Arial"/>
                <w:sz w:val="16"/>
                <w:szCs w:val="16"/>
                <w:color w:val="auto"/>
              </w:rPr>
              <w:t>Amount</w:t>
            </w:r>
          </w:p>
        </w:tc>
        <w:tc>
          <w:tcPr>
            <w:tcW w:w="820" w:type="dxa"/>
            <w:vAlign w:val="bottom"/>
            <w:gridSpan w:val="4"/>
          </w:tcPr>
          <w:p>
            <w:pPr>
              <w:jc w:val="right"/>
              <w:ind w:right="320"/>
              <w:spacing w:after="0"/>
              <w:rPr>
                <w:sz w:val="20"/>
                <w:szCs w:val="20"/>
                <w:color w:val="auto"/>
              </w:rPr>
            </w:pPr>
            <w:r>
              <w:rPr>
                <w:rFonts w:ascii="Arial" w:cs="Arial" w:eastAsia="Arial" w:hAnsi="Arial"/>
                <w:sz w:val="16"/>
                <w:szCs w:val="16"/>
                <w:color w:val="auto"/>
                <w:w w:val="94"/>
              </w:rPr>
              <w:t>Shares</w:t>
            </w:r>
          </w:p>
        </w:tc>
        <w:tc>
          <w:tcPr>
            <w:tcW w:w="840" w:type="dxa"/>
            <w:vAlign w:val="bottom"/>
            <w:gridSpan w:val="5"/>
          </w:tcPr>
          <w:p>
            <w:pPr>
              <w:ind w:left="20"/>
              <w:spacing w:after="0"/>
              <w:rPr>
                <w:sz w:val="20"/>
                <w:szCs w:val="20"/>
                <w:color w:val="auto"/>
              </w:rPr>
            </w:pPr>
            <w:r>
              <w:rPr>
                <w:rFonts w:ascii="Arial" w:cs="Arial" w:eastAsia="Arial" w:hAnsi="Arial"/>
                <w:sz w:val="16"/>
                <w:szCs w:val="16"/>
                <w:color w:val="auto"/>
              </w:rPr>
              <w:t>Amount</w:t>
            </w:r>
          </w:p>
        </w:tc>
        <w:tc>
          <w:tcPr>
            <w:tcW w:w="1080" w:type="dxa"/>
            <w:vAlign w:val="bottom"/>
            <w:gridSpan w:val="4"/>
          </w:tcPr>
          <w:p>
            <w:pPr>
              <w:ind w:left="180"/>
              <w:spacing w:after="0"/>
              <w:rPr>
                <w:sz w:val="20"/>
                <w:szCs w:val="20"/>
                <w:color w:val="auto"/>
              </w:rPr>
            </w:pPr>
            <w:r>
              <w:rPr>
                <w:rFonts w:ascii="Arial" w:cs="Arial" w:eastAsia="Arial" w:hAnsi="Arial"/>
                <w:sz w:val="16"/>
                <w:szCs w:val="16"/>
                <w:color w:val="auto"/>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319"/>
              <w:spacing w:after="0"/>
              <w:rPr>
                <w:sz w:val="20"/>
                <w:szCs w:val="20"/>
                <w:color w:val="auto"/>
              </w:rPr>
            </w:pPr>
            <w:r>
              <w:rPr>
                <w:rFonts w:ascii="Arial" w:cs="Arial" w:eastAsia="Arial" w:hAnsi="Arial"/>
                <w:sz w:val="16"/>
                <w:szCs w:val="16"/>
                <w:color w:val="auto"/>
              </w:rPr>
              <w:t>Deficit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60" w:type="dxa"/>
            <w:vAlign w:val="bottom"/>
            <w:tcBorders>
              <w:top w:val="single" w:sz="8" w:color="auto"/>
              <w:left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33,708,826</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w w:val="99"/>
              </w:rPr>
              <w:t>9,411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8"/>
              </w:rPr>
              <w:t>94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70,051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(68,160)</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spacing w:after="0"/>
              <w:rPr>
                <w:sz w:val="20"/>
                <w:szCs w:val="20"/>
                <w:color w:val="auto"/>
              </w:rPr>
            </w:pPr>
            <w:r>
              <w:rPr>
                <w:rFonts w:ascii="Arial" w:cs="Arial" w:eastAsia="Arial" w:hAnsi="Arial"/>
                <w:sz w:val="16"/>
                <w:szCs w:val="16"/>
                <w:color w:val="auto"/>
              </w:rPr>
              <w:t>Fair value of vested options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9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granted to Directors for</w:t>
            </w:r>
          </w:p>
        </w:tc>
        <w:tc>
          <w:tcPr>
            <w:tcW w:w="82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8,072</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3"/>
        </w:trPr>
        <w:tc>
          <w:tcPr>
            <w:tcW w:w="2780" w:type="dxa"/>
            <w:vAlign w:val="bottom"/>
            <w:gridSpan w:val="2"/>
          </w:tcPr>
          <w:p>
            <w:pPr>
              <w:spacing w:after="0"/>
              <w:rPr>
                <w:sz w:val="20"/>
                <w:szCs w:val="20"/>
                <w:color w:val="auto"/>
              </w:rPr>
            </w:pPr>
            <w:r>
              <w:rPr>
                <w:rFonts w:ascii="Arial" w:cs="Arial" w:eastAsia="Arial" w:hAnsi="Arial"/>
                <w:sz w:val="16"/>
                <w:szCs w:val="16"/>
                <w:color w:val="auto"/>
              </w:rPr>
              <w:t>Fair value of vested restricted shares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6"/>
                <w:szCs w:val="16"/>
                <w:color w:val="auto"/>
              </w:rPr>
              <w:t>granted to an officer for services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6"/>
                <w:szCs w:val="16"/>
                <w:color w:val="auto"/>
                <w:w w:val="89"/>
              </w:rPr>
              <w:t>116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ind w:left="10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warrants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2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Arial" w:cs="Arial" w:eastAsia="Arial" w:hAnsi="Arial"/>
                <w:sz w:val="16"/>
                <w:szCs w:val="16"/>
                <w:color w:val="auto"/>
              </w:rPr>
              <w:t>Net Loss</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(4,565)</w:t>
            </w:r>
          </w:p>
        </w:tc>
        <w:tc>
          <w:tcPr>
            <w:tcW w:w="0" w:type="dxa"/>
            <w:vAlign w:val="bottom"/>
          </w:tcPr>
          <w:p>
            <w:pPr>
              <w:spacing w:after="0"/>
              <w:rPr>
                <w:sz w:val="1"/>
                <w:szCs w:val="1"/>
                <w:color w:val="auto"/>
              </w:rPr>
            </w:pPr>
          </w:p>
        </w:tc>
      </w:tr>
      <w:tr>
        <w:trPr>
          <w:trHeight w:val="30"/>
        </w:trPr>
        <w:tc>
          <w:tcPr>
            <w:tcW w:w="27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September 30,2019</w:t>
            </w:r>
          </w:p>
        </w:tc>
        <w:tc>
          <w:tcPr>
            <w:tcW w:w="60" w:type="dxa"/>
            <w:vAlign w:val="bottom"/>
            <w:tcBorders>
              <w:left w:val="single" w:sz="8" w:color="auto"/>
            </w:tcBorders>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360" w:type="dxa"/>
            <w:vAlign w:val="bottom"/>
            <w:gridSpan w:val="2"/>
            <w:shd w:val="clear" w:color="auto" w:fill="000000"/>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600" w:type="dxa"/>
            <w:vAlign w:val="bottom"/>
            <w:tcBorders>
              <w:right w:val="single" w:sz="8" w:color="CCEEFF"/>
            </w:tcBorders>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gridSpan w:val="2"/>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3"/>
        </w:trPr>
        <w:tc>
          <w:tcPr>
            <w:tcW w:w="2720" w:type="dxa"/>
            <w:vAlign w:val="bottom"/>
            <w:vMerge w:val="continue"/>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33,720,044</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w w:val="99"/>
              </w:rPr>
              <w:t>9,411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8"/>
              </w:rPr>
              <w:t>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70,420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(72,725</w:t>
            </w:r>
          </w:p>
        </w:tc>
        <w:tc>
          <w:tcPr>
            <w:tcW w:w="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vMerge w:val="restart"/>
          </w:tcPr>
          <w:p>
            <w:pPr>
              <w:ind w:left="60"/>
              <w:spacing w:after="0"/>
              <w:rPr>
                <w:sz w:val="20"/>
                <w:szCs w:val="20"/>
                <w:color w:val="auto"/>
              </w:rPr>
            </w:pPr>
            <w:r>
              <w:rPr>
                <w:rFonts w:ascii="Arial" w:cs="Arial" w:eastAsia="Arial" w:hAnsi="Arial"/>
                <w:sz w:val="16"/>
                <w:szCs w:val="16"/>
                <w:color w:val="auto"/>
              </w:rPr>
              <w:t>Common Stock</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19"/>
        </w:trPr>
        <w:tc>
          <w:tcPr>
            <w:tcW w:w="27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w w:val="89"/>
              </w:rPr>
              <w:t>Preferred Stock</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color w:val="auto"/>
              </w:rPr>
              <w:t>Issuable</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ind w:left="180"/>
              <w:spacing w:after="0"/>
              <w:rPr>
                <w:sz w:val="20"/>
                <w:szCs w:val="20"/>
                <w:color w:val="auto"/>
              </w:rPr>
            </w:pPr>
            <w:r>
              <w:rPr>
                <w:rFonts w:ascii="Arial" w:cs="Arial" w:eastAsia="Arial" w:hAnsi="Arial"/>
                <w:sz w:val="16"/>
                <w:szCs w:val="16"/>
                <w:color w:val="auto"/>
              </w:rPr>
              <w:t>Paid In</w:t>
            </w:r>
          </w:p>
        </w:tc>
        <w:tc>
          <w:tcPr>
            <w:tcW w:w="1060" w:type="dxa"/>
            <w:vAlign w:val="bottom"/>
            <w:gridSpan w:val="5"/>
          </w:tcPr>
          <w:p>
            <w:pPr>
              <w:spacing w:after="0"/>
              <w:rPr>
                <w:sz w:val="20"/>
                <w:szCs w:val="20"/>
                <w:color w:val="auto"/>
              </w:rPr>
            </w:pPr>
            <w:r>
              <w:rPr>
                <w:rFonts w:ascii="Arial" w:cs="Arial" w:eastAsia="Arial" w:hAnsi="Arial"/>
                <w:sz w:val="16"/>
                <w:szCs w:val="16"/>
                <w:color w:val="auto"/>
              </w:rPr>
              <w:t>Accumulated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color w:val="auto"/>
              </w:rPr>
              <w:t>Shares</w:t>
            </w:r>
          </w:p>
        </w:tc>
        <w:tc>
          <w:tcPr>
            <w:tcW w:w="600" w:type="dxa"/>
            <w:vAlign w:val="bottom"/>
            <w:gridSpan w:val="3"/>
          </w:tcPr>
          <w:p>
            <w:pPr>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8"/>
                <w:szCs w:val="18"/>
                <w:color w:val="auto"/>
              </w:rPr>
            </w:pPr>
          </w:p>
        </w:tc>
        <w:tc>
          <w:tcPr>
            <w:tcW w:w="700" w:type="dxa"/>
            <w:vAlign w:val="bottom"/>
            <w:gridSpan w:val="3"/>
          </w:tcPr>
          <w:p>
            <w:pPr>
              <w:ind w:left="4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6"/>
                <w:szCs w:val="16"/>
                <w:color w:val="auto"/>
                <w:w w:val="90"/>
              </w:rPr>
              <w:t>Amount</w:t>
            </w:r>
          </w:p>
        </w:tc>
        <w:tc>
          <w:tcPr>
            <w:tcW w:w="260" w:type="dxa"/>
            <w:vAlign w:val="bottom"/>
            <w:gridSpan w:val="2"/>
          </w:tcPr>
          <w:p>
            <w:pPr>
              <w:spacing w:after="0"/>
              <w:rPr>
                <w:sz w:val="18"/>
                <w:szCs w:val="18"/>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6"/>
                <w:szCs w:val="16"/>
                <w:color w:val="auto"/>
                <w:w w:val="94"/>
              </w:rPr>
              <w:t>Shares</w:t>
            </w:r>
          </w:p>
        </w:tc>
        <w:tc>
          <w:tcPr>
            <w:tcW w:w="560" w:type="dxa"/>
            <w:vAlign w:val="bottom"/>
            <w:gridSpan w:val="3"/>
          </w:tcPr>
          <w:p>
            <w:pPr>
              <w:ind w:left="20"/>
              <w:spacing w:after="0"/>
              <w:rPr>
                <w:sz w:val="20"/>
                <w:szCs w:val="20"/>
                <w:color w:val="auto"/>
              </w:rPr>
            </w:pPr>
            <w:r>
              <w:rPr>
                <w:rFonts w:ascii="Arial" w:cs="Arial" w:eastAsia="Arial" w:hAnsi="Arial"/>
                <w:sz w:val="16"/>
                <w:szCs w:val="16"/>
                <w:color w:val="auto"/>
                <w:w w:val="94"/>
              </w:rPr>
              <w:t>Amount</w:t>
            </w:r>
          </w:p>
        </w:tc>
        <w:tc>
          <w:tcPr>
            <w:tcW w:w="280" w:type="dxa"/>
            <w:vAlign w:val="bottom"/>
            <w:gridSpan w:val="2"/>
          </w:tcPr>
          <w:p>
            <w:pPr>
              <w:spacing w:after="0"/>
              <w:rPr>
                <w:sz w:val="18"/>
                <w:szCs w:val="18"/>
                <w:color w:val="auto"/>
              </w:rPr>
            </w:pPr>
          </w:p>
        </w:tc>
        <w:tc>
          <w:tcPr>
            <w:tcW w:w="1080" w:type="dxa"/>
            <w:vAlign w:val="bottom"/>
            <w:gridSpan w:val="4"/>
          </w:tcPr>
          <w:p>
            <w:pPr>
              <w:ind w:left="180"/>
              <w:spacing w:after="0"/>
              <w:rPr>
                <w:sz w:val="20"/>
                <w:szCs w:val="20"/>
                <w:color w:val="auto"/>
              </w:rPr>
            </w:pPr>
            <w:r>
              <w:rPr>
                <w:rFonts w:ascii="Arial" w:cs="Arial" w:eastAsia="Arial" w:hAnsi="Arial"/>
                <w:sz w:val="16"/>
                <w:szCs w:val="16"/>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19"/>
              <w:spacing w:after="0"/>
              <w:rPr>
                <w:sz w:val="20"/>
                <w:szCs w:val="20"/>
                <w:color w:val="auto"/>
              </w:rPr>
            </w:pPr>
            <w:r>
              <w:rPr>
                <w:rFonts w:ascii="Arial" w:cs="Arial" w:eastAsia="Arial" w:hAnsi="Arial"/>
                <w:sz w:val="16"/>
                <w:szCs w:val="16"/>
                <w:color w:val="auto"/>
              </w:rPr>
              <w:t>Deficit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60" w:type="dxa"/>
            <w:vAlign w:val="bottom"/>
            <w:tcBorders>
              <w:top w:val="single" w:sz="8" w:color="auto"/>
              <w:left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25,729,461</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4"/>
              </w:rPr>
              <w:t>9,411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94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53,591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(60,431)</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spacing w:after="0"/>
              <w:rPr>
                <w:sz w:val="20"/>
                <w:szCs w:val="20"/>
                <w:color w:val="auto"/>
              </w:rPr>
            </w:pPr>
            <w:r>
              <w:rPr>
                <w:rFonts w:ascii="Arial" w:cs="Arial" w:eastAsia="Arial" w:hAnsi="Arial"/>
                <w:sz w:val="16"/>
                <w:szCs w:val="16"/>
                <w:color w:val="auto"/>
              </w:rPr>
              <w:t>Fair value of vested options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19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granted to Directors for</w:t>
            </w:r>
          </w:p>
        </w:tc>
        <w:tc>
          <w:tcPr>
            <w:tcW w:w="82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33,796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3"/>
        </w:trPr>
        <w:tc>
          <w:tcPr>
            <w:tcW w:w="2780" w:type="dxa"/>
            <w:vAlign w:val="bottom"/>
            <w:gridSpan w:val="2"/>
          </w:tcPr>
          <w:p>
            <w:pPr>
              <w:spacing w:after="0"/>
              <w:rPr>
                <w:sz w:val="20"/>
                <w:szCs w:val="20"/>
                <w:color w:val="auto"/>
              </w:rPr>
            </w:pPr>
            <w:r>
              <w:rPr>
                <w:rFonts w:ascii="Arial" w:cs="Arial" w:eastAsia="Arial" w:hAnsi="Arial"/>
                <w:sz w:val="16"/>
                <w:szCs w:val="16"/>
                <w:color w:val="auto"/>
              </w:rPr>
              <w:t>Fair value of vested restricted shares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6"/>
                <w:szCs w:val="16"/>
                <w:color w:val="auto"/>
              </w:rPr>
              <w:t>granted to an officer for services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6"/>
                <w:szCs w:val="16"/>
                <w:color w:val="auto"/>
                <w:w w:val="97"/>
              </w:rPr>
              <w:t>405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ind w:left="10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Dividends on Series A Convertible</w:t>
            </w: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Stock</w:t>
            </w:r>
          </w:p>
        </w:tc>
        <w:tc>
          <w:tcPr>
            <w:tcW w:w="8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3"/>
        </w:trPr>
        <w:tc>
          <w:tcPr>
            <w:tcW w:w="2780" w:type="dxa"/>
            <w:vAlign w:val="bottom"/>
            <w:gridSpan w:val="2"/>
          </w:tcPr>
          <w:p>
            <w:pPr>
              <w:spacing w:after="0"/>
              <w:rPr>
                <w:sz w:val="20"/>
                <w:szCs w:val="20"/>
                <w:color w:val="auto"/>
              </w:rPr>
            </w:pPr>
            <w:r>
              <w:rPr>
                <w:rFonts w:ascii="Arial" w:cs="Arial" w:eastAsia="Arial" w:hAnsi="Arial"/>
                <w:sz w:val="16"/>
                <w:szCs w:val="16"/>
                <w:color w:val="auto"/>
                <w:w w:val="98"/>
              </w:rPr>
              <w:t>Common shares issued pursuant to the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6"/>
                <w:szCs w:val="16"/>
                <w:color w:val="auto"/>
              </w:rPr>
              <w:t>rights offering, net of offering costs</w:t>
            </w:r>
          </w:p>
        </w:tc>
        <w:tc>
          <w:tcPr>
            <w:tcW w:w="820" w:type="dxa"/>
            <w:vAlign w:val="bottom"/>
          </w:tcPr>
          <w:p>
            <w:pPr>
              <w:jc w:val="right"/>
              <w:spacing w:after="0"/>
              <w:rPr>
                <w:sz w:val="20"/>
                <w:szCs w:val="20"/>
                <w:color w:val="auto"/>
              </w:rPr>
            </w:pPr>
            <w:r>
              <w:rPr>
                <w:rFonts w:ascii="Arial" w:cs="Arial" w:eastAsia="Arial" w:hAnsi="Arial"/>
                <w:sz w:val="16"/>
                <w:szCs w:val="16"/>
                <w:color w:val="auto"/>
              </w:rPr>
              <w:t>7,733,750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14,867</w:t>
            </w:r>
          </w:p>
        </w:tc>
        <w:tc>
          <w:tcPr>
            <w:tcW w:w="0" w:type="dxa"/>
            <w:vAlign w:val="bottom"/>
          </w:tcPr>
          <w:p>
            <w:pPr>
              <w:spacing w:after="0"/>
              <w:rPr>
                <w:sz w:val="1"/>
                <w:szCs w:val="1"/>
                <w:color w:val="auto"/>
              </w:rPr>
            </w:pPr>
          </w:p>
        </w:tc>
      </w:tr>
      <w:tr>
        <w:trPr>
          <w:trHeight w:val="205"/>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warrants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223,037</w:t>
            </w:r>
          </w:p>
        </w:tc>
        <w:tc>
          <w:tcPr>
            <w:tcW w:w="2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Arial" w:cs="Arial" w:eastAsia="Arial" w:hAnsi="Arial"/>
                <w:sz w:val="16"/>
                <w:szCs w:val="16"/>
                <w:color w:val="auto"/>
              </w:rPr>
              <w:t>Net Loss</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(12,289)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(12,289)</w:t>
            </w:r>
          </w:p>
        </w:tc>
        <w:tc>
          <w:tcPr>
            <w:tcW w:w="0" w:type="dxa"/>
            <w:vAlign w:val="bottom"/>
          </w:tcPr>
          <w:p>
            <w:pPr>
              <w:spacing w:after="0"/>
              <w:rPr>
                <w:sz w:val="1"/>
                <w:szCs w:val="1"/>
                <w:color w:val="auto"/>
              </w:rPr>
            </w:pPr>
          </w:p>
        </w:tc>
      </w:tr>
      <w:tr>
        <w:trPr>
          <w:trHeight w:val="30"/>
        </w:trPr>
        <w:tc>
          <w:tcPr>
            <w:tcW w:w="27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September 30, 2019</w:t>
            </w:r>
          </w:p>
        </w:tc>
        <w:tc>
          <w:tcPr>
            <w:tcW w:w="60" w:type="dxa"/>
            <w:vAlign w:val="bottom"/>
            <w:tcBorders>
              <w:left w:val="single" w:sz="8" w:color="CCEEFF"/>
            </w:tcBorders>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gridSpan w:val="2"/>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00" w:type="dxa"/>
            <w:vAlign w:val="bottom"/>
            <w:tcBorders>
              <w:right w:val="single" w:sz="8" w:color="auto"/>
            </w:tcBorders>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gridSpan w:val="2"/>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3"/>
        </w:trPr>
        <w:tc>
          <w:tcPr>
            <w:tcW w:w="2720" w:type="dxa"/>
            <w:vAlign w:val="bottom"/>
            <w:vMerge w:val="continue"/>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33,720,044</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4"/>
              </w:rPr>
              <w:t>9,411</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70,420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(72,725</w:t>
            </w:r>
          </w:p>
        </w:tc>
        <w:tc>
          <w:tcPr>
            <w:tcW w:w="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240"/>
          </w:cols>
          <w:pgMar w:left="320" w:top="661" w:right="3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1"/>
              </w:rPr>
              <w:t>September 30, 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1"/>
              </w:rPr>
              <w:t>September 30, 2019</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(6,920)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(12,289)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12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sale of property &amp; equipment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(Gain)/loss on termination of leases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Amortization of right of use assets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96</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vested options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1,077</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vested restricted shares granted to officers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520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allowance for doubtful accounts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Decrease (increase) in inventory reserve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325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Accrual of interest on convertible note to a related party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390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120" w:type="dxa"/>
            <w:vAlign w:val="bottom"/>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(2,520)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(196)</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(6,768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(14,628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Trademark costs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w:t>
            </w: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(273)</w:t>
            </w:r>
          </w:p>
        </w:tc>
      </w:tr>
      <w:tr>
        <w:trPr>
          <w:trHeight w:val="236"/>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i w:val="1"/>
                <w:iCs w:val="1"/>
                <w:color w:val="auto"/>
              </w:rPr>
              <w:t>Cash flows from financing activities: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on line of credit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34,645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42,179</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Repayments of line of credit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(33,710)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(42,175)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financing costs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Proceeds from note payable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amounts due to/from officers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Principal repayments on capital lease obligation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options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365</w:t>
            </w:r>
          </w:p>
        </w:tc>
      </w:tr>
      <w:tr>
        <w:trPr>
          <w:trHeight w:val="249"/>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14,867</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8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6,888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15,263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increase in cash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392</w:t>
            </w:r>
          </w:p>
        </w:tc>
      </w:tr>
      <w:tr>
        <w:trPr>
          <w:trHeight w:val="25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624</w:t>
            </w:r>
          </w:p>
        </w:tc>
      </w:tr>
      <w:tr>
        <w:trPr>
          <w:trHeight w:val="256"/>
        </w:trPr>
        <w:tc>
          <w:tcPr>
            <w:tcW w:w="61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at end of period</w:t>
            </w:r>
          </w:p>
        </w:tc>
        <w:tc>
          <w:tcPr>
            <w:tcW w:w="8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408</w:t>
            </w: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Investing and Financing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Dividends on Series A Convertible Preferred Stock</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2020 and 2019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interim condensed financial statements of Reed’s, Inc. (the “Company”, “we”, “us”, or “our”), are unaudited, but in the opinion of management contain all adjustments, including normal recurring adjustments, necessary to present fairly our financial position at September 30, 2020, the results of operations for the three and nine months ended September 30, 2020 and 2019, and cash flows for the nine months ended September 30, 2020 and 2019. The balance sheet as of December 31, 2019 is derived from the Company’s audited financial statements.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that have been prepared in accordance with accounting principles generally accepted in the United States of America have been condensed or omitted pursuant to the rules and regulations of the Securities and Exchange Commission regarding interim financial reporting. We believe that the disclosures contained in these condensed financial statements are adequate to make the information presented herein not misleading. For further information, refer to the financial statements and the notes thereto included in the Company’s Annual Report on Form 10-K for the fiscal year ended December 31, 2019, as filed with the Securities and Exchange Commission on March 18, 2020 and amended on April 8, 2020.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nine months ended September 30, 2020 are not necessarily indicative of the results of operations to be expected for the full fiscal year ending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 ended September 30, 2020, the COVID-19 pandemic did not have a material net impact on our operating results. In the future,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without significant negative operational impact from the COVID-19 pandemic will in part depend on our ability to protect our employees and our supply chain. The Company has endeavored to follow the recommended actions of government and health authorities to protect our employees. For the six months ended September 30, 2020,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September 30, 2020, the COVID-19 pandemic has not negatively impacted the Company’s liquidity position as of such date. Shipments to customers in the third quarter of 2020 were up 14% from the first quarter of 2020, and down slightly (2%) from the second quarter of 2020 with fluctuations consistent with historical seasonal patterns. Through September 30, 2020,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our results, please refer to “Risk Factors” in Part II, Item 1A of this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nine months ended September 30, 2020, the Company recorded a net loss of $6,920 and used cash in operations of $6,768. As of September 30, 2020, we had a cash balance of $875 with borrowing capacity of $3,037, a stockholder’s equity of $558 and a negative working capital of $207, compared to a cash balance of $913 with borrowing capacity of $3,235, stockholders’ equity of $1,147 and a working capital of $4,885 at December 31, 2019.</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ind w:right="86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period.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periods ended September 30, 2020 and 2019, the calculations of basic and diluted loss per share are the same because potential dilutive securities would have had an anti-dilutive effect. The potentially dilutive securities consisted of the following:</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5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Warrants</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6,413,782</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6,413,782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equivalent of Series A Convertible Preferred stock</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37,644</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37,644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Common stock issuable</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350,000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244,740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610,609</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Options</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4,716,357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4,373,566</w:t>
            </w:r>
          </w:p>
        </w:tc>
      </w:tr>
      <w:tr>
        <w:trPr>
          <w:trHeight w:val="229"/>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14,029,190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13,702,268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is convertible into Common shares at the rate of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whereby the value of the award is measured on the date of grant and recognized as compensation expense on the straight-line basis over the vesting period. The Company recognizes the fair value of stock-based compensation within its Statements of Operations with classification depending on the nature of the services rendered.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for the three months ended September 30, 2020 and 2019, aggregated $536 and $661, respectively. Advertising costs for the nine months ended September 30, 2020 and 2019, aggregated $1,141 and $2,194,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Sales. </w:t>
      </w:r>
      <w:r>
        <w:rPr>
          <w:rFonts w:ascii="Arial" w:cs="Arial" w:eastAsia="Arial" w:hAnsi="Arial"/>
          <w:sz w:val="16"/>
          <w:szCs w:val="16"/>
          <w:color w:val="auto"/>
        </w:rPr>
        <w:t>During the three months ended September 30, 2020, two customers accounted for 24% and 12% of gross sales, respectively, and during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two customers accounted for 25% and 13% of gross sales, respectively. During the three months ended September 30, 2019, the Company’s largest two customers accounted for 15% and 12% of gross sales, respectively. During the nine months ended September 30, 2019, these customers accounted for 23% and 13% of gross sales, respectively. No other customers exceeded 10% of sales in either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September 30, 2020, the Company had accounts receivable from one customer which comprised 23% of its gross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As of December 31, 2019, the Company had accounts receivable from one customer which comprised 14% of its gross accounts receivable. No other customer exceeded 10% of accounts receivable in either period.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Purchases from vendors. </w:t>
      </w:r>
      <w:r>
        <w:rPr>
          <w:rFonts w:ascii="Arial" w:cs="Arial" w:eastAsia="Arial" w:hAnsi="Arial"/>
          <w:sz w:val="16"/>
          <w:szCs w:val="16"/>
          <w:color w:val="auto"/>
        </w:rPr>
        <w:t>During the three months ended September 30, 2020, two vendors accounted for 13% and 11% of all purchases. During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two vendors accounted for 11% and 11% of all purchases. During the three months ended September 30, 2019, the Company’s largest three vendors accounted for approximately 13%, 11% and 10% of all purchases, respectively. During the nine months ended September 30, 2019, two vendors accounted for 12% and 10% of all purchases, respectively. No other vendors exceeded 10% of all purchases in either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As of September 30, 2020, of the Company’s two largest vendors, each accounted for 18% and 11% of the total accounts payable.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of the Company’s three largest vendors, accounted for 19%, 15%, and 14% of the total accounts payable. No other vendors exceeded 10% of accounts payable in either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and December 31, 2019, the Company’s balance sheets included Level 2 liabilities comprised of the fair value of warrant liabilities aggregating $7 and $8, respectively (see Note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6"/>
          <w:szCs w:val="16"/>
          <w:color w:val="auto"/>
        </w:rPr>
        <w:t>In August 2020, the FASB issued ASU No. 2020-06 (“ASU 2020-06”) “</w:t>
      </w:r>
      <w:r>
        <w:rPr>
          <w:rFonts w:ascii="Arial" w:cs="Arial" w:eastAsia="Arial" w:hAnsi="Arial"/>
          <w:sz w:val="16"/>
          <w:szCs w:val="16"/>
          <w:i w:val="1"/>
          <w:iCs w:val="1"/>
          <w:color w:val="auto"/>
        </w:rPr>
        <w:t>Debt—Debt with Conversion and Other Options (Subtopic 470-20) and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Hedging—Contracts in Entity’s Own Equity (Subtopic 815-40): Accounting for Convertible Instruments and Contracts in an Entity’s Own Equity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ASU 2020-06 will simplify the accounting for convertible instruments by reducing the number of accounting models for convertible debt instruments and convertible preferred stock. Limiting the accounting models will result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January 1, 2024. Early adoption is permitted, but no earlier than January 1, 2021, including interim periods within that year. Management is currently evaluating the effect of the adoption of ASU 2020-06 on the consolidated financial statements, but currently does not believe ASU 2020-06 will have a significant impact on the Company’s accounting for its convertible debt instruments. The effect will largely depend on the composition and terms of the financial instruments at the time of adoption.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the lower of cost (first-in, first-out) or net realizable value, and net of reserves is comprised of the following (in thousands):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4"/>
              </w:rPr>
              <w:t>6,354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18"/>
                <w:szCs w:val="18"/>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20"/>
                <w:szCs w:val="20"/>
                <w:color w:val="auto"/>
              </w:rPr>
            </w:pPr>
          </w:p>
        </w:tc>
        <w:tc>
          <w:tcPr>
            <w:tcW w:w="1680" w:type="dxa"/>
            <w:vAlign w:val="bottom"/>
            <w:gridSpan w:val="2"/>
          </w:tcPr>
          <w:p>
            <w:pPr>
              <w:ind w:left="940"/>
              <w:spacing w:after="0"/>
              <w:rPr>
                <w:sz w:val="20"/>
                <w:szCs w:val="20"/>
                <w:color w:val="auto"/>
              </w:rPr>
            </w:pPr>
            <w:r>
              <w:rPr>
                <w:rFonts w:ascii="Arial" w:cs="Arial" w:eastAsia="Arial" w:hAnsi="Arial"/>
                <w:sz w:val="18"/>
                <w:szCs w:val="18"/>
                <w:color w:val="auto"/>
              </w:rPr>
              <w:t>3,082</w:t>
            </w: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6,247</w:t>
            </w:r>
          </w:p>
        </w:tc>
      </w:tr>
      <w:tr>
        <w:trPr>
          <w:trHeight w:val="229"/>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4"/>
              </w:rPr>
              <w:t>9,436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recorded a reserve for slow moving and potentially obsolete inventory. The reserve at September 30, 2020, and December 31, 2019, was $224 and $646,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comprised of the following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552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Right-of-use assets under finance leases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36"/>
        </w:trPr>
        <w:tc>
          <w:tcPr>
            <w:tcW w:w="55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w:t>
            </w:r>
          </w:p>
        </w:tc>
        <w:tc>
          <w:tcPr>
            <w:tcW w:w="2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5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r>
      <w:tr>
        <w:trPr>
          <w:trHeight w:val="230"/>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expense for the three months ended September 30, 2020 and 2019 was $35 and $8, respectively. Depreciation expense for the nine months ended September 30, 2020 and 2019 was $56 and $12, respectively. During the nine months ended September 30, 2020, the Company disposed of right-of-use assets under finance leases with a net book value of $45, and terminated $51 of related finance leases (see Note 9), resulting in a gain on lease termination of $6.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Equipment held for sale consists of the following (in thousands):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Reserve</w:t>
            </w:r>
          </w:p>
        </w:tc>
        <w:tc>
          <w:tcPr>
            <w:tcW w:w="12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29"/>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balance as of September 30, 2020, and December 31, 2019, consists of residual manufacturing equipment, at estimated net realizable value, which management anticipates selling during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measurement, there were no indications of impairment at September 30,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71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Brand names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Trademarks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6. Line of Credit</w:t>
            </w: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Amounts outstanding under the Company’s credit facilities are as follows (in thousands):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8"/>
                <w:szCs w:val="18"/>
                <w:color w:val="auto"/>
              </w:rPr>
            </w:pPr>
          </w:p>
        </w:tc>
      </w:tr>
      <w:tr>
        <w:trPr>
          <w:trHeight w:val="236"/>
        </w:trPr>
        <w:tc>
          <w:tcPr>
            <w:tcW w:w="7880" w:type="dxa"/>
            <w:vAlign w:val="bottom"/>
          </w:tcPr>
          <w:p>
            <w:pPr>
              <w:spacing w:after="0"/>
              <w:rPr>
                <w:sz w:val="20"/>
                <w:szCs w:val="20"/>
                <w:color w:val="auto"/>
              </w:rPr>
            </w:pPr>
            <w:r>
              <w:rPr>
                <w:rFonts w:ascii="Arial" w:cs="Arial" w:eastAsia="Arial" w:hAnsi="Arial"/>
                <w:sz w:val="18"/>
                <w:szCs w:val="18"/>
                <w:color w:val="auto"/>
              </w:rPr>
              <w:t>Capitalized finance costs</w:t>
            </w:r>
          </w:p>
        </w:tc>
        <w:tc>
          <w:tcPr>
            <w:tcW w:w="12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r>
      <w:tr>
        <w:trPr>
          <w:trHeight w:val="230"/>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2018, the Company entered into a financing agreement with Rosenthal &amp; Rosenthal, Inc. The financing agreement provides a maximum borrowing capacity of $13,000. Borrowings are based on a formula of eligible accounts receivable and inventories (the “permitted borrowings”) plus advances (an “over-advance” of up to $4,000) in excess of permitted borrowings. At September 30, 2020, the unused borrowing capacity under the financing agreement was $3,037. The line of credit matures on March 30,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Rosenthal financing agreement bear interest at the greater of prime or 4.75%, plus an additional 2.0% to 3.5% depending on whether the borrowing is based upon receivables, inventory or is an over-advance. The effective interest rate as of September 30, 2020 on outstanding borrowings was 7.2%. Additionally, the line of credit is subject to monthly facility and administration fees, and aggregate minimum monthly fees (including interest) of $4.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color w:val="auto"/>
        </w:rPr>
        <w:t>The line of credit is secured by substantially all of the assets excluding intellectual property of the Company. The over-advance is secured by all of Reed’s intellectual property collateral. Additionally, any over-advance is guaranteed by an irrevocable stand-by letter of credit in the amount of $1,500, issued by Daniel J. Doherty III and the Daniel J. Doherty, III 2002 Family Trust, affiliates of Raptor/Harbor Reeds SPV LLC (“Raptor”). As of September 30, 2020, Raptor beneficially owns 11.5% of the Company’s outstanding common stock and Mr. Doherty is a member of the Company’s Board of Directors. In the event of a default under the financing agreement, Raptor has a put option to purchase from Rosenthal the entire amount of any outstanding over-advance plus accrued interest, prior to Rosenthal declaring an event of default under the financing agreement.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September 30,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annually incurs an additional $130 of fees from the bank, which is equal to 1% of the $13,000 borrowing limit. These costs have been capitalized and recorded as a debt discount and are amortized over the remaining life of the Rosenthal agreement. The 2020 fee will be amortized over 0.5 years and the 2019 fee is being amortized over 1.5 years. Amortization of debt discount was $290 and $225 for the nine months ended September 30, 2020 and 2019,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7. Convertible Note to a Related Party</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80" w:type="dxa"/>
            <w:vAlign w:val="bottom"/>
          </w:tcPr>
          <w:p>
            <w:pPr>
              <w:spacing w:after="0"/>
              <w:rPr>
                <w:sz w:val="20"/>
                <w:szCs w:val="20"/>
                <w:color w:val="auto"/>
              </w:rPr>
            </w:pPr>
            <w:r>
              <w:rPr>
                <w:rFonts w:ascii="Arial" w:cs="Arial" w:eastAsia="Arial" w:hAnsi="Arial"/>
                <w:sz w:val="18"/>
                <w:szCs w:val="18"/>
                <w:color w:val="auto"/>
              </w:rPr>
              <w:t>The Convertible Note to a Related Party consists of the following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12% Convertible Note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4"/>
              </w:rPr>
              <w:t>3,400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20"/>
                <w:szCs w:val="20"/>
                <w:color w:val="auto"/>
              </w:rPr>
            </w:pPr>
          </w:p>
        </w:tc>
        <w:tc>
          <w:tcPr>
            <w:tcW w:w="1680" w:type="dxa"/>
            <w:vAlign w:val="bottom"/>
            <w:gridSpan w:val="2"/>
          </w:tcPr>
          <w:p>
            <w:pPr>
              <w:ind w:left="940"/>
              <w:spacing w:after="0"/>
              <w:rPr>
                <w:sz w:val="20"/>
                <w:szCs w:val="20"/>
                <w:color w:val="auto"/>
              </w:rPr>
            </w:pPr>
            <w:r>
              <w:rPr>
                <w:rFonts w:ascii="Arial" w:cs="Arial" w:eastAsia="Arial" w:hAnsi="Arial"/>
                <w:sz w:val="18"/>
                <w:szCs w:val="18"/>
                <w:color w:val="auto"/>
              </w:rPr>
              <w:t>1,728</w:t>
            </w: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r>
      <w:tr>
        <w:trPr>
          <w:trHeight w:val="229"/>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obligation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4"/>
              </w:rPr>
              <w:t>5,128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21, 2017, the Company issued a secured, convertible, subordinated, non-redeemable note in the principal amount of $3,400 and warrants to purchase 1,416,667 shares of common stock to Raptor. Raptor beneficially owned approximately 11.5% and 14.9% of the Company’s common stock at September 30, 2020 and December 31, 2019,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Raptor Note bears interest at a rate of 12% per annum, compounded monthly, and is secured by the Company’s assets, subordinate to the first priority security interest of Rosenthal &amp; Rosenthal (see Note 6). The note may not be prepaid and matures on April 21, 2021. It may be converted, at any time and from time to time, into shares of common stock of the Company, at a revised conversion price of $1.50.</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warrants expire on April 21, 2022 and have an adjusted exercise price of $1.50 per share. The note and warrants contain customary anti-dilution provisions, and the shares of common stock issuable upon conversion of the note and exercise of the warrants have been registered on Form S-3.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 Payable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20, 2020, the Company was granted a loan (the “PPP loan”) from City National Bank in the aggregate amount of $770, pursuant to the Paycheck Protection Program (the “PPP”) under the CARES Act.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PPP loan agreement is dated April 20, 2020, matures on April 20, 2022, bears interest at a rate of 1% per annum, with the first six months of interest deferred, is payable monthly commencing on November 2020, and is unsecured and guaranteed by the U.S. Small Business Administration. The loan term may be extended to April 20, 2025, if mutually agreed to by the Company and lender. We applied ASC 470, </w:t>
      </w:r>
      <w:r>
        <w:rPr>
          <w:rFonts w:ascii="Arial" w:cs="Arial" w:eastAsia="Arial" w:hAnsi="Arial"/>
          <w:sz w:val="16"/>
          <w:szCs w:val="16"/>
          <w:i w:val="1"/>
          <w:iCs w:val="1"/>
          <w:color w:val="auto"/>
        </w:rPr>
        <w:t>Debt</w:t>
      </w:r>
      <w:r>
        <w:rPr>
          <w:rFonts w:ascii="Arial" w:cs="Arial" w:eastAsia="Arial" w:hAnsi="Arial"/>
          <w:sz w:val="16"/>
          <w:szCs w:val="16"/>
          <w:color w:val="auto"/>
        </w:rPr>
        <w:t>, to account for the PPP loan. The PPP loan may be prepaid at any time prior to maturity with no prepayment penalties. Funds from the PPP loan may only be used for qualifying expenses as described in the CARES Act, including qualifying payroll costs, qualifying group health care benefits, qualifying rent and debt obligations, and qualifying utilities. The Company intends to use the entire loan amount for qualifying expenses. Under the terms of the PPP, certain amounts of the loan may be forgiven if they are used for qualifying expenses. The Company intends to apply for forgiveness of the PPP loan with respect to these qualifying expenses, however, we cannot assure that such forgiveness of any portion of the PPP loan will occur. As for the potential loan forgiveness, once the PPP loan is, in part or wholly, forgiven and a legal release is received, the liability would be reduced by the amount forgiven and a gain on extinguishment would be recorded. The terms of the PPP loan provide for customary events of default including, among other things, payment defaults, breach of representations and warranties, and insolvency events. The Company was in compliance with the terms of the PPP loan as of September 30, 2020. At September 30, 2020, the note payable balance was $770, of which $470 were reflected as the current portion of note payable.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Leases Payable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adopted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effective October 1, 2018. The standard requires a lessee to record a right-of-use asset and a corresponding lease liability at the inception of the lease, initially measured at the present value of the lease payments. </w:t>
      </w:r>
      <w:r>
        <w:rPr>
          <w:rFonts w:ascii="Arial" w:cs="Arial" w:eastAsia="Arial" w:hAnsi="Arial"/>
          <w:sz w:val="17"/>
          <w:szCs w:val="17"/>
          <w:color w:val="222222"/>
        </w:rPr>
        <w:t>The Company leases its headquarters</w:t>
      </w:r>
      <w:r>
        <w:rPr>
          <w:rFonts w:ascii="Arial" w:cs="Arial" w:eastAsia="Arial" w:hAnsi="Arial"/>
          <w:sz w:val="17"/>
          <w:szCs w:val="17"/>
          <w:color w:val="auto"/>
        </w:rPr>
        <w:t xml:space="preserve"> office</w:t>
      </w:r>
      <w:r>
        <w:rPr>
          <w:rFonts w:ascii="Arial" w:cs="Arial" w:eastAsia="Arial" w:hAnsi="Arial"/>
          <w:sz w:val="17"/>
          <w:szCs w:val="17"/>
          <w:color w:val="222222"/>
        </w:rPr>
        <w:t>, and certain</w:t>
      </w:r>
      <w:r>
        <w:rPr>
          <w:rFonts w:ascii="Arial" w:cs="Arial" w:eastAsia="Arial" w:hAnsi="Arial"/>
          <w:sz w:val="17"/>
          <w:szCs w:val="17"/>
          <w:color w:val="auto"/>
        </w:rPr>
        <w:t xml:space="preserve"> </w:t>
      </w:r>
      <w:r>
        <w:rPr>
          <w:rFonts w:ascii="Arial" w:cs="Arial" w:eastAsia="Arial" w:hAnsi="Arial"/>
          <w:sz w:val="17"/>
          <w:szCs w:val="17"/>
          <w:color w:val="222222"/>
        </w:rPr>
        <w:t>office equipment and automobiles. The Company analyzes all leases at inception to determine if a right-of-use asset and lease liability should be recognized. Leases with an initial term of 12 months or less are not included on the condensed consolidated balance sheets. The lease liability is measured at the present value of future lease payments as of the lease commencement date.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ASC 842 requires recognition in the statement of operations of a single lease cost, calculated so that the cost of the lease is allocated over the lease term, generally on a straight-line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2020 and 2019, lease costs totaled $45 and $51, and $135 and $134,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 Company’s lease liabilities totaled $786, made up of finance lease liabilities of $89 and operating lease liabilities of $697. During the nine months ended September 30, 2020, the Company terminated $51 of finance leases, and made payments of $11 towards finance lease liability and $18 towards operating lease liability. As of September 30, 2020, lease liabilities totaled $706, made up of finance lease liabilities of $27 and operating lease liabilities of $679.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the weighted average remaining lease terms for operating lease and finance lease are 4.25 years and 0.39 years, respectively. As of September 30, 2020, the weighted average discount rate for operating lease is 12.6% and 10.39% for finance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leases are as follows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Remainder of 2020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payments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Various sales of common stock made by the Company to finance operations have been accompanied by the issuance of warrants. Some of these warrant agreements contain fundamental transaction provisions which may give rise to an obligation of the Company to pay cash to the warrant holders. For accounting purposes, in accordance with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fair value of the warrant liability was determined using the Black-Scholes-Merton option pricing model at September 30, 2020 and December 31, 2019, using the following assumptions: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83.36%</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Number of Warrants containing fundamental transaction provisions</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138,762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138,762</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risk-free interest rate is based on rates established by the Federal Reserve Bank. The Company uses the historical volatility of its common stock to estimate its future volatility. The expected life of the warrant is based upon its remaining contractual life. The expected dividend yield reflects that the Company has not paid dividends to its common stockholders in the past and does not expect to do so in the foreseeable future.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a summary of the changes in the estimated fair value of the warrant liability during the nine months ended September 30,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30,</w:t>
            </w:r>
          </w:p>
        </w:tc>
      </w:tr>
      <w:tr>
        <w:trPr>
          <w:trHeight w:val="241"/>
        </w:trPr>
        <w:tc>
          <w:tcPr>
            <w:tcW w:w="4680" w:type="dxa"/>
            <w:vAlign w:val="bottom"/>
          </w:tcPr>
          <w:p>
            <w:pPr>
              <w:spacing w:after="0"/>
              <w:rPr>
                <w:sz w:val="20"/>
                <w:szCs w:val="20"/>
                <w:color w:val="auto"/>
              </w:rPr>
            </w:pPr>
          </w:p>
        </w:tc>
        <w:tc>
          <w:tcPr>
            <w:tcW w:w="45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Change in fair value</w:t>
            </w:r>
          </w:p>
        </w:tc>
        <w:tc>
          <w:tcPr>
            <w:tcW w:w="3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29"/>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4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A Convertible 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 2020, the Company paid dividends on the Preferred Stock through the issuance of 4,530 of its common stock. The aggregate fair value of the common stock issued was $5 based on an average market price of $1.04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issuance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Company conducted a public offering of 15,333,334 shares of its common shares at a public offering price of $0.375 per share. The net proceeds to the Company from this offering are $5,310, after deducting underwriting discounts and commissions and other offering expenses. Proceeds from the offering will provide capital for working capital, and general corporate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the Company received proceeds of $14, and issued 27,500 shares of common stock, on the exercise of stock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12. Share-based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nine months ended September 30, 2020:</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28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Unvested</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Issuable</w:t>
            </w: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at Date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42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Issuance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594,740</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(350,000)</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Issued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2020</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244,740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nine months ended September 30, 2020, the Company issued 594,740 shares of restricted stock to a director and two executive employees. 350,000 of these shares vested immediately, 94,740 shares will vest in increments of 47,370 each over a two month period of October and November 2020, 75,000 shares will vest in increments of 18,750 each over four years from the date of grant, and 75,000 shares will vest over four years based on performance criteria determined by the Board of Directors or Compensation Committee. Unvested shares remain subject to forfeiture if vesting conditions are not met. The aggregate fair value of the stock awards was $508 based on the market price of our common stock price which ranged from $0.81 to $0.95 per share on the dates of grants and is amortized as shares vest. The total fair value of restricted common stock vesting during the nine months ended September 30, 2020 and 2019 was $285 and $477, respectively, and is included in general and administrative expenses in the accompanying statements of operations. As of September 30, 2020, the amount of unvested compensation related to issuances of restricted common stock was $223,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Weighted-</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Terms</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2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(Years)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3,265,580</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2,067,800</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0.67</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(34,500)</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0.50</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Unvested forfeited or expired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(394,480)</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1.93</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Vested forfeited or expired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(188,043)</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4.20</w:t>
            </w: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September 30, 2020</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4,716,357</w:t>
            </w:r>
          </w:p>
        </w:tc>
        <w:tc>
          <w:tcPr>
            <w:tcW w:w="34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70"/>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1.48</w:t>
            </w:r>
          </w:p>
        </w:tc>
        <w:tc>
          <w:tcPr>
            <w:tcW w:w="34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8.17</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505</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2,169,690</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1.47</w:t>
            </w:r>
          </w:p>
        </w:tc>
        <w:tc>
          <w:tcPr>
            <w:tcW w:w="3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2020, the Company approved options exercisable into 2,067,800 shares to be issued pursuant to Reed’s 2017 Incentive Compensation Plan. 1,732,800 options were issued to employees including 582,800 options that vested immediately, 575,000 options vesting annually over a four-year vesting period, and 575,000 options that will vest based on performance criteria to be established by the board. In addition, 335,000 options granted to consultants, board members, and former employees vest over various periods.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90" w:lineRule="auto"/>
        <w:rPr>
          <w:sz w:val="20"/>
          <w:szCs w:val="20"/>
          <w:color w:val="auto"/>
        </w:rPr>
      </w:pPr>
      <w:r>
        <w:rPr>
          <w:rFonts w:ascii="Arial" w:cs="Arial" w:eastAsia="Arial" w:hAnsi="Arial"/>
          <w:sz w:val="16"/>
          <w:szCs w:val="16"/>
          <w:color w:val="auto"/>
        </w:rPr>
        <w:t>The stock options are exercisable at a price ranging from $0.44 to $0.89 per share and expire in ten years. The total fair value of these options at grant date was approximately $1,168, which was determined using a Black-Scholes-Merton option pricing model with the following average assumption: stock price ranging from $0.44 to $0.89 per share, expected term of seven years, volatility of 120%, dividend rate of 0%, and risk-free interest rate ranging from 0.56% to 1.63%.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 The fair value of the options of $1,168 will be amortized as the options vest in future periods through May 20, 2024.</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2020 and 2019, the Company recognized $722 and $1,077 of compensation expense relating to vested stock options. As of September 30, 2020, the aggregate amount of unvested compensation related to stock options was approximately $1,594 which will be recorded as an expense in future periods as the options vest.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2020, the outstanding options have an intrinsic value of $338. The aggregate intrinsic value was calculated as the difference between the closing market price as of September 30, 2020, which was $0.93, and the exercise price of the outstanding stock options.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the Company has issued warrants to purchase an aggregate of 6,413,782 shares of common stock. The Company’s warrant activity during the nine months ended September 30, 2020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Schedule of Warrant Activity</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Average Exercise</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Terms (Years)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6,413,782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September 30, 2020</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6,413,782</w:t>
            </w: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tcPr>
          <w:p>
            <w:pPr>
              <w:jc w:val="right"/>
              <w:ind w:right="300"/>
              <w:spacing w:after="0" w:line="203" w:lineRule="exact"/>
              <w:rPr>
                <w:sz w:val="20"/>
                <w:szCs w:val="20"/>
                <w:color w:val="auto"/>
              </w:rPr>
            </w:pPr>
            <w:r>
              <w:rPr>
                <w:rFonts w:ascii="Arial" w:cs="Arial" w:eastAsia="Arial" w:hAnsi="Arial"/>
                <w:sz w:val="18"/>
                <w:szCs w:val="18"/>
                <w:color w:val="auto"/>
              </w:rPr>
              <w:t>2.06</w:t>
            </w:r>
          </w:p>
        </w:tc>
        <w:tc>
          <w:tcPr>
            <w:tcW w:w="1460" w:type="dxa"/>
            <w:vAlign w:val="bottom"/>
            <w:tcBorders>
              <w:top w:val="single" w:sz="8" w:color="CCEEFF"/>
              <w:bottom w:val="single" w:sz="8" w:color="CCEEFF"/>
            </w:tcBorders>
            <w:gridSpan w:val="2"/>
          </w:tcPr>
          <w:p>
            <w:pPr>
              <w:jc w:val="right"/>
              <w:ind w:right="140"/>
              <w:spacing w:after="0" w:line="203" w:lineRule="exact"/>
              <w:rPr>
                <w:sz w:val="20"/>
                <w:szCs w:val="20"/>
                <w:color w:val="auto"/>
              </w:rPr>
            </w:pPr>
            <w:r>
              <w:rPr>
                <w:rFonts w:ascii="Arial" w:cs="Arial" w:eastAsia="Arial" w:hAnsi="Arial"/>
                <w:sz w:val="18"/>
                <w:szCs w:val="18"/>
                <w:color w:val="auto"/>
              </w:rPr>
              <w:t>0.77</w:t>
            </w:r>
          </w:p>
        </w:tc>
        <w:tc>
          <w:tcPr>
            <w:tcW w:w="320" w:type="dxa"/>
            <w:vAlign w:val="bottom"/>
            <w:tcBorders>
              <w:top w:val="single" w:sz="8" w:color="CCEEFF"/>
              <w:bottom w:val="single" w:sz="8" w:color="CCEEFF"/>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6,413,782</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warrant transactions during the nine months ended September 30, 2020. As of September 30, 2020, the outstanding warrants have no intrinsic value. The intrinsic value was calculated as the difference between the closing market price as of September 30, 2020, which was $0.93, and the exercise price of the Company’s warrants to purchase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Activities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$1,200 of security with the lessor. The deposit is secured by Mr. Reed’s pledge of common stock to the lessor and guaranteed personally by Mr. Reed and his wife. As of September 30, 2020, $800 has been deposited with the lessor and Mr. Reed has placed approximately 363,000 pledged shares valued at $338 that remain in escrow with the lessor.</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in 2019, we are to receive a 5% royalty on CCB’s private label sales to existing customers for three years and a 5% referral fee on CCB’s private label sales to referred customers for three years. During the nine months ended September 30, 2020, the Company recorded royalty revenue from CCB of $26. During the nine months ended September 30, 2019, the Company recorded royalty revenue from CCB of $14.</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2019, the Company had royalty revenue receivable from CCB of $128. In addition, at December 31, 2019, the Company has outstanding receivable from CCB of $228 consisting of inventory advances to CCB. The aggregate receivable from CCB at December 31, 2019 was $356. During the nine months ended September 30, 2020, the Company recorded additional royalty revenue receivable of $26, advance additional inventory and equipment of $138, and received payments of $129, leaving an aggregate receivable balance of $391 at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and December 31, 2019, the Company had accounts payable due to CCB of $211 and $182,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September 30, 2020, the Company issued 7,000 shares of common stock on the exercise of stock options.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appearing elsewhere in this report. This discussion and analysis may contain forward-looking statements based on assumptions about our future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of 2020, the Company fully utilized their expanded network of co-packers and implemented an upgraded set of quality protocols. In addition to our traditional sales channels, the Company is utilizing their ecommerce platform that includes their branded web sites and Amazon to offer its line of shots, ginger candy and drinks packaged in cans.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public equity offering, which closed on April 20, 2020, provided the Company with funds for working capital and general corporate purposes. These funds enabled us to initiate the implementation of our 2020 strategy that included driving growth while strategically reducing operating costs.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 ended September 30, 2020, the COVID-19 pandemic did not have a material net impact on our operating results. In the future,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without significant negative operational impact from the COVID-19 pandemic will in part depend on our ability to protect our employees and our supply chain. The Company has endeavored to comply with the recommended actions of government and health authorities to protect our employees. For the six months ended September 30, 2020,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 September 30, 2020, in part due to our innovative response to the COVID-19 pandemic, the COVID-19 pandemic has not negatively impacted the Company’s liquidity position as of such date. Shipments to customers in the third quarter were up 14% from the first quarter of the year and down slightly (2%) from the Second quarter of 2020, with fluctuations consistent with historical seasonal patterns. Through September 30, 2020,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our results, please refer to “Risk Factors” in Part II, Item 1A of this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Results of Operations – Three months ended September 30, 2020</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0080" w:type="dxa"/>
            <w:vAlign w:val="bottom"/>
            <w:gridSpan w:val="7"/>
          </w:tcPr>
          <w:p>
            <w:pPr>
              <w:spacing w:after="0"/>
              <w:rPr>
                <w:sz w:val="20"/>
                <w:szCs w:val="20"/>
                <w:color w:val="auto"/>
              </w:rPr>
            </w:pPr>
            <w:r>
              <w:rPr>
                <w:rFonts w:ascii="Arial" w:cs="Arial" w:eastAsia="Arial" w:hAnsi="Arial"/>
                <w:sz w:val="18"/>
                <w:szCs w:val="18"/>
                <w:color w:val="auto"/>
                <w:w w:val="97"/>
              </w:rPr>
              <w:t>The following table sets forth key statistics for the three months ended September 30, 2020 and 2019, respectively, in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6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5"/>
          </w:tcPr>
          <w:p>
            <w:pPr>
              <w:jc w:val="right"/>
              <w:ind w:right="840"/>
              <w:spacing w:after="0"/>
              <w:rPr>
                <w:sz w:val="20"/>
                <w:szCs w:val="20"/>
                <w:color w:val="auto"/>
              </w:rPr>
            </w:pPr>
            <w:r>
              <w:rPr>
                <w:rFonts w:ascii="Arial" w:cs="Arial" w:eastAsia="Arial" w:hAnsi="Arial"/>
                <w:sz w:val="18"/>
                <w:szCs w:val="18"/>
                <w:color w:val="auto"/>
                <w:w w:val="94"/>
              </w:rPr>
              <w:t>Three Months Ended September 30,</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Pct.</w:t>
            </w:r>
          </w:p>
        </w:tc>
      </w:tr>
      <w:tr>
        <w:trPr>
          <w:trHeight w:val="223"/>
        </w:trPr>
        <w:tc>
          <w:tcPr>
            <w:tcW w:w="6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Borders>
              <w:bottom w:val="single" w:sz="8" w:color="CCEEFF"/>
            </w:tcBorders>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sales (A)</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26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1,335</w:t>
            </w:r>
          </w:p>
        </w:tc>
        <w:tc>
          <w:tcPr>
            <w:tcW w:w="34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1,372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produced (C)</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7,176</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6,238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 of Gross sales</w:t>
            </w:r>
          </w:p>
        </w:tc>
        <w:tc>
          <w:tcPr>
            <w:tcW w:w="2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60%</w:t>
            </w:r>
          </w:p>
        </w:tc>
        <w:tc>
          <w:tcPr>
            <w:tcW w:w="3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62%</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9"/>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68%</w:t>
            </w:r>
          </w:p>
        </w:tc>
        <w:tc>
          <w:tcPr>
            <w:tcW w:w="3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71%</w:t>
            </w: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62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3,386</w:t>
            </w:r>
          </w:p>
        </w:tc>
        <w:tc>
          <w:tcPr>
            <w:tcW w:w="3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2,502</w:t>
            </w:r>
          </w:p>
        </w:tc>
        <w:tc>
          <w:tcPr>
            <w:tcW w:w="38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35%</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32%</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29%</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2,207</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1,902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21%</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22%</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2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3.5</w:t>
            </w:r>
          </w:p>
        </w:tc>
        <w:tc>
          <w:tcPr>
            <w:tcW w:w="34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3.5</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1,872</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18%</w:t>
            </w:r>
          </w:p>
        </w:tc>
        <w:tc>
          <w:tcPr>
            <w:tcW w:w="3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29%</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1,583</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36"/>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15%</w:t>
            </w:r>
          </w:p>
        </w:tc>
        <w:tc>
          <w:tcPr>
            <w:tcW w:w="3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28%</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(2,276)</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(4,378)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expense</w:t>
            </w:r>
          </w:p>
        </w:tc>
        <w:tc>
          <w:tcPr>
            <w:tcW w:w="2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w:t>
            </w:r>
          </w:p>
        </w:tc>
        <w:tc>
          <w:tcPr>
            <w:tcW w:w="3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6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6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62,940,091</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33,716,359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jc w:val="both"/>
        <w:ind w:firstLine="8"/>
        <w:spacing w:after="0" w:line="271" w:lineRule="auto"/>
        <w:tabs>
          <w:tab w:leader="none" w:pos="29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are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have been defined by our internal reporting practices. In addition, gross sales may not be realized in the form of cash receipts as promotional payments and allowances may be deducted from payments received from certain customers.</w:t>
      </w:r>
    </w:p>
    <w:p>
      <w:pPr>
        <w:spacing w:after="0" w:line="178" w:lineRule="exact"/>
        <w:rPr>
          <w:rFonts w:ascii="Arial" w:cs="Arial" w:eastAsia="Arial" w:hAnsi="Arial"/>
          <w:sz w:val="17"/>
          <w:szCs w:val="17"/>
          <w:i w:val="1"/>
          <w:iCs w:val="1"/>
          <w:color w:val="auto"/>
        </w:rPr>
      </w:pPr>
    </w:p>
    <w:p>
      <w:pPr>
        <w:jc w:val="both"/>
        <w:ind w:firstLine="8"/>
        <w:spacing w:after="0" w:line="269" w:lineRule="auto"/>
        <w:tabs>
          <w:tab w:leader="none" w:pos="286"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8"/>
        <w:spacing w:after="0" w:line="275" w:lineRule="auto"/>
        <w:tabs>
          <w:tab w:leader="none" w:pos="304"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produced: Cost of goods produced consists of the costs of raw materials and packaging utilized in the manufacture of products, co-packing fees, repacking fees, in-bound freight charges, inventory adjustments, as well as certain internal transfer costs. Cost of goods produced is used internally by management to measure the direct costs of goods sold, aside from unallocated plant costs. Cost of goods produced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sets forth key statistics for the transition of the Company’s top line activity through the third quarter of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1"/>
              </w:rPr>
              <w:t>Q3 Per Case</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rPr>
              <w:t>Sept YTD Per Case</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240"/>
              <w:spacing w:after="0" w:line="117" w:lineRule="exact"/>
              <w:rPr>
                <w:sz w:val="20"/>
                <w:szCs w:val="20"/>
                <w:color w:val="auto"/>
              </w:rPr>
            </w:pPr>
            <w:r>
              <w:rPr>
                <w:rFonts w:ascii="Arial" w:cs="Arial" w:eastAsia="Arial" w:hAnsi="Arial"/>
                <w:sz w:val="13"/>
                <w:szCs w:val="13"/>
                <w:b w:val="1"/>
                <w:bCs w:val="1"/>
                <w:color w:val="auto"/>
                <w:w w:val="95"/>
              </w:rPr>
              <w:t>Q3 vs</w:t>
            </w:r>
          </w:p>
        </w:tc>
        <w:tc>
          <w:tcPr>
            <w:tcW w:w="4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b w:val="1"/>
                <w:bCs w:val="1"/>
                <w:color w:val="auto"/>
              </w:rPr>
              <w:t>YTD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Q1</w:t>
            </w:r>
          </w:p>
        </w:tc>
        <w:tc>
          <w:tcPr>
            <w:tcW w:w="100" w:type="dxa"/>
            <w:vAlign w:val="bottom"/>
          </w:tcPr>
          <w:p>
            <w:pPr>
              <w:spacing w:after="0"/>
              <w:rPr>
                <w:sz w:val="13"/>
                <w:szCs w:val="13"/>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Q2</w:t>
            </w:r>
          </w:p>
        </w:tc>
        <w:tc>
          <w:tcPr>
            <w:tcW w:w="100" w:type="dxa"/>
            <w:vAlign w:val="bottom"/>
          </w:tcPr>
          <w:p>
            <w:pPr>
              <w:spacing w:after="0"/>
              <w:rPr>
                <w:sz w:val="13"/>
                <w:szCs w:val="13"/>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Q3</w:t>
            </w:r>
          </w:p>
        </w:tc>
        <w:tc>
          <w:tcPr>
            <w:tcW w:w="10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YTD</w:t>
            </w:r>
          </w:p>
        </w:tc>
        <w:tc>
          <w:tcPr>
            <w:tcW w:w="6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PY</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5"/>
              </w:rPr>
              <w:t>vs PY</w:t>
            </w:r>
          </w:p>
        </w:tc>
        <w:tc>
          <w:tcPr>
            <w:tcW w:w="100" w:type="dxa"/>
            <w:vAlign w:val="bottom"/>
          </w:tcPr>
          <w:p>
            <w:pPr>
              <w:spacing w:after="0"/>
              <w:rPr>
                <w:sz w:val="13"/>
                <w:szCs w:val="13"/>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Q1</w:t>
            </w:r>
          </w:p>
        </w:tc>
        <w:tc>
          <w:tcPr>
            <w:tcW w:w="10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Q2</w:t>
            </w:r>
          </w:p>
        </w:tc>
        <w:tc>
          <w:tcPr>
            <w:tcW w:w="10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Q3</w:t>
            </w:r>
          </w:p>
        </w:tc>
        <w:tc>
          <w:tcPr>
            <w:tcW w:w="8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YTD</w:t>
            </w: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2"/>
              </w:rPr>
              <w:t>2020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2"/>
              </w:rPr>
              <w:t>2019</w:t>
            </w:r>
          </w:p>
        </w:tc>
        <w:tc>
          <w:tcPr>
            <w:tcW w:w="22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4"/>
              </w:rPr>
              <w:t>vs PY</w:t>
            </w:r>
          </w:p>
        </w:tc>
        <w:tc>
          <w:tcPr>
            <w:tcW w:w="60" w:type="dxa"/>
            <w:vAlign w:val="bottom"/>
          </w:tcPr>
          <w:p>
            <w:pPr>
              <w:spacing w:after="0"/>
              <w:rPr>
                <w:sz w:val="13"/>
                <w:szCs w:val="13"/>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b w:val="1"/>
                <w:bCs w:val="1"/>
                <w:color w:val="auto"/>
                <w:w w:val="75"/>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75"/>
              </w:rPr>
              <w:t>2019</w:t>
            </w:r>
          </w:p>
        </w:tc>
        <w:tc>
          <w:tcPr>
            <w:tcW w:w="22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0"/>
              </w:rPr>
              <w:t>vs PY</w:t>
            </w:r>
          </w:p>
        </w:tc>
        <w:tc>
          <w:tcPr>
            <w:tcW w:w="0" w:type="dxa"/>
            <w:vAlign w:val="bottom"/>
          </w:tcPr>
          <w:p>
            <w:pPr>
              <w:spacing w:after="0"/>
              <w:rPr>
                <w:sz w:val="1"/>
                <w:szCs w:val="1"/>
                <w:color w:val="auto"/>
              </w:rPr>
            </w:pPr>
          </w:p>
        </w:tc>
      </w:tr>
      <w:tr>
        <w:trPr>
          <w:trHeight w:val="135"/>
        </w:trPr>
        <w:tc>
          <w:tcPr>
            <w:tcW w:w="12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Cases:</w:t>
            </w: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620"/>
              <w:spacing w:after="0" w:line="135" w:lineRule="exact"/>
              <w:rPr>
                <w:sz w:val="20"/>
                <w:szCs w:val="20"/>
                <w:color w:val="auto"/>
              </w:rPr>
            </w:pPr>
            <w:r>
              <w:rPr>
                <w:rFonts w:ascii="Arial" w:cs="Arial" w:eastAsia="Arial" w:hAnsi="Arial"/>
                <w:sz w:val="13"/>
                <w:szCs w:val="13"/>
                <w:color w:val="auto"/>
              </w:rPr>
              <w:t>Reed’s</w:t>
            </w:r>
          </w:p>
        </w:tc>
        <w:tc>
          <w:tcPr>
            <w:tcW w:w="10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288</w:t>
            </w:r>
          </w:p>
        </w:tc>
        <w:tc>
          <w:tcPr>
            <w:tcW w:w="10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335</w:t>
            </w:r>
          </w:p>
        </w:tc>
        <w:tc>
          <w:tcPr>
            <w:tcW w:w="10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314</w:t>
            </w: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937</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238</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281</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238</w:t>
            </w: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757</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2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Virgil’s</w:t>
            </w:r>
          </w:p>
        </w:tc>
        <w:tc>
          <w:tcPr>
            <w:tcW w:w="10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889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855</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20" w:type="dxa"/>
            <w:vAlign w:val="bottom"/>
            <w:tcBorders>
              <w:top w:val="single" w:sz="8" w:color="CCEEFF"/>
            </w:tcBorders>
          </w:tcPr>
          <w:p>
            <w:pPr>
              <w:ind w:left="620"/>
              <w:spacing w:after="0" w:line="94"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620"/>
              <w:spacing w:after="0"/>
              <w:rPr>
                <w:sz w:val="20"/>
                <w:szCs w:val="20"/>
                <w:color w:val="auto"/>
              </w:rPr>
            </w:pPr>
            <w:r>
              <w:rPr>
                <w:rFonts w:ascii="Arial" w:cs="Arial" w:eastAsia="Arial" w:hAnsi="Arial"/>
                <w:sz w:val="13"/>
                <w:szCs w:val="13"/>
                <w:color w:val="auto"/>
              </w:rPr>
              <w:t>Core</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643</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1,826</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495</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577</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540</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1,612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Non Core</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-95%</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620"/>
              <w:spacing w:after="0"/>
              <w:rPr>
                <w:sz w:val="20"/>
                <w:szCs w:val="20"/>
                <w:color w:val="auto"/>
              </w:rPr>
            </w:pPr>
            <w:r>
              <w:rPr>
                <w:rFonts w:ascii="Arial" w:cs="Arial" w:eastAsia="Arial" w:hAnsi="Arial"/>
                <w:sz w:val="13"/>
                <w:szCs w:val="13"/>
                <w:color w:val="auto"/>
              </w:rPr>
              <w:t>Candy</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21</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560</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651</w:t>
            </w: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639</w:t>
            </w: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1,850</w:t>
            </w:r>
          </w:p>
        </w:tc>
        <w:tc>
          <w:tcPr>
            <w:tcW w:w="200" w:type="dxa"/>
            <w:vAlign w:val="bottom"/>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w:t>
            </w:r>
          </w:p>
        </w:tc>
        <w:tc>
          <w:tcPr>
            <w:tcW w:w="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588</w:t>
            </w:r>
          </w:p>
        </w:tc>
        <w:tc>
          <w:tcPr>
            <w:tcW w:w="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550</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1,662</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Gross</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620"/>
              <w:spacing w:after="0" w:line="135" w:lineRule="exact"/>
              <w:rPr>
                <w:sz w:val="20"/>
                <w:szCs w:val="20"/>
                <w:color w:val="auto"/>
              </w:rPr>
            </w:pPr>
            <w:r>
              <w:rPr>
                <w:rFonts w:ascii="Arial" w:cs="Arial" w:eastAsia="Arial" w:hAnsi="Arial"/>
                <w:sz w:val="13"/>
                <w:szCs w:val="13"/>
                <w:color w:val="auto"/>
              </w:rPr>
              <w:t>Core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5"/>
              </w:rPr>
              <w:t>10,175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5"/>
              </w:rPr>
              <w:t>11,940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5"/>
              </w:rPr>
              <w:t>11,622</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5"/>
              </w:rPr>
              <w:t>33,737</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9,098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5"/>
              </w:rPr>
              <w:t>10,455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9,809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29,362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18.4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18.2</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18.5</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18.2</w:t>
            </w: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Non Core</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209</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131</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341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w w:val="92"/>
              </w:rPr>
              <w:t>350.1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32.8</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969%</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94.4</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13.1</w:t>
            </w: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48"/>
        </w:trPr>
        <w:tc>
          <w:tcPr>
            <w:tcW w:w="1220" w:type="dxa"/>
            <w:vAlign w:val="bottom"/>
          </w:tcPr>
          <w:p>
            <w:pPr>
              <w:ind w:left="620"/>
              <w:spacing w:after="0"/>
              <w:rPr>
                <w:sz w:val="20"/>
                <w:szCs w:val="20"/>
                <w:color w:val="auto"/>
              </w:rPr>
            </w:pPr>
            <w:r>
              <w:rPr>
                <w:rFonts w:ascii="Arial" w:cs="Arial" w:eastAsia="Arial" w:hAnsi="Arial"/>
                <w:sz w:val="13"/>
                <w:szCs w:val="13"/>
                <w:color w:val="auto"/>
              </w:rPr>
              <w:t>Candy</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731</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172</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687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57"/>
              <w:spacing w:after="0"/>
              <w:rPr>
                <w:sz w:val="20"/>
                <w:szCs w:val="20"/>
                <w:color w:val="auto"/>
              </w:rPr>
            </w:pPr>
            <w:r>
              <w:rPr>
                <w:rFonts w:ascii="Arial" w:cs="Arial" w:eastAsia="Arial" w:hAnsi="Arial"/>
                <w:sz w:val="13"/>
                <w:szCs w:val="13"/>
                <w:color w:val="auto"/>
              </w:rPr>
              <w:t>37.3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28.7</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34.2</w:t>
            </w:r>
          </w:p>
        </w:tc>
        <w:tc>
          <w:tcPr>
            <w:tcW w:w="8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28.6</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7"/>
        </w:trPr>
        <w:tc>
          <w:tcPr>
            <w:tcW w:w="12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10,551</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12,229</w:t>
            </w: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11,897</w:t>
            </w: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34,677</w:t>
            </w:r>
          </w:p>
        </w:tc>
        <w:tc>
          <w:tcPr>
            <w:tcW w:w="200" w:type="dxa"/>
            <w:vAlign w:val="bottom"/>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9,520</w:t>
            </w:r>
          </w:p>
        </w:tc>
        <w:tc>
          <w:tcPr>
            <w:tcW w:w="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10,758</w:t>
            </w:r>
          </w:p>
        </w:tc>
        <w:tc>
          <w:tcPr>
            <w:tcW w:w="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10,112</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30,390</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18.6</w:t>
            </w:r>
          </w:p>
        </w:tc>
        <w:tc>
          <w:tcPr>
            <w:tcW w:w="2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w:t>
            </w:r>
          </w:p>
        </w:tc>
        <w:tc>
          <w:tcPr>
            <w:tcW w:w="22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w:t>
            </w: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c>
          <w:tcPr>
            <w:tcW w:w="220" w:type="dxa"/>
            <w:vAlign w:val="bottom"/>
            <w:vMerge w:val="continue"/>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Discounts:  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(1,028)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(1,376)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(1,335)</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(3,739)</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(1,071)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(1,278)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(1,372)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(3,721)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w:t>
            </w: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COGS:</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620"/>
              <w:spacing w:after="0" w:line="135" w:lineRule="exact"/>
              <w:rPr>
                <w:sz w:val="20"/>
                <w:szCs w:val="20"/>
                <w:color w:val="auto"/>
              </w:rPr>
            </w:pPr>
            <w:r>
              <w:rPr>
                <w:rFonts w:ascii="Arial" w:cs="Arial" w:eastAsia="Arial" w:hAnsi="Arial"/>
                <w:sz w:val="13"/>
                <w:szCs w:val="13"/>
                <w:color w:val="auto"/>
              </w:rPr>
              <w:t>Core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(6,414)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(7,674)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(7,031)</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6"/>
              </w:rPr>
              <w:t>(21,119)</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(5,469)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(6,843)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(6,094)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0"/>
              </w:rPr>
              <w:t>(18,406)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w w:val="99"/>
              </w:rPr>
              <w:t>(11.1)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9"/>
              </w:rPr>
              <w:t>(11.3)</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9"/>
              </w:rPr>
              <w:t>(11.6)</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4"/>
              </w:rPr>
              <w:t>(11.1)</w:t>
            </w: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Non Core</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(89)</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(233)</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99"/>
              </w:rPr>
              <w:t>(73.2)</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(9.5)</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672%</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9"/>
              </w:rPr>
              <w:t>(40.4)</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w:t>
            </w: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35"/>
        </w:trPr>
        <w:tc>
          <w:tcPr>
            <w:tcW w:w="1220" w:type="dxa"/>
            <w:vAlign w:val="bottom"/>
          </w:tcPr>
          <w:p>
            <w:pPr>
              <w:ind w:left="620"/>
              <w:spacing w:after="0" w:line="135" w:lineRule="exact"/>
              <w:rPr>
                <w:sz w:val="20"/>
                <w:szCs w:val="20"/>
                <w:color w:val="auto"/>
              </w:rPr>
            </w:pPr>
            <w:r>
              <w:rPr>
                <w:rFonts w:ascii="Arial" w:cs="Arial" w:eastAsia="Arial" w:hAnsi="Arial"/>
                <w:sz w:val="13"/>
                <w:szCs w:val="13"/>
                <w:color w:val="auto"/>
              </w:rPr>
              <w:t>Candy</w:t>
            </w:r>
          </w:p>
        </w:tc>
        <w:tc>
          <w:tcPr>
            <w:tcW w:w="10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(180)</w:t>
            </w:r>
          </w:p>
        </w:tc>
        <w:tc>
          <w:tcPr>
            <w:tcW w:w="10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(176)</w:t>
            </w:r>
          </w:p>
        </w:tc>
        <w:tc>
          <w:tcPr>
            <w:tcW w:w="10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(129)</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(485)</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(159)</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(177)</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(106)</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(442)</w:t>
            </w:r>
          </w:p>
        </w:tc>
        <w:tc>
          <w:tcPr>
            <w:tcW w:w="60" w:type="dxa"/>
            <w:vAlign w:val="bottom"/>
          </w:tcPr>
          <w:p>
            <w:pPr>
              <w:spacing w:after="0"/>
              <w:rPr>
                <w:sz w:val="11"/>
                <w:szCs w:val="11"/>
                <w:color w:val="auto"/>
              </w:rPr>
            </w:pPr>
          </w:p>
        </w:tc>
        <w:tc>
          <w:tcPr>
            <w:tcW w:w="54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w w:val="99"/>
              </w:rPr>
              <w:t>(24.0)</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9"/>
              </w:rPr>
              <w:t>(17.6)</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w:t>
            </w: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9"/>
              </w:rPr>
              <w:t>(22.7)</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4"/>
              </w:rPr>
              <w:t>(18.4)</w:t>
            </w: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Idle Plant</w:t>
            </w: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vMerge w:val="restart"/>
          </w:tcPr>
          <w:p>
            <w:pPr>
              <w:ind w:left="620"/>
              <w:spacing w:after="0" w:line="142"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w w:val="82"/>
              </w:rPr>
              <w:t>(6,653)</w:t>
            </w:r>
          </w:p>
        </w:tc>
        <w:tc>
          <w:tcPr>
            <w:tcW w:w="20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w w:val="82"/>
              </w:rPr>
              <w:t>(7,865)</w:t>
            </w:r>
          </w:p>
        </w:tc>
        <w:tc>
          <w:tcPr>
            <w:tcW w:w="20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w w:val="82"/>
              </w:rPr>
              <w:t>(7,176)</w:t>
            </w:r>
          </w:p>
        </w:tc>
        <w:tc>
          <w:tcPr>
            <w:tcW w:w="200" w:type="dxa"/>
            <w:vAlign w:val="bottom"/>
            <w:vMerge w:val="continue"/>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w w:val="78"/>
              </w:rPr>
              <w:t>(21,694)</w:t>
            </w:r>
          </w:p>
        </w:tc>
        <w:tc>
          <w:tcPr>
            <w:tcW w:w="200" w:type="dxa"/>
            <w:vAlign w:val="bottom"/>
            <w:vMerge w:val="continue"/>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15%</w:t>
            </w: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22" w:lineRule="exact"/>
              <w:rPr>
                <w:sz w:val="20"/>
                <w:szCs w:val="20"/>
                <w:color w:val="auto"/>
              </w:rPr>
            </w:pPr>
            <w:r>
              <w:rPr>
                <w:rFonts w:ascii="Arial" w:cs="Arial" w:eastAsia="Arial" w:hAnsi="Arial"/>
                <w:sz w:val="13"/>
                <w:szCs w:val="13"/>
                <w:color w:val="auto"/>
                <w:w w:val="77"/>
              </w:rPr>
              <w:t>(5,945)</w:t>
            </w:r>
          </w:p>
        </w:tc>
        <w:tc>
          <w:tcPr>
            <w:tcW w:w="22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w w:val="82"/>
              </w:rPr>
              <w:t>(7,207)</w:t>
            </w:r>
          </w:p>
        </w:tc>
        <w:tc>
          <w:tcPr>
            <w:tcW w:w="22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w w:val="82"/>
              </w:rPr>
              <w:t>(6,238)</w:t>
            </w:r>
          </w:p>
        </w:tc>
        <w:tc>
          <w:tcPr>
            <w:tcW w:w="220" w:type="dxa"/>
            <w:vAlign w:val="bottom"/>
            <w:vMerge w:val="continue"/>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w w:val="82"/>
              </w:rPr>
              <w:t>(19,390)</w:t>
            </w:r>
          </w:p>
        </w:tc>
        <w:tc>
          <w:tcPr>
            <w:tcW w:w="22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22" w:lineRule="exact"/>
              <w:rPr>
                <w:sz w:val="20"/>
                <w:szCs w:val="20"/>
                <w:color w:val="auto"/>
              </w:rPr>
            </w:pPr>
            <w:r>
              <w:rPr>
                <w:rFonts w:ascii="Arial" w:cs="Arial" w:eastAsia="Arial" w:hAnsi="Arial"/>
                <w:sz w:val="13"/>
                <w:szCs w:val="13"/>
                <w:color w:val="auto"/>
                <w:w w:val="88"/>
              </w:rPr>
              <w:t>(11.2)</w:t>
            </w:r>
          </w:p>
        </w:tc>
        <w:tc>
          <w:tcPr>
            <w:tcW w:w="22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22" w:lineRule="exact"/>
              <w:rPr>
                <w:sz w:val="20"/>
                <w:szCs w:val="20"/>
                <w:color w:val="auto"/>
              </w:rPr>
            </w:pPr>
            <w:r>
              <w:rPr>
                <w:rFonts w:ascii="Arial" w:cs="Arial" w:eastAsia="Arial" w:hAnsi="Arial"/>
                <w:sz w:val="13"/>
                <w:szCs w:val="13"/>
                <w:color w:val="auto"/>
                <w:w w:val="88"/>
              </w:rPr>
              <w:t>(11.3)</w:t>
            </w:r>
          </w:p>
        </w:tc>
        <w:tc>
          <w:tcPr>
            <w:tcW w:w="220" w:type="dxa"/>
            <w:vAlign w:val="bottom"/>
            <w:vMerge w:val="continue"/>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3"/>
                <w:szCs w:val="13"/>
                <w:color w:val="auto"/>
              </w:rPr>
              <w:t>-2%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22" w:lineRule="exact"/>
              <w:rPr>
                <w:sz w:val="20"/>
                <w:szCs w:val="20"/>
                <w:color w:val="auto"/>
              </w:rPr>
            </w:pPr>
            <w:r>
              <w:rPr>
                <w:rFonts w:ascii="Arial" w:cs="Arial" w:eastAsia="Arial" w:hAnsi="Arial"/>
                <w:sz w:val="13"/>
                <w:szCs w:val="13"/>
                <w:color w:val="auto"/>
                <w:w w:val="88"/>
              </w:rPr>
              <w:t>(11.7)</w:t>
            </w:r>
          </w:p>
        </w:tc>
        <w:tc>
          <w:tcPr>
            <w:tcW w:w="200" w:type="dxa"/>
            <w:vAlign w:val="bottom"/>
            <w:vMerge w:val="continue"/>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w w:val="82"/>
              </w:rPr>
              <w:t>(11.7)</w:t>
            </w:r>
          </w:p>
        </w:tc>
        <w:tc>
          <w:tcPr>
            <w:tcW w:w="220" w:type="dxa"/>
            <w:vAlign w:val="bottom"/>
            <w:vMerge w:val="continue"/>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line="121" w:lineRule="exact"/>
              <w:rPr>
                <w:sz w:val="20"/>
                <w:szCs w:val="20"/>
                <w:color w:val="auto"/>
              </w:rPr>
            </w:pPr>
            <w:r>
              <w:rPr>
                <w:rFonts w:ascii="Arial" w:cs="Arial" w:eastAsia="Arial" w:hAnsi="Arial"/>
                <w:sz w:val="13"/>
                <w:szCs w:val="13"/>
                <w:color w:val="auto"/>
              </w:rPr>
              <w:t>Gross</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20"/>
                <w:szCs w:val="20"/>
                <w:color w:val="auto"/>
              </w:rPr>
            </w:pPr>
            <w:r>
              <w:rPr>
                <w:rFonts w:ascii="Arial" w:cs="Arial" w:eastAsia="Arial" w:hAnsi="Arial"/>
                <w:sz w:val="13"/>
                <w:szCs w:val="13"/>
                <w:color w:val="auto"/>
              </w:rPr>
              <w:t>Margin: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2,870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2,988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3,386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9,244</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2,504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2,273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2,502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7,279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57"/>
              <w:spacing w:after="0"/>
              <w:rPr>
                <w:sz w:val="20"/>
                <w:szCs w:val="20"/>
                <w:color w:val="auto"/>
              </w:rPr>
            </w:pPr>
            <w:r>
              <w:rPr>
                <w:rFonts w:ascii="Arial" w:cs="Arial" w:eastAsia="Arial" w:hAnsi="Arial"/>
                <w:sz w:val="13"/>
                <w:szCs w:val="13"/>
                <w:color w:val="auto"/>
              </w:rPr>
              <w:t>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4.5</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5.0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4.4</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as % Net</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part of the Company’s ongoing initiative to simplify and streamline operations by reducing the number of SKUs, the Company has identified core products on which to place its strategic focus. These core products consist of Reed’s and Virgil’s branded beverages. Beginning in 2020, our Wellness Shots are captured in Non-core products. Non-core products for 2019 consist primarily of slower selling discontinued Reed’s and Virgil’s SKUs.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result of our decision to focus on the core Reed’s and Virgil’s beverage brands and simplify operations by reducing the overall number of SKUs that we offer, the Company’s core beverage volume for the quarter ended September 30, 2020, represents 98% of all beverage volume.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brand gross revenue increased by 18% to $11,622 compared to the same period last year, driven by Reed’s volume growth of 32%. The result is an increase in total gross revenue of 18%, to $11,896 from $10,112 during the same period last year. Price on our core brands increased $0.19 per case or 1% year over year, while volume grew 17% as compared to the same period last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Discounts as a percentage of gross sales decreased to 11% in the third quarter of 2020 from 14% in the same period last year. As a result, net sales revenue grew 21% in the third quarter of 2020 to $10,562, compared to $8,740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Produced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goods sold increased $938 during the third quarter of 2020 as compared to the same period last year. As a percentage of net sales, cost of goods sold in the third quarter of 2020 improved to 68% as compared to 71% for the same period last year.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cost of goods per case decreased to $11.24 per case in the third quarter of 2020 from $11.34 per case for the same period last year. The cost of goods sold per case on core brands was $11.11 during the third quarter of 2020, compared to $11.29 and the third quarter of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to 32% for the third quarter of 2020, compared to 29% during the same period last year.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increased by $306 in the third quarter of 2020 to $2,207 from $1,902 in the same period last year, driven by increased volumes. Delivery costs in the third quarter of 2020 were 21% of net sales and $3.45 per case, compared to 22% of net sales and $3.46 per case during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selling and marketing expenses were $1,872 during the third quarter of 2020, compared to $2,508 during the same period last year. As a percentage of net sales, selling and marketing costs decreased to 18% during the third quarter of 2020, as compared to 29% during the same period last year. The decrease represents a lapping of the “Fooled Your Mom” campaign in the third quarter of 2019 and a lower level of digital advertising, event sampling and agency fees. In addition, personnel and travel related costs declined.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decreased in the third quarter of 2020 to $1,583 from $2,470, a decrease of $887 over the same period last year. Decrease was driven by a $643 decrease in severance expense, $214 decrease in stock option expense, and a $74 decrease in professional and consulting fees, partially offset by a $44 increase in other general and administrative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$2,276 for the third quarter of 2020, as compared to a loss of $4,378 in the same period last year driven by increase gross profit and reductions in operating expenses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and other expense for the third quarter of 2020, consisted of $322 of interest expense offset by the change in fair value of our warrant liability of $8. During the same period last year, interest and other expense consisted of $318 of interest expense offset by the change in fair value of our warrant liability of $131.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reconciliation of net loss to Modified EBITDA for the three months ended September 30, 2020 and 2019 (unaudited;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5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 September 30,</w:t>
            </w:r>
          </w:p>
        </w:tc>
      </w:tr>
      <w:tr>
        <w:trPr>
          <w:trHeight w:val="236"/>
        </w:trPr>
        <w:tc>
          <w:tcPr>
            <w:tcW w:w="550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(2,590)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2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Severance</w:t>
            </w:r>
          </w:p>
        </w:tc>
        <w:tc>
          <w:tcPr>
            <w:tcW w:w="2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r>
      <w:tr>
        <w:trPr>
          <w:trHeight w:val="223"/>
        </w:trPr>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EBITDA adjustments</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w:t>
            </w:r>
          </w:p>
        </w:tc>
        <w:tc>
          <w:tcPr>
            <w:tcW w:w="32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w w:val="95"/>
              </w:rPr>
              <w:t>Results of Operations – Nine months ended September 30, 2020</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0080" w:type="dxa"/>
            <w:vAlign w:val="bottom"/>
            <w:gridSpan w:val="8"/>
          </w:tcPr>
          <w:p>
            <w:pPr>
              <w:spacing w:after="0"/>
              <w:rPr>
                <w:sz w:val="20"/>
                <w:szCs w:val="20"/>
                <w:color w:val="auto"/>
              </w:rPr>
            </w:pPr>
            <w:r>
              <w:rPr>
                <w:rFonts w:ascii="Arial" w:cs="Arial" w:eastAsia="Arial" w:hAnsi="Arial"/>
                <w:sz w:val="18"/>
                <w:szCs w:val="18"/>
                <w:color w:val="auto"/>
                <w:w w:val="98"/>
              </w:rPr>
              <w:t>The following table sets forth key statistics for the nine months ended September 30, 2020 and 2019, respectively, in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w w:val="95"/>
              </w:rPr>
              <w:t>Nine Months Ended September 30,</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Pct.</w:t>
            </w:r>
          </w:p>
        </w:tc>
      </w:tr>
      <w:tr>
        <w:trPr>
          <w:trHeight w:val="223"/>
        </w:trPr>
        <w:tc>
          <w:tcPr>
            <w:tcW w:w="5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sales (A)</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3,739</w:t>
            </w:r>
          </w:p>
        </w:tc>
        <w:tc>
          <w:tcPr>
            <w:tcW w:w="34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3,721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produced (C)</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21,694</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19,081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 of Gross sales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63%</w:t>
            </w:r>
          </w:p>
        </w:tc>
        <w:tc>
          <w:tcPr>
            <w:tcW w:w="3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63%</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70%</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72%</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Cost of goods sold – idle capacity (D)</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309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4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w:t>
            </w:r>
          </w:p>
        </w:tc>
        <w:tc>
          <w:tcPr>
            <w:tcW w:w="3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w:t>
            </w: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22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9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9,244</w:t>
            </w:r>
          </w:p>
        </w:tc>
        <w:tc>
          <w:tcPr>
            <w:tcW w:w="3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7,279</w:t>
            </w:r>
          </w:p>
        </w:tc>
        <w:tc>
          <w:tcPr>
            <w:tcW w:w="38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27%</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30%</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27%</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12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4,950</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4,369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16%</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16%</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2.7</w:t>
            </w:r>
          </w:p>
        </w:tc>
        <w:tc>
          <w:tcPr>
            <w:tcW w:w="34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2.6</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5,382</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7,718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17%</w:t>
            </w:r>
          </w:p>
        </w:tc>
        <w:tc>
          <w:tcPr>
            <w:tcW w:w="3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29%</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4,872</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6,557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37"/>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16%</w:t>
            </w:r>
          </w:p>
        </w:tc>
        <w:tc>
          <w:tcPr>
            <w:tcW w:w="3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25%</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5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15,204</w:t>
            </w:r>
          </w:p>
        </w:tc>
        <w:tc>
          <w:tcPr>
            <w:tcW w:w="34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18,644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5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(5,960)</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(11,365)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5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Interest expense and other expense</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(960)</w:t>
            </w:r>
          </w:p>
        </w:tc>
        <w:tc>
          <w:tcPr>
            <w:tcW w:w="34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(924)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5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52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(6,920)</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(12,289)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196"/>
        </w:trPr>
        <w:tc>
          <w:tcPr>
            <w:tcW w:w="5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2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(0.12)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56,706,141</w:t>
            </w:r>
          </w:p>
        </w:tc>
        <w:tc>
          <w:tcPr>
            <w:tcW w:w="34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32,179,119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425"/>
        </w:trPr>
        <w:tc>
          <w:tcPr>
            <w:tcW w:w="5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5" w:name="page26"/>
    <w:bookmarkEnd w:id="25"/>
    <w:p>
      <w:pPr>
        <w:jc w:val="both"/>
        <w:ind w:firstLine="8"/>
        <w:spacing w:after="0" w:line="271" w:lineRule="auto"/>
        <w:tabs>
          <w:tab w:leader="none" w:pos="29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are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have been defined by our internal reporting practices. In addition, gross sales may not be realized in the form of cash receipts as promotional payments and allowances may be deducted from payments received from certain customers.</w:t>
      </w:r>
    </w:p>
    <w:p>
      <w:pPr>
        <w:spacing w:after="0" w:line="178" w:lineRule="exact"/>
        <w:rPr>
          <w:rFonts w:ascii="Arial" w:cs="Arial" w:eastAsia="Arial" w:hAnsi="Arial"/>
          <w:sz w:val="17"/>
          <w:szCs w:val="17"/>
          <w:i w:val="1"/>
          <w:iCs w:val="1"/>
          <w:color w:val="auto"/>
        </w:rPr>
      </w:pPr>
    </w:p>
    <w:p>
      <w:pPr>
        <w:jc w:val="both"/>
        <w:ind w:firstLine="8"/>
        <w:spacing w:after="0" w:line="269" w:lineRule="auto"/>
        <w:tabs>
          <w:tab w:leader="none" w:pos="28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8" w:lineRule="exact"/>
        <w:rPr>
          <w:rFonts w:ascii="Arial" w:cs="Arial" w:eastAsia="Arial" w:hAnsi="Arial"/>
          <w:sz w:val="17"/>
          <w:szCs w:val="17"/>
          <w:i w:val="1"/>
          <w:iCs w:val="1"/>
          <w:color w:val="auto"/>
        </w:rPr>
      </w:pPr>
    </w:p>
    <w:p>
      <w:pPr>
        <w:jc w:val="both"/>
        <w:ind w:firstLine="8"/>
        <w:spacing w:after="0" w:line="275" w:lineRule="auto"/>
        <w:tabs>
          <w:tab w:leader="none" w:pos="304"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produced: Cost of goods produced consists of the costs of raw materials and packaging utilized in the manufacture of products, co-packing fees, repacking fees, in-bound freight charges, inventory adjustments, as well as certain internal transfer costs. Cost of goods produced is used internally by management to measure the direct costs of goods sold, aside from unallocated plant costs. Cost of goods produced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6" w:lineRule="exact"/>
        <w:rPr>
          <w:rFonts w:ascii="Arial" w:cs="Arial" w:eastAsia="Arial" w:hAnsi="Arial"/>
          <w:sz w:val="17"/>
          <w:szCs w:val="17"/>
          <w:i w:val="1"/>
          <w:iCs w:val="1"/>
          <w:color w:val="auto"/>
        </w:rPr>
      </w:pPr>
    </w:p>
    <w:p>
      <w:pPr>
        <w:jc w:val="both"/>
        <w:ind w:firstLine="8"/>
        <w:spacing w:after="0" w:line="273" w:lineRule="auto"/>
        <w:tabs>
          <w:tab w:leader="none" w:pos="301"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sold – idle capacity: Cost of goods sold – idle capacity consists of direct production costs in excess of charges allocated to our finished goods in production. Plant costs in excess of production allocations are expensed in the period incurred rather than added to the cost of finished goods produced. Plant costs include labor costs, production supplies, repairs and maintenance, and inventory write-off. Our charges for labor and overhead allocated to our finished goods are determined on a market cost basis, which is lower than our actual costs incurred. Cost goods sold – idle capacity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part of the Company’s ongoing initiative to simplify and streamline operations by reducing the number of SKUs, the Company has identified core products on which to place its strategic focus. These core products consist of Reed’s and Virgil’s branded beverages. Beginning in 2020, our Wellness Shots are captured in Non-core products. Non-core products for 2019 consist primarily of slower selling discontinued Reed’s and Virgil’s SKUs.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decision to focus on the core Reed’s and Virgil’s beverage brands and simplify operations by reducing the overall number of SKUs that we offer, the Company’s core beverage volume for the first nine months of 2020, represents 98% of all beverage volume.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brand gross revenue increased by 15% to $33,737 compared to the same period last year, driven by Reed’s volume growth of 24%. The result is an increase in total gross revenue of 14%, to $34,677 from $30,391 during the same period last year. Price on our core brands increased $0.26 per case or 1% year over year, while volume grew 13% as compared to the same period last year.</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Discounts as a percentage of gross sales decreased to 11% in the first nine months of 2020 from 12% in the same period last year. The decrease in our promotions was driven by lower promotional activity primarily due to the impacts of COVID-19 as promotional execution became a lower priority at retail. As a result, net sales revenue grew 16% in the first nine months of 2020 to $30,938, compared to $26,669 in the same period last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Produced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goods sold increased $2,304 during the first nine months of 2020 as compared to the same period last year. As a percentage of net sales, cost of goods sold in the first nine months of 2020 improved to 70% as compared to 73% for the same period last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cost of goods per case increased to $11.73 per case in the first nine months of 2020 from $11.67 per case in the same period last year. The increase is driven by utilization of higher costed inventory remaining from 2019 in the first quarter and a $198 reserve recorded related to packaging material from transition to the FDA mandated nutritional fact requirements disclosure. The cost of goods sold per case on core brands increased to $11.57 during the first nine months of 2020, from the $11.42 for the same period last year. We are continuing to work with suppliers and co-packers to improve our processes and maximize cost efficiencies.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to 30% for the first nine months of 2020, compared to 27% during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Delivery and handling expenses consist of delivery costs to customers and warehousing costs incurred for handling our finished goods after production. Delivery and handling expenses increased by $581 in the first nine months of 2020 to $4,950 from $4,369 in the same period last year, driven by increased volumes. Delivery costs in the nine months of 2020 were 16% of net sales and $2.68 per case, compared to 16% of net sales and $2.63 per case during the same period last year. The per case rate increase was driven by market forces impacted by COVID-19.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and marketing expenses were $5,382 during the first nine months of 2020, compared to $7,718 during the same period last year. As a percentage of net sales, selling and marketing costs decreased to 17% during the first nine months of 2020, as compared to 29% during the same period last year. The decrease represents a lapping of the “Fooled Your Mom” campaign which ran in the second quarter of 2019 as well as the Catalina retail register coupon program, which has yet to be used in 2020 and a lower level of digital advertising, event sampling and agency fees. In addition, personnel and travel related costs declined.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consist primarily of the cost of executive, administrative, and finance personnel, as well as professional fees. General and administrative expenses decreased in the first nine months of 2020 to $4,872 from $6,557, a decrease of $1,685 over the same period last year. The decrease was driven by lower severance of $682, forfeiture/expiration of options in the amount of $580, the lapping of a $220 one-time final transition cost incurred in 2019 related to our plant sale and a reduction professional fees and consultants of $70, and lower personnel and travel related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$5,960 for the first nine months of 2020, as compared to a loss of $11,365 in the same period last year driven by increase gross profit and reductions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and other expense for the first nine months of 2020, consisted of $961 of interest expense offset by the change in fair value of our warrant liability of $1. During the same period last year, interest and other expense consisted of $947 of interest expense offset by the change in fair value of our warrant liability of $23.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reconciliation of net loss to Modified EBITDA for the nine months ended September 30, 2020 and 2019 (unaudited;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Severance</w:t>
            </w:r>
          </w:p>
        </w:tc>
        <w:tc>
          <w:tcPr>
            <w:tcW w:w="2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EBITDA adjustments</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w:t>
            </w:r>
          </w:p>
        </w:tc>
        <w:tc>
          <w:tcPr>
            <w:tcW w:w="38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(4,808)</w:t>
            </w:r>
          </w:p>
        </w:tc>
        <w:tc>
          <w:tcPr>
            <w:tcW w:w="13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9</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nine months ended September 30, 2020, the Company recorded a net loss of $6,920 and used cash in operations of $6,768. As of September 30, 2020, we had a cash balance of $875 with borrowing capacity of $3,037, a stockholder’s equity of $558 and a negative working capital of $207, compared to a cash balance of $913 with borrowing capacity of $3,235, stockholders’ equity of $1,147 and a working capital of $4,885 at December 31, 2019.</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the Company conducted a public offering of 15,333,334 shares of its common stock at $0.375 per share, resulting in net proceeds to the Company of $5,310.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20, 2020, the Company received loan proceeds in the amount of $770 pursuant to the Paycheck Protection Program under the Coronavirus Aid, Relief and Economic Security Act (the “Cares Act”) (see Note 8).</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PPP loan agreement is dated April 20, 2020, matures on April 20, 2022, bears interest at a rate of 1% per annum, with the first six months of interest deferred, is payable monthly commencing on November 2020, and is unsecured and guaranteed by the U.S. Small Business Administration. The loan term may be extended to April 20, 2025, if mutually agreed to by the Company and lender. We applied ASC 470, </w:t>
      </w:r>
      <w:r>
        <w:rPr>
          <w:rFonts w:ascii="Arial" w:cs="Arial" w:eastAsia="Arial" w:hAnsi="Arial"/>
          <w:sz w:val="16"/>
          <w:szCs w:val="16"/>
          <w:i w:val="1"/>
          <w:iCs w:val="1"/>
          <w:color w:val="auto"/>
        </w:rPr>
        <w:t>Debt</w:t>
      </w:r>
      <w:r>
        <w:rPr>
          <w:rFonts w:ascii="Arial" w:cs="Arial" w:eastAsia="Arial" w:hAnsi="Arial"/>
          <w:sz w:val="16"/>
          <w:szCs w:val="16"/>
          <w:color w:val="auto"/>
        </w:rPr>
        <w:t>, to account for the PPP loan. The PPP loan may be prepaid at any time prior to maturity with no prepayment penalties. Funds from the PPP loan may only be used for qualifying expenses as described in the CARES Act, including qualifying payroll costs, qualifying group health care benefits, qualifying rent and debt obligations, and qualifying utilities. The Company intends to use the entire loan amount for qualifying expenses. Under the terms of the PPP, certain amounts of the loan may be forgiven if they are used for qualifying expenses. The Company intends to apply for forgiveness of the PPP loan with respect to these qualifying expenses, however, we cannot assure that such forgiveness of any portion of the PPP loan will occur. As for the potential loan forgiveness, once the PPP loan is, in part or wholly, forgiven and a legal release is received, the liability would be reduced by the amount forgiven and a gain on extinguishment would be recorded. The terms of the PPP loan provide for customary events of default including, among other things, payment defaults, breach of representations and warranties, and insolvency events. The Company was in compliance with the terms of the PPP loan as of September 30, 2020.</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conducted an evaluation of our disclosure controls and procedures, as such term is defined under Securities and Exchange Act of 1934 Rules 13a-15(f). Based on this evaluation, our Chief Executive Officer and our Chief Financial Officer concluded that the Company’s disclosure controls and procedures were not effective as of September 30, 2020. As of September 30, 2020, management’s assessment identified the following material weaknesses in the Company’s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i w:val="1"/>
          <w:iCs w:val="1"/>
          <w:color w:val="auto"/>
        </w:rPr>
        <w:t xml:space="preserve">Outsourced IT Service Providers </w:t>
      </w:r>
      <w:r>
        <w:rPr>
          <w:rFonts w:ascii="Arial" w:cs="Arial" w:eastAsia="Arial" w:hAnsi="Arial"/>
          <w:sz w:val="17"/>
          <w:szCs w:val="17"/>
          <w:color w:val="auto"/>
        </w:rPr>
        <w:t>- The Company relies upon a variety of outsourced Information Technology (IT) service providers for key elements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infrastructure impacting its financial reporting process. Certain of these outsourced IT service providers could not provide System and Organization Controls (SOC) reports. The Company did not have controls designed to assess the design and operation of internal controls pertaining to these outsourced IT service providers over the period of reliance. Given that management did not effectively assess the design and operation of certain outsourced IT service providers’ internal controls, certain of the Company’s controls over IT systems and business processes were also ineffective, to the extent that they rely upon information that was subject to the outsourced IT service providers’ control environment.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Segregation of Duties </w:t>
      </w:r>
      <w:r>
        <w:rPr>
          <w:rFonts w:ascii="Arial" w:cs="Arial" w:eastAsia="Arial" w:hAnsi="Arial"/>
          <w:sz w:val="18"/>
          <w:szCs w:val="18"/>
          <w:color w:val="auto"/>
        </w:rPr>
        <w:t>- The Company did not maintain effective policies to ensure adequate segregation of duties within its accounting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due to the size of the Company and the smaller nature of department teams, opportunities are limited to segregate duties, resulting in inabilities to soundly manage segregation of job responsibilities.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months ended September 30, 2020 that have materially affected, or are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Remediation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the section titled “Risk Factors” in Part II, Item 1A of this Quarterly Report, we have begun, with the oversight of senior management and our audit committee, to implement measures to remediate the identified material weakness. The execution of our remediation is ongoing and will require validation and testing of the design and operating effectiveness of internal controls over a sustained period of financial reporting cycles. Management expects to complete its remediation plan by the end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various legal proceedings from time to time in the ordinary course of business, none of which are required to be disclosed under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following risk factors and the other information set forth in this Quarterly Report on Form 10-Q, you should carefully consider the risk factors discussed in Part I, Item 1A of our Annual Report on Form 10-K (our Form 10-K) for the year ended December 31, 2019 and any subsequent filings with the Securities and Exchange Commission (SEC) made prior to the date hereof, which could materially affect our business, financial condition, results of operations or future results. The risks and uncertainties discussed below,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The risk factor below updates, and should be read together with, the risk factors disclosed in Part I, Item 1A of our Form 10-K. Please also read the Cautionary Notice Regarding Forward-Looking Statements in Part I, Item 2 of this Quarterly Report on Form 10-Q under the heading “Management’s Discussion and Analysis of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COVID-19 and other pandemics, epidemics, or outbreaks of a contagious illness may adversely affect our operating results, cash flows and financial condition.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COVID-19 coronavirus outbreak and other pandemics, epidemics, or outbreaks of a contagious illness, and similar events, may cause harm to us, our employees, our customers, our vendors and supply chain partners, and financial institutions, which could have a material adverse effect on our results of operations, financial condition and cash flows. The impacts may include, but would not be limited to:</w:t>
      </w:r>
    </w:p>
    <w:p>
      <w:pPr>
        <w:spacing w:after="0" w:line="184"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auto"/>
        </w:rPr>
        <w:t>Decreased availability and increased cost of supplies due to increased demand around food and food-related products due to increased global demand and disruptions along the global supply chains of these manufactures and distributors;</w:t>
      </w:r>
    </w:p>
    <w:p>
      <w:pPr>
        <w:spacing w:after="0" w:line="1" w:lineRule="exact"/>
        <w:rPr>
          <w:rFonts w:ascii="Arial" w:cs="Arial" w:eastAsia="Arial" w:hAnsi="Arial"/>
          <w:sz w:val="18"/>
          <w:szCs w:val="18"/>
          <w:color w:val="212529"/>
        </w:rPr>
      </w:pPr>
    </w:p>
    <w:p>
      <w:pPr>
        <w:ind w:left="660" w:hanging="328"/>
        <w:spacing w:after="0" w:line="250" w:lineRule="auto"/>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Disruption to operations due to the unavailability of employees due to illness, quarantines, risk of illness, travel restrictions or factors that limit our existing or potential workforce;</w:t>
      </w:r>
    </w:p>
    <w:p>
      <w:pPr>
        <w:ind w:left="660" w:hanging="328"/>
        <w:spacing w:after="0"/>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Elevated employee turnover which may increase payroll expense and recruiting-related expenses; and</w:t>
      </w:r>
    </w:p>
    <w:p>
      <w:pPr>
        <w:spacing w:after="0" w:line="9" w:lineRule="exact"/>
        <w:rPr>
          <w:rFonts w:ascii="Arial" w:cs="Arial" w:eastAsia="Arial" w:hAnsi="Arial"/>
          <w:sz w:val="18"/>
          <w:szCs w:val="18"/>
          <w:color w:val="212529"/>
        </w:rPr>
      </w:pPr>
    </w:p>
    <w:p>
      <w:pPr>
        <w:ind w:left="660" w:right="20" w:hanging="328"/>
        <w:spacing w:after="0" w:line="260" w:lineRule="auto"/>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Significant disruption of global financial markets, which could have a negative impact on us or our customers’ ability to access capital in the future.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have taken and will continue to take temporary precautionary measures intended to help minimize the risk of COVID-19 to our employees, including requiring administrative and other groups of our employees to work remotely, suspending non-essential travel and restricting attendance at industry events and in-person work-related meetings. Such measures could have a material adverse effect on our business.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further spread of COVID-19, and the requirements to take action to help limit the spread of the virus, could impact the resources required to carry out our business as usual and may have a material adverse effect on our results of operations, financial condition and cash flows. The extent to which COVID-19 will impact our business and our financial results will depend on future developments, which are highly uncertain and cannot be predicted. Such developments may include the ongoing geographic spread of the virus, the severity of the disease, the duration of the outbreak and the type and duration of actions that may be taken by various governmental authorities in response to the outbreak and the impact on the United States and the global economy. Any of these developments, individually or in aggregate, could materially impact our business and our financial results and condition.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identified material weaknesses in our disclosure controls and procedures and internal control over financial reporting. If not remediated, our failure to establish and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Maintaining effective internal control over financial reporting and effective disclosure controls and procedures are necessary for us to produce reliable financial statements. As discussed in Part I, Item 4 – “Controls and Procedures” of this Quarterly Report on Form 10-Q, we have re-evaluated our internal control over financial reporting and our disclosure controls and procedures and concluded that they were not effective as of September 30, 2020.</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we identified are (1) ineffective controls over outsourced IT systems and business processes and (2) inadequate segregation of duties within accounting processes. We identified these material weaknesses initially as of December 31, 2019. The execution of our remediation commenced in the first fiscal quarter of 2020 and entails splitting activities where inadequate segregation of duties existed and seeking an outsourced IT provider that can provide effective controls over outsourced IT systems and business processes. This activity is ongoing and will require validation and testing of the design and operating effectiveness of internal controls over a sustained period of financial reporting cycles. Management expects to complete its remediation plan during its fourth fiscal quarter ending December 31, 2020. Implementation of the Company’s remediation plans is being overseen by senior management and the audit committee.</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cannot assure you that we can effectively remediate our reported weaknesses or that other significant deficiencies or material weaknesses in our internal control over financial reporting will not be identified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regarding disclosure controls and the effectiveness of our internal control over financial reporting required under Section 404 and the SEC’s rules.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Continued determinations that there are material weaknesses in our internal controls could also reduce our ability to obtain financing or increase the cost of any financing we obtain and require additional expenditures of both money and our management’s time to comply with applicable requirements.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entitled to forgiveness of our recently received Paycheck Protection Program Loan, and our application for the Paycheck Protection Program Loan could in the future be determined to have been impermissible.</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20, 2020, we were granted a Paycheck Protection Program loan (the “PPP loan”) under the Coronavirus Aid, Relief, and Economic Security Act (the “CARES Act”) administered by the U.S. Small Business Administration (the “SBA”) in the aggregate amount of $770,000 pursuant to the Paycheck Protection Program (the “PPP”) under the CARES Act. The PPP loan agreement is dated April 20, 2020, matures on April 20, 2022, bears interest at a rate of 1% per annum, with the first six months of interest deferred, is payable monthly commencing on November 2020, and is unsecured and guaranteed by the U.S. Small Business Administration. The loan term may be extended to April 20, 2025, if mutually agreed to by the Company and lender. The PPP loan may be prepaid at any time prior to maturity with no prepayment penalties. Under the CARES Act, as amended in June 2020, loan forgiveness is generally available for the sum of documented payroll costs, covered rent payments, covered mortgage interest and covered utilities during the “Covered Period”, which is 8 weeks or 24 weeks (at the election of the Company) beginning on the date of the first disbursement of the PPP Loan. We will be required to repay any portion of the outstanding principal that is not forgiven, along with accrued interest, and we cannot provide any assurance that we will be eligible for loan forgiveness, that we will apply for forgiveness, or that any amount of the PPP Loan will ultimately be forgiven by the SBA. In order to apply for the PPP Loan, we were required to certify, among other things, that the current economic uncertainty made the PPP Loan request necessary to support our ongoing operations. We made this certification in good faith after analyzing, among other things, the maintenance of our workforce, our need for additional funding to continue operations, and our ability to access alternative forms of capital in the current market environment to offset the effects of the COVID-19 pandemic. Following this analysis, we believe that we satisfied all eligibility criteria for the PPP Loan, and that our receipt of the PPP Loan is consistent with the broad objectives of the CARES Act. The certification described above is subject to interpretation. On April 23, 2020, the SBA issued guidance stating that it is unlikely that a public company with substantial market value and access to capital markets will be able to make the required certification in</w:t>
      </w:r>
    </w:p>
    <w:p>
      <w:pPr>
        <w:sectPr>
          <w:pgSz w:w="11900" w:h="16889" w:orient="portrait"/>
          <w:cols w:equalWidth="0" w:num="1">
            <w:col w:w="11240"/>
          </w:cols>
          <w:pgMar w:left="320" w:top="665" w:right="339" w:bottom="0" w:gutter="0" w:footer="0" w:header="0"/>
        </w:sectPr>
      </w:pPr>
    </w:p>
    <w:bookmarkStart w:id="32" w:name="page33"/>
    <w:bookmarkEnd w:id="32"/>
    <w:p>
      <w:pPr>
        <w:jc w:val="both"/>
        <w:spacing w:after="0" w:line="272" w:lineRule="auto"/>
        <w:rPr>
          <w:sz w:val="20"/>
          <w:szCs w:val="20"/>
          <w:color w:val="auto"/>
        </w:rPr>
      </w:pPr>
      <w:r>
        <w:rPr>
          <w:rFonts w:ascii="Arial" w:cs="Arial" w:eastAsia="Arial" w:hAnsi="Arial"/>
          <w:sz w:val="17"/>
          <w:szCs w:val="17"/>
          <w:color w:val="auto"/>
        </w:rPr>
        <w:t>good faith. The lack of clarity regarding loan eligibility under the Paycheck Protection Program has resulted in significant media coverage and controversy with respect to public companies applying for and receiving loans. If, despite our good-faith belief that given our circumstances we satisfied all eligible requirements for the PPP Loan, we are later determined to have not been in compliance with these requirements or it is otherwise determined that we were ineligible to receive the PPP Loan, we may be required to repay the PPP Loan in its entirety and/or be subject to additional penalties. Should we be audited or reviewed by federal or state regulatory authorities as a result of filing an application for forgiveness of the PPP Loan or otherwise, such audit or review could result in the diversion of management’s time and attention and the incurrence of additional costs. Any of these events could have a material adverse effect on our business, results of operations and financial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140" w:type="dxa"/>
            <w:vAlign w:val="bottom"/>
          </w:tcPr>
          <w:p>
            <w:pPr>
              <w:spacing w:after="0"/>
              <w:rPr>
                <w:sz w:val="18"/>
                <w:szCs w:val="18"/>
                <w:color w:val="auto"/>
              </w:rPr>
            </w:pPr>
          </w:p>
        </w:tc>
      </w:tr>
      <w:tr>
        <w:trPr>
          <w:trHeight w:val="237"/>
        </w:trPr>
        <w:tc>
          <w:tcPr>
            <w:tcW w:w="1100" w:type="dxa"/>
            <w:vAlign w:val="bottom"/>
            <w:gridSpan w:val="2"/>
          </w:tcPr>
          <w:p>
            <w:pPr>
              <w:spacing w:after="0"/>
              <w:rPr>
                <w:sz w:val="20"/>
                <w:szCs w:val="20"/>
                <w:color w:val="auto"/>
              </w:rPr>
            </w:pPr>
            <w:r>
              <w:rPr>
                <w:rFonts w:ascii="Arial" w:cs="Arial" w:eastAsia="Arial" w:hAnsi="Arial"/>
                <w:sz w:val="18"/>
                <w:szCs w:val="18"/>
                <w:color w:val="auto"/>
              </w:rPr>
              <w:t>No.</w:t>
            </w:r>
          </w:p>
        </w:tc>
        <w:tc>
          <w:tcPr>
            <w:tcW w:w="1014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02"/>
        </w:trPr>
        <w:tc>
          <w:tcPr>
            <w:tcW w:w="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10140" w:type="dxa"/>
            <w:vAlign w:val="bottom"/>
            <w:tcBorders>
              <w:top w:val="single" w:sz="8" w:color="auto"/>
            </w:tcBorders>
          </w:tcPr>
          <w:p>
            <w:pPr>
              <w:spacing w:after="0" w:line="201" w:lineRule="exact"/>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Certification of Chief Executive Officer pursuant to Section 302 of the Sarbanes-Oxley Act of 2002.*</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1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Certification of Chief Financial Officer pursuant to Section 302 of the Sarbanes-Oxley Act of 2002.*</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14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Executive Officer pursuant to Section 906 of the Sarbanes-Oxley Act of 2002.*</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1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Certification of Chief Financial Officer pursuant to Section 906 of the Sarbanes-Oxley Act of 2002.*</w:t>
              </w:r>
            </w:hyperlink>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 Release 33-8238, Exhibits 32.1 and 32.2 are being furnished and not filed.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J. Spisak,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September 30, 2020 as filed with the U.S. Securities and Exchange Commission on the date hereof (the “Report”), Norman E. Snyder, Jr., Interim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September 30, 2020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upperLetter"/>
      <w:start w:val="1"/>
    </w:lvl>
  </w:abstractNum>
  <w:abstractNum w:abstractNumId="4">
    <w:nsid w:val="5BD062C2"/>
    <w:multiLevelType w:val="hybridMultilevel"/>
    <w:lvl w:ilvl="0">
      <w:lvlJc w:val="left"/>
      <w:lvlText w:val="(%1)"/>
      <w:numFmt w:val="upperLetter"/>
      <w:start w:val="3"/>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upp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2020-11-09T15:57:36Z</dcterms:created>
  <dcterms:modified xsi:type="dcterms:W3CDTF">2020-11-09T15:57:36Z</dcterms:modified>
</cp:coreProperties>
</file>