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2" w:name="xdx_907_edei--DocumentType_dxL_c20250101"/>
      <w:bookmarkEnd w:id="2"/>
      <w:r>
        <w:rPr>
          <w:rFonts w:ascii="Times New Roman;Times;Serif" w:hAnsi="Times New Roman;Times;Serif"/>
          <w:b/>
          <w:i w:val="false"/>
          <w:caps w:val="false"/>
          <w:smallCaps w:val="false"/>
          <w:sz w:val="36"/>
        </w:rPr>
        <w:t>SCHEDULE 14A INFORMATION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245"/>
        <w:gridCol w:w="366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 240.14a-12</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3" w:name="xdx_909_edei--EntityRegistrantName_c2025"/>
      <w:bookmarkEnd w:id="3"/>
      <w:r>
        <w:rPr>
          <w:rFonts w:ascii="Times New Roman;Times;Serif" w:hAnsi="Times New Roman;Times;Serif"/>
          <w:b/>
          <w:i w:val="false"/>
          <w:caps w:val="false"/>
          <w:smallCaps w:val="false"/>
          <w:sz w:val="36"/>
        </w:rPr>
        <w:t>Reed’s,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1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3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501 Merritt 7 PH, Norwalk, CT 06851</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ANNUAL MEETING OF STOCKHOLDERS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JUNE 10, 2026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the Annual Meeting of Stockholders (the “Annual Meeting”) of Reed’s, Inc., a Delaware corporation (the “Company”). The Annual Meeting will be held virtually via live webcast at www.virtualshareholdermeeting.com/reed2026 on Wednesday, June 10, 2026 at 9:00 a.m. Eastern Time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Shufen Deng, Neal M. Cohane, Michael C. Tu, Sam Van, and Rudolf J. M. Bakker as directors to hold office until the Company’s 2027 annual meeting of stockholders and until their successors have been duly elected and qualified or such director’s earlier death, resignation or removal.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selection by the Audit Committee of the Board of Directors of Weinberg &amp; Company, P.A. as the Company’s independent registered public accounting firm for the year ending December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Company’s 2026 Equity Incentive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the compensation of the Company’s Named Executive Officers, as disclosed in the accompanying proxy statement.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indicate, on an advisory basis, the preferred frequency of stockholder advisory votes on the compensation of the Company’s Named Executive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99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conduct any other business properly brought before the Annual Meeting or any adjournment or postponement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items of business are more fully described in the attached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Meeting will be held in a virtual meeting format only. </w:t>
      </w:r>
      <w:r>
        <w:rPr>
          <w:rFonts w:ascii="Times New Roman;Times;Serif" w:hAnsi="Times New Roman;Times;Serif"/>
          <w:b w:val="false"/>
          <w:i w:val="false"/>
          <w:caps w:val="false"/>
          <w:smallCaps w:val="false"/>
          <w:sz w:val="20"/>
          <w:u w:val="single"/>
        </w:rPr>
        <w:t>You will not be able to attend the Annual Meeting in person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Annual Meeting is April 17, 2026. Only stockholders of record at the close of business on that date may vote at the Annual Meeting or any adjournment thereof. A complete list of record stockholders will be available for examination by any stockholder for any purpose germane to the Annual Meeting for a period of ten days ending on the day before the Annual Meeting date. If you would like to view the list, please contact us at our principal executive offices between the hours of 9:00 a.m. and 5:00 p.m. Eastern Time at Reed’s, Inc., Attn: Corporate Secretary, 501 Merritt 7 PH, Norwalk, CT 06851; telephone (800) 997-3337.</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Annual Meeting of stockholders to be held via live webcast at www.virtualshareholdermeeting.com/reed2026 on June 10, 2026 at 9:00 AM EASTERN TIME.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proxy statement and our annual report will be available to stockholders at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www.proxyvote.com.</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660" w:type="dxa"/>
        <w:jc w:val="left"/>
        <w:tblInd w:w="0" w:type="dxa"/>
        <w:tblLayout w:type="fixed"/>
        <w:tblCellMar>
          <w:top w:w="0" w:type="dxa"/>
          <w:left w:w="0" w:type="dxa"/>
          <w:bottom w:w="28" w:type="dxa"/>
          <w:right w:w="0" w:type="dxa"/>
        </w:tblCellMar>
      </w:tblPr>
      <w:tblGrid>
        <w:gridCol w:w="2585"/>
        <w:gridCol w:w="7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p>
            <w:pPr>
              <w:pStyle w:val="TableContents"/>
              <w:bidi w:val="0"/>
              <w:spacing w:before="0" w:after="0"/>
              <w:ind w:left="240" w:right="0" w:hanging="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dated April 29, 2026 and is first being made available to stockholders on April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are cordially invited to attend the Annual Meeting via live webcast at www.virtualshareholdermeeting.com/reed2026. Whether or not you expect to attend the Annual Meeting, please complete, date, sign and return the proxy mailed to you, or vote over the telephone or via the internet as instructed in these materials, as promptly as possible in order to ensure your vote is counted at the Annual Meeting. Please note that if your shares are held of record by a broker, bank or other nominee and you wish to vote at the Annual Meeting, you must obtain a proxy issued in your name from that record holder.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30"/>
        <w:gridCol w:w="575"/>
      </w:tblGrid>
      <w:tr>
        <w:trPr/>
        <w:tc>
          <w:tcPr>
            <w:tcW w:w="9630" w:type="dxa"/>
            <w:tcBorders/>
            <w:vAlign w:val="center"/>
          </w:tcPr>
          <w:p>
            <w:pPr>
              <w:pStyle w:val="TableContents"/>
              <w:bidi w:val="0"/>
              <w:spacing w:before="0" w:after="283"/>
              <w:jc w:val="center"/>
              <w:rPr>
                <w:caps/>
              </w:rPr>
            </w:pPr>
            <w:r>
              <w:rPr>
                <w:caps/>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sz w:val="20"/>
              </w:rPr>
            </w:pPr>
            <w:r>
              <w:rPr>
                <w:rFonts w:ascii="Times New Roman;Times;Serif" w:hAnsi="Times New Roman;Times;Serif"/>
                <w:b/>
                <w:i w:val="false"/>
                <w:caps/>
                <w:sz w:val="20"/>
              </w:rPr>
              <w:t>Page</w:t>
            </w:r>
          </w:p>
        </w:tc>
      </w:tr>
      <w:tr>
        <w:trPr/>
        <w:tc>
          <w:tcPr>
            <w:tcW w:w="963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sz w:val="20"/>
                </w:rPr>
                <w:t>QUESTIONS AND ANSWERS ABOUT THESE PROXY MATERIALS AND VOTING</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2</w:t>
            </w:r>
          </w:p>
        </w:tc>
      </w:tr>
      <w:tr>
        <w:trPr/>
        <w:tc>
          <w:tcPr>
            <w:tcW w:w="963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sz w:val="20"/>
                </w:rPr>
                <w:t>PROPOSAL NO. 1 ELECTION OF DIRECTORS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9</w:t>
            </w:r>
          </w:p>
        </w:tc>
      </w:tr>
      <w:tr>
        <w:trPr/>
        <w:tc>
          <w:tcPr>
            <w:tcW w:w="963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sz w:val="20"/>
                </w:rPr>
                <w:t>CORPORATE GOVERNANCE AND BOARD MATTERS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11</w:t>
            </w:r>
          </w:p>
        </w:tc>
      </w:tr>
      <w:tr>
        <w:trPr/>
        <w:tc>
          <w:tcPr>
            <w:tcW w:w="963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sz w:val="20"/>
                </w:rPr>
                <w:t>PROPOSAL NO. 2 RATIFICATION OF SELECTION OF INDEPENDENT REGISTERED PUBLIC ACCOUNTING FIRM</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19</w:t>
            </w:r>
          </w:p>
        </w:tc>
      </w:tr>
      <w:tr>
        <w:trPr/>
        <w:tc>
          <w:tcPr>
            <w:tcW w:w="963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sz w:val="20"/>
                </w:rPr>
                <w:t>PROPOSAL 3: APPROVAL OF THE COMPANY’S 2026 EQUITY INCENTIVE PLAN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20</w:t>
            </w:r>
          </w:p>
        </w:tc>
      </w:tr>
      <w:tr>
        <w:trPr/>
        <w:tc>
          <w:tcPr>
            <w:tcW w:w="963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sz w:val="20"/>
                </w:rPr>
                <w:t>PROPOSAL NO. 4 ADVISORY VOTE ON EXECUTIVE COMPENSATION</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30</w:t>
            </w:r>
          </w:p>
        </w:tc>
      </w:tr>
      <w:tr>
        <w:trPr/>
        <w:tc>
          <w:tcPr>
            <w:tcW w:w="963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sz w:val="20"/>
                </w:rPr>
                <w:t>PROPOSAL NO. 5 ADVISORY VOTE ON THE FREQUENCY OF SOLICITATION OF ADVISORY STOCKHOLDER APPROVAL OF EXECUTIVE COMPENSATION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31</w:t>
            </w:r>
          </w:p>
        </w:tc>
      </w:tr>
      <w:tr>
        <w:trPr/>
        <w:tc>
          <w:tcPr>
            <w:tcW w:w="9630" w:type="dxa"/>
            <w:tcBorders/>
            <w:shd w:fill="FFFFFF" w:val="clear"/>
            <w:vAlign w:val="center"/>
          </w:tcPr>
          <w:p>
            <w:pPr>
              <w:pStyle w:val="TableContents"/>
              <w:bidi w:val="0"/>
              <w:spacing w:before="0" w:after="283"/>
              <w:jc w:val="left"/>
              <w:rPr/>
            </w:pPr>
            <w:hyperlink w:anchor="su_001">
              <w:r>
                <w:rPr>
                  <w:rStyle w:val="InternetLink"/>
                  <w:rFonts w:ascii="Times New Roman;Times;Serif" w:hAnsi="Times New Roman;Times;Serif"/>
                  <w:b w:val="false"/>
                  <w:i w:val="false"/>
                  <w:caps/>
                  <w:sz w:val="20"/>
                </w:rPr>
                <w:t>EXECUTIVE OFFICERS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32</w:t>
            </w:r>
          </w:p>
        </w:tc>
      </w:tr>
      <w:tr>
        <w:trPr/>
        <w:tc>
          <w:tcPr>
            <w:tcW w:w="9630" w:type="dxa"/>
            <w:tcBorders/>
            <w:shd w:fill="CCEEFF" w:val="clear"/>
            <w:vAlign w:val="center"/>
          </w:tcPr>
          <w:p>
            <w:pPr>
              <w:pStyle w:val="TableContents"/>
              <w:bidi w:val="0"/>
              <w:spacing w:before="0" w:after="283"/>
              <w:jc w:val="left"/>
              <w:rPr/>
            </w:pPr>
            <w:hyperlink w:anchor="su_002">
              <w:r>
                <w:rPr>
                  <w:rStyle w:val="InternetLink"/>
                  <w:rFonts w:ascii="Times New Roman;Times;Serif" w:hAnsi="Times New Roman;Times;Serif"/>
                  <w:b w:val="false"/>
                  <w:i w:val="false"/>
                  <w:caps/>
                  <w:sz w:val="20"/>
                </w:rPr>
                <w:t>EXECUTIVE COMPENSATION</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33</w:t>
            </w:r>
          </w:p>
        </w:tc>
      </w:tr>
      <w:tr>
        <w:trPr/>
        <w:tc>
          <w:tcPr>
            <w:tcW w:w="9630" w:type="dxa"/>
            <w:tcBorders/>
            <w:shd w:fill="FFFFFF" w:val="clear"/>
            <w:vAlign w:val="center"/>
          </w:tcPr>
          <w:p>
            <w:pPr>
              <w:pStyle w:val="TableContents"/>
              <w:bidi w:val="0"/>
              <w:spacing w:before="0" w:after="283"/>
              <w:jc w:val="left"/>
              <w:rPr/>
            </w:pPr>
            <w:hyperlink w:anchor="su_003">
              <w:r>
                <w:rPr>
                  <w:rStyle w:val="InternetLink"/>
                  <w:rFonts w:ascii="Times New Roman;Times;Serif" w:hAnsi="Times New Roman;Times;Serif"/>
                  <w:b w:val="false"/>
                  <w:i w:val="false"/>
                  <w:caps/>
                  <w:sz w:val="20"/>
                </w:rPr>
                <w:t>DIRECTOR COMPENSATION</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39</w:t>
            </w:r>
          </w:p>
        </w:tc>
      </w:tr>
      <w:tr>
        <w:trPr/>
        <w:tc>
          <w:tcPr>
            <w:tcW w:w="9630" w:type="dxa"/>
            <w:tcBorders/>
            <w:shd w:fill="CCEEFF" w:val="clear"/>
            <w:vAlign w:val="center"/>
          </w:tcPr>
          <w:p>
            <w:pPr>
              <w:pStyle w:val="TableContents"/>
              <w:bidi w:val="0"/>
              <w:spacing w:before="0" w:after="283"/>
              <w:jc w:val="left"/>
              <w:rPr/>
            </w:pPr>
            <w:hyperlink w:anchor="su_011">
              <w:r>
                <w:rPr>
                  <w:rStyle w:val="InternetLink"/>
                  <w:rFonts w:ascii="Times New Roman;Times;Serif" w:hAnsi="Times New Roman;Times;Serif"/>
                  <w:b w:val="false"/>
                  <w:i w:val="false"/>
                  <w:caps/>
                  <w:sz w:val="20"/>
                </w:rPr>
                <w:t>SECURITIES AUTHORIZED FOR ISSUANCE UNDER EQUITY COMPENSATION PLANS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40</w:t>
            </w:r>
          </w:p>
        </w:tc>
      </w:tr>
      <w:tr>
        <w:trPr/>
        <w:tc>
          <w:tcPr>
            <w:tcW w:w="9630" w:type="dxa"/>
            <w:tcBorders/>
            <w:shd w:fill="FFFFFF" w:val="clear"/>
            <w:vAlign w:val="center"/>
          </w:tcPr>
          <w:p>
            <w:pPr>
              <w:pStyle w:val="TableContents"/>
              <w:bidi w:val="0"/>
              <w:spacing w:before="0" w:after="283"/>
              <w:jc w:val="left"/>
              <w:rPr/>
            </w:pPr>
            <w:hyperlink w:anchor="su_012">
              <w:r>
                <w:rPr>
                  <w:rStyle w:val="InternetLink"/>
                  <w:rFonts w:ascii="Times New Roman;Times;Serif" w:hAnsi="Times New Roman;Times;Serif"/>
                  <w:b w:val="false"/>
                  <w:i w:val="false"/>
                  <w:caps/>
                  <w:sz w:val="20"/>
                </w:rPr>
                <w:t>SECURITY OWNERSHIP OF CERTAIN BENEFICIAL OWNERS AND MANAGEMENT</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41</w:t>
            </w:r>
          </w:p>
        </w:tc>
      </w:tr>
      <w:tr>
        <w:trPr/>
        <w:tc>
          <w:tcPr>
            <w:tcW w:w="9630" w:type="dxa"/>
            <w:tcBorders/>
            <w:shd w:fill="CCEEFF" w:val="clear"/>
            <w:vAlign w:val="center"/>
          </w:tcPr>
          <w:p>
            <w:pPr>
              <w:pStyle w:val="TableContents"/>
              <w:bidi w:val="0"/>
              <w:spacing w:before="0" w:after="283"/>
              <w:jc w:val="left"/>
              <w:rPr/>
            </w:pPr>
            <w:hyperlink w:anchor="su_004">
              <w:r>
                <w:rPr>
                  <w:rStyle w:val="InternetLink"/>
                  <w:rFonts w:ascii="Times New Roman;Times;Serif" w:hAnsi="Times New Roman;Times;Serif"/>
                  <w:b w:val="false"/>
                  <w:i w:val="false"/>
                  <w:caps/>
                  <w:sz w:val="20"/>
                </w:rPr>
                <w:t>DELINQUENT SECTION 16(A) REPORTS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42</w:t>
            </w:r>
          </w:p>
        </w:tc>
      </w:tr>
      <w:tr>
        <w:trPr/>
        <w:tc>
          <w:tcPr>
            <w:tcW w:w="9630" w:type="dxa"/>
            <w:tcBorders/>
            <w:shd w:fill="FFFFFF" w:val="clear"/>
            <w:vAlign w:val="center"/>
          </w:tcPr>
          <w:p>
            <w:pPr>
              <w:pStyle w:val="TableContents"/>
              <w:bidi w:val="0"/>
              <w:spacing w:before="0" w:after="283"/>
              <w:jc w:val="left"/>
              <w:rPr/>
            </w:pPr>
            <w:hyperlink w:anchor="su_005">
              <w:r>
                <w:rPr>
                  <w:rStyle w:val="InternetLink"/>
                  <w:rFonts w:ascii="Times New Roman;Times;Serif" w:hAnsi="Times New Roman;Times;Serif"/>
                  <w:b w:val="false"/>
                  <w:i w:val="false"/>
                  <w:caps/>
                  <w:sz w:val="20"/>
                </w:rPr>
                <w:t>Transactions with Related Persons and Indemnification</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43</w:t>
            </w:r>
          </w:p>
        </w:tc>
      </w:tr>
      <w:tr>
        <w:trPr/>
        <w:tc>
          <w:tcPr>
            <w:tcW w:w="9630" w:type="dxa"/>
            <w:tcBorders/>
            <w:shd w:fill="CCEEFF" w:val="clear"/>
            <w:vAlign w:val="center"/>
          </w:tcPr>
          <w:p>
            <w:pPr>
              <w:pStyle w:val="TableContents"/>
              <w:bidi w:val="0"/>
              <w:spacing w:before="0" w:after="283"/>
              <w:jc w:val="left"/>
              <w:rPr/>
            </w:pPr>
            <w:hyperlink w:anchor="su_006">
              <w:r>
                <w:rPr>
                  <w:rStyle w:val="InternetLink"/>
                  <w:rFonts w:ascii="Times New Roman;Times;Serif" w:hAnsi="Times New Roman;Times;Serif"/>
                  <w:b w:val="false"/>
                  <w:i w:val="false"/>
                  <w:caps/>
                  <w:sz w:val="20"/>
                </w:rPr>
                <w:t>HOUSEHOLDING OF PROXY MATERIALS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47</w:t>
            </w:r>
          </w:p>
        </w:tc>
      </w:tr>
      <w:tr>
        <w:trPr/>
        <w:tc>
          <w:tcPr>
            <w:tcW w:w="9630" w:type="dxa"/>
            <w:tcBorders/>
            <w:shd w:fill="FFFFFF" w:val="clear"/>
            <w:vAlign w:val="center"/>
          </w:tcPr>
          <w:p>
            <w:pPr>
              <w:pStyle w:val="TableContents"/>
              <w:bidi w:val="0"/>
              <w:spacing w:before="0" w:after="283"/>
              <w:jc w:val="left"/>
              <w:rPr/>
            </w:pPr>
            <w:hyperlink w:anchor="su_007">
              <w:r>
                <w:rPr>
                  <w:rStyle w:val="InternetLink"/>
                  <w:rFonts w:ascii="Times New Roman;Times;Serif" w:hAnsi="Times New Roman;Times;Serif"/>
                  <w:b w:val="false"/>
                  <w:i w:val="false"/>
                  <w:caps/>
                  <w:sz w:val="20"/>
                </w:rPr>
                <w:t>ADDITIONAL FILINGS</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47</w:t>
            </w:r>
          </w:p>
        </w:tc>
      </w:tr>
      <w:tr>
        <w:trPr/>
        <w:tc>
          <w:tcPr>
            <w:tcW w:w="9630" w:type="dxa"/>
            <w:tcBorders/>
            <w:shd w:fill="CCEEFF" w:val="clear"/>
            <w:vAlign w:val="center"/>
          </w:tcPr>
          <w:p>
            <w:pPr>
              <w:pStyle w:val="TableContents"/>
              <w:bidi w:val="0"/>
              <w:spacing w:before="0" w:after="283"/>
              <w:jc w:val="left"/>
              <w:rPr/>
            </w:pPr>
            <w:hyperlink w:anchor="su_008">
              <w:r>
                <w:rPr>
                  <w:rStyle w:val="InternetLink"/>
                  <w:rFonts w:ascii="Times New Roman;Times;Serif" w:hAnsi="Times New Roman;Times;Serif"/>
                  <w:b w:val="false"/>
                  <w:i w:val="false"/>
                  <w:caps/>
                  <w:sz w:val="20"/>
                </w:rPr>
                <w:t>OTHER MATTERS</w:t>
              </w:r>
            </w:hyperlink>
          </w:p>
        </w:tc>
        <w:tc>
          <w:tcPr>
            <w:tcW w:w="575" w:type="dxa"/>
            <w:tcBorders/>
            <w:shd w:fill="CCEEFF" w:val="clear"/>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47</w:t>
            </w:r>
          </w:p>
        </w:tc>
      </w:tr>
      <w:tr>
        <w:trPr/>
        <w:tc>
          <w:tcPr>
            <w:tcW w:w="9630" w:type="dxa"/>
            <w:tcBorders/>
            <w:shd w:fill="FFFFFF" w:val="clear"/>
            <w:vAlign w:val="center"/>
          </w:tcPr>
          <w:p>
            <w:pPr>
              <w:pStyle w:val="TableContents"/>
              <w:bidi w:val="0"/>
              <w:spacing w:before="0" w:after="283"/>
              <w:jc w:val="left"/>
              <w:rPr/>
            </w:pPr>
            <w:hyperlink w:anchor="su_009">
              <w:r>
                <w:rPr>
                  <w:rStyle w:val="InternetLink"/>
                  <w:rFonts w:ascii="Times New Roman;Times;Serif" w:hAnsi="Times New Roman;Times;Serif"/>
                  <w:b w:val="false"/>
                  <w:i w:val="false"/>
                  <w:caps w:val="false"/>
                  <w:smallCaps w:val="false"/>
                  <w:sz w:val="20"/>
                </w:rPr>
                <w:t>APPENDIX A REED’S, INC. 2026 EQUITY INCENTIVE PLAN</w:t>
              </w:r>
            </w:hyperlink>
          </w:p>
        </w:tc>
        <w:tc>
          <w:tcPr>
            <w:tcW w:w="5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on, or otherwise accessible through, our website does not constitute a part of this proxy statement.</w:t>
      </w:r>
    </w:p>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REED’S, INC.</w:t>
      </w:r>
    </w:p>
    <w:p>
      <w:pPr>
        <w:pStyle w:val="TextBody"/>
        <w:shd w:fill="FFFFFF" w:val="clea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501 Merritt 7 PH, Norwalk, CT 06851</w:t>
      </w:r>
    </w:p>
    <w:p>
      <w:pPr>
        <w:pStyle w:val="TextBody"/>
        <w:shd w:fill="FFFFFF" w:val="clear"/>
        <w:bidi w:val="0"/>
        <w:spacing w:before="0" w:after="0"/>
        <w:ind w:left="0" w:right="0" w:hanging="0"/>
        <w:jc w:val="center"/>
        <w:rPr>
          <w:caps/>
        </w:rPr>
      </w:pPr>
      <w:r>
        <w:rPr>
          <w:caps/>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2026 ANNUAL MEETING OF STOCKHOLDERS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10,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a_001"/>
      <w:bookmarkEnd w:id="4"/>
      <w:r>
        <w:rPr>
          <w:rFonts w:ascii="Times New Roman;Times;Serif" w:hAnsi="Times New Roman;Times;Serif"/>
          <w:b/>
          <w:i w:val="false"/>
          <w:caps/>
          <w:sz w:val="20"/>
        </w:rPr>
        <w:t>QUESTIONS AND ANSWERS ABOUT THESE PROXY MATERIALS AND VOTING</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did I receive a notice regarding the availability of proxy materials on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of Reed’s, Inc. (the “Company,” “Reed’s,” “we,” “us” or “our”) is soliciting your proxy to vote at the 2026 Annual Meeting of Stockholders (the “Annual Meeting”), including at any adjournments or postponements thereof.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mail the Notice on or about April 29, 2026 to all stockholders of record entitled to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I receive any other proxy materials by 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you will not receive any other proxy materials by mail unless you request a paper copy of proxy materials. All stockholders will have the ability to access the proxy materials online at www.proxyvote.com or may request a printed set of the proxy materials. Instructions on how to access the proxy materials or to request a printed copy may be found in the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will be held on Wednesday, June 10, 2026 at 9:00 a.m. Eastern Time. This year’s Annual Meeting will be a completely “virtual meeting” of shareholders. You will be able to attend the Annual Meeting, vote and submit your questions during the Annual Meeting via live webcast by visiting www.virtualshareholdermeeting.com/reed2026 and entering the 16-digit control number included in your Notice, on your proxy card or in the instructions that accompanied your proxy materials. You will not be able to attend the Annual Meeting in person. If you are a beneficial stockholder, you should contact the bank, broker or other institution where you hold your account well in advance of the Annual Meeting if you have questions about obtaining your control number and proxy to vote. The virtual meeting has been designed to provide the same rights to participate as you would have at an in-person meeting. Information on how to vote before and during the Annual Meeting is discussed below. Whether or not you participate in the Annual Meeting, it is important that you vote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cannot find my control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if you do not have your control number and you are a registered stockholder, you will be able to log in as a guest. To view the Annual Meeting webcast, visit www.virtualshareholdermeeting.com/reed2026 and register as a guest. If you log in as a guest, you will not be able to vote your shares or ask questions during the Annual Meeting. If you are a beneficial owner (that is, you hold your shares in an account at a bank, broker or other holder of record), you will need to contact that bank, broker or other holder of record to obtain your control number prior to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is the record date for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record date for the Annual Meeting to be the close of business on April 17, 2026 (the “Record Date”).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I be able to ask questions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spend up to 15 minutes answering appropriate stockholder questions at the conclusion of the Annual Meeting and will include as many stockholder questions that comply with the rules of conduct for the Annual Meeting as the allotted time permits. If we receive substantially similar questions, we will group such questions together and provide a single response to avoid repetition. The question-and-answer session will include questions submitted in advance of, and questions submitted live during, the Annual Meeting. You may submit a question in advance of the Annual Meeting at proxyvote.com after logging in with your control number. Questions may be submitted during the Annual Meeting through www.virtualshareholdermeeting.com/reed2026. Questions that are not relevant to the proposals to be voted on at the Annual Meeting will not be responded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technical difficulties or trouble accessing the virtual meeting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virtual meeting platform vendor will have technicians ready to assist you with any technical difficulties you may have accessing the virtual meeting or submitting questions. If you encounter any difficulties accessing the virtual meeting, please call the technical support number that will be posted on the meeting login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cannot virtually attend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your shares electronically before the Annual Meeting by internet, by proxy or by telephone as described below. You do not need to access the Annual Meeting webcast to vote if you submitted your vote via proxy, by internet or by telephone in advance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stockholders of record at the close of business on the Record Date will be entitled to vote at the Annual Meeting. On the Record Date, there were 11,820,429 shares of common stock outstanding and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our transfer agent, Transfer Online, Inc., then you are a stockholder of record. As a stockholder of record, you may vote through the internet before or during the Annual Meeting, by proxy through the internet or by telephone, or by proxy using a proxy card that you may request or that we may elect to deliver at a later time. Whether or not you plan to attend the Annual Meeting, we urge you to vote by proxy through the internet or by telephone as instructed below or by completing a proxy card that you may request or that we may elect to deliver at a later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a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not held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your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or voting instruction form, and you wish to vote prior to or at the virtual Annual Meeting, you must follow the instructions from your broker, bank or other stockholder of record, including any requirement to obtain a valid legal proxy.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am I voting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five matters scheduled for a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1 </w:t>
            </w:r>
            <w:r>
              <w:rPr>
                <w:rFonts w:ascii="Times New Roman;Times;Serif" w:hAnsi="Times New Roman;Times;Serif"/>
              </w:rPr>
              <w:t>– To elect Shufen Deng, Neal M. Cohane, Michael C. Tu, Sam Van, and Rudolf J. M. Bakker as directors to hold office until the Company’s 2027 annual meeting of stockholders and until their successors have been duly elected and qualified or such director’s earlier death, resignation or removal.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2 </w:t>
            </w:r>
            <w:r>
              <w:rPr>
                <w:rFonts w:ascii="Times New Roman;Times;Serif" w:hAnsi="Times New Roman;Times;Serif"/>
              </w:rPr>
              <w:t>– To ratify the selection by the Audit Committee of the Board of Directors (the “Audit Committee”) of Weinberg &amp; Company, P.A. (“Weinberg”) as our independent registered public accounting firm for the year ending December 31,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3 </w:t>
            </w:r>
            <w:r>
              <w:rPr>
                <w:rFonts w:ascii="Times New Roman;Times;Serif" w:hAnsi="Times New Roman;Times;Serif"/>
              </w:rPr>
              <w:t>– To approve the Company’s 2026 Equity Incentive Plan.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4 </w:t>
            </w:r>
            <w:r>
              <w:rPr>
                <w:rFonts w:ascii="Times New Roman;Times;Serif" w:hAnsi="Times New Roman;Times;Serif"/>
              </w:rPr>
              <w:t>– To approve, on an advisory basis, the compensation of the Company’s Named Executive Officers, as disclosed in this proxy statement.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5 </w:t>
            </w:r>
            <w:r>
              <w:rPr>
                <w:rFonts w:ascii="Times New Roman;Times;Serif" w:hAnsi="Times New Roman;Times;Serif"/>
              </w:rPr>
              <w:t>– To indicate, on an advisory basis, the preferred frequency of stockholder advisory votes on the compensation of the Company’s Named Executive Officers.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another matter is properly brought before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knows of no other matters that will be presented for consideration at the Annual Meeting. If any other matters are properly brought before the Annual Meeting, it is the intention of the persons named in the accompanying proxy to vote on those matters in accordance with his or her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you may vote through the internet before or during the Annual Meeting, by proxy through the internet or by telephone or by proxy using a proxy card that you may request or that we may elect to deliver at a later time. Whether or not you plan to attend the Annual Meeting, we urge you to vote by proxy to ensure your vote is counted. If you are a stockholder of record and do not vote by completing your proxy card, by telephone, through the internet or online at the Annual Meeting, your shares will not be voted.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vote using the proxy card, complete, sign and date the proxy card that may be delivered and return it promptly in the envelope provided. If you return your signed proxy card to us before the Annual Meeting, we will vote your shares as you direct.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vote over the telephone, dial toll-free 1-800-690-6903 using a touch-tone phone and follow the recorded instructions. You will be asked to provide the company number and control number from the Notice. Your telephone vote must be received by 11:59 p.m. Eastern Daylight Time on June 9, 2026 to be counted.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vote through the internet before the Annual Meeting, go to www.proxyvote.com to complete an electronic proxy card. You will be asked to provide the company number and control number from the Notice. Your internet vote must be received by 11:59 p.m. Eastern Daylight Time on June 9, 2026 to be counted.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vote through the internet during the Annual Meeting, please visit www.virtualshareholdermeeting.com/reed2026. You will be asked to provide the company number and control number from the Notice.</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registered in the name of your broker, bank or other agent, you should have received the Notice containing voting instructions from that organization rather than from Reed’s. Follow the voting instructions in the Notice to ensure that your vote is counted. To vote through the internet during the Annual Meeting, you must obtain a valid proxy from your broker, bank or other agent. Follow the instructions from your broker or bank included with these proxy materials or contact your broker or bank to request a proxy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matter to be voted upon, you have one vote for each share of common stock you owned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am a stockholder of record and I do not vote, or if I return a proxy card or otherwise vote without giving specific voting instructions, what happens?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stockholder of record and do not vote by completing a proxy card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by telephone or through the internet before or during the Annual Meeting, your shares will not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return a signed and dated proxy card or otherwise vote without marking voting selections, your shares will be voted, as applicable, “For” the election of all nominees for director, “For” the ratification of the appointment by the Audit Committee of Weinberg as our independent registered public accounting firm for the fiscal year ending December 31, 2026, “For” the approval of the Company’s 2026 Equity Incentive Plan, “For” the advisory vote on executive compensation, and “Three Years” as the preferred frequency of advisory votes to approve executive compensation. If any other matter is properly presented at the Annual Meeting, your proxyholder will vote your shares using his or her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shares held in street name and do not instruct your broker, bank or other agent how to vote your shares, the question of whether your broker, bank or other agent will still be able to vote your shares depends on whether the particular proposal is deemed to be a “routine” matter. Brokers, banks and other agents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(including any advisory stockholder votes on executive compensation and on the frequency of stockholder votes on executive compensation) and certain corporate governance proposals, even if management-supported. When there is at least one “routine” matter that the broker, bank or other securities intermediary votes on, the shares that are un-voted on “non-routine” matters are counted as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Nos. 1, 3, 4 and 5 are considered to be “non-routine,” and we therefore expect broker non-votes to exist in connection with those proposals. Your broker, bank or other agent cannot vote your shares on these proposals without your instructions. Please instruct your bank, broker or other agent to ensure that your vote will be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No. 2 is considered a “routine” matter, and your broker, bank or other agent may vote your shares on this proposal even in the absence of your instructions.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 provide voting instructions to your broker, bank or other agent. This ensures that your shares will be voted at the Annual Meeting according to your instructions. You should receive directions from your broker, bank or other agent about how to submit your proxy to them at the time you receive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are a beneficial owner of shares held in street name, in order to ensure your shares are voted in the way you would prefer, you </w:t>
      </w:r>
      <w:r>
        <w:rPr>
          <w:rFonts w:ascii="Times New Roman;Times;Serif" w:hAnsi="Times New Roman;Times;Serif"/>
          <w:b w:val="false"/>
          <w:i w:val="false"/>
          <w:caps w:val="false"/>
          <w:smallCaps w:val="false"/>
          <w:sz w:val="20"/>
          <w:u w:val="single"/>
        </w:rPr>
        <w:t>must</w:t>
      </w:r>
      <w:r>
        <w:rPr>
          <w:rFonts w:ascii="Times New Roman;Times;Serif" w:hAnsi="Times New Roman;Times;Serif"/>
          <w:b w:val="false"/>
          <w:i w:val="false"/>
          <w:caps w:val="false"/>
          <w:smallCaps w:val="false"/>
          <w:sz w:val="20"/>
        </w:rPr>
        <w:t xml:space="preserve"> provide voting instructions to your broker, bank or other agent by the deadline provided in the materials you receive from your broker, bank or other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paying for this 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for the entire cost of soliciting proxies. In addition to these proxy materials, our directors and employees may also solicit proxies. Directors and employees will not be paid any additional compensation for soliciting proxies. We may also reimburse brokerage firms, banks and other agents for the cost of forwarding proxy materials to beneficial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does it mean if I receive more than one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more than one Notice, your shares may be registered in more than one name or in different accounts. Please follow the voting instructions on the Notices to ensure that all of your shares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after submitting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 can revoke your proxy at any time before the final vote at the Annual Meeting. If you are the record holder of your shares, you may revoke your proxy in any one of the following ways: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 may submit another properly completed proxy card with a later date.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 may grant a subsequent proxy by telephone or through the internet.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You may send a timely written notice that you are revoking your proxy to Reed’s, Inc., Attn: Corporate Secretary, 501 Merritt 7 PH, Norwalk, CT 06851.</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proxy card or telephone or internet proxy is the one that is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by your broker or bank as a nominee or agent, you should follow the instructions provided by your broker or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of Directors recommend stockholders should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that you vote: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1 </w:t>
            </w:r>
            <w:r>
              <w:rPr>
                <w:rFonts w:ascii="Times New Roman;Times;Serif" w:hAnsi="Times New Roman;Times;Serif"/>
              </w:rPr>
              <w:t xml:space="preserve">– </w:t>
            </w:r>
            <w:r>
              <w:rPr>
                <w:rFonts w:ascii="Times New Roman;Times;Serif" w:hAnsi="Times New Roman;Times;Serif"/>
                <w:b/>
              </w:rPr>
              <w:t>FOR</w:t>
            </w:r>
            <w:r>
              <w:rPr>
                <w:rFonts w:ascii="Times New Roman;Times;Serif" w:hAnsi="Times New Roman;Times;Serif"/>
              </w:rPr>
              <w:t xml:space="preserve"> the election of each of Shufen Deng, Neal M. Cohane, Michael C. Tu, Sam Van, and Rudolf J. M. Bakker as directors to hold office until our 2027 annual meeting of stockholders and until their successors have been duly elected and qualified or such director’s earlier death, resignation or removal.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2 </w:t>
            </w:r>
            <w:r>
              <w:rPr>
                <w:rFonts w:ascii="Times New Roman;Times;Serif" w:hAnsi="Times New Roman;Times;Serif"/>
              </w:rPr>
              <w:t xml:space="preserve">– </w:t>
            </w:r>
            <w:r>
              <w:rPr>
                <w:rFonts w:ascii="Times New Roman;Times;Serif" w:hAnsi="Times New Roman;Times;Serif"/>
                <w:b/>
              </w:rPr>
              <w:t>FOR</w:t>
            </w:r>
            <w:r>
              <w:rPr>
                <w:rFonts w:ascii="Times New Roman;Times;Serif" w:hAnsi="Times New Roman;Times;Serif"/>
              </w:rPr>
              <w:t xml:space="preserve"> the ratification of the selection by the Audit Committee of Weinberg as our independent registered public accounting firm for the year ending December 31,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3 </w:t>
            </w:r>
            <w:r>
              <w:rPr>
                <w:rFonts w:ascii="Times New Roman;Times;Serif" w:hAnsi="Times New Roman;Times;Serif"/>
              </w:rPr>
              <w:t xml:space="preserve">– </w:t>
            </w:r>
            <w:r>
              <w:rPr>
                <w:rFonts w:ascii="Times New Roman;Times;Serif" w:hAnsi="Times New Roman;Times;Serif"/>
                <w:b/>
              </w:rPr>
              <w:t xml:space="preserve">FOR </w:t>
            </w:r>
            <w:r>
              <w:rPr>
                <w:rFonts w:ascii="Times New Roman;Times;Serif" w:hAnsi="Times New Roman;Times;Serif"/>
              </w:rPr>
              <w:t>the approval of the Company’s 2026 Equity Incentive Plan.</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4 </w:t>
            </w:r>
            <w:r>
              <w:rPr>
                <w:rFonts w:ascii="Times New Roman;Times;Serif" w:hAnsi="Times New Roman;Times;Serif"/>
              </w:rPr>
              <w:t xml:space="preserve">– </w:t>
            </w:r>
            <w:r>
              <w:rPr>
                <w:rFonts w:ascii="Times New Roman;Times;Serif" w:hAnsi="Times New Roman;Times;Serif"/>
                <w:b/>
              </w:rPr>
              <w:t xml:space="preserve">FOR </w:t>
            </w:r>
            <w:r>
              <w:rPr>
                <w:rFonts w:ascii="Times New Roman;Times;Serif" w:hAnsi="Times New Roman;Times;Serif"/>
              </w:rPr>
              <w:t>the approval of, on an advisory basis, the compensation of the Company’s Named Executive Officers, as disclosed in this proxy statement.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Proposal No. 5 </w:t>
            </w:r>
            <w:r>
              <w:rPr>
                <w:rFonts w:ascii="Times New Roman;Times;Serif" w:hAnsi="Times New Roman;Times;Serif"/>
              </w:rPr>
              <w:t xml:space="preserve">– </w:t>
            </w:r>
            <w:r>
              <w:rPr>
                <w:rFonts w:ascii="Times New Roman;Times;Serif" w:hAnsi="Times New Roman;Times;Serif"/>
                <w:b/>
              </w:rPr>
              <w:t>THREE YEARS</w:t>
            </w:r>
            <w:r>
              <w:rPr>
                <w:rFonts w:ascii="Times New Roman;Times;Serif" w:hAnsi="Times New Roman;Times;Serif"/>
              </w:rPr>
              <w:t xml:space="preserve"> for the indication of, on an advisory basis, the preferred frequency of stockholder advisory votes on the compensation of the Company’s Named Executive Officers.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item and how are votes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minimum vote needed to approve each proposal and the effect of abstentions and broker non-votes.</w:t>
      </w:r>
    </w:p>
    <w:tbl>
      <w:tblPr>
        <w:tblW w:w="10205" w:type="dxa"/>
        <w:jc w:val="left"/>
        <w:tblInd w:w="0" w:type="dxa"/>
        <w:tblLayout w:type="fixed"/>
        <w:tblCellMar>
          <w:top w:w="0" w:type="dxa"/>
          <w:left w:w="0" w:type="dxa"/>
          <w:bottom w:w="0" w:type="dxa"/>
          <w:right w:w="0" w:type="dxa"/>
        </w:tblCellMar>
      </w:tblPr>
      <w:tblGrid>
        <w:gridCol w:w="800"/>
        <w:gridCol w:w="60"/>
        <w:gridCol w:w="2189"/>
        <w:gridCol w:w="60"/>
        <w:gridCol w:w="1409"/>
        <w:gridCol w:w="60"/>
        <w:gridCol w:w="3186"/>
        <w:gridCol w:w="60"/>
        <w:gridCol w:w="1270"/>
        <w:gridCol w:w="60"/>
        <w:gridCol w:w="1051"/>
      </w:tblGrid>
      <w:tr>
        <w:trPr/>
        <w:tc>
          <w:tcPr>
            <w:tcW w:w="80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br/>
              <w:t>Number</w:t>
            </w:r>
          </w:p>
        </w:tc>
        <w:tc>
          <w:tcPr>
            <w:tcW w:w="60" w:type="dxa"/>
            <w:tcBorders/>
            <w:vAlign w:val="center"/>
          </w:tcPr>
          <w:p>
            <w:pPr>
              <w:pStyle w:val="TableContents"/>
              <w:bidi w:val="0"/>
              <w:spacing w:before="0" w:after="283"/>
              <w:jc w:val="left"/>
              <w:rPr/>
            </w:pPr>
            <w:r>
              <w:rPr/>
              <w:t> </w:t>
            </w:r>
          </w:p>
        </w:tc>
        <w:tc>
          <w:tcPr>
            <w:tcW w:w="2189"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w:t>
              <w:br/>
              <w:t>Description</w:t>
            </w:r>
          </w:p>
        </w:tc>
        <w:tc>
          <w:tcPr>
            <w:tcW w:w="60" w:type="dxa"/>
            <w:tcBorders/>
            <w:vAlign w:val="center"/>
          </w:tcPr>
          <w:p>
            <w:pPr>
              <w:pStyle w:val="TableContents"/>
              <w:bidi w:val="0"/>
              <w:spacing w:before="0" w:after="283"/>
              <w:jc w:val="left"/>
              <w:rPr/>
            </w:pPr>
            <w:r>
              <w:rPr/>
              <w:t> </w:t>
            </w:r>
          </w:p>
        </w:tc>
        <w:tc>
          <w:tcPr>
            <w:tcW w:w="1409"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br/>
              <w:t>Options</w:t>
            </w:r>
          </w:p>
        </w:tc>
        <w:tc>
          <w:tcPr>
            <w:tcW w:w="60" w:type="dxa"/>
            <w:tcBorders/>
            <w:vAlign w:val="center"/>
          </w:tcPr>
          <w:p>
            <w:pPr>
              <w:pStyle w:val="TableContents"/>
              <w:bidi w:val="0"/>
              <w:spacing w:before="0" w:after="283"/>
              <w:jc w:val="left"/>
              <w:rPr/>
            </w:pPr>
            <w:r>
              <w:rPr/>
              <w:t> </w:t>
            </w:r>
          </w:p>
        </w:tc>
        <w:tc>
          <w:tcPr>
            <w:tcW w:w="3186"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w:t>
              <w:br/>
              <w:t>Approval</w:t>
            </w:r>
          </w:p>
        </w:tc>
        <w:tc>
          <w:tcPr>
            <w:tcW w:w="60" w:type="dxa"/>
            <w:tcBorders/>
            <w:vAlign w:val="center"/>
          </w:tcPr>
          <w:p>
            <w:pPr>
              <w:pStyle w:val="TableContents"/>
              <w:bidi w:val="0"/>
              <w:spacing w:before="0" w:after="283"/>
              <w:jc w:val="left"/>
              <w:rPr/>
            </w:pPr>
            <w:r>
              <w:rPr/>
              <w:t> </w:t>
            </w:r>
          </w:p>
        </w:tc>
        <w:tc>
          <w:tcPr>
            <w:tcW w:w="127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Abstentions or Withhold Votes, As Applicable</w:t>
            </w:r>
          </w:p>
        </w:tc>
        <w:tc>
          <w:tcPr>
            <w:tcW w:w="60" w:type="dxa"/>
            <w:tcBorders/>
            <w:vAlign w:val="center"/>
          </w:tcPr>
          <w:p>
            <w:pPr>
              <w:pStyle w:val="TableContents"/>
              <w:bidi w:val="0"/>
              <w:spacing w:before="0" w:after="283"/>
              <w:jc w:val="left"/>
              <w:rPr/>
            </w:pPr>
            <w:r>
              <w:rPr/>
              <w:t> </w:t>
            </w:r>
          </w:p>
        </w:tc>
        <w:tc>
          <w:tcPr>
            <w:tcW w:w="1051"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Broker</w:t>
              <w:br/>
              <w:t>Non-Votes</w:t>
            </w:r>
          </w:p>
        </w:tc>
      </w:tr>
      <w:tr>
        <w:trPr/>
        <w:tc>
          <w:tcPr>
            <w:tcW w:w="8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2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Election of directors</w:t>
            </w:r>
          </w:p>
        </w:tc>
        <w:tc>
          <w:tcPr>
            <w:tcW w:w="60"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w:t>
            </w:r>
            <w:r>
              <w:rPr>
                <w:rFonts w:ascii="Times New Roman;Times;Serif" w:hAnsi="Times New Roman;Times;Serif"/>
              </w:rPr>
              <w:t>For” or “withhold” with respect to each director nominee</w:t>
            </w:r>
          </w:p>
        </w:tc>
        <w:tc>
          <w:tcPr>
            <w:tcW w:w="60" w:type="dxa"/>
            <w:tcBorders/>
            <w:shd w:fill="CCEEFF" w:val="clear"/>
            <w:vAlign w:val="center"/>
          </w:tcPr>
          <w:p>
            <w:pPr>
              <w:pStyle w:val="TableContents"/>
              <w:bidi w:val="0"/>
              <w:spacing w:before="0" w:after="283"/>
              <w:jc w:val="left"/>
              <w:rPr/>
            </w:pPr>
            <w:r>
              <w:rPr/>
              <w:t> </w:t>
            </w:r>
          </w:p>
        </w:tc>
        <w:tc>
          <w:tcPr>
            <w:tcW w:w="3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Nominees receiving the most “For” votes from holders of shares of common stock present by remote communication or represented by proxy at the Annual Meeting and entitled to vote on the election of directors will be elected </w:t>
            </w:r>
            <w:r>
              <w:rPr>
                <w:rFonts w:ascii="Times New Roman;Times;Serif" w:hAnsi="Times New Roman;Times;Serif"/>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effect</w:t>
            </w:r>
          </w:p>
        </w:tc>
        <w:tc>
          <w:tcPr>
            <w:tcW w:w="60"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 effect </w:t>
            </w:r>
            <w:r>
              <w:rPr>
                <w:rFonts w:ascii="Times New Roman;Times;Serif" w:hAnsi="Times New Roman;Times;Serif"/>
                <w:position w:val="8"/>
                <w:sz w:val="19"/>
              </w:rPr>
              <w:t>(2)</w:t>
            </w:r>
          </w:p>
        </w:tc>
      </w:tr>
      <w:tr>
        <w:trPr/>
        <w:tc>
          <w:tcPr>
            <w:tcW w:w="8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2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Ratification of the selection of Weinberg as our independent registered public accounting firm for the year ending December 31, 2026</w:t>
            </w:r>
          </w:p>
        </w:tc>
        <w:tc>
          <w:tcPr>
            <w:tcW w:w="60"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w:t>
            </w:r>
            <w:r>
              <w:rPr>
                <w:rFonts w:ascii="Times New Roman;Times;Serif" w:hAnsi="Times New Roman;Times;Serif"/>
              </w:rPr>
              <w:t>For,” “against,” or “abstain”</w:t>
            </w:r>
          </w:p>
        </w:tc>
        <w:tc>
          <w:tcPr>
            <w:tcW w:w="60" w:type="dxa"/>
            <w:tcBorders/>
            <w:shd w:fill="FFFFFF" w:val="clear"/>
            <w:vAlign w:val="center"/>
          </w:tcPr>
          <w:p>
            <w:pPr>
              <w:pStyle w:val="TableContents"/>
              <w:bidi w:val="0"/>
              <w:spacing w:before="0" w:after="283"/>
              <w:jc w:val="left"/>
              <w:rPr/>
            </w:pPr>
            <w:r>
              <w:rPr/>
              <w:t> </w:t>
            </w:r>
          </w:p>
        </w:tc>
        <w:tc>
          <w:tcPr>
            <w:tcW w:w="3186" w:type="dxa"/>
            <w:tcBorders/>
            <w:shd w:fill="FFFFFF" w:val="clear"/>
            <w:vAlign w:val="center"/>
          </w:tcPr>
          <w:p>
            <w:pPr>
              <w:pStyle w:val="TableContents"/>
              <w:bidi w:val="0"/>
              <w:spacing w:before="0" w:after="283"/>
              <w:jc w:val="left"/>
              <w:rPr/>
            </w:pPr>
            <w:r>
              <w:rPr/>
              <w:t>“</w:t>
            </w:r>
            <w:r>
              <w:rPr>
                <w:rFonts w:ascii="Times New Roman;Times;Serif" w:hAnsi="Times New Roman;Times;Serif"/>
              </w:rPr>
              <w:t>For” votes of a majority of the votes cast on such matter, voting affirmatively or negatively (excluding abstentions)</w:t>
            </w:r>
          </w:p>
        </w:tc>
        <w:tc>
          <w:tcPr>
            <w:tcW w:w="6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effect</w:t>
            </w:r>
          </w:p>
        </w:tc>
        <w:tc>
          <w:tcPr>
            <w:tcW w:w="60"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Not applicable </w:t>
            </w:r>
            <w:r>
              <w:rPr>
                <w:rFonts w:ascii="Times New Roman;Times;Serif" w:hAnsi="Times New Roman;Times;Serif"/>
                <w:position w:val="8"/>
                <w:sz w:val="19"/>
              </w:rPr>
              <w:t>(3)</w:t>
            </w:r>
          </w:p>
        </w:tc>
      </w:tr>
      <w:tr>
        <w:trPr/>
        <w:tc>
          <w:tcPr>
            <w:tcW w:w="8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2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Approval of the Company’s 2026 Equity Incentive Plan</w:t>
            </w:r>
          </w:p>
        </w:tc>
        <w:tc>
          <w:tcPr>
            <w:tcW w:w="60"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left"/>
              <w:rPr/>
            </w:pPr>
            <w:r>
              <w:rPr/>
              <w:t>“</w:t>
            </w:r>
            <w:r>
              <w:rPr>
                <w:rFonts w:ascii="Times New Roman;Times;Serif" w:hAnsi="Times New Roman;Times;Serif"/>
              </w:rPr>
              <w:t>For,” “against,” or “abstain”</w:t>
            </w:r>
          </w:p>
        </w:tc>
        <w:tc>
          <w:tcPr>
            <w:tcW w:w="60" w:type="dxa"/>
            <w:tcBorders/>
            <w:shd w:fill="CCEEFF" w:val="clear"/>
            <w:vAlign w:val="center"/>
          </w:tcPr>
          <w:p>
            <w:pPr>
              <w:pStyle w:val="TableContents"/>
              <w:bidi w:val="0"/>
              <w:spacing w:before="0" w:after="283"/>
              <w:jc w:val="left"/>
              <w:rPr/>
            </w:pPr>
            <w:r>
              <w:rPr/>
              <w:t> </w:t>
            </w:r>
          </w:p>
        </w:tc>
        <w:tc>
          <w:tcPr>
            <w:tcW w:w="3186" w:type="dxa"/>
            <w:tcBorders/>
            <w:shd w:fill="CCEEFF" w:val="clear"/>
            <w:vAlign w:val="center"/>
          </w:tcPr>
          <w:p>
            <w:pPr>
              <w:pStyle w:val="TableContents"/>
              <w:bidi w:val="0"/>
              <w:spacing w:before="0" w:after="283"/>
              <w:jc w:val="left"/>
              <w:rPr/>
            </w:pPr>
            <w:r>
              <w:rPr/>
              <w:t>“</w:t>
            </w:r>
            <w:r>
              <w:rPr>
                <w:rFonts w:ascii="Times New Roman;Times;Serif" w:hAnsi="Times New Roman;Times;Serif"/>
              </w:rPr>
              <w:t>For” votes of a majority of the votes cast on such matter, voting affirmatively or negatively (excluding abstentions and broker non-votes)</w:t>
            </w:r>
          </w:p>
        </w:tc>
        <w:tc>
          <w:tcPr>
            <w:tcW w:w="6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effect</w:t>
            </w:r>
          </w:p>
        </w:tc>
        <w:tc>
          <w:tcPr>
            <w:tcW w:w="60"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 effect </w:t>
            </w:r>
            <w:r>
              <w:rPr>
                <w:rFonts w:ascii="Times New Roman;Times;Serif" w:hAnsi="Times New Roman;Times;Serif"/>
                <w:position w:val="8"/>
                <w:sz w:val="19"/>
              </w:rPr>
              <w:t>(2)</w:t>
            </w:r>
          </w:p>
        </w:tc>
      </w:tr>
      <w:tr>
        <w:trPr/>
        <w:tc>
          <w:tcPr>
            <w:tcW w:w="8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w:t>
            </w:r>
          </w:p>
        </w:tc>
        <w:tc>
          <w:tcPr>
            <w:tcW w:w="60" w:type="dxa"/>
            <w:tcBorders/>
            <w:shd w:fill="FFFFFF" w:val="clear"/>
            <w:vAlign w:val="center"/>
          </w:tcPr>
          <w:p>
            <w:pPr>
              <w:pStyle w:val="TableContents"/>
              <w:bidi w:val="0"/>
              <w:spacing w:before="0" w:after="283"/>
              <w:jc w:val="left"/>
              <w:rPr/>
            </w:pPr>
            <w:r>
              <w:rPr/>
              <w:t> </w:t>
            </w:r>
          </w:p>
        </w:tc>
        <w:tc>
          <w:tcPr>
            <w:tcW w:w="2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Advisory approval of the compensation of the Company’s Named Executive Officers</w:t>
            </w:r>
          </w:p>
        </w:tc>
        <w:tc>
          <w:tcPr>
            <w:tcW w:w="60"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left"/>
              <w:rPr/>
            </w:pPr>
            <w:r>
              <w:rPr/>
              <w:t>“</w:t>
            </w:r>
            <w:r>
              <w:rPr>
                <w:rFonts w:ascii="Times New Roman;Times;Serif" w:hAnsi="Times New Roman;Times;Serif"/>
              </w:rPr>
              <w:t>For,” “against,” or “abstain”</w:t>
            </w:r>
          </w:p>
        </w:tc>
        <w:tc>
          <w:tcPr>
            <w:tcW w:w="60" w:type="dxa"/>
            <w:tcBorders/>
            <w:shd w:fill="FFFFFF" w:val="clear"/>
            <w:vAlign w:val="center"/>
          </w:tcPr>
          <w:p>
            <w:pPr>
              <w:pStyle w:val="TableContents"/>
              <w:bidi w:val="0"/>
              <w:spacing w:before="0" w:after="283"/>
              <w:jc w:val="left"/>
              <w:rPr/>
            </w:pPr>
            <w:r>
              <w:rPr/>
              <w:t> </w:t>
            </w:r>
          </w:p>
        </w:tc>
        <w:tc>
          <w:tcPr>
            <w:tcW w:w="3186" w:type="dxa"/>
            <w:tcBorders/>
            <w:shd w:fill="FFFFFF" w:val="clear"/>
            <w:vAlign w:val="center"/>
          </w:tcPr>
          <w:p>
            <w:pPr>
              <w:pStyle w:val="TableContents"/>
              <w:bidi w:val="0"/>
              <w:spacing w:before="0" w:after="283"/>
              <w:jc w:val="left"/>
              <w:rPr/>
            </w:pPr>
            <w:r>
              <w:rPr/>
              <w:t>“</w:t>
            </w:r>
            <w:r>
              <w:rPr>
                <w:rFonts w:ascii="Times New Roman;Times;Serif" w:hAnsi="Times New Roman;Times;Serif"/>
              </w:rPr>
              <w:t xml:space="preserve">For” votes of a majority of the votes cast on such matter, voting affirmatively or negatively (excluding abstentions and broker non-votes) </w:t>
            </w:r>
            <w:r>
              <w:rPr>
                <w:rFonts w:ascii="Times New Roman;Times;Serif" w:hAnsi="Times New Roman;Times;Serif"/>
                <w:position w:val="8"/>
                <w:sz w:val="19"/>
              </w:rPr>
              <w:t>(4)</w:t>
            </w:r>
          </w:p>
        </w:tc>
        <w:tc>
          <w:tcPr>
            <w:tcW w:w="6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effect</w:t>
            </w:r>
          </w:p>
        </w:tc>
        <w:tc>
          <w:tcPr>
            <w:tcW w:w="60"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No effect </w:t>
            </w:r>
            <w:r>
              <w:rPr>
                <w:rFonts w:ascii="Times New Roman;Times;Serif" w:hAnsi="Times New Roman;Times;Serif"/>
                <w:position w:val="8"/>
                <w:sz w:val="19"/>
              </w:rPr>
              <w:t>(2)</w:t>
            </w:r>
          </w:p>
        </w:tc>
      </w:tr>
      <w:tr>
        <w:trPr/>
        <w:tc>
          <w:tcPr>
            <w:tcW w:w="8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w:t>
            </w:r>
          </w:p>
        </w:tc>
        <w:tc>
          <w:tcPr>
            <w:tcW w:w="60" w:type="dxa"/>
            <w:tcBorders/>
            <w:shd w:fill="CCEEFF" w:val="clear"/>
            <w:vAlign w:val="center"/>
          </w:tcPr>
          <w:p>
            <w:pPr>
              <w:pStyle w:val="TableContents"/>
              <w:bidi w:val="0"/>
              <w:spacing w:before="0" w:after="283"/>
              <w:jc w:val="left"/>
              <w:rPr/>
            </w:pPr>
            <w:r>
              <w:rPr/>
              <w:t> </w:t>
            </w:r>
          </w:p>
        </w:tc>
        <w:tc>
          <w:tcPr>
            <w:tcW w:w="218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 vote on the frequency 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advisory votes 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compensation</w:t>
            </w:r>
          </w:p>
        </w:tc>
        <w:tc>
          <w:tcPr>
            <w:tcW w:w="60" w:type="dxa"/>
            <w:tcBorders/>
            <w:shd w:fill="CCEEFF" w:val="clear"/>
            <w:vAlign w:val="center"/>
          </w:tcPr>
          <w:p>
            <w:pPr>
              <w:pStyle w:val="TableContents"/>
              <w:bidi w:val="0"/>
              <w:spacing w:before="0" w:after="283"/>
              <w:jc w:val="left"/>
              <w:rPr/>
            </w:pPr>
            <w:r>
              <w:rPr/>
              <w:t> </w:t>
            </w:r>
          </w:p>
        </w:tc>
        <w:tc>
          <w:tcPr>
            <w:tcW w:w="1409" w:type="dxa"/>
            <w:tcBorders/>
            <w:shd w:fill="CCEEFF" w:val="clear"/>
            <w:vAlign w:val="center"/>
          </w:tcPr>
          <w:p>
            <w:pPr>
              <w:pStyle w:val="TableContents"/>
              <w:bidi w:val="0"/>
              <w:spacing w:before="0" w:after="283"/>
              <w:jc w:val="both"/>
              <w:rPr/>
            </w:pPr>
            <w:r>
              <w:rPr/>
              <w:t>“</w:t>
            </w:r>
            <w:r>
              <w:rPr>
                <w:rFonts w:ascii="Times New Roman;Times;Serif" w:hAnsi="Times New Roman;Times;Serif"/>
              </w:rPr>
              <w:t>One Year,” “Two Years,” “Three Years,” or “abstain”</w:t>
            </w:r>
          </w:p>
        </w:tc>
        <w:tc>
          <w:tcPr>
            <w:tcW w:w="60" w:type="dxa"/>
            <w:tcBorders/>
            <w:shd w:fill="CCEEFF" w:val="clear"/>
            <w:vAlign w:val="center"/>
          </w:tcPr>
          <w:p>
            <w:pPr>
              <w:pStyle w:val="TableContents"/>
              <w:bidi w:val="0"/>
              <w:spacing w:before="0" w:after="283"/>
              <w:jc w:val="left"/>
              <w:rPr/>
            </w:pPr>
            <w:r>
              <w:rPr/>
              <w:t> </w:t>
            </w:r>
          </w:p>
        </w:tc>
        <w:tc>
          <w:tcPr>
            <w:tcW w:w="318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proposed voting frequency that receives affirmative votes from the holders of a majority of the voting power of the shares of common stock voting for one of the proposed frequencies will be considered the frequency approved by our stockholders</w:t>
            </w:r>
            <w:r>
              <w:rPr>
                <w:rFonts w:ascii="Times New Roman;Times;Serif" w:hAnsi="Times New Roman;Times;Serif"/>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effect</w:t>
            </w:r>
          </w:p>
        </w:tc>
        <w:tc>
          <w:tcPr>
            <w:tcW w:w="60"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No effect </w:t>
            </w:r>
            <w:r>
              <w:rPr>
                <w:rFonts w:ascii="Times New Roman;Times;Serif" w:hAnsi="Times New Roman;Times;Serif"/>
                <w:position w:val="8"/>
                <w:sz w:val="19"/>
              </w:rPr>
              <w:t>(2)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125" w:type="dxa"/>
        <w:jc w:val="left"/>
        <w:tblInd w:w="0" w:type="dxa"/>
        <w:tblLayout w:type="fixed"/>
        <w:tblCellMar>
          <w:top w:w="0" w:type="dxa"/>
          <w:left w:w="0" w:type="dxa"/>
          <w:bottom w:w="0" w:type="dxa"/>
          <w:right w:w="0" w:type="dxa"/>
        </w:tblCellMar>
      </w:tblPr>
      <w:tblGrid>
        <w:gridCol w:w="305"/>
        <w:gridCol w:w="4820"/>
      </w:tblGrid>
      <w:tr>
        <w:trPr/>
        <w:tc>
          <w:tcPr>
            <w:tcW w:w="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48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Stockholders may not cumulate votes for directors.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proposal is considered to be a “non-routine” matter. Accordingly, if you hold your shares in street name and do not provide voting instructions to your broker, bank or other agent that holds your shares, your broker, bank or other nominee does not have discretionary authority to vote your shares on this proposal.</w:t>
            </w:r>
          </w:p>
        </w:tc>
      </w:tr>
    </w:tbl>
    <w:p>
      <w:pPr>
        <w:pStyle w:val="TextBody"/>
        <w:bidi w:val="0"/>
        <w:spacing w:before="0" w:after="0"/>
        <w:ind w:left="36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This proposal is considered to be a “routine” matter. Accordingly, if you hold your shares in street name and do not provide voting instructions to your broker, bank or other agent that holds your shares, your broker, bank or other nominee has discretionary authority to vote your shares on this proposal.</w:t>
            </w:r>
          </w:p>
        </w:tc>
      </w:tr>
      <w:tr>
        <w:trPr/>
        <w:tc>
          <w:tcPr>
            <w:tcW w:w="248" w:type="dxa"/>
            <w:tcBorders/>
            <w:vAlign w:val="center"/>
          </w:tcPr>
          <w:p>
            <w:pPr>
              <w:pStyle w:val="TableContents"/>
              <w:bidi w:val="0"/>
              <w:spacing w:before="0" w:after="283"/>
              <w:jc w:val="left"/>
              <w:rPr/>
            </w:pPr>
            <w:r>
              <w:rPr/>
              <w:t> </w:t>
            </w:r>
          </w:p>
        </w:tc>
        <w:tc>
          <w:tcPr>
            <w:tcW w:w="9957" w:type="dxa"/>
            <w:tcBorders/>
            <w:vAlign w:val="center"/>
          </w:tcPr>
          <w:p>
            <w:pPr>
              <w:pStyle w:val="TableContents"/>
              <w:bidi w:val="0"/>
              <w:spacing w:before="0" w:after="283"/>
              <w:jc w:val="both"/>
              <w:rPr/>
            </w:pPr>
            <w:r>
              <w:rPr/>
              <w:t> </w:t>
            </w:r>
          </w:p>
        </w:tc>
      </w:tr>
      <w:tr>
        <w:trPr/>
        <w:tc>
          <w:tcPr>
            <w:tcW w:w="2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Because this vote is advisory only, it will not be binding on us or on our Board of Directors. However, our Board of Directors and Compensation Committee will consider the outcome of the vote when making future decisions regarding executive compensation.</w:t>
            </w:r>
          </w:p>
        </w:tc>
      </w:tr>
      <w:tr>
        <w:trPr/>
        <w:tc>
          <w:tcPr>
            <w:tcW w:w="248" w:type="dxa"/>
            <w:tcBorders/>
            <w:vAlign w:val="center"/>
          </w:tcPr>
          <w:p>
            <w:pPr>
              <w:pStyle w:val="TableContents"/>
              <w:bidi w:val="0"/>
              <w:spacing w:before="0" w:after="283"/>
              <w:jc w:val="left"/>
              <w:rPr/>
            </w:pPr>
            <w:r>
              <w:rPr/>
              <w:t> </w:t>
            </w:r>
          </w:p>
        </w:tc>
        <w:tc>
          <w:tcPr>
            <w:tcW w:w="9957" w:type="dxa"/>
            <w:tcBorders/>
            <w:vAlign w:val="center"/>
          </w:tcPr>
          <w:p>
            <w:pPr>
              <w:pStyle w:val="TableContents"/>
              <w:bidi w:val="0"/>
              <w:spacing w:before="0" w:after="283"/>
              <w:jc w:val="both"/>
              <w:rPr/>
            </w:pPr>
            <w:r>
              <w:rPr/>
              <w:t> </w:t>
            </w:r>
          </w:p>
        </w:tc>
      </w:tr>
      <w:tr>
        <w:trPr/>
        <w:tc>
          <w:tcPr>
            <w:tcW w:w="2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none of the proposed voting frequencies receives affirmative votes from the holders of a majority of the voting power of the shares of common stock voting for one of the proposed frequencies, we will consider the frequency receiving the highest number of affirmative votes from the holders of shares voting on the matter to be the frequency preferred by our stockholders.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quorum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quorum of stockholders is necessary to hold a valid meeting. A quorum will be present if the holders of a majority of the outstanding shares of stock entitled to vote are present at the Annual Meeting, by remote communication or represented by proxy. On the Record Date there were 11,820,429 shares outstanding and entitled to vote. </w:t>
      </w:r>
      <w:r>
        <w:rPr>
          <w:rFonts w:ascii="Times New Roman;Times;Serif" w:hAnsi="Times New Roman;Times;Serif"/>
          <w:b/>
          <w:i w:val="false"/>
          <w:caps w:val="false"/>
          <w:smallCaps w:val="false"/>
          <w:sz w:val="20"/>
        </w:rPr>
        <w:t>Thus, the holders of 5,910,215 shares must be present by remote communication or represented by proxy at the Annual Meeting to have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will be counted towards the quorum only if you submit a valid proxy (or one is submitted on your behalf by your broker, bank or other nominee) or if you vote at the Annual Meeting by remote communication. Abstentions and broker non-votes will be counted towards the quorum requirement. If there is no quorum, the Annual Meeting may be adjourned to another date by the chairperson of the meeting or the holders of a majority of the votes cast on the matter, voting affirmatively or negatively (excluding abstentions and broker non-votes).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find out the results of the voting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file an additional current report on Form 8-K to publish the final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are stockholder proposals and director nominations due for next year’s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intend to present proposals at the Company’s annual meeting of stockholders in 2027 (the “2027 Annual Meeting”) pursuant to Rule 14a-8 under the Securities Exchange Act of 1934, as amended (the “Exchange Act”), must send notice of their proposal to us so that we receive it no later than December 30, 2026, and must comply with all other applicable requirements of Rule 14a-8. However, if the 2027 Annual Meeting is advanced by more than 30 days prior to or delayed by more than 30 days after June 10, 2027, then the deadline will be a reasonable time prior to the time we begin to print and send our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intend to present proposals at the 2027 Annual Meeting other than pursuant to Rule 14a-8 or nominate individuals for election as directors must comply with the notice provisions in our Second Amended and Restated Bylaws (the “Bylaws”). Under these requirements, stockholders providing notice of proposals or nominations pursuant to our current Bylaws must provide the information, representations and certifications required by our Bylaws not earlier than 120 days nor less than 90 days prior to the first anniversary of the date of the preceding year’s annual meeting which, for the 2027 Annual Meeting, is between February 10, 2027 and March 12, 2027. If the date of the 2027 Annual Meeting is advanced more than 30 days or delayed by more than 70 days from June 10, 2027, in order for notice by the stockholder to be timely, such notice must be so delivered, or mailed and received, not earlier than the 120th day prior to the date of such annual meeting and not later than the later of (i) the 90th day prior to the date of such annual meeting or (ii) the tenth day following the day on which public announcement of the date of such meeting is first made. Notice of stockholder proposals or nominations should be addressed to Reed’s, Inc., Attn: Corporate Secretary, 501 Merritt 7 PH, Norwalk, CT 06851. You are advised to review our Bylaws, which contain additional requirements about advance notice of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5" w:name="a_002"/>
      <w:bookmarkEnd w:id="5"/>
      <w:r>
        <w:rPr>
          <w:rFonts w:ascii="Times New Roman;Times;Serif" w:hAnsi="Times New Roman;Times;Serif"/>
          <w:b/>
          <w:i w:val="false"/>
          <w:caps/>
          <w:sz w:val="20"/>
        </w:rPr>
        <w:t>PROPOSAL NO. 1: ELECTION OF DIRECTORS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presently has five members. Upon the recommendation of the Nominating and Corporate Governance Committee, our Board of Directors has considered and nominated the five directors listed below for election to the Board of Directors at the Annual Meeting. If elected at the Annual Meeting, each nominee would serve until the 2027 Annual Meeting or until his or her successor has been duly elected and qualified or such director’s earlier death, resignation or removal.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Vacancies on the Board of Directors may be filled only by the affirmative vote of the majority of directors then in office, even if less than a quorum of the Board of Directors. A director elected by the Board of Directors to fill a vacancy, including vacancies created by an increase in the number of directors, will serve for the remainder of the full term and until the director’s successor is duly elected and qualified or such director’s earlier death, resignation or removal. Effective March 24, 2026, Mr. Cohane was appointed as a director by the Board of Directors to fill a vacancy, upon the recommendation of the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represented by executed proxies will be voted, if authority to do so is not withheld, for the election of each of the nominees named below. If any nominee becomes unavailable for election as a result of an unexpected occurrence, shares that would have been voted for that nominee will instead be voted for the election of a substitute nominee proposed by Reed’s. Each person nominated for election has consented to being named as a nominee in this proxy statement and has agreed to serve if elected. We have no reason to believe that any nominee will be unable or decline to serve if 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brief biography of each nominee for director and each of our other current directors, including their respective ages, as of April 17, 2026. Each biography includes information regarding the specific experience, qualifications, attributes or skills that led the Nominating and Corporate Governance Committee and the Board of Directors to determine that the applicable nominee or other current director should serve as a member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 and Yumin Dai are spouses. Otherwise, no director or executive officer is related by blood, marriage, or adoption to any other director or executive officer. No arrangements or understandings exist between any director and any other person pursuant to which such person was selected as a director or nominee, except that Shufen Deng, Sam Van and Michael C. Tu were elected as directors pursuant to the Shareholders Agreement between us and D&amp;D Source of Life Holding, Ltd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(“D&amp;D”), dated May 25, 2023 (as amended, the “D&amp;D Shareholders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or directors are parties to any material proceedings adverse to Reed’s, have any material interest adverse to Reed’s or have, during the past ten years been subject to legal or regulatory proceedings required to be disclosed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Nominees for Election to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Shufen Deng</w:t>
      </w:r>
      <w:r>
        <w:rPr>
          <w:rFonts w:ascii="Times New Roman;Times;Serif" w:hAnsi="Times New Roman;Times;Serif"/>
          <w:b w:val="false"/>
          <w:i w:val="false"/>
          <w:caps w:val="false"/>
          <w:smallCaps w:val="false"/>
          <w:sz w:val="20"/>
        </w:rPr>
        <w:t>, age 61, has served as a member of our Board of Directors since July 2023 pursuant to the director designation right granted to D&amp;D under the D&amp;D Shareholders Agreement. Ms. Deng has served as Chairperson of the Board since November 2024 and as Vice Chairperson of the Board from February 2024 through November 2024. In addition, she serves as the General Manager for BLB International Company Limited. Ms. Deng was the sole shareholder of D&amp;D, the Company’s largest shareholder, from February 2023 through December 31, 2024. Ms. Deng is D&amp;D’s non-independent designee. Prior to joining us, Ms. Deng served as the Chairperson and General Manager of Baolingbao Biology Co., Ltd (China) (“Baolingbao”), from April 2017 to March 2021. She continues to serve as a member of Baolingbao’s board of directors and as a member of its compensation committee. Prior to that, Ms. Deng served as a judge in China for seven years. We believe that Ms. Deng is qualified to serve on our Board of Directors because of her extensive business and legal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Neal M. Cohane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age 65, has served as our interim Chief Executive Officer and a member of our Board of Directors since March 2026 and our Chief Operating Officer from January 2026 to April 2026. From August 2007 to December 2022, Mr. Cohane served as our Chief Sales Officer. Prior to re-joining us, Mr. Cohane served as Chief Sales Officer at Eastroc Beverage, from March 2025 to December 2025. Prior to that, he founded Rootstock Brands, Inc., where he advised beverage companies on go-to-market strategy and execution, from January 2023 to February 2025. Mr. Cohane holds a Bachelor of Science in Business Administration from Merrimack College. We believe that Mr. Cohane is qualified to serve on our Board because of his extensive knowledge of our business and significant experience in the beverage industry.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Sam Van</w:t>
      </w:r>
      <w:r>
        <w:rPr>
          <w:rFonts w:ascii="Times New Roman;Times;Serif" w:hAnsi="Times New Roman;Times;Serif"/>
          <w:b w:val="false"/>
          <w:i w:val="false"/>
          <w:caps w:val="false"/>
          <w:smallCaps w:val="false"/>
          <w:sz w:val="20"/>
        </w:rPr>
        <w:t>, age 48, has served as a member of the Board of Directors since October 2024 pursuant to the director designation right granted to D&amp;D under the D&amp;D Shareholders Agreement. He currently serves as Chair of the Audit Committee and is a member of the Nominating and Corporate Governance and Compensation Committees. Mr. Van served as the Chief Executive Officer of J-Star Holding Co., Ltd from October 2025 to March 2026 and is the founder and Chief Executive Officer of SRO Partners since May 2024. Previously, from June 2023 through May 2024, he served as Senior Vice President, Head of Advisory Services at Freedom U.S. Markets. From March 2017 through May 2023, he was the President and a Director of Deltec Investment Advisor Limited. From June 2022 through May 2024, Mr. Van served as a director and member of audit and nominating committees of Phoenix Motor Inc. (Nasdaq: PEV). Mr. Van has served on the board of directors of Picard Medical, Inc. (NYSE: PMI) since August 2025. Mr. Van has also served on the board of directors of Relm Insurance Ltd., a private company based in Bermuda, since January 2019. He also serves as a Senior Board Advisor at RKtech, an international software company in Vietnam. Mr. Van holds a Master of Business Administration from Cornell University and a Bachelor of Science in Finance from St. John’s University. Mr. Van is an independent director designee of D&amp;D. We believe that Mr. Van is qualified to serve on our Board of Directors because of his extensive financial and operational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Rudolf J. M. Bakker</w:t>
      </w:r>
      <w:r>
        <w:rPr>
          <w:rFonts w:ascii="Times New Roman;Times;Serif" w:hAnsi="Times New Roman;Times;Serif"/>
          <w:b w:val="false"/>
          <w:i w:val="false"/>
          <w:caps w:val="false"/>
          <w:smallCaps w:val="false"/>
          <w:sz w:val="20"/>
        </w:rPr>
        <w:t>, age 56, has served as a member of the Board of Directors since April 2025. He currently serves as Chair of the Compensation Committee and is a member of the Nominating and Corporate Governance Committee. Mr. Bakker is the founder of Purple Fox Studios, a beverage-focused consulting and incubation platform he formed in January 2021. Additionally, he co-founded Succulent Spirits &amp; Co., an importer and distributor of premium agave spirits in Europe, for which he has served as the Chief Growth Officer since March 2023. Prior to his current activities, Mr. Bakker served as Global VP Smirnoff at Diageo Plc from April 2015 to October 2020, General Manager Mexico at Red Bull GmbH from January 2013 to December 2014, and held senior commercial, marketing and innovation leadership roles at Heineken N.V. from April 1997 to December 2012, where he led brand development, portfolio strategy, and market expansion initiatives across multiple geographies. Mr. Bakker holds a Master of Business Administration from Erasmus University and has completed executive education programs at Harvard Business School, London Business School, and Kellogg Executive Education. We believe that Mr. Bakker is qualified to serve on our Board of Directors because of his extensive experience in the global business industry and focus on brand growth, innovation, and market expansion across both emerging and developed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C. Tu</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age 55, has served as a member of the Board of Directors since September 2025 pursuant to the director designation right granted to D&amp;D under the D&amp;D Shareholders Agreement. He currently serves as Chair of the Nominating and Corporate Governance Committee and is a member of the Audit and Compensation Committees. Prior to joining us, Mr. Tu was a partner at Cooley LLP, from May 2021 to June 2024. Prior to that, he was a partner at Orrick, Herrington and Sutcliffe LLP, from July 2004 to May 2021. Mr. Tu has taught board governance and risk management at Stanford University’s Senior Executive Leadership Program and the University of California, Los Angeles’s Director Training Program, and has been recognized by Chambers USA, Martindale-Hubbell, Legal 500, and Best Lawyers in America for securities litigation. He holds a Juris Doctor from the University of California, Los Angeles School of Law and a Bachelor of Arts from the University of California, Berkeley. We believe that Mr. Tu is qualified to serve on our Board of Directors because of his deep corporate governance and securities law expertise.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br/>
        <w:t>a vote “For” the election of the director nominees.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a_003"/>
      <w:bookmarkEnd w:id="6"/>
      <w:r>
        <w:rPr>
          <w:rFonts w:ascii="Times New Roman;Times;Serif" w:hAnsi="Times New Roman;Times;Serif"/>
          <w:b/>
          <w:i w:val="false"/>
          <w:caps/>
          <w:sz w:val="20"/>
        </w:rPr>
        <w:t>CORPORATE GOVERNANCE AND BOARD MATTERS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exercising good corporate governance practices. In furtherance of this commitment, we regularly monitor developments in the area of corporate governance and review our processes, policies and procedures in light of such developments. Key information regarding our corporate governance initiatives can be found on the Governance section of our website, https://investor.reedsinc.com/corporate-governance/documents-charters, including our Corporate Governance Guidelines, Code of Ethics and the charters for our Audit, Compensation and Nominating and Corporate Governance Committees. We believe that our corporate governance policies and practices empower our independent directors to effectively oversee our management—including the performance of our Chief Executive Officer—and provide an effective and appropriately balanced board governance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 Process and Qualifications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an effective board of directors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Our Nominating and Corporate Governance Committee considers candidates who are recommended by its members, by other directors, by stockholders, and by management, as well as those identified by third-party search firms retained to assist in identifying and evaluating possible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believes that candidates for director should have certain minimum qualifications, including strength of character, the ability to exercise sound judgment, familiarity with the Company’s business and industry, independence of thought and having sufficient time to devote to the affairs of the Company, an ability to work collegially with the other members of the Board of Directors and the commitment to rigorously represent the long-term interests of the Company’s stockholders. The Nominating and Corporate Governance Committee also intends to consider such factors as possessing relevant professional background or expertise upon which to be able to offer advice and guidance to management; demonstrating excellence in his or her field; having experience as a board member or executive officer of another publicly held company; and having a diverse personal background, perspective and experience. However, the Nominating and Corporate Governance Committee retains the right to modify these qualifications from time to time. Candidates for director nominees are reviewed in the context of the current composition of the Board of Directors, the operating requirements of the Company and the long-term interests of stockholders. In conducting this assessment, the Nominating and Corporate Governance Committee typically considers diversity of background, age, skills and such other factors as it deems appropriate, given the current needs of the Board of Directors and the Company, to maintain a balance of knowledge, experience and capability.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reviews the service of incumbent directors whose terms are set to expire, including the number of meetings attended, level of participation, quality of performance and any other relationships and transactions that might impair the directors’ independence, as well as the overall composition of the Board of Directors and the desire to add new skill sets and expertise to the Company. In the case of all director candidates, the Nominating and Corporate Governance Committee also determines whether the nominee is independent under the applicable listing standards of NYSE American (the “NYSE American Listing Rules”) and applicable SEC rules and regulations. Our common stock began trading on NYSE American on December 5, 2025, at which point we became subject to the NYSE American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Nominations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will evaluate director candidates recommended by stockholders in the same manner in which the Nominating and Corporate Governance Committee evaluates any other director candidate. Any recommendation submitted to the Company should be in writing and should include any supporting material the stockholder considers appropriate in support of that recommendation but must include information that would be required under the “advance notice” provisions of the Bylaws and SEC rules to be included in a proxy statement soliciting proxies for the election of such candidate. Stockholders wishing to propose a candidate for consideration by our Nominating and Corporate Governance Committee to become nominees for election to the Board of Directors may do so by submitting the above information to our Nominating and Corporate Governance Committee at Reed’s, Inc., Attn: Corporate Secretary, 501 Merritt 7 PH, Norwalk, CT 06851. Stockholders must also satisfy the notification, timeliness, consent, and information requirements set forth in our Bylaws. These requirements are also described under the section entitled “Questions and Answers about these Proxy Materials and Voting—When are stockholder proposals and director nominations due for next year’s annual meeting?” For additional information about our director nomination requirements, please see our Bylaws.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undertaken a review of its composition, the composition of its committees and the independence of each director. Based on information requested from and provided by each director and director nominee concerning her or his background, employment and affiliations, including family relationships, our Board of Directors has affirmatively determined that none of our directors, other than Ms. Deng and Mr. Cohane, has any relationship that would interfere with the exercise of independent judgment in carrying out the responsibilities of a director and that each of these directors is “independent” as that term is defined under NYSE American Listing Rules. Our Board of Directors has determined that Ms. Deng, by virtue of her affiliation with D&amp;D, our largest shareholder, and Mr. Cohane, by virtue of his position as our interim Chief Executive Officer, are not independent under applicable rules and regulations of the SEC and the NYSE American Listing Rules. Norman E. Snyder and Cyril A. Wallace, former Chief Executive Officers of the Company, also served on our Board of Directors during the year ended December 31, 2025. Messrs. Snyder and Wallace were not independent by virtue of their position as our then Chief Executive Officer. In making these independence determinations, our Board of Directors considered the current and prior relationships that each non-employee director has with our Company and all other facts and circumstances our Board of Directors deemed relevant in determining their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roles of Chairperson of our Board of Directors and Chief Executive Officer are currently separated, with Ms. Deng serving as Chairperson of our Board of Directors and Mr. Cohane serving as our interim Chief Executive Officer. We believe that separating these positions is the best corporate governance leadership structure for us at this time, as it allows our Chief Executive Officer to focus on our day-to-day business, while allowing the Chairperson of our Board of Directors to lead the Board of Directors in its fundamental role of providing advice to and independent oversight of management. In determining to separate these roles, our Board of Directors recognized and continues to recognize the time, effort and energy that the Chief Executive Officer is required to devote to his position in the current business environment, as well as the commitment required to serve as Chairperson of our Board of Directors, particularly as the Board of Directors’ oversight responsibilities continue to grow. While neither of our Bylaws or Corporate Governance Guidelines require that our Chairperson and Chief Executive Officer positions be separate, our Board of Directors believes that having separate positions is the appropriate leadership structure for us at this time and demonstrates our commitment to good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of Directors in Risk Oversight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believes that risk management is an important part of establishing, updating and executing our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its processes to identify, prioritize, assess, manage and mitigate those risks. Our Board of Directors and its committees receive regular reports from members of the Company’s senior management on areas of material risk to the Company, including strategic, operational, financial, cybersecurity,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overseeing our financial reporting process on behalf of our Board of Directors and reviewing with management and our auditors, as appropriate, our major financial risk exposures, as well as overseeing our cybersecurity risk management processes, including oversight and mitigation of risks from cybersecurity threats. The Audit Committee also monitors compliance with legal and regulatory requirements. The Compensation Committee is responsible for overseeing our practices and policies of employee compensation as they relate to risk management and risk-taking incentives to determine whether such compensation policies and practices are reasonably likely to have a material adverse effect on the Company. The Nominating and Corporate Governance Committee oversees the management of risks associated with our overall compliance and corporate governance practices and the independence and composition of our Board of Directors. From time to time, or when requested by the Board of Directors, these committees provide reports to the full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Meetings of the Board of Directors and Attendance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met eight times during 2025. Each director attended 75% or more of the aggregate number of meetings of the Board of Directors, and of the committees on which he or she served, held during the portion of 2025 for which he or she was a director or committee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encourage directors and nominees for director to attend the Annual Meeting. During 2025, our stockholders elected directors by written consent in lieu of holding an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Corporate Governance Guidelines and the NYSE American Listing Rules, our non-employee directors meet regularly in executive sessions of the Board of Directors without management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Regarding 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 standing Audit Committee, Compensation Committee and Nominating and Corporate Governance Committee. The following table provides current committee membership and meeting information for 2025 for each of these committees. The Compensation Committee and the Nominating and Corporate Governance Committee did not meet during 2025 but transacted their respective business via unanimous written consents.</w:t>
      </w:r>
    </w:p>
    <w:p>
      <w:pPr>
        <w:pStyle w:val="TextBody"/>
        <w:bidi w:val="0"/>
        <w:spacing w:before="0" w:after="0"/>
        <w:ind w:left="0" w:right="0" w:hanging="0"/>
        <w:jc w:val="both"/>
        <w:rPr>
          <w:caps w:val="false"/>
          <w:smallCaps w:val="false"/>
        </w:rPr>
      </w:pPr>
      <w:r>
        <w:rPr>
          <w:caps w:val="false"/>
          <w:smallCaps w:val="false"/>
        </w:rPr>
        <w:t> </w:t>
      </w:r>
    </w:p>
    <w:tbl>
      <w:tblPr>
        <w:tblW w:w="5882" w:type="dxa"/>
        <w:jc w:val="left"/>
        <w:tblInd w:w="0" w:type="dxa"/>
        <w:tblLayout w:type="fixed"/>
        <w:tblCellMar>
          <w:top w:w="0" w:type="dxa"/>
          <w:left w:w="0" w:type="dxa"/>
          <w:bottom w:w="28" w:type="dxa"/>
          <w:right w:w="0" w:type="dxa"/>
        </w:tblCellMar>
      </w:tblPr>
      <w:tblGrid>
        <w:gridCol w:w="1970"/>
        <w:gridCol w:w="60"/>
        <w:gridCol w:w="152"/>
        <w:gridCol w:w="587"/>
        <w:gridCol w:w="60"/>
        <w:gridCol w:w="60"/>
        <w:gridCol w:w="307"/>
        <w:gridCol w:w="1182"/>
        <w:gridCol w:w="60"/>
        <w:gridCol w:w="60"/>
        <w:gridCol w:w="270"/>
        <w:gridCol w:w="1039"/>
        <w:gridCol w:w="75"/>
      </w:tblGrid>
      <w:tr>
        <w:trPr/>
        <w:tc>
          <w:tcPr>
            <w:tcW w:w="197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739" w:type="dxa"/>
            <w:gridSpan w:val="2"/>
            <w:tcBorders>
              <w:bottom w:val="single" w:sz="8"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Audit </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8"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w:t>
              <w:br/>
              <w:t>and</w:t>
              <w:br/>
              <w:t>Corporate</w:t>
              <w:br/>
              <w:t xml:space="preserve">Governance </w:t>
            </w:r>
            <w:r>
              <w:rPr>
                <w:rFonts w:ascii="Times New Roman;Times;Serif" w:hAnsi="Times New Roman;Times;Serif"/>
                <w:b/>
                <w:i w:val="false"/>
                <w:caps w:val="false"/>
                <w:smallCaps w:val="false"/>
                <w:position w:val="7"/>
                <w:sz w:val="16"/>
                <w:sz w:val="20"/>
              </w:rPr>
              <w:t>(1)</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Sam Van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1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Rudolf J. M. Bakker </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70" w:type="dxa"/>
            <w:tcBorders/>
            <w:shd w:fill="CCEEFF" w:val="clear"/>
            <w:tcMar>
              <w:bottom w:w="0" w:type="dxa"/>
            </w:tcMar>
            <w:vAlign w:val="center"/>
          </w:tcPr>
          <w:p>
            <w:pPr>
              <w:pStyle w:val="TableContents"/>
              <w:bidi w:val="0"/>
              <w:spacing w:before="0" w:after="283"/>
              <w:jc w:val="left"/>
              <w:rPr/>
            </w:pPr>
            <w:r>
              <w:rPr/>
              <w:t>Michael C. Tu</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58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shd w:fill="CCEEFF" w:val="clear"/>
            <w:tcMar>
              <w:bottom w:w="0" w:type="dxa"/>
            </w:tcMar>
            <w:vAlign w:val="center"/>
          </w:tcPr>
          <w:p>
            <w:pPr>
              <w:pStyle w:val="TableContents"/>
              <w:bidi w:val="0"/>
              <w:spacing w:before="0" w:after="283"/>
              <w:jc w:val="left"/>
              <w:rPr/>
            </w:pPr>
            <w:r>
              <w:rPr/>
              <w:t> </w:t>
            </w:r>
          </w:p>
        </w:tc>
        <w:tc>
          <w:tcPr>
            <w:tcW w:w="11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0" w:type="dxa"/>
            <w:tcBorders/>
            <w:shd w:fill="CCEEFF" w:val="clear"/>
            <w:tcMar>
              <w:bottom w:w="0" w:type="dxa"/>
            </w:tcMar>
            <w:vAlign w:val="center"/>
          </w:tcPr>
          <w:p>
            <w:pPr>
              <w:pStyle w:val="TableContents"/>
              <w:bidi w:val="0"/>
              <w:spacing w:before="0" w:after="283"/>
              <w:jc w:val="left"/>
              <w:rPr/>
            </w:pPr>
            <w:r>
              <w:rPr/>
              <w:t> </w:t>
            </w:r>
          </w:p>
        </w:tc>
        <w:tc>
          <w:tcPr>
            <w:tcW w:w="1039" w:type="dxa"/>
            <w:tcBorders/>
            <w:shd w:fill="CCEEFF" w:val="clear"/>
            <w:tcMar>
              <w:bottom w:w="0" w:type="dxa"/>
            </w:tcMar>
            <w:vAlign w:val="center"/>
          </w:tcPr>
          <w:p>
            <w:pPr>
              <w:pStyle w:val="TableContents"/>
              <w:bidi w:val="0"/>
              <w:spacing w:before="0" w:after="283"/>
              <w:jc w:val="right"/>
              <w:rPr/>
            </w:pPr>
            <w:r>
              <w:rPr/>
              <w:t>✓</w:t>
            </w: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70" w:type="dxa"/>
            <w:tcBorders/>
            <w:shd w:fill="FFFFFF" w:val="clear"/>
            <w:tcMar>
              <w:bottom w:w="0" w:type="dxa"/>
            </w:tcMar>
            <w:vAlign w:val="center"/>
          </w:tcPr>
          <w:p>
            <w:pPr>
              <w:pStyle w:val="TableContents"/>
              <w:bidi w:val="0"/>
              <w:spacing w:before="0" w:after="283"/>
              <w:jc w:val="left"/>
              <w:rPr/>
            </w:pPr>
            <w:r>
              <w:rPr/>
              <w:t>Number of meetings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587" w:type="dxa"/>
            <w:tcBorders/>
            <w:shd w:fill="FFFFFF" w:val="clear"/>
            <w:tcMar>
              <w:bottom w:w="0" w:type="dxa"/>
            </w:tcMar>
            <w:vAlign w:val="center"/>
          </w:tcPr>
          <w:p>
            <w:pPr>
              <w:pStyle w:val="TableContents"/>
              <w:bidi w:val="0"/>
              <w:spacing w:before="0" w:after="283"/>
              <w:jc w:val="righ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 w:type="dxa"/>
            <w:tcBorders/>
            <w:shd w:fill="FFFFFF" w:val="clear"/>
            <w:tcMar>
              <w:bottom w:w="0" w:type="dxa"/>
            </w:tcMar>
            <w:vAlign w:val="center"/>
          </w:tcPr>
          <w:p>
            <w:pPr>
              <w:pStyle w:val="TableContents"/>
              <w:bidi w:val="0"/>
              <w:spacing w:before="0" w:after="283"/>
              <w:jc w:val="left"/>
              <w:rPr/>
            </w:pPr>
            <w:r>
              <w:rPr/>
              <w:t> </w:t>
            </w:r>
          </w:p>
        </w:tc>
        <w:tc>
          <w:tcPr>
            <w:tcW w:w="1182"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0" w:type="dxa"/>
            <w:tcBorders/>
            <w:shd w:fill="FFFFFF" w:val="clear"/>
            <w:tcMar>
              <w:bottom w:w="0" w:type="dxa"/>
            </w:tcMar>
            <w:vAlign w:val="center"/>
          </w:tcPr>
          <w:p>
            <w:pPr>
              <w:pStyle w:val="TableContents"/>
              <w:bidi w:val="0"/>
              <w:spacing w:before="0" w:after="283"/>
              <w:jc w:val="left"/>
              <w:rPr/>
            </w:pPr>
            <w:r>
              <w:rPr/>
              <w:t> </w:t>
            </w:r>
          </w:p>
        </w:tc>
        <w:tc>
          <w:tcPr>
            <w:tcW w:w="1039" w:type="dxa"/>
            <w:tcBorders/>
            <w:shd w:fill="FFFFFF" w:val="clear"/>
            <w:tcMar>
              <w:bottom w:w="0" w:type="dxa"/>
            </w:tcMar>
            <w:vAlign w:val="center"/>
          </w:tcPr>
          <w:p>
            <w:pPr>
              <w:pStyle w:val="TableContents"/>
              <w:bidi w:val="0"/>
              <w:spacing w:before="0" w:after="283"/>
              <w:jc w:val="right"/>
              <w:rPr/>
            </w:pPr>
            <w:r>
              <w:rPr/>
              <w:t>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750" w:type="dxa"/>
        <w:jc w:val="left"/>
        <w:tblInd w:w="0" w:type="dxa"/>
        <w:tblLayout w:type="fixed"/>
        <w:tblCellMar>
          <w:top w:w="0" w:type="dxa"/>
          <w:left w:w="0" w:type="dxa"/>
          <w:bottom w:w="0" w:type="dxa"/>
          <w:right w:w="0" w:type="dxa"/>
        </w:tblCellMar>
      </w:tblPr>
      <w:tblGrid>
        <w:gridCol w:w="155"/>
        <w:gridCol w:w="1595"/>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Committee chair</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Lewis Jaffe resigned from the Board of Directors effective March 31, 2025, and Randle Lee Edwards resigned from the Board of Directors effective September 10, 2025. Prior to his resignation, Mr. Jaffe served as the chairperson of the Nominating and Corporate Governance Committee and as a member of the Audit Committee and the Compensation Committee. Prior to his resignation, Mr. Edwards served as a member of the Audit Committee, the Compensation Committee, and the 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Mr. Bakker served as a member of the Audit Committee from April 11, 2025 until his resignation from the Audit Committee on February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description of the Audit Committee, Compensation Committee and Nominating and Corporate Governance Committee. The written charters of the committees, which comply with the applicable NYSE American Listing Rules, are available to stockholders on the Governance section of our website at https://investor.reedsinc.com/corporate-governance/documents-charters. Each of the committees has authority to engage legal counsel or other experts or consultants, as it deems appropriate to carry out its responsibilities.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currently consists of Messrs. Tu and Van, with Mr. Van serving as chair. Our Board of Directors has affirmatively determined that each of the members of the Audit Committee satisfies the independence requirements of the NYSE American Listing Rules and Rule 10A-3 under the Exchange Act. Each member of our Audit Committee can read and understand fundamental financial statements in accordance with the NYSE American Listing Rules audit committee requirements. In arriving at this determination, our Board of Directors has examined each Audit Committee member’s scope of experience and the nature of their prior and/or current employment. Our Board of Directors has determined that Mr. Van qualifies as an audit committee financial expert within the meaning of SEC regulations and meets the financial sophistication requirements of the NYSE American Listing Rules. In making this determination, our Board of Directors has considered each financial expert’s formal education and previous experience in financial roles. Both our independent registered public accounting firm and management periodically meet privately with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evaluating the performance, independence, and qualifications of our independent auditors and determining whether to retain our existing independent auditors or engage new independent auditors;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our financial reporting processes and disclosure controls;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approving the engagement of our independent auditors to perform audit services and any permissible non-audit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the adequacy and effectiveness of our internal control policies and procedures, including the responsibilities, budget, staffing, and effectiveness of our internal audit function;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with the independent auditors the annual audit plan, including the scope of audit activities and all critical accounting policies and practices to be used by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obtaining and reviewing at least annually a report by our independent auditors describing the independent auditors’ internal quality control procedures and any material issues raised by the most recent internal quality-control review;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monitoring the rotation of partners of our independent auditors on our engagement team as required by law;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engagement of any independent auditor, and at least annually thereafter, reviewing relationships that may reasonably be thought to bear on their independence, and assessing and otherwise taking the appropriate action to oversee the independence of our independent auditor;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our annual and quarterly financial statements and reports, including the disclosures contained in “Management’s Discussion and Analysis of Financial Condition and Results of Operations,” and discussing the statements and reports with our independent auditors and management;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with management and our auditors any earnings announcements and other public announcements regarding material developments;</w:t>
            </w:r>
          </w:p>
        </w:tc>
      </w:tr>
    </w:tbl>
    <w:p>
      <w:pPr>
        <w:pStyle w:val="TextBody"/>
        <w:bidi w:val="0"/>
        <w:spacing w:before="0" w:after="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establishing procedures for the receipt, retention, and treatment of complaints received by us regarding financial controls, accounting, auditing, or other matters;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preparing the report that the SEC requires in our annual proxy statement;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providing oversight of any related person transactions in accordance with our related person transaction policy and reviewing and monitoring compliance with legal and regulatory responsibilities;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our major financial risk exposures, including the guidelines and policies to govern the process by which risk assessment and risk management is implemented;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evaluating on an annual basis the performance of the Audit Committee and the Audit Committee charter and recommending such changes as deemed necessary to our Board of Directors.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the Audit Committee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solely of independent directors, as required by and in compliance with SEC rules and regulations and the NYSE American Company Guide. The Audit Committee operates pursuant to a written charter adopted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and discussed the Company’s audited financial statements as of and for the year ended December 31, 2025,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review and discussions described above, the Audit Committee recommended to the Board that the Company’s audited financial statements be included in its Annual Report on Form 10-K for the year ended December 31, 2025, for filing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AUDIT COMMITTEE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Van (Chair)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 Tu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material in this report is not “soliciting material,” is not deemed “filed” with the SEC and is not to be incorporated by reference in any filing of the Company under the Securities Act or the Exchange Act, whether made before or after the date hereof and irrespective of any general incorporation language in any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currently consists of Messrs. Tu, Van, and Bakker, with Mr. Bakker serving as chair. Our Board of Directors has affirmatively determined that each of the members of our Compensation Committee is a non-employee director, as defined in Rule 16b-3 promulgated under the Exchange Act, and satisfies the independence requirements of the NYSE American Listing Rules.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approving the corporate objectives that pertain to the determination of executive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recommending to our Board of Directors the compensation and other terms of employment of our executive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approving performance goals and objectives relevant to the compensation of our executive officers and assessing their performance against these goals and objectives;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making recommendations to our Board of Directors regarding the adoption or amendment of equity and cash incentive plans and approving amendments to such plans to the extent authorized by our Board of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making recommendations to our Board of Directors regarding the type and amount of compensation to be paid or awarded to our non-employee board members;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assessing the independence of compensation consultants, legal counsel, and other advisers as required by Section 10C of the Exchange 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administering our equity incentive plans, to the extent such authority is delegated by our Board of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approving the terms of any employment agreements, severance arrangements, change in control protections, indemnification agreements, and any other material arrangements for our executive officers;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with management our disclosures under the caption “Compensation Discussion and Analysis” in our periodic reports or proxy statements to be filed with the SEC, to the extent such caption is included in any such report or proxy statement;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preparing an annual report on executive compensation to be included in our annual proxy statement, to the extent required;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evaluating on an annual basis the performance of the Compensation Committee and the Compensation Committee charter and recommending such changes as deemed necessary to our Board of Directors.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Processes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generally meets quarterly and with greater frequency if necessary. The Compensation Committee also acts periodically by unanimous written consent in lieu of a formal meeting. The agenda for each meeting is usually developed by the chair of the Compensation Committee, in consultation with management.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Reed’s. In addition, under the charter, the Compensation Committee has the authority to obtain, at our expense,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the authority to approve the consultant’s reasonable fees and other retention terms.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evaluation of our executive officers’ performance, including our Chief Executive Officer, is conducted by the Compensation Committee, which determines any adjustments to their compensation as well as awards to be granted. For all executives and directors, as part of its deliberations, the Compensation Committee may review and consider, as appropriate, materials such as financial reports and projections, operational data, tax and accounting information, total compensation that may become payable to executives in various hypothetical scenarios, executive and director stock ownership information, company stock performance data and, if a compensation consultant is engaged, analyses of historical executive compensation levels and current company-wide compensation levels and recommendations of the Compensation Committee’s compensation consultant, including analyses of executive and director compensation paid at other companies identified by such consultant.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compensation of our executive officers and directors, see the sections titled “Director Compensation” and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Nominating and Corporate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currently consists of Messrs. Tu, Van, and Bakker, with Mr. Tu serving as chair. Our Board of Directors has affirmatively determined that each of the members of our Nominating and Corporate Governance Committee satisfies the independence requirements of the NYSE American Listing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responsibilities of our Nominating and Corporate Governance Committee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identifying, reviewing, and making recommendations of candidates to serve on our Board of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evaluating the performance of our Board of Directors, committees of our Board of Directors, individual directors, and members of the senior management team and determining whether continued service on our Board of Directors or management team is appropriate;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evaluating nominations by stockholders of candidates for election to our Board of Directors;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evaluating the current size, composition, and organization of our Board of Directors and its committees and making recommendations to our Board of Directors for approval;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developing a set of corporate governance policies and principles and recommending to our Board of Directors any changes to such policies and principles;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issues and developments related to corporate governance and identifying and bringing to the attention of our Board of Directors current and emerging corporate governance trends;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reviewing and evaluating on an annual basis the performance of the Nominating and Corporate Governance Committee and the Nominating and Corporate Governance Committee charter and recommending such changes as deemed necessary to our Board of Directors.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Communications with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welcomes input and suggestions from all interested parties, including stockholders. Anyone may communicate with a member or members of our Board of Directors, including the Chairperson of the Board of Directors, chair of the Audit, Compensation, or Nominating and Corporate Governance Committees, or to the non-management or independent directors, by sending a written communication to Reed’s, Inc., Attn: Corporate Secretary, 501 Merritt 7 PH, Norwalk, CT 06851.</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addressed to the Board of Directors or to a member thereof are distributed to the Board of Directors or to any individual director or directors, as appropriate. Any such communication is promptly distributed to the director or directors named therein unless such communication is considered, either presumptively or in the reasonable judgment of the Company’s Corporate Secretary, to be improper for submission to the intended recipient or recipients. Examples of communications that would presumptively be deemed improper for submission include, without limitation, solicitations, communications that raise grievances that are personal to the sender, communications that relate to the pricing of the Company’s products or services, communications that do not relate directly or indirectly to the Company and communications that are frivolous in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written Code of Ethics that applies to all of our directors, officers and employees, including our principal executive officer, principal financial officer, principal accounting officer or controller, or persons performing similar functions, in accordance with Section 406 of the Sarbanes-Oxley Act of 2002 and the rules of the SEC promulgated thereunder, which may be viewed on the Governance section of our website at https://investor.reedsinc.com/corporate-governance/documents-charters. We intend to promptly disclose on our website or in a Current Report on Form 8-K in the future (i) the date and nature of any amendment (other than technical, administrative or other non-substantive amendments) to the Code of Ethics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Ethics that is granted to one of these specified individuals that relates to one or more of the elements of the code of ethics definition enumerated in Item 406(b) of Regulation S-K, the name of such person who is granted the waiver and the date of the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 Guidelines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Board of Directors’ commitment to enhancing stockholder value over the long term, our Board of Directors has adopted a set of Corporate Governance Guidelines to provide the framework for the governance of the Company and to assist our Board of Directors in the exercise of its responsibilities. Our Corporate Governance Guidelines cover, among other topics, composition and structure of the Board of Directors, Board of Directors membership criteria, director independence, Board of Directors and Board of Directors committee assessments, committees of the Board of Directors, Board of Directors access to management and outside advisors and director orientation and education. The Corporate Governance Guidelines, as well as the charters for each committee of the Board of Directors, may be viewed on the Governance section of our website at https://investor.reedsinc.com/corporate-governance/documents-charters.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w:t>
      </w:r>
      <w:bookmarkStart w:id="7" w:name="xdx_904_eecd--InsiderTrdPoliciesProcAdop"/>
      <w:bookmarkEnd w:id="7"/>
      <w:r>
        <w:rPr>
          <w:rFonts w:ascii="Times New Roman;Times;Serif" w:hAnsi="Times New Roman;Times;Serif"/>
          <w:b w:val="false"/>
          <w:i w:val="false"/>
          <w:caps w:val="false"/>
          <w:smallCaps w:val="false"/>
          <w:sz w:val="20"/>
        </w:rPr>
        <w:t>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A copy of our Insider Trading Policy is filed as an exhibit to our Annual Report on Form 10-K. In addition, it is the Company’s intent to comply with applicable laws and regulations relating to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Regarding Hedging and Pledging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Insider Trading Policy, our employees (including executive officers), directors, consultants, and their designees may not hedge their ownership of our stock, including, but not limited to, through the use of financial instruments such as prepaid variable forwards, equity swaps, collars and exchange funds. Additionally, employees (including executive officers), directors, consultants, and their designees may not hold our stock in a margin account or otherwise pledge our stock as collateral for a loan.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a_004"/>
      <w:bookmarkEnd w:id="8"/>
      <w:r>
        <w:rPr>
          <w:rFonts w:ascii="Times New Roman;Times;Serif" w:hAnsi="Times New Roman;Times;Serif"/>
          <w:b/>
          <w:i w:val="false"/>
          <w:caps/>
          <w:sz w:val="20"/>
        </w:rPr>
        <w:t>PROPOSAL NO. 2: RATIFICATION OF SELECTION OF INDEPENDENT REGISTERED PUBLIC ACCOUNTING FIRM</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selected Weinberg as the Company’s independent registered public accounting firm for the year ending December 31, 2026 and has further directed that management submit the selection of Weinberg as the Company’s independent registered public accounting firm for ratification by the stockholders at the Annual Meeting. Weinberg has audited the Company’s financial statements since 2004. Representatives of Weinberg are expected to be present at the Annual Meeting. They will have an opportunity to make a statement if they so desire and will be available to respond to appropriate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Company’s Bylaws nor other governing documents or law require stockholder ratification of the selection of Weinberg as the Company’s independent registered public accounting firm. However, the Audit Committee is submitting the selection of Weinberg to the stockholders for ratification as a matter of good corporate practice. If the stockholders fail to ratify the selection, the Audit Committee will reconsider whether or not to retain Weinberg. Even if the selection is ratified, the Audit Committee, in its discretion, may select a different independent registered public accounting firm at any time during the year if they determine that such a change would be in the best interests of the Company and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br/>
        <w:t>a vote “For” Proposal No.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aggregate fees billed to Reed’s for the years ended December 31, 2025 and 2024, by Weinberg,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tbl>
      <w:tblPr>
        <w:tblW w:w="4703" w:type="dxa"/>
        <w:jc w:val="left"/>
        <w:tblInd w:w="0" w:type="dxa"/>
        <w:tblLayout w:type="fixed"/>
        <w:tblCellMar>
          <w:top w:w="0" w:type="dxa"/>
          <w:left w:w="0" w:type="dxa"/>
          <w:bottom w:w="0" w:type="dxa"/>
          <w:right w:w="0" w:type="dxa"/>
        </w:tblCellMar>
      </w:tblPr>
      <w:tblGrid>
        <w:gridCol w:w="1850"/>
        <w:gridCol w:w="60"/>
        <w:gridCol w:w="190"/>
        <w:gridCol w:w="1088"/>
        <w:gridCol w:w="81"/>
        <w:gridCol w:w="81"/>
        <w:gridCol w:w="190"/>
        <w:gridCol w:w="1088"/>
        <w:gridCol w:w="75"/>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 December 31,</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2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311,090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1088" w:type="dxa"/>
            <w:tcBorders/>
            <w:shd w:fill="CCEEFF" w:val="clear"/>
            <w:vAlign w:val="center"/>
          </w:tcPr>
          <w:p>
            <w:pPr>
              <w:pStyle w:val="TableContents"/>
              <w:bidi w:val="0"/>
              <w:spacing w:before="0" w:after="283"/>
              <w:jc w:val="right"/>
              <w:rPr/>
            </w:pPr>
            <w:r>
              <w:rPr/>
              <w:t>279,804</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46,603</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088" w:type="dxa"/>
            <w:tcBorders/>
            <w:shd w:fill="CCEEFF" w:val="clear"/>
            <w:vAlign w:val="center"/>
          </w:tcPr>
          <w:p>
            <w:pPr>
              <w:pStyle w:val="TableContents"/>
              <w:bidi w:val="0"/>
              <w:spacing w:before="0" w:after="283"/>
              <w:jc w:val="right"/>
              <w:rPr/>
            </w:pPr>
            <w:r>
              <w:rPr/>
              <w:t>33,928</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All Other Fees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70,575</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390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ind w:left="360" w:right="0" w:hanging="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63" w:type="dxa"/>
            <w:tcBorders/>
            <w:vAlign w:val="center"/>
          </w:tcPr>
          <w:p>
            <w:pPr>
              <w:pStyle w:val="TableContents"/>
              <w:bidi w:val="0"/>
              <w:spacing w:before="0" w:after="283"/>
              <w:jc w:val="both"/>
              <w:rPr/>
            </w:pPr>
            <w:r>
              <w:rPr/>
              <w:t>“</w:t>
            </w:r>
            <w:r>
              <w:rPr>
                <w:rFonts w:ascii="Times New Roman;Times;Serif" w:hAnsi="Times New Roman;Times;Serif"/>
              </w:rPr>
              <w:t>Audit Fees” consist of fees incurred for professional services rendered by our principal accountant for the audit of our annual financial statements and review of financial statements included in our Form 10-K, or for services that are normally provided by the accountant in connection with statutory and regulatory filings or engagements for those fiscal years. Weinberg provided services for the audits of our financial statements included in Annual Reports on Form 10-K and limited reviews of the financial statements included in Quarterly Reports on Form 10-Q.</w:t>
            </w:r>
          </w:p>
        </w:tc>
      </w:tr>
      <w:tr>
        <w:trPr/>
        <w:tc>
          <w:tcPr>
            <w:tcW w:w="242"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both"/>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63" w:type="dxa"/>
            <w:tcBorders/>
            <w:vAlign w:val="center"/>
          </w:tcPr>
          <w:p>
            <w:pPr>
              <w:pStyle w:val="TableContents"/>
              <w:bidi w:val="0"/>
              <w:spacing w:before="0" w:after="283"/>
              <w:jc w:val="both"/>
              <w:rPr/>
            </w:pPr>
            <w:r>
              <w:rPr/>
              <w:t>“</w:t>
            </w:r>
            <w:r>
              <w:rPr>
                <w:rFonts w:ascii="Times New Roman;Times;Serif" w:hAnsi="Times New Roman;Times;Serif"/>
              </w:rPr>
              <w:t>Audit-Related Fees” consist of fees for assurance and related services by our principal accountant that are reasonably related to the performance of the audit or review of our financial statements and are not reported under “Audit Fees.” Weinberg did not provide any professional services which would be considered “Audit-Related Fees.”</w:t>
            </w:r>
          </w:p>
        </w:tc>
      </w:tr>
      <w:tr>
        <w:trPr/>
        <w:tc>
          <w:tcPr>
            <w:tcW w:w="242"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both"/>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63" w:type="dxa"/>
            <w:tcBorders/>
            <w:vAlign w:val="center"/>
          </w:tcPr>
          <w:p>
            <w:pPr>
              <w:pStyle w:val="TableContents"/>
              <w:bidi w:val="0"/>
              <w:spacing w:before="0" w:after="283"/>
              <w:jc w:val="both"/>
              <w:rPr/>
            </w:pPr>
            <w:r>
              <w:rPr/>
              <w:t>“</w:t>
            </w:r>
            <w:r>
              <w:rPr>
                <w:rFonts w:ascii="Times New Roman;Times;Serif" w:hAnsi="Times New Roman;Times;Serif"/>
              </w:rPr>
              <w:t>Tax Fees” consist of fees for professional services rendered by our principal accountant for tax compliance, tax advice, and tax planning. Weinberg prepared our 2025 and 2024 federal and state income tax returns.</w:t>
            </w:r>
          </w:p>
        </w:tc>
      </w:tr>
      <w:tr>
        <w:trPr/>
        <w:tc>
          <w:tcPr>
            <w:tcW w:w="242" w:type="dxa"/>
            <w:tcBorders/>
            <w:vAlign w:val="center"/>
          </w:tcPr>
          <w:p>
            <w:pPr>
              <w:pStyle w:val="TableContents"/>
              <w:bidi w:val="0"/>
              <w:spacing w:before="0" w:after="283"/>
              <w:jc w:val="left"/>
              <w:rPr/>
            </w:pPr>
            <w:r>
              <w:rPr/>
              <w:t> </w:t>
            </w:r>
          </w:p>
        </w:tc>
        <w:tc>
          <w:tcPr>
            <w:tcW w:w="9963" w:type="dxa"/>
            <w:tcBorders/>
            <w:vAlign w:val="center"/>
          </w:tcPr>
          <w:p>
            <w:pPr>
              <w:pStyle w:val="TableContents"/>
              <w:bidi w:val="0"/>
              <w:spacing w:before="0" w:after="283"/>
              <w:jc w:val="both"/>
              <w:rPr/>
            </w:pPr>
            <w:r>
              <w:rPr/>
              <w:t> </w:t>
            </w:r>
          </w:p>
        </w:tc>
      </w:tr>
      <w:tr>
        <w:trPr/>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63" w:type="dxa"/>
            <w:tcBorders/>
            <w:vAlign w:val="center"/>
          </w:tcPr>
          <w:p>
            <w:pPr>
              <w:pStyle w:val="TableContents"/>
              <w:bidi w:val="0"/>
              <w:spacing w:before="0" w:after="283"/>
              <w:jc w:val="both"/>
              <w:rPr/>
            </w:pPr>
            <w:r>
              <w:rPr/>
              <w:t>“</w:t>
            </w:r>
            <w:r>
              <w:rPr>
                <w:rFonts w:ascii="Times New Roman;Times;Serif" w:hAnsi="Times New Roman;Times;Serif"/>
              </w:rPr>
              <w:t>All Other Fees” consist of fees for products and services provided by our principal accountant, other than the services reported under “Audit Fees,” “Audit-Related Fees,” and “Tax Fees.” Services provided by Weinberg with respect to the filing of various registration statements made throughout the year are considered “All Other Fees.”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described for the years ended December 31, 2025 and 2024 have been pre-approved by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policies and procedures in place for the pre-approval of audit and non-audit services rendered by our independent registered public accounting firm, Weinberg. The Audit Committee generally pre-approves specified services in the defined categories of audit services, audit-related services, tax services and permitted non-audit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determined that the rendering of services other than audit services by Weinberg is compatible with maintaining the principal accountant’s independence.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a_005"/>
      <w:bookmarkEnd w:id="9"/>
      <w:r>
        <w:rPr>
          <w:rFonts w:ascii="Times New Roman;Times;Serif" w:hAnsi="Times New Roman;Times;Serif"/>
          <w:b/>
          <w:i w:val="false"/>
          <w:caps/>
          <w:sz w:val="20"/>
        </w:rPr>
        <w:t>PROPOSAL NO. 3: APPROVAL OF THE COMPANY’S 2026 EQUITY INCENTIVE PLAN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asking our stockholders to approve the Reed’s, Inc. 2026 Equity Incentive Plan (the “2026 Plan”) at the Annual Meeting. The 2026 Plan is intended to be the successor to the Reed’s, Inc. 2020 Equity Incentive Plan (as amended from time to time, the “2020 Plan”) and the Second Amended and Restated 2017 Compensation Plan (the “2017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We Are Asking Our Stockholders to Approve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we maintain the 2020 Plan to grant equity awards to our employees, directors and consultants. We are seeking stockholder approval of the 2026 Plan to among other things, increase the number of shares available for the grant of stock options, restricted stock unit awards and other awards, which will enable us to attract, retain, and motivate employees, align employee interests with those of shareholders, drive long-term company performance, and foster a culture of ownership. If the 2026 Plan is approved by our stockholders, no additional awards will be granted under the 2020 Plan on or after the date of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2026 Plan by our stockholders will allow us to continue to grant stock options, restricted stock unit awards and other awards at levels determined appropriate by the Board of Directors or Compensation Committee. The 2026 Plan will also allow us to continue to utilize a broad array of equity incentives in order to secure and retain the services of our employees, directors and consultants, and to provide long-term incentives that align the interests of our employees, directors and consultants with the interests of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Requested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3 is approved by our stockholders, then subject to adjustment for certain changes in our capitalization, the aggregate number of shares of our common stock that may be issued under the 2026 Plan will not exceed 1,300,000 shares, plus the number of shares added each year pursuant to the automatic increase on January 1 of each year for a period of ten years commencing on January 1, 2027 and ending on (and including) January 1, 2036, in an amount equal to five percent (5%) of the total number of shares of capital stock of the Company outstanding on December 31 of the preceding year, unless the Board of Directors acts prior to January 1 of a given year to provide that the increase for such year will be a lesser number of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3 is approved by our stockholders, the 2026 Plan will become effective as of the date of the Annual Meeting and no additional awards will be granted under the 2020 Plan on or after such date. In the event that our stockholders do not approve this Proposal 3, the 2026 Plan will not become effective, the 2020 Plan will continue to be effective in accordance with its terms and we will have insufficient shares of common stock available to provide long-term equity incentives to our employees, directors and consultants.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You Should Vote to Approve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Awards Are an Important Part of Our Compensation Philosophy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the grant of equity awards is a key element underlying our ability to attract, retain and motivate our employees, directors and consultants because of the strong competition for experienced individuals among beverage companies. Therefore, the Board of Directors believes that the 2026 Plan is in the best interests of our business and our stockholders and unanimously recommends a vote in favor of this Proposal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Plan will allow us to continue to utilize equity awards as long-term incentives to secure and retain the services of our employees, directors and consultants, consistent with our compensation philosophy and common compensation practice for our industry. To date, equity awards have been a key aspect of our program to attract and retain key employees, directors and consultants. We believe the use of equity awards strongly aligns the interests of our employees with those of our stockholders by placing a considerable proportion of our employees’ total compensation “at risk” because it is contingent on the appreciation in value of our common stock. In addition, we believe equity awards encourage employee ownership of our common stock and promote retention through the reward of long-term Company performance.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2026 Plan Combines Compensation and Governance Best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Plan includes provisions that are designed to protect our stockholders’ interests and to reflect corporate governance best practices,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No discounted stock options or stock appreciation rights</w:t>
            </w:r>
            <w:r>
              <w:rPr>
                <w:rFonts w:ascii="Times New Roman;Times;Serif" w:hAnsi="Times New Roman;Times;Serif"/>
              </w:rPr>
              <w:t>. All stock options and stock appreciation rights granted under the 2026 Plan must have an exercise price equal to or greater than the fair market value of our common stock on the date the stock option or stock appreciation right is granted.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Limit on non-employee director compensation</w:t>
            </w:r>
            <w:r>
              <w:rPr>
                <w:rFonts w:ascii="Times New Roman;Times;Serif" w:hAnsi="Times New Roman;Times;Serif"/>
              </w:rPr>
              <w:t>. The aggregate value of all compensation granted or paid by us to any individual for service as a non-employee director with respect to any fiscal year including awards granted under the 2026 Plan and cash fees paid to such non-employee director, will not exceed $750,000 in total value. In addition, the aggregate value of all compensation granted or paid by us with respect to a fiscal year to any individual for service as a non-employee director upon or in connection with his or her initial election or appointment to the Board of Directors will not exceed $1,000,000 in total value. For purposes of these limitations, the value of any equity awards is calculated based on the grant date fair value of such awards for financial reporting purposes.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Awards subject to forfeiture/clawback</w:t>
            </w:r>
            <w:r>
              <w:rPr>
                <w:rFonts w:ascii="Times New Roman;Times;Serif" w:hAnsi="Times New Roman;Times;Serif"/>
              </w:rPr>
              <w:t>. Awards granted under the 2026 Plan will be subject to recoupment in accordance with the Reed’s, Inc. Clawback Policy and any other compensation recoupment policy that the Company adopts. In addition, the Board may impose other clawback, recovery or recoupment provisions in an award agreement, including a reacquisition right in respect of previously acquired shares or other cash or property upon the occurrence of cause.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No liberal change in control definition</w:t>
            </w:r>
            <w:r>
              <w:rPr>
                <w:rFonts w:ascii="Times New Roman;Times;Serif" w:hAnsi="Times New Roman;Times;Serif"/>
              </w:rPr>
              <w:t>. The change in control definition in the 2026 Plan is not a “liberal” definition. A change in control transaction must actually occur in order for the change in control provisions in the 2026 Plan to be triggered.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i/>
              </w:rPr>
              <w:t xml:space="preserve">Material amendments require stockholder approval. </w:t>
            </w:r>
            <w:r>
              <w:rPr>
                <w:rFonts w:ascii="Times New Roman;Times;Serif" w:hAnsi="Times New Roman;Times;Serif"/>
              </w:rPr>
              <w:t>Consistent with NYSE American rules, the 2026 Plan requires stockholder approval of any material revisions to the 2026 Plan.</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Equity Award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Burn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detailed information regarding the activity related to the Company’s equity incentive program for fiscal years 2025, 2024 and 2023.</w:t>
      </w:r>
    </w:p>
    <w:p>
      <w:pPr>
        <w:pStyle w:val="TextBody"/>
        <w:bidi w:val="0"/>
        <w:spacing w:before="0" w:after="0"/>
        <w:ind w:left="0" w:right="0" w:firstLine="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25"/>
        <w:gridCol w:w="60"/>
        <w:gridCol w:w="60"/>
        <w:gridCol w:w="980"/>
        <w:gridCol w:w="215"/>
        <w:gridCol w:w="60"/>
        <w:gridCol w:w="60"/>
        <w:gridCol w:w="980"/>
        <w:gridCol w:w="215"/>
        <w:gridCol w:w="60"/>
        <w:gridCol w:w="60"/>
        <w:gridCol w:w="800"/>
        <w:gridCol w:w="230"/>
      </w:tblGrid>
      <w:tr>
        <w:trPr/>
        <w:tc>
          <w:tcPr>
            <w:tcW w:w="64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pPr>
            <w:r>
              <w:rPr/>
              <w:t>Total number of shares of common stock subject to stock options granted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29,028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47,391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19,196</w:t>
            </w:r>
          </w:p>
        </w:tc>
        <w:tc>
          <w:tcPr>
            <w:tcW w:w="230"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pPr>
            <w:r>
              <w:rPr/>
              <w:t>Total number of shares of common stock subject to full value awards 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pPr>
            <w:r>
              <w:rPr/>
              <w:t>Weighted-average number of shares of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8,301,904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1,340,249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589,647</w:t>
            </w:r>
          </w:p>
        </w:tc>
        <w:tc>
          <w:tcPr>
            <w:tcW w:w="230"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Burn Rate</w:t>
            </w:r>
            <w:r>
              <w:rPr>
                <w:rFonts w:ascii="Times New Roman;Times;Serif" w:hAnsi="Times New Roman;Times;Serif"/>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 xml:space="preserve">(1) </w:t>
            </w:r>
          </w:p>
        </w:tc>
        <w:tc>
          <w:tcPr>
            <w:tcW w:w="9911" w:type="dxa"/>
            <w:tcBorders/>
            <w:vAlign w:val="center"/>
          </w:tcPr>
          <w:p>
            <w:pPr>
              <w:pStyle w:val="TableContents"/>
              <w:bidi w:val="0"/>
              <w:spacing w:before="0" w:after="283"/>
              <w:jc w:val="both"/>
              <w:rPr/>
            </w:pPr>
            <w:r>
              <w:rPr/>
              <w:t>Burn Rate is calculated as (shares of common stock subject to stock options granted + shares of common stock subject to full value awards granted) / weighted-average shares of common stock outstanding.</w:t>
            </w:r>
          </w:p>
        </w:tc>
      </w:tr>
    </w:tbl>
    <w:p>
      <w:pPr>
        <w:pStyle w:val="TextBody"/>
        <w:bidi w:val="0"/>
        <w:spacing w:before="0" w:after="0"/>
        <w:ind w:left="36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Overhang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regarding the Company’s equity incentive programs.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399"/>
        <w:gridCol w:w="60"/>
        <w:gridCol w:w="187"/>
        <w:gridCol w:w="1482"/>
        <w:gridCol w:w="77"/>
      </w:tblGrid>
      <w:tr>
        <w:trPr/>
        <w:tc>
          <w:tcPr>
            <w:tcW w:w="83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April 17, 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w:t>
            </w:r>
          </w:p>
        </w:tc>
        <w:tc>
          <w:tcPr>
            <w:tcW w:w="77" w:type="dxa"/>
            <w:tcBorders/>
            <w:vAlign w:val="center"/>
          </w:tcPr>
          <w:p>
            <w:pPr>
              <w:pStyle w:val="TableContents"/>
              <w:bidi w:val="0"/>
              <w:spacing w:before="0" w:after="283"/>
              <w:jc w:val="left"/>
              <w:rPr/>
            </w:pPr>
            <w:r>
              <w:rPr/>
              <w:t> </w:t>
            </w:r>
          </w:p>
        </w:tc>
      </w:tr>
      <w:tr>
        <w:trPr/>
        <w:tc>
          <w:tcPr>
            <w:tcW w:w="8399" w:type="dxa"/>
            <w:tcBorders/>
            <w:shd w:fill="CCEEFF" w:val="clear"/>
            <w:vAlign w:val="center"/>
          </w:tcPr>
          <w:p>
            <w:pPr>
              <w:pStyle w:val="TableContents"/>
              <w:bidi w:val="0"/>
              <w:spacing w:before="0" w:after="283"/>
              <w:jc w:val="left"/>
              <w:rPr/>
            </w:pPr>
            <w:r>
              <w:rPr/>
              <w:t>Total number of shares of common stock subject to outstanding stock options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25,191</w:t>
            </w:r>
          </w:p>
        </w:tc>
        <w:tc>
          <w:tcPr>
            <w:tcW w:w="77" w:type="dxa"/>
            <w:tcBorders/>
            <w:shd w:fill="CCEEFF" w:val="clear"/>
            <w:vAlign w:val="center"/>
          </w:tcPr>
          <w:p>
            <w:pPr>
              <w:pStyle w:val="TableContents"/>
              <w:bidi w:val="0"/>
              <w:spacing w:before="0" w:after="283"/>
              <w:jc w:val="left"/>
              <w:rPr/>
            </w:pPr>
            <w:r>
              <w:rPr/>
              <w:t> </w:t>
            </w:r>
          </w:p>
        </w:tc>
      </w:tr>
      <w:tr>
        <w:trPr/>
        <w:tc>
          <w:tcPr>
            <w:tcW w:w="8399" w:type="dxa"/>
            <w:tcBorders/>
            <w:shd w:fill="FFFFFF" w:val="clear"/>
            <w:vAlign w:val="center"/>
          </w:tcPr>
          <w:p>
            <w:pPr>
              <w:pStyle w:val="TableContents"/>
              <w:bidi w:val="0"/>
              <w:spacing w:before="0" w:after="283"/>
              <w:jc w:val="left"/>
              <w:rPr/>
            </w:pPr>
            <w:r>
              <w:rPr/>
              <w:t>Weighted-average exercise price of outstanding stock options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1482" w:type="dxa"/>
            <w:tcBorders/>
            <w:shd w:fill="FFFFFF" w:val="clear"/>
            <w:vAlign w:val="center"/>
          </w:tcPr>
          <w:p>
            <w:pPr>
              <w:pStyle w:val="TableContents"/>
              <w:bidi w:val="0"/>
              <w:spacing w:before="0" w:after="283"/>
              <w:jc w:val="right"/>
              <w:rPr/>
            </w:pPr>
            <w:r>
              <w:rPr/>
              <w:t>106.46</w:t>
            </w:r>
          </w:p>
        </w:tc>
        <w:tc>
          <w:tcPr>
            <w:tcW w:w="77" w:type="dxa"/>
            <w:tcBorders/>
            <w:shd w:fill="FFFFFF" w:val="clear"/>
            <w:vAlign w:val="center"/>
          </w:tcPr>
          <w:p>
            <w:pPr>
              <w:pStyle w:val="TableContents"/>
              <w:bidi w:val="0"/>
              <w:spacing w:before="0" w:after="283"/>
              <w:jc w:val="left"/>
              <w:rPr/>
            </w:pPr>
            <w:r>
              <w:rPr/>
              <w:t> </w:t>
            </w:r>
          </w:p>
        </w:tc>
      </w:tr>
      <w:tr>
        <w:trPr/>
        <w:tc>
          <w:tcPr>
            <w:tcW w:w="8399" w:type="dxa"/>
            <w:tcBorders/>
            <w:shd w:fill="CCEEFF" w:val="clear"/>
            <w:vAlign w:val="center"/>
          </w:tcPr>
          <w:p>
            <w:pPr>
              <w:pStyle w:val="TableContents"/>
              <w:bidi w:val="0"/>
              <w:spacing w:before="0" w:after="283"/>
              <w:jc w:val="left"/>
              <w:rPr/>
            </w:pPr>
            <w:r>
              <w:rPr/>
              <w:t>Weighted-average remaining term of outstanding stock options</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 </w:t>
            </w:r>
            <w:r>
              <w:rPr>
                <w:rFonts w:ascii="Times New Roman;Times;Serif" w:hAnsi="Times New Roman;Times;Serif"/>
              </w:rPr>
              <w:t>6.64 years</w:t>
            </w:r>
          </w:p>
        </w:tc>
        <w:tc>
          <w:tcPr>
            <w:tcW w:w="77" w:type="dxa"/>
            <w:tcBorders/>
            <w:shd w:fill="CCEEFF" w:val="clear"/>
            <w:vAlign w:val="center"/>
          </w:tcPr>
          <w:p>
            <w:pPr>
              <w:pStyle w:val="TableContents"/>
              <w:bidi w:val="0"/>
              <w:spacing w:before="0" w:after="283"/>
              <w:jc w:val="left"/>
              <w:rPr/>
            </w:pPr>
            <w:r>
              <w:rPr/>
              <w:t> </w:t>
            </w:r>
          </w:p>
        </w:tc>
      </w:tr>
      <w:tr>
        <w:trPr/>
        <w:tc>
          <w:tcPr>
            <w:tcW w:w="839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number of shares of common stock subject to outstanding full value awards</w:t>
            </w:r>
            <w:r>
              <w:rPr>
                <w:rFonts w:ascii="Times New Roman;Times;Serif" w:hAnsi="Times New Roman;Times;Serif"/>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0</w:t>
            </w:r>
          </w:p>
        </w:tc>
        <w:tc>
          <w:tcPr>
            <w:tcW w:w="77" w:type="dxa"/>
            <w:tcBorders/>
            <w:shd w:fill="FFFFFF" w:val="clear"/>
            <w:vAlign w:val="center"/>
          </w:tcPr>
          <w:p>
            <w:pPr>
              <w:pStyle w:val="TableContents"/>
              <w:bidi w:val="0"/>
              <w:spacing w:before="0" w:after="283"/>
              <w:jc w:val="left"/>
              <w:rPr/>
            </w:pPr>
            <w:r>
              <w:rPr/>
              <w:t> </w:t>
            </w:r>
          </w:p>
        </w:tc>
      </w:tr>
      <w:tr>
        <w:trPr/>
        <w:tc>
          <w:tcPr>
            <w:tcW w:w="8399" w:type="dxa"/>
            <w:tcBorders/>
            <w:shd w:fill="CCEEFF" w:val="clear"/>
            <w:vAlign w:val="center"/>
          </w:tcPr>
          <w:p>
            <w:pPr>
              <w:pStyle w:val="TableContents"/>
              <w:bidi w:val="0"/>
              <w:spacing w:before="0" w:after="283"/>
              <w:jc w:val="left"/>
              <w:rPr/>
            </w:pPr>
            <w:r>
              <w:rPr/>
              <w:t>Total number of shares of common stock available for grant under our 2024 Inducement Plan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27,350</w:t>
            </w:r>
          </w:p>
        </w:tc>
        <w:tc>
          <w:tcPr>
            <w:tcW w:w="77" w:type="dxa"/>
            <w:tcBorders/>
            <w:shd w:fill="CCEEFF" w:val="clear"/>
            <w:vAlign w:val="center"/>
          </w:tcPr>
          <w:p>
            <w:pPr>
              <w:pStyle w:val="TableContents"/>
              <w:bidi w:val="0"/>
              <w:spacing w:before="0" w:after="283"/>
              <w:jc w:val="left"/>
              <w:rPr/>
            </w:pPr>
            <w:r>
              <w:rPr/>
              <w:t> </w:t>
            </w:r>
          </w:p>
        </w:tc>
      </w:tr>
      <w:tr>
        <w:trPr/>
        <w:tc>
          <w:tcPr>
            <w:tcW w:w="8399" w:type="dxa"/>
            <w:tcBorders/>
            <w:shd w:fill="FFFFFF" w:val="clear"/>
            <w:vAlign w:val="center"/>
          </w:tcPr>
          <w:p>
            <w:pPr>
              <w:pStyle w:val="TableContents"/>
              <w:bidi w:val="0"/>
              <w:spacing w:before="0" w:after="283"/>
              <w:jc w:val="left"/>
              <w:rPr/>
            </w:pPr>
            <w:r>
              <w:rPr/>
              <w:t>Total number of shares of common stock available for grant under our 2020 Plan</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39,748</w:t>
            </w:r>
          </w:p>
        </w:tc>
        <w:tc>
          <w:tcPr>
            <w:tcW w:w="77" w:type="dxa"/>
            <w:tcBorders/>
            <w:shd w:fill="FFFFFF" w:val="clear"/>
            <w:vAlign w:val="center"/>
          </w:tcPr>
          <w:p>
            <w:pPr>
              <w:pStyle w:val="TableContents"/>
              <w:bidi w:val="0"/>
              <w:spacing w:before="0" w:after="283"/>
              <w:jc w:val="left"/>
              <w:rPr/>
            </w:pPr>
            <w:r>
              <w:rPr/>
              <w:t> </w:t>
            </w:r>
          </w:p>
        </w:tc>
      </w:tr>
      <w:tr>
        <w:trPr/>
        <w:tc>
          <w:tcPr>
            <w:tcW w:w="8399" w:type="dxa"/>
            <w:tcBorders/>
            <w:shd w:fill="CCEEFF" w:val="clear"/>
            <w:vAlign w:val="center"/>
          </w:tcPr>
          <w:p>
            <w:pPr>
              <w:pStyle w:val="TableContents"/>
              <w:bidi w:val="0"/>
              <w:spacing w:before="0" w:after="283"/>
              <w:jc w:val="left"/>
              <w:rPr/>
            </w:pPr>
            <w:r>
              <w:rPr/>
              <w:t>Total number of shares of common stock available for grant under our 2017 Plan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0</w:t>
            </w:r>
          </w:p>
        </w:tc>
        <w:tc>
          <w:tcPr>
            <w:tcW w:w="77" w:type="dxa"/>
            <w:tcBorders/>
            <w:shd w:fill="CCEEFF" w:val="clear"/>
            <w:vAlign w:val="center"/>
          </w:tcPr>
          <w:p>
            <w:pPr>
              <w:pStyle w:val="TableContents"/>
              <w:bidi w:val="0"/>
              <w:spacing w:before="0" w:after="283"/>
              <w:jc w:val="left"/>
              <w:rPr/>
            </w:pPr>
            <w:r>
              <w:rPr/>
              <w:t> </w:t>
            </w:r>
          </w:p>
        </w:tc>
      </w:tr>
      <w:tr>
        <w:trPr/>
        <w:tc>
          <w:tcPr>
            <w:tcW w:w="8399" w:type="dxa"/>
            <w:tcBorders/>
            <w:shd w:fill="FFFFFF" w:val="clear"/>
            <w:vAlign w:val="center"/>
          </w:tcPr>
          <w:p>
            <w:pPr>
              <w:pStyle w:val="TableContents"/>
              <w:bidi w:val="0"/>
              <w:spacing w:before="0" w:after="283"/>
              <w:jc w:val="left"/>
              <w:rPr/>
            </w:pPr>
            <w:r>
              <w:rPr/>
              <w:t>Total number of shares of common stock outstanding</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pPr>
            <w:r>
              <w:rPr/>
              <w:t>11,820,429</w:t>
            </w:r>
          </w:p>
        </w:tc>
        <w:tc>
          <w:tcPr>
            <w:tcW w:w="77" w:type="dxa"/>
            <w:tcBorders/>
            <w:shd w:fill="FFFFFF" w:val="clear"/>
            <w:vAlign w:val="center"/>
          </w:tcPr>
          <w:p>
            <w:pPr>
              <w:pStyle w:val="TableContents"/>
              <w:bidi w:val="0"/>
              <w:spacing w:before="0" w:after="283"/>
              <w:jc w:val="left"/>
              <w:rPr/>
            </w:pPr>
            <w:r>
              <w:rPr/>
              <w:t> </w:t>
            </w:r>
          </w:p>
        </w:tc>
      </w:tr>
      <w:tr>
        <w:trPr/>
        <w:tc>
          <w:tcPr>
            <w:tcW w:w="8399" w:type="dxa"/>
            <w:tcBorders/>
            <w:shd w:fill="CCEEFF" w:val="clear"/>
            <w:vAlign w:val="center"/>
          </w:tcPr>
          <w:p>
            <w:pPr>
              <w:pStyle w:val="TableContents"/>
              <w:bidi w:val="0"/>
              <w:spacing w:before="0" w:after="283"/>
              <w:jc w:val="left"/>
              <w:rPr/>
            </w:pPr>
            <w:r>
              <w:rPr/>
              <w:t>Per-share closing price of common stock as reported on NYSE American</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w:t>
            </w:r>
          </w:p>
        </w:tc>
        <w:tc>
          <w:tcPr>
            <w:tcW w:w="1482" w:type="dxa"/>
            <w:tcBorders/>
            <w:shd w:fill="CCEEFF" w:val="clear"/>
            <w:vAlign w:val="center"/>
          </w:tcPr>
          <w:p>
            <w:pPr>
              <w:pStyle w:val="TableContents"/>
              <w:bidi w:val="0"/>
              <w:spacing w:before="0" w:after="283"/>
              <w:jc w:val="right"/>
              <w:rPr/>
            </w:pPr>
            <w:r>
              <w:rPr/>
              <w:t>3.96</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p>
            <w:pPr>
              <w:pStyle w:val="TableContents"/>
              <w:bidi w:val="0"/>
              <w:spacing w:before="0" w:after="283"/>
              <w:jc w:val="right"/>
              <w:rPr/>
            </w:pPr>
            <w:r>
              <w:rPr/>
              <w:t> </w:t>
            </w:r>
          </w:p>
        </w:tc>
        <w:tc>
          <w:tcPr>
            <w:tcW w:w="9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“full value award” is an equity compensation grant where the recipient receives the total value of the underlying shares upon vesting, without paying an exercise price.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material features of the 2026 Plan are described below. The following description of the 2026 Plan is a summary only, does not purport to be complete, and is qualified in its entirety by reference to the text of the 2026 Plan. Stockholders are urged to read the actual text of the 2026 Plan in its entirety, which is attached hereto as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Plan is designed to secure and retain the services of our employees, non-employee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2026 Plan is also designed to align employees’ interests with stockholder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Successor to 2020 Plan and 2017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Plan is intended to be the successor to the 2020 Plan and 2017 Plan (which was previously terminated by the Board). If the 2026 Plan is approved by our stockholders, no additional awards will be granted under the 2020 Plan on or after the date of the Annual Meeting. If the 2026 Plan is not approved by our stockholders, the 2026 Plan will not become effective and the 2020 Plan will continue to be effective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Types of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2026 Plan provide for the grant of incentive stock options, nonstatutory stock options, stock appreciation rights, restricted stock awards, restricted stock unit awards, performance awards, and other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Available for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 for certain changes in our capitalization, the aggregate number of shares of our common stock that may be issued under the 2026 Plan will not exceed 1,300,000 shares of our common stock. In addition, subject to any adjustments as necessary to implement any capitalization adjustments, such aggregate number of shares of the Company’s common stock will automatically increase on January 1 of each year for a period of ten years commencing on January 1, 2027 and ending on (and including) January 1, 2036, in an amount equal to five percent (5%) of the total number of shares of capital stock outstanding on December 31 of the preceding year; provided, however, that the Board may act prior to January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a given year to provide that the increase for such year will be a lesser number of shares of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shares of our common stock will become available again for issuance under the 2026 Plan: (i) any shares that are forfeited back to or repurchased by us because of a failure to meet a contingency or condition required for the vesting of such shares; (ii) any shares that are reacquired by us to satisfy a tax withholding obligation in connection with an award granted under the 2026 Plan; and (iii) any shares that are reacquired by us to satisfy the exercise or purchase price of an award granted under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Eligibility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2026 Plan, all of our (including our affiliates’) employees, non-employee directors and consultants are eligible to participate in the 2026 Plan and may receive all types of awards other than incentive stock options. Incentive stock options may be granted under the 2026 Plan only to our (including our affiliates’)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we (including our affiliates) had approximately 67 full-time and part-time employees, four non-employee directors, and approximately 9 consultants who would be eligible to receive grants under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Plan will be administered by our Board of Directors, which may delegate some or all of the administration of the 2026 Plan to a committee or committees composed of members of the Board of Directors, or to one or more persons or bodies, subject to applicable law. Our Board of Directors has delegated concurrent authority to administer the 2026 Plan to our Compensation Committee, but may, at any time, revest in itself some or all of the power delegated to our Compensation Committee. Our Board of Directors and Compensation Committee are each considered to be a Plan Administrator for purposes of this Proposal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2026 Plan, the Plan Administrator may determine the recipients, the types of awards to be granted, the number of shares of our common stock subject to or the cash value of awards, and the terms and conditions of awards granted under the 2026 Plan, including the period of their exercisability and vesting. The Plan Administrator also has the authority to provide for accelerated exercisability and vesting of awards and may, subject to the 2026 Plan, unilaterally reduce the exercise price of an outstanding stock option or stock appreciation right or cancel such an outstanding award and grant another award in substitution therefor. Subject to the limitations set forth below, the Plan Administrator also determines the fair market value applicable to an award and the exercise or strike price of stock options and stock appreciation rights granted under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also delegate to one or more persons or bodies the authority to designate employees who are not executive officers to be recipients of awards, the terms and conditions of such awards, and the number of shares of common stock subject to such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 on 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 of all compensation granted or paid by us to any individual for service as a non-employee director with respect to a fiscal year, including awards granted under the 2026 Plan and cash fees paid to such non-employee director, will not exceed $750,000 in total value. In addition, the aggregate value of all compensation granted or paid by us with respect to a fiscal year to any individual for service as a non-employee director upon or in connection with his or her initial election or appointment to the Board of Directors will not exceed $1,000,000 in total value. For purposes of these limitations, the value of any equity awards is calculated based on the grant date fair value of such awards for financial reporting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may be granted under the 2026 Plan pursuant to stock option agreements. The 2026 Plan permits the grant of stock options that are intended to qualify as incentive stock options, or ISOs, and nonstatutory stock options, or NSOs.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a stock option granted under the 2026 Plan may not be less than 100% of the fair market value of the common stock subject to the stock option on the date of grant and, in some cases (see “—Limitations on Incentive Stock Options” below), may not be less than 110% of such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stock options granted under the 2026 Plan may not exceed ten years from the date of grant and, in some cases (see “—Limitations on Incentive Stock Options” below), may not exceed five years from the date of grant. Except as otherwise provided in a participant’s stock option agreement, other written agreement with us or one of our affiliates or as otherwise determined by the Plan Administrator, if a participant’s service relationship with us or any of our affiliates (referred to in this Proposal 3 as “continuous service”) terminates (other than for cause (as defined in the 2026 Plan) or the participant’s death or disability (as defined in the 2026 Plan)), the participant may exercise any vested stock options for up to three months following the participant’s termination of continuous service. Except as otherwise provided in a participant’s stock option agreement, other written agreement with us or one of our affiliates or as otherwise determined by the Plan Administrator, if a participant’s continuous service terminates due to the participant’s disability, the participant may exercise any vested stock options for up to 12 months following the participant’s termination due to the participant’s disability. Except as otherwise provided in a participant’s stock option agreement, other written agreement with us or one of our affiliates or as otherwise determined by the Plan Administrator, if a participant’s continuous service terminates due to the participant’s death (or the participant dies within a specified period following termination of continuous service), the participant’s beneficiary may exercise any vested stock options for up to 18 months following the participant’s death. Except as explicitly provided otherwise in a participant’s stock option agreement, other written agreement with us or one of our affiliates or as otherwise determined by the Plan Administrator, if a participant’s continuous service is terminated for cause, all stock options held by the participant will terminate upon the participant’s termination of continuous service and the participant will be prohibited from exercising any stock option from and after such termination date. Except as otherwise provided in a participant’s stock option agreement, other written agreement with us or one of our affiliates or as otherwise determined by the Plan Administrator, the term of a stock option may be extended if a participant’s continuous service terminates for any reason other than for cause and, at any time during the applicable post-termination exercise period, the exercise of the stock option would be prohibited by applicable laws or the sale of any common stock received upon such exercise would violate our insider trading policy. In no event, however, may a stock option be exercised after its original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Acceptable forms of consideration for the purchase of our common stock pursuant to the exercise of a stock option under the 2026 Plan will be determined by the Plan Administrator and may include payment: (i) by cash, check, bank draft or money order payable to us; (ii) pursuant to a program developed under Regulation T as promulgated by the Federal Reserve Board; (iii) by delivery to us of shares of our common stock (either by actual delivery or attestation); (iv) by a net exercise arrangement (for NSOs only); or (v) in other legal consideration approved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granted under the 2026 Plan may become exercisable in cumulative increments, or “vest,” as determined by the Plan Administrator at the rate specified in the stock option agreement. Shares covered by different stock options granted under the 2026 Plan may be subject to different vesting schedules as the Plan Administrator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impose limitations on the transferability of stock options granted under the 2026 Plan in its discretion. Generally, a participant may not transfer a stock option granted under the 2026 Plan other than by will or the laws of descent and distribution. However, the Company may permit transfer of a stock option in a manner that is not prohibited by applicable tax and securities laws. The Company may, for example, permit a stock option to be transferred pursuant to a domestic relations order. In addition, subject to approval by the Company, a participant may designate a beneficiary who may exercise the stock option following the participant’s death. Stock options may not be transferred to a third-party financial institution for value.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current federal tax laws, 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unless the following conditions are satisfied: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exercise price of the ISO must be at least 110% of the fair market value of the common stock subject to the ISO on the date of grant;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term of the ISO must not exceed five years from the date of grant.</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adjustment for certain changes in our capitalization, the aggregate maximum number of shares of our common stock that may be issued pursuant to the exercise of ISOs under the 2026 Plan is 3,900,000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 may be granted under the 2026 Plan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the common stock subject to the stock appreciation right on the date of grant. The term of stock appreciation rights granted under the 2026 Plan may not exceed ten years from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 may be granted under the 2026 Plan pursuant to restricted stock award agreements. A restricted stock award may be granted in consideration for cash, check, bank draft or money order payable to us, the participant’s services performed for us,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Upon a participant’s termination of continuous service for any reason, any shares subject to restricted stock awards held by the participant that have not vested as of such termination date may be forfeited to or repurchased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 awards may be granted under the 2026 Plan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restricted stock units that have not vested will be forfeited upon the participant’s termination of continuous service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Plan allows us to grant performance awards. A performance award is an award that may vest or may be exercised, or that may become earned and paid, contingent upon the attainment of certain performance goals during a performance period. A performance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its discretion. In addition, to the extent permitted by applicable law and the applicable award agreement, the Plan Administrator may determine that cash may be used in payment of performance awards.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forms of awards valued in whole or in part by reference to, or otherwise based on, our common stock, including the appreciation in value thereof, may be granted either alone or in addition to other awards under the 2026 Plan. Subject to the terms of the 2026 Plan, the Plan Administrator will have sole and complete authority to determine the persons to whom and the time or times at which such other awards will be granted, the number of shares of our common stock to be granted and all other terms and conditions of such other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2026 Plan will be subject to recoupment in accordance with the Company’s Clawback Policy and any other compensation recoupment policy that the Company adopts. In addition, the Board may impose other clawback, recovery or recoupment provisions in an award agreement, including a reacquisition right in respect of previously acquired shares or other cash or property upon the occurrence of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certain capitalization adjustments, the Plan Administrator will appropriately and proportionately adjust: (i) the class(es) and maximum number of shares of our common stock subject to the 2026 Plan and the maximum number of shares by which the share reserve may annually increase; (ii) the class(es) and maximum number of shares that may be issued pursuant to the exercise of ISOs; and (iii) the class(es) and number of securities and the exercise, strike or purchase price per share of our common stock subject to outstanding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Transaction and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applies to each outstanding award under the 2026 Plan in the event of a corporate transaction (as defined in the 2026 Plan and described below) or a change in control (as defined in the 2026 Plan and described below), unless provided otherwise in the applicable award agreement, in any other written agreement between a participant and the Company or an affiliate, or in any director compensation policy of the Company. For purposes of this Proposal 3, the term “Transaction” will mean such corporate transaction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Transaction, any awards outstanding under the 2026 Plan may be assumed, continued or substituted for by any surviving or acquiring corporation (or its parent company) (such entity, the “acquiring entity”), and any reacquisition or repurchase rights held by us with respect to the award may be assigned to the acquiring entity. If the acquiring entity does not assume, continue or substitute for such awards, then (i) with respect to any such awards that are held by participants whose continuous service has not terminated prior to the effective time of the Transaction (such participants, the “current participants”), the vesting (and exercisability, if applicable) of such awards will be accelerated in full (and with respect to any performance awards, such awards will be deemed vested at 100% of target level upon the occurrence of the Transaction) to a date prior to the effective time of the Transaction (contingent upon the effectiveness of the Transaction), and such awards will terminate if not exercised (if applicable) at or prior to the effective time of the Transaction, and any reacquisition or repurchase rights held by us with respect to such awards will lapse (contingent upon the effectiveness of the Transaction), and (ii) any such awards that are held by participants other than current participants will terminate if not exercised (if applicable) at or prior to the effective time of the Transaction, except that any reacquisition or repurchase rights held by us with respect to such awards will not terminate and may continue to be exercised notwithstanding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any outstanding award under the 2026 Plan held by a participant will terminate if not exercised at or prior to the effective time of a Transaction, the Plan Administrator may provide that the participant may not exercise such award but instead will receive a payment equal in value to the excess, if any, of (i) the value of the property the participant would have received upon the exercise of such award, over (ii) any exercise price payable by the participant in connection with such exercise.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2026 Plan, a “corporate transaction” generally means the consummation of any one or more of the following events: (1) a sale or other disposition of all or substantially all of our assets; (2) a sale or other disposition of more than 50% of our outstanding securities; (3) a merger, consolidation or similar transaction where we do not survive the transaction; or (4) a merger, consolidation or similar transaction where we do survive the transaction but the shares of our common stock outstanding immediately before such transaction are converted or exchanged into other property by virtue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2026 Plan, a “change in control” generally means the occurrence of any one or more of the following events: (1) the acquisition by any person, entity or group of our securities representing more than 50% of the combined voting power of our then outstanding securities, other than by virtue of a merger, consolidation, or similar transaction; (2) a merger, consolidation or similar transaction in which our stockholders immediately before such transaction do not own, directly or indirectly, more than 50% of the combined voting power of the surviving entity (or the parent of the surviving entity) in substantially the same proportions as their ownership immediately prior to such transaction; (3)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(4) when a majority of our Board of Directors becomes comprised of individuals who were not serving on the Board on the effective date of the 2026 Plan, or whose nomination, appointment or election was not approved by a majority of the directors who were members of the Board as of the effective date of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Plan Amendments and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Administrator will have the authority to amend or terminate the 2026 Plan at any time. However, except as otherwise provided in the 2026 Plan, no amendment or termination of the 2026 Plan may materially impair a participant’s rights under his or her outstanding awards without the participant’s consent.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obtain stockholder approval of any amendment to the 2026 Plan as required by applicable law and listing requirements. No incentive stock options may be granted under the 2026 Plan after the tenth anniversary of March 31, 2026, which is the date the 2026 Plan was adopted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principal United States federal income tax consequences to participants and us with respect to participation in the 2026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under the 2026 Plan. The 2026 Plan is not qualified under the provisions of Section 401(a) of the Internal Revenue Code of 1986, as amended (the “Internal Revenue Code”), and is not subject to any of the provisions of the Employee Retirement Income Security Act of 1974, as amended (“ERISA”). Our ability to realize the benefit of any tax deductions described below depends on our generation of taxable income as well as the requirement of reasonableness and the satisfaction of our tax reporting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Nonstatutory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his or her fair market value on the date of exercise of the stock option, and the participant’s capital gain holding period for those shares will begin on that date.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 of reasonableness, the provisions of Section 162(m) of the Internal Revenue Code, and the satisfaction of a tax reporting obligation, we will generally be entitled to a tax deduction equal to the taxable ordinary income realized by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Incentive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2026 Plan provides for the grant of stock options that are intended to qualify as “incentive stock options,” as defined in Section 422 of the Internal Revenue Code. Under the Internal Revenue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the provisions of Section 162(m) of the Internal Revenue Code, and provided that either the employee includes that amount in income or we timely satisfy our reporting requirements with respect to that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restricted stock award, to recognize ordinary income, as of the date the recipient receives the restricted stock award, equal to the excess, if any, of the fair market value of the stock on the date the restricted stock award is granted over any amount paid by the recipient for the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 of reasonableness, the provisions of Section 162(m) of the Internal Revenue Code, and the satisfaction of a tax reporting obligation, we will generally be entitled to a tax deduction equal to the taxable ordinary income realized by the recipient of the restricted stock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recipient of a restricted stock unit award structured to comply with the requirements of Section 409A of the Internal Revenue Code or an exception to Section 409A of the Internal Revenue Code will recognize ordinary income at the time the stock is delivered equal to the excess, if any, of the fair market value of the stock received over any amount paid by the recipient in exchange for the stock. To comply with the requirements of Section 409A of the Internal Revenue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exception to the requirements of Section 409A of the Internal Revenue Code (including delivery upon achievement of a performance goal), in addition to the tax treatment described above, the recipient will owe an additional 20% federal tax and interest on any taxes owed.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recipient’s basis for the determination of gain or loss upon the subsequent disposition of shares acquired from a restricted stock unit award will be the amount paid for such shares plus any ordinary income recognized when the stock is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 of reasonableness, the provisions of Section 162(m) of the Internal Revenue Code, and the satisfaction of a tax reporting obligation, we will generally be entitled to a tax deduction equal to the taxable ordinary income realized by the recipient of the restricted stock unit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if a stock appreciation right is granted with an exercise price equal to the fair market value of the underlying stock on the grant date, the recipient will recognize ordinary income equal to the fair market value of the stock or cash received upon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requirement of reasonableness, the provisions of Section 162(m) of the Internal Revenue Code, and the satisfaction of a tax reporting obligation, we will generally be entitled to a tax deduction equal to the taxable ordinary income realized by the recipient of the stock appreciation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162(m)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162(m) of the Internal Revenue Code, compensation paid to any publicly held corporation’s “covered employees” that exceeds $1 million per taxable year for any covered employee is generally non-deductible. Awards granted under the 2026 Plan will be subject to the deduction limit under Section 162(m) of the Internal Revenue Code and will not be eligible to qualify for the performance-based compensation exception under Section 162(m) of the Internal Revenue Code pursuant to the transition relief provided by the Tax Cuts and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Plan Benefits under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future benefits under the 2026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767"/>
        <w:gridCol w:w="60"/>
        <w:gridCol w:w="3095"/>
        <w:gridCol w:w="60"/>
        <w:gridCol w:w="1148"/>
        <w:gridCol w:w="60"/>
        <w:gridCol w:w="1015"/>
      </w:tblGrid>
      <w:tr>
        <w:trPr/>
        <w:tc>
          <w:tcPr>
            <w:tcW w:w="4767" w:type="dxa"/>
            <w:tcBorders>
              <w:bottom w:val="single" w:sz="8" w:space="0" w:color="000000"/>
            </w:tcBorders>
            <w:shd w:fill="FFFFFF" w:val="clear"/>
            <w:vAlign w:val="center"/>
          </w:tcPr>
          <w:p>
            <w:pPr>
              <w:pStyle w:val="TableContents"/>
              <w:bidi w:val="0"/>
              <w:spacing w:before="0" w:after="283"/>
              <w:jc w:val="left"/>
              <w:rPr>
                <w:b/>
              </w:rPr>
            </w:pPr>
            <w:r>
              <w:rPr>
                <w:b/>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5" w:type="dxa"/>
            <w:tcBorders>
              <w:bottom w:val="single" w:sz="8" w:space="0" w:color="000000"/>
            </w:tcBorders>
            <w:shd w:fill="FFFFFF" w:val="clear"/>
            <w:vAlign w:val="center"/>
          </w:tcPr>
          <w:p>
            <w:pPr>
              <w:pStyle w:val="TableContents"/>
              <w:bidi w:val="0"/>
              <w:spacing w:before="0" w:after="283"/>
              <w:jc w:val="left"/>
              <w:rPr>
                <w:b/>
              </w:rPr>
            </w:pPr>
            <w:r>
              <w:rPr>
                <w:b/>
              </w:rPr>
              <w:t>Position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8" w:type="dxa"/>
            <w:tcBorders>
              <w:bottom w:val="single" w:sz="8" w:space="0" w:color="000000"/>
            </w:tcBorders>
            <w:shd w:fill="FFFFFF" w:val="clear"/>
            <w:vAlign w:val="center"/>
          </w:tcPr>
          <w:p>
            <w:pPr>
              <w:pStyle w:val="TableContents"/>
              <w:bidi w:val="0"/>
              <w:spacing w:before="0" w:after="283"/>
              <w:jc w:val="center"/>
              <w:rPr>
                <w:b/>
              </w:rPr>
            </w:pPr>
            <w:r>
              <w:rPr>
                <w:b/>
              </w:rPr>
              <w:t>Dollar Value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5" w:type="dxa"/>
            <w:tcBorders>
              <w:bottom w:val="single" w:sz="8" w:space="0" w:color="000000"/>
            </w:tcBorders>
            <w:shd w:fill="FFFFFF" w:val="clear"/>
            <w:vAlign w:val="center"/>
          </w:tcPr>
          <w:p>
            <w:pPr>
              <w:pStyle w:val="TableContents"/>
              <w:bidi w:val="0"/>
              <w:spacing w:before="0" w:after="283"/>
              <w:jc w:val="center"/>
              <w:rPr>
                <w:b/>
              </w:rPr>
            </w:pPr>
            <w:r>
              <w:rPr>
                <w:b/>
              </w:rPr>
              <w:t>Number of</w:t>
              <w:br/>
              <w:t>Shares</w:t>
            </w:r>
          </w:p>
        </w:tc>
      </w:tr>
      <w:tr>
        <w:trPr/>
        <w:tc>
          <w:tcPr>
            <w:tcW w:w="4767" w:type="dxa"/>
            <w:tcBorders/>
            <w:shd w:fill="CCEEFF" w:val="clear"/>
            <w:tcMar>
              <w:bottom w:w="0" w:type="dxa"/>
            </w:tcMar>
            <w:vAlign w:val="center"/>
          </w:tcPr>
          <w:p>
            <w:pPr>
              <w:pStyle w:val="TableContents"/>
              <w:bidi w:val="0"/>
              <w:spacing w:before="0" w:after="283"/>
              <w:jc w:val="left"/>
              <w:rPr/>
            </w:pPr>
            <w:r>
              <w:rPr/>
              <w:t>Cyril A. Wallace,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Former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center"/>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center"/>
              <w:rPr/>
            </w:pPr>
            <w:r>
              <w:rPr/>
              <w:t>(1)</w:t>
            </w:r>
          </w:p>
        </w:tc>
      </w:tr>
      <w:tr>
        <w:trPr/>
        <w:tc>
          <w:tcPr>
            <w:tcW w:w="4767" w:type="dxa"/>
            <w:tcBorders/>
            <w:shd w:fill="FFFFFF" w:val="clear"/>
            <w:tcMar>
              <w:bottom w:w="0" w:type="dxa"/>
            </w:tcMar>
            <w:vAlign w:val="center"/>
          </w:tcPr>
          <w:p>
            <w:pPr>
              <w:pStyle w:val="TableContents"/>
              <w:bidi w:val="0"/>
              <w:spacing w:before="0" w:after="283"/>
              <w:jc w:val="left"/>
              <w:rPr/>
            </w:pPr>
            <w:r>
              <w:rPr/>
              <w:t>Norman E. Snyder,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5" w:type="dxa"/>
            <w:tcBorders/>
            <w:shd w:fill="FFFFFF" w:val="clear"/>
            <w:tcMar>
              <w:bottom w:w="0" w:type="dxa"/>
            </w:tcMar>
            <w:vAlign w:val="center"/>
          </w:tcPr>
          <w:p>
            <w:pPr>
              <w:pStyle w:val="TableContents"/>
              <w:bidi w:val="0"/>
              <w:spacing w:before="0" w:after="283"/>
              <w:jc w:val="left"/>
              <w:rPr/>
            </w:pPr>
            <w:r>
              <w:rPr/>
              <w:t>Former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center"/>
              <w:rPr/>
            </w:pPr>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5" w:type="dxa"/>
            <w:tcBorders/>
            <w:shd w:fill="FFFFFF" w:val="clear"/>
            <w:tcMar>
              <w:bottom w:w="0" w:type="dxa"/>
            </w:tcMar>
            <w:vAlign w:val="center"/>
          </w:tcPr>
          <w:p>
            <w:pPr>
              <w:pStyle w:val="TableContents"/>
              <w:bidi w:val="0"/>
              <w:spacing w:before="0" w:after="283"/>
              <w:jc w:val="center"/>
              <w:rPr/>
            </w:pPr>
            <w:r>
              <w:rPr/>
              <w:t>(1)</w:t>
            </w:r>
          </w:p>
        </w:tc>
      </w:tr>
      <w:tr>
        <w:trPr/>
        <w:tc>
          <w:tcPr>
            <w:tcW w:w="4767" w:type="dxa"/>
            <w:tcBorders/>
            <w:shd w:fill="CCEEFF" w:val="clear"/>
            <w:tcMar>
              <w:bottom w:w="0" w:type="dxa"/>
            </w:tcMar>
            <w:vAlign w:val="center"/>
          </w:tcPr>
          <w:p>
            <w:pPr>
              <w:pStyle w:val="TableContents"/>
              <w:bidi w:val="0"/>
              <w:spacing w:before="0" w:after="283"/>
              <w:jc w:val="left"/>
              <w:rPr/>
            </w:pPr>
            <w:r>
              <w:rPr/>
              <w:t>Douglas W. McCurdy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Chief Financial Officer,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center"/>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center"/>
              <w:rPr/>
            </w:pPr>
            <w:r>
              <w:rPr/>
              <w:t>(2)</w:t>
            </w:r>
          </w:p>
        </w:tc>
      </w:tr>
      <w:tr>
        <w:trPr/>
        <w:tc>
          <w:tcPr>
            <w:tcW w:w="4767" w:type="dxa"/>
            <w:tcBorders/>
            <w:shd w:fill="FFFFFF" w:val="clear"/>
            <w:tcMar>
              <w:bottom w:w="0" w:type="dxa"/>
            </w:tcMar>
            <w:vAlign w:val="center"/>
          </w:tcPr>
          <w:p>
            <w:pPr>
              <w:pStyle w:val="TableContents"/>
              <w:bidi w:val="0"/>
              <w:spacing w:before="0" w:after="283"/>
              <w:jc w:val="left"/>
              <w:rPr/>
            </w:pPr>
            <w:r>
              <w:rPr/>
              <w:t>Yumin Dai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5" w:type="dxa"/>
            <w:tcBorders/>
            <w:shd w:fill="FFFFFF" w:val="clear"/>
            <w:tcMar>
              <w:bottom w:w="0" w:type="dxa"/>
            </w:tcMar>
            <w:vAlign w:val="center"/>
          </w:tcPr>
          <w:p>
            <w:pPr>
              <w:pStyle w:val="TableContents"/>
              <w:bidi w:val="0"/>
              <w:spacing w:before="0" w:after="283"/>
              <w:jc w:val="left"/>
              <w:rPr/>
            </w:pPr>
            <w:r>
              <w:rPr/>
              <w:t>Chief Executive Officer of Reed’s (Asia) Limited (BVI)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center"/>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5" w:type="dxa"/>
            <w:tcBorders/>
            <w:shd w:fill="FFFFFF" w:val="clear"/>
            <w:tcMar>
              <w:bottom w:w="0" w:type="dxa"/>
            </w:tcMar>
            <w:vAlign w:val="center"/>
          </w:tcPr>
          <w:p>
            <w:pPr>
              <w:pStyle w:val="TableContents"/>
              <w:bidi w:val="0"/>
              <w:spacing w:before="0" w:after="283"/>
              <w:jc w:val="center"/>
              <w:rPr/>
            </w:pPr>
            <w:r>
              <w:rPr/>
              <w:t>(2)</w:t>
            </w:r>
          </w:p>
        </w:tc>
      </w:tr>
      <w:tr>
        <w:trPr/>
        <w:tc>
          <w:tcPr>
            <w:tcW w:w="4767" w:type="dxa"/>
            <w:tcBorders/>
            <w:shd w:fill="CCEEFF" w:val="clear"/>
            <w:tcMar>
              <w:bottom w:w="0" w:type="dxa"/>
            </w:tcMar>
            <w:vAlign w:val="center"/>
          </w:tcPr>
          <w:p>
            <w:pPr>
              <w:pStyle w:val="TableContents"/>
              <w:bidi w:val="0"/>
              <w:spacing w:before="0" w:after="283"/>
              <w:jc w:val="left"/>
              <w:rPr/>
            </w:pPr>
            <w:r>
              <w:rPr/>
              <w:t>All current executive officers as a group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center"/>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center"/>
              <w:rPr/>
            </w:pPr>
            <w:r>
              <w:rPr/>
              <w:t>(2)</w:t>
            </w:r>
          </w:p>
        </w:tc>
      </w:tr>
      <w:tr>
        <w:trPr/>
        <w:tc>
          <w:tcPr>
            <w:tcW w:w="4767" w:type="dxa"/>
            <w:tcBorders/>
            <w:shd w:fill="FFFFFF" w:val="clear"/>
            <w:tcMar>
              <w:bottom w:w="0" w:type="dxa"/>
            </w:tcMar>
            <w:vAlign w:val="center"/>
          </w:tcPr>
          <w:p>
            <w:pPr>
              <w:pStyle w:val="TableContents"/>
              <w:bidi w:val="0"/>
              <w:spacing w:before="0" w:after="283"/>
              <w:jc w:val="left"/>
              <w:rPr/>
            </w:pPr>
            <w:r>
              <w:rPr/>
              <w:t>All current directors who are not executive officers as a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8" w:type="dxa"/>
            <w:tcBorders/>
            <w:shd w:fill="FFFFFF" w:val="clear"/>
            <w:tcMar>
              <w:bottom w:w="0" w:type="dxa"/>
            </w:tcMar>
            <w:vAlign w:val="center"/>
          </w:tcPr>
          <w:p>
            <w:pPr>
              <w:pStyle w:val="TableContents"/>
              <w:bidi w:val="0"/>
              <w:spacing w:before="0" w:after="283"/>
              <w:jc w:val="center"/>
              <w:rPr/>
            </w:pPr>
            <w:r>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5" w:type="dxa"/>
            <w:tcBorders/>
            <w:shd w:fill="FFFFFF" w:val="clear"/>
            <w:tcMar>
              <w:bottom w:w="0" w:type="dxa"/>
            </w:tcMar>
            <w:vAlign w:val="center"/>
          </w:tcPr>
          <w:p>
            <w:pPr>
              <w:pStyle w:val="TableContents"/>
              <w:bidi w:val="0"/>
              <w:spacing w:before="0" w:after="283"/>
              <w:jc w:val="center"/>
              <w:rPr/>
            </w:pPr>
            <w:r>
              <w:rPr/>
              <w:t>(2)</w:t>
            </w:r>
          </w:p>
        </w:tc>
      </w:tr>
      <w:tr>
        <w:trPr/>
        <w:tc>
          <w:tcPr>
            <w:tcW w:w="4767" w:type="dxa"/>
            <w:tcBorders/>
            <w:shd w:fill="CCEEFF" w:val="clear"/>
            <w:tcMar>
              <w:bottom w:w="0" w:type="dxa"/>
            </w:tcMar>
            <w:vAlign w:val="center"/>
          </w:tcPr>
          <w:p>
            <w:pPr>
              <w:pStyle w:val="TableContents"/>
              <w:bidi w:val="0"/>
              <w:spacing w:before="0" w:after="283"/>
              <w:jc w:val="left"/>
              <w:rPr/>
            </w:pPr>
            <w:r>
              <w:rPr/>
              <w:t>All current employees, including current officers who are not executive officers, as a group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8" w:type="dxa"/>
            <w:tcBorders/>
            <w:shd w:fill="CCEEFF" w:val="clear"/>
            <w:tcMar>
              <w:bottom w:w="0" w:type="dxa"/>
            </w:tcMar>
            <w:vAlign w:val="center"/>
          </w:tcPr>
          <w:p>
            <w:pPr>
              <w:pStyle w:val="TableContents"/>
              <w:bidi w:val="0"/>
              <w:spacing w:before="0" w:after="283"/>
              <w:jc w:val="center"/>
              <w:rPr/>
            </w:pPr>
            <w:r>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5" w:type="dxa"/>
            <w:tcBorders/>
            <w:shd w:fill="CCEEFF" w:val="clear"/>
            <w:tcMar>
              <w:bottom w:w="0" w:type="dxa"/>
            </w:tcMar>
            <w:vAlign w:val="center"/>
          </w:tcPr>
          <w:p>
            <w:pPr>
              <w:pStyle w:val="TableContents"/>
              <w:bidi w:val="0"/>
              <w:spacing w:before="0" w:after="283"/>
              <w:jc w:val="center"/>
              <w:rPr/>
            </w:pPr>
            <w:r>
              <w:rPr/>
              <w:t>(2)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360" w:right="0" w:hanging="3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9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Messrs. Wallace and Snyder’s employment with us terminated on March 31, 2026 and May 31, 2025, respectively. Therefore, neither of them will be eligible to receive any awards under the 2026 Plan.</w:t>
            </w:r>
          </w:p>
        </w:tc>
      </w:tr>
      <w:tr>
        <w:trPr/>
        <w:tc>
          <w:tcPr>
            <w:tcW w:w="2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Awards granted under the 2026 Plan to our executive officers, other employees, and non-employee directors are discretionary and are not subject to set benefits or amounts under the terms of the 2026 Plan, and the Board of Directors and the Compensation Committee have not granted any awards under the 2026 Plan that are subject to stockholder approval of this Proposal 3. Accordingly, the benefits or amounts that will be received by or allocated to our executive officers, other employees, and non-employee directors under the 2026 Plan are not determinable.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3 is approved by our stockholders, we will file a Registration Statement on Form S-8 with the SEC with respect to the shares of our common stock to be registered pursuant to the 2026 Plan, as soon as reasonably practicable following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br/>
        <w:t>a vote “For” Proposal No.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6"/>
      <w:bookmarkEnd w:id="10"/>
      <w:r>
        <w:rPr>
          <w:rFonts w:ascii="Times New Roman;Times;Serif" w:hAnsi="Times New Roman;Times;Serif"/>
          <w:b/>
          <w:i w:val="false"/>
          <w:caps/>
          <w:sz w:val="20"/>
        </w:rPr>
        <w:t>PROPOSAL NO. 4: ADVISORY VOTE ON EXECUTIVE COMPENSATION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Section 14A of the Exchange Act and the related rules of the SEC, our stockholders are being asked to approve, in an advisory, non-binding vote, the compensation of our Named Executive Officers as disclosed pursuant to Item 402 of Regulation S-K, including the compensation tables and narrative discussion. In considering their vote, we urge stockholders to review the information on our compensation policies and decisions regarding the Named Executive Officers presented under the section titled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advisory resolution, commonly referred to as a “say-on-pay” resolution, is non-binding. Although this resolution is non-binding, the Board of Directors and the Compensation Committee value the opinions of our stockholders and will review and consider the voting results when making future compensation decisions for our Named Executive Officers. If stockholders approve the “Three Years” option as the frequency of future say-on-pay votes under Proposal 5, we expect that we will conduct our next say-on-pay vote at the 2029 annual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compensation components provide a reasonable balance of base compensation and long-term equity-based incentive compensation that is closely aligned with the Company’s overall performance. The Company aims to provide executive officers with a reasonable level of security through base salary and benefits, while rewarding them through cash and equity-based incentive compensation to achieve business objectives and create stockholder value. We believe that each of our compensation components is integral to attracting, retaining, and rewarding qualified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br/>
        <w:t>a vote “For” Proposal No. 4.</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07"/>
      <w:bookmarkEnd w:id="11"/>
      <w:r>
        <w:rPr>
          <w:rFonts w:ascii="Times New Roman;Times;Serif" w:hAnsi="Times New Roman;Times;Serif"/>
          <w:b/>
          <w:i w:val="false"/>
          <w:caps/>
          <w:sz w:val="20"/>
        </w:rPr>
        <w:t>PROPOSAL NO. 5: ADVISORY VOTE ON THE FREQUENCY OF SOLICITATION OF ADVISORY STOCKHOLDER APPROVAL OF EXECUTIVE COMPENSATION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Section 14A of the Exchange Act and the related rules of the SEC, our Stockholders are also entitled to vote, on an advisory basis, on whether the “say-on-pay” vote, as required by Section 14A of the Exchange Act, should occur every one, two, or three years. The vote on the frequency of the say-on-pay vote, just as with the say-on-pay vote itself, is advisory only, and it also is not binding on the Company or on our Board of Directors. Although the vote is non-binding, the Compensation Committee and the Board of Directors will carefully consider the outcome of the vote when determining the frequency of future stockholder advisory votes to approve the compensation of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Board of Directors has determined that a say-on-pay vote that occurs every three years is the most appropriate alternative for our company at this time. Therefore, the Board recommends that you vote for a “Three Years” frequency for the say-on-pay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Board recommends a say-on-pay vote be held every three years, you may vote one of four choices for this Proposal 5 on the proxy card: “One Year”, “Two Years”, “Three Years”, or “Abstain.” If the frequency recommended by the Board of Directors is approved or receives the highest number of affirmative votes from the holders of shares present virtually or represented by proxy at the Annual Meeting and voting on the matter, that frequency will be deemed adopted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br/>
        <w:t>a vote for a “Three Year” frequency for Proposal No. 5.</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su_001"/>
      <w:bookmarkEnd w:id="12"/>
      <w:r>
        <w:rPr>
          <w:rFonts w:ascii="Times New Roman;Times;Serif" w:hAnsi="Times New Roman;Times;Serif"/>
          <w:b/>
          <w:i w:val="false"/>
          <w:caps/>
          <w:sz w:val="20"/>
        </w:rPr>
        <w:t>EXECUTIVE OFFICERS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our executive officers as of April 17, 2026. Biographical information for our interim Chief Executive Officer and director, Neal M. Cohane, is included above with the director biographies under the caption “Nominees for Election to the Board of Directors.”</w:t>
      </w:r>
    </w:p>
    <w:p>
      <w:pPr>
        <w:pStyle w:val="TextBody"/>
        <w:bidi w:val="0"/>
        <w:spacing w:before="0" w:after="0"/>
        <w:ind w:left="0" w:right="0" w:hanging="0"/>
        <w:jc w:val="both"/>
        <w:rPr>
          <w:caps w:val="false"/>
          <w:smallCaps w:val="false"/>
        </w:rPr>
      </w:pPr>
      <w:r>
        <w:rPr>
          <w:caps w:val="false"/>
          <w:smallCaps w:val="false"/>
        </w:rPr>
        <w:t> </w:t>
      </w:r>
    </w:p>
    <w:tbl>
      <w:tblPr>
        <w:tblW w:w="6750" w:type="dxa"/>
        <w:jc w:val="left"/>
        <w:tblInd w:w="0" w:type="dxa"/>
        <w:tblLayout w:type="fixed"/>
        <w:tblCellMar>
          <w:top w:w="0" w:type="dxa"/>
          <w:left w:w="0" w:type="dxa"/>
          <w:bottom w:w="0" w:type="dxa"/>
          <w:right w:w="0" w:type="dxa"/>
        </w:tblCellMar>
      </w:tblPr>
      <w:tblGrid>
        <w:gridCol w:w="1805"/>
        <w:gridCol w:w="60"/>
        <w:gridCol w:w="350"/>
        <w:gridCol w:w="60"/>
        <w:gridCol w:w="4475"/>
      </w:tblGrid>
      <w:tr>
        <w:trPr/>
        <w:tc>
          <w:tcPr>
            <w:tcW w:w="18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pBdr>
                <w:bottom w:val="single" w:sz="4" w:space="1" w:color="000000"/>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Position(s)</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 and Director</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W. McCurdy</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Secretary</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Yumin Dai</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vAlign w:val="center"/>
          </w:tcPr>
          <w:p>
            <w:pPr>
              <w:pStyle w:val="TableContents"/>
              <w:bidi w:val="0"/>
              <w:spacing w:before="0" w:after="283"/>
              <w:jc w:val="center"/>
              <w:rPr/>
            </w:pPr>
            <w:r>
              <w:rPr/>
              <w:t> </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of Reed’s (Asia) Limited (BVI)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Douglas W. McCurdy</w:t>
      </w:r>
      <w:r>
        <w:rPr>
          <w:rFonts w:ascii="Times New Roman;Times;Serif" w:hAnsi="Times New Roman;Times;Serif"/>
          <w:b w:val="false"/>
          <w:i w:val="false"/>
          <w:caps w:val="false"/>
          <w:smallCaps w:val="false"/>
          <w:sz w:val="20"/>
        </w:rPr>
        <w:t xml:space="preserve"> has served as our Chief Financial Officer since February 2025. Prior to joining us, from December 2023 to January 2025, Mr. McCurdy served as Director for Roberts &amp; Ryan, Inc., a veteran-owned investment bank. Prior to that, he served as Chief Operating Officer and Chief Financial Officer at YDC, Inc. (d/b/a REZI) from November 2019 to May 2023. Mr. McCurdy started his career as a Lieutenant in the US Navy. He holds a Master of Business Administration in Accounting and Finance from the University of Chicago Booth School of Business and a Bachelor of Science in Mechanical Engineering from Worcester Polytechnic Institute.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Yumin Dai</w:t>
      </w:r>
      <w:r>
        <w:rPr>
          <w:rFonts w:ascii="Times New Roman;Times;Serif" w:hAnsi="Times New Roman;Times;Serif"/>
          <w:b w:val="false"/>
          <w:i w:val="false"/>
          <w:caps w:val="false"/>
          <w:smallCaps w:val="false"/>
          <w:sz w:val="20"/>
        </w:rPr>
        <w:t xml:space="preserve"> has served as the Chief Executive Officer of Reed’s (Asia) Limited (BVI) since February 2025. Prior to joining us, Mr. Dai served as consultant for the overseas business of Baolingbao, from February 2020 to December 2024.</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su_002"/>
      <w:bookmarkEnd w:id="13"/>
      <w:r>
        <w:rPr>
          <w:rFonts w:ascii="Times New Roman;Times;Serif" w:hAnsi="Times New Roman;Times;Serif"/>
          <w:b/>
          <w:i w:val="false"/>
          <w:caps/>
          <w:sz w:val="20"/>
        </w:rPr>
        <w:t>EXECUTIVE COMPENSATION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who consist of our principal executive officer and our two other most highly compensated executive officers, for the year ended December 31, 2025 were:</w:t>
      </w:r>
    </w:p>
    <w:p>
      <w:pPr>
        <w:pStyle w:val="TextBody"/>
        <w:bidi w:val="0"/>
        <w:spacing w:before="0" w:after="0"/>
        <w:ind w:left="0" w:right="0" w:hanging="0"/>
        <w:jc w:val="both"/>
        <w:rPr>
          <w:caps w:val="false"/>
          <w:smallCaps w:val="false"/>
        </w:rPr>
      </w:pPr>
      <w:r>
        <w:rPr>
          <w:caps w:val="false"/>
          <w:smallCaps w:val="false"/>
        </w:rPr>
        <w:t> </w:t>
      </w:r>
    </w:p>
    <w:tbl>
      <w:tblPr>
        <w:tblW w:w="4548" w:type="dxa"/>
        <w:jc w:val="left"/>
        <w:tblInd w:w="0" w:type="dxa"/>
        <w:tblLayout w:type="fixed"/>
        <w:tblCellMar>
          <w:top w:w="0" w:type="dxa"/>
          <w:left w:w="0" w:type="dxa"/>
          <w:bottom w:w="0" w:type="dxa"/>
          <w:right w:w="0" w:type="dxa"/>
        </w:tblCellMar>
      </w:tblPr>
      <w:tblGrid>
        <w:gridCol w:w="38"/>
        <w:gridCol w:w="170"/>
        <w:gridCol w:w="43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Cyril A. Wallace, our former Chief Executive Officer;</w:t>
            </w:r>
          </w:p>
        </w:tc>
      </w:tr>
    </w:tbl>
    <w:p>
      <w:pPr>
        <w:pStyle w:val="TextBody"/>
        <w:bidi w:val="0"/>
        <w:spacing w:before="0" w:after="0"/>
        <w:ind w:left="720" w:right="0" w:hanging="360"/>
        <w:jc w:val="both"/>
        <w:rPr>
          <w:caps w:val="false"/>
          <w:smallCaps w:val="false"/>
        </w:rPr>
      </w:pPr>
      <w:r>
        <w:rPr>
          <w:caps w:val="false"/>
          <w:smallCaps w:val="false"/>
        </w:rPr>
        <w:t> </w:t>
      </w:r>
    </w:p>
    <w:tbl>
      <w:tblPr>
        <w:tblW w:w="4938" w:type="dxa"/>
        <w:jc w:val="left"/>
        <w:tblInd w:w="0" w:type="dxa"/>
        <w:tblLayout w:type="fixed"/>
        <w:tblCellMar>
          <w:top w:w="0" w:type="dxa"/>
          <w:left w:w="0" w:type="dxa"/>
          <w:bottom w:w="0" w:type="dxa"/>
          <w:right w:w="0" w:type="dxa"/>
        </w:tblCellMar>
      </w:tblPr>
      <w:tblGrid>
        <w:gridCol w:w="38"/>
        <w:gridCol w:w="170"/>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Norman E. Snyder, Jr., our former Chief Executive Officer;</w:t>
            </w:r>
          </w:p>
        </w:tc>
      </w:tr>
    </w:tbl>
    <w:p>
      <w:pPr>
        <w:pStyle w:val="TextBody"/>
        <w:bidi w:val="0"/>
        <w:spacing w:before="0" w:after="0"/>
        <w:ind w:left="720" w:right="0" w:hanging="360"/>
        <w:jc w:val="both"/>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Douglas McCurdy, our Chief Financial Officer; and</w:t>
            </w:r>
          </w:p>
        </w:tc>
      </w:tr>
    </w:tbl>
    <w:p>
      <w:pPr>
        <w:pStyle w:val="TextBody"/>
        <w:bidi w:val="0"/>
        <w:spacing w:before="0" w:after="0"/>
        <w:ind w:left="720" w:right="0" w:hanging="360"/>
        <w:jc w:val="both"/>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38"/>
        <w:gridCol w:w="17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Yumin Dai, Chief Executive Officer of Reed’s (Asia) Limited (BVI).</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all of the compensation awarded to, or earned by, our Named Executive Officers during the fiscal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10199" w:type="dxa"/>
        <w:jc w:val="left"/>
        <w:tblInd w:w="0" w:type="dxa"/>
        <w:tblLayout w:type="fixed"/>
        <w:tblCellMar>
          <w:top w:w="0" w:type="dxa"/>
          <w:left w:w="0" w:type="dxa"/>
          <w:bottom w:w="28" w:type="dxa"/>
          <w:right w:w="0" w:type="dxa"/>
        </w:tblCellMar>
      </w:tblPr>
      <w:tblGrid>
        <w:gridCol w:w="5000"/>
        <w:gridCol w:w="60"/>
        <w:gridCol w:w="60"/>
        <w:gridCol w:w="500"/>
        <w:gridCol w:w="60"/>
        <w:gridCol w:w="60"/>
        <w:gridCol w:w="60"/>
        <w:gridCol w:w="800"/>
        <w:gridCol w:w="60"/>
        <w:gridCol w:w="60"/>
        <w:gridCol w:w="86"/>
        <w:gridCol w:w="983"/>
        <w:gridCol w:w="60"/>
        <w:gridCol w:w="60"/>
        <w:gridCol w:w="86"/>
        <w:gridCol w:w="1149"/>
        <w:gridCol w:w="60"/>
        <w:gridCol w:w="60"/>
        <w:gridCol w:w="60"/>
        <w:gridCol w:w="800"/>
        <w:gridCol w:w="75"/>
      </w:tblGrid>
      <w:tr>
        <w:trPr/>
        <w:tc>
          <w:tcPr>
            <w:tcW w:w="500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Position</w:t>
            </w:r>
          </w:p>
        </w:tc>
        <w:tc>
          <w:tcPr>
            <w:tcW w:w="60" w:type="dxa"/>
            <w:tcBorders/>
            <w:tcMar>
              <w:bottom w:w="0" w:type="dxa"/>
            </w:tcMar>
            <w:vAlign w:val="center"/>
          </w:tcPr>
          <w:p>
            <w:pPr>
              <w:pStyle w:val="TableContents"/>
              <w:bidi w:val="0"/>
              <w:spacing w:before="0" w:after="283"/>
              <w:jc w:val="left"/>
              <w:rPr/>
            </w:pPr>
            <w:r>
              <w:rPr/>
              <w:t> </w:t>
            </w:r>
          </w:p>
        </w:tc>
        <w:tc>
          <w:tcPr>
            <w:tcW w:w="5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6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Bonus ($) </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br/>
              <w:t>Compensation</w:t>
              <w:br/>
              <w:t xml:space="preserve">($) </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tc>
        <w:tc>
          <w:tcPr>
            <w:tcW w:w="75" w:type="dxa"/>
            <w:tcBorders/>
            <w:tcMar>
              <w:bottom w:w="0" w:type="dxa"/>
            </w:tcMar>
            <w:vAlign w:val="center"/>
          </w:tcPr>
          <w:p>
            <w:pPr>
              <w:pStyle w:val="TableContents"/>
              <w:bidi w:val="0"/>
              <w:spacing w:before="0" w:after="283"/>
              <w:jc w:val="left"/>
              <w:rPr/>
            </w:pPr>
            <w:r>
              <w:rPr/>
              <w:t> </w:t>
            </w:r>
          </w:p>
        </w:tc>
      </w:tr>
      <w:tr>
        <w:trPr/>
        <w:tc>
          <w:tcPr>
            <w:tcW w:w="50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Cyril A. Wallace, Jr. </w:t>
            </w:r>
            <w:r>
              <w:rPr>
                <w:rFonts w:ascii="Times New Roman;Times;Serif" w:hAnsi="Times New Roman;Times;Serif"/>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495,833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pPr>
            <w:r>
              <w:rPr/>
              <w:t>35,000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23,861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554,694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00" w:type="dxa"/>
            <w:tcBorders/>
            <w:shd w:fill="FFFFFF" w:val="clear"/>
            <w:tcMar>
              <w:bottom w:w="0" w:type="dxa"/>
            </w:tcMar>
            <w:vAlign w:val="center"/>
          </w:tcPr>
          <w:p>
            <w:pPr>
              <w:pStyle w:val="TableContents"/>
              <w:bidi w:val="0"/>
              <w:spacing w:before="0" w:after="283"/>
              <w:jc w:val="left"/>
              <w:rPr>
                <w:i/>
              </w:rPr>
            </w:pPr>
            <w:r>
              <w:rPr>
                <w:i/>
              </w:rPr>
              <w:t>Former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Norman E. Snyder, Jr. </w:t>
            </w:r>
            <w:r>
              <w:rPr>
                <w:rFonts w:ascii="Times New Roman;Times;Serif" w:hAnsi="Times New Roman;Times;Serif"/>
                <w:b/>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180,163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pPr>
            <w:r>
              <w:rPr/>
              <w:t>30,000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418,519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436,976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00" w:type="dxa"/>
            <w:tcBorders/>
            <w:shd w:fill="FFFFFF" w:val="clear"/>
            <w:tcMar>
              <w:bottom w:w="0" w:type="dxa"/>
            </w:tcMar>
            <w:vAlign w:val="center"/>
          </w:tcPr>
          <w:p>
            <w:pPr>
              <w:pStyle w:val="TableContents"/>
              <w:bidi w:val="0"/>
              <w:spacing w:before="0" w:after="283"/>
              <w:jc w:val="left"/>
              <w:rPr>
                <w:i/>
              </w:rPr>
            </w:pPr>
            <w:r>
              <w:rPr>
                <w:i/>
              </w:rPr>
              <w:t>Former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428,942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14,416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493,358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Douglas W. McCurdy </w:t>
            </w:r>
            <w:r>
              <w:rPr>
                <w:rFonts w:ascii="Times New Roman;Times;Serif" w:hAnsi="Times New Roman;Times;Serif"/>
                <w:b/>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289,354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289,354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00" w:type="dxa"/>
            <w:tcBorders/>
            <w:shd w:fill="FFFFFF" w:val="clear"/>
            <w:tcMar>
              <w:bottom w:w="0" w:type="dxa"/>
            </w:tcMar>
            <w:vAlign w:val="center"/>
          </w:tcPr>
          <w:p>
            <w:pPr>
              <w:pStyle w:val="TableContents"/>
              <w:bidi w:val="0"/>
              <w:spacing w:before="0" w:after="283"/>
              <w:jc w:val="left"/>
              <w:rPr>
                <w:i/>
              </w:rPr>
            </w:pPr>
            <w:r>
              <w:rPr>
                <w:i/>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00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Yumin Dai </w:t>
            </w:r>
            <w:r>
              <w:rPr>
                <w:rFonts w:ascii="Times New Roman;Times;Serif" w:hAnsi="Times New Roman;Times;Serif"/>
                <w:b/>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right"/>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162,875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98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pPr>
            <w:r>
              <w:rPr/>
              <w:t>113,794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276,669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000" w:type="dxa"/>
            <w:tcBorders/>
            <w:shd w:fill="FFFFFF" w:val="clear"/>
            <w:tcMar>
              <w:bottom w:w="0" w:type="dxa"/>
            </w:tcMar>
            <w:vAlign w:val="center"/>
          </w:tcPr>
          <w:p>
            <w:pPr>
              <w:pStyle w:val="TableContents"/>
              <w:bidi w:val="0"/>
              <w:spacing w:before="0" w:after="283"/>
              <w:jc w:val="left"/>
              <w:rPr>
                <w:i/>
              </w:rPr>
            </w:pPr>
            <w:r>
              <w:rPr>
                <w:i/>
              </w:rPr>
              <w:t>Chief Executive Officer, Reed’s (Asia) Limited (BVI)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98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for 2025 represent a one-time signing bonus for Mr. Wallace and a guaranteed bonus for Mr. Snyder, each as described further below under “—Employment Arrangements with Our Named Executive Officers” and “—Potential Payments Upon Termination or Change of Control.”</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in this column for 2025 represent (i) $23,861 paid to Mr. Wallace for relocation expense reimbursement, (ii) $412,512 paid to Mr. Snyder in connection with his departure as our Chief Executive Officer, as described further below under “—Potential Payments upon Termination or Change in Control,” which consists of (a) $378,525, representing twelve (12) months of his then-current base salary, plus (b) $33,987 representing twelve (12) months of the costs of health and welfare benefits, and (iii) $10,681 paid to Mr. Dai for automobile expenses, $29,082 for the rental of an apartment for Mr. Dai, $48,523 in hotel costs for Mr. Dai, and $25,508 paid on behalf of Mr. Dai to the real estate agency that assisted with locating Mr. Dai’s apartment.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Wallace served as our Chief Executive Officer from April 16, 2025 to March 24, 2026. Mr. Wallace remained an employee of the Company through March 31, 2026 and will serve in a consulting capacity through April 30, 2026. On April 16, 2026, Mr. Wallace entered into a separation agreement with us, as described further in the section titled “Transactions with Related Persons and Indemnification.”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Snyder retired as our Chief Executive Officer effective April 16, 2025 and continued serving as an employee through May 31, 2025. The amount reported in the “Salary” column for 2025 includes $22,444 accrued but unused paid time off.</w:t>
            </w:r>
          </w:p>
        </w:tc>
      </w:tr>
    </w:tbl>
    <w:p>
      <w:pPr>
        <w:pStyle w:val="TextBody"/>
        <w:bidi w:val="0"/>
        <w:spacing w:before="0" w:after="0"/>
        <w:ind w:left="360" w:right="0" w:hanging="36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260"/>
        <w:gridCol w:w="749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McCurdy commenced employment as our Chief Financial Officer on February 10,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Dai’s compensation was paid in Japanese Yen (JPY), which was converted into U.S. dollars at an exchange ratio of $0.00637706 per JPY.</w:t>
            </w:r>
          </w:p>
        </w:tc>
      </w:tr>
    </w:tbl>
    <w:p>
      <w:pPr>
        <w:pStyle w:val="TextBody"/>
        <w:bidi w:val="0"/>
        <w:spacing w:before="0" w:after="0"/>
        <w:ind w:left="360" w:right="0" w:hanging="36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bl>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receive base salaries to compensate them for services rendered to us. The base salary payable to each Named Executive Officer is intended to provide a fixed component of compensation, taking into account such Named Executive Officer’s qualifications, experience, scope of responsibilities, and competitive market considerations. The 2025 annual base salary rates for each of our Named Executive Officers are set forth in the table below:</w:t>
      </w:r>
    </w:p>
    <w:p>
      <w:pPr>
        <w:pStyle w:val="TextBody"/>
        <w:bidi w:val="0"/>
        <w:spacing w:before="0" w:after="0"/>
        <w:ind w:left="0" w:right="0" w:hanging="0"/>
        <w:jc w:val="both"/>
        <w:rPr>
          <w:caps w:val="false"/>
          <w:smallCaps w:val="false"/>
        </w:rPr>
      </w:pPr>
      <w:r>
        <w:rPr>
          <w:caps w:val="false"/>
          <w:smallCaps w:val="false"/>
        </w:rPr>
        <w:t> </w:t>
      </w:r>
    </w:p>
    <w:tbl>
      <w:tblPr>
        <w:tblW w:w="4599" w:type="dxa"/>
        <w:jc w:val="left"/>
        <w:tblInd w:w="0" w:type="dxa"/>
        <w:tblLayout w:type="fixed"/>
        <w:tblCellMar>
          <w:top w:w="0" w:type="dxa"/>
          <w:left w:w="0" w:type="dxa"/>
          <w:bottom w:w="28" w:type="dxa"/>
          <w:right w:w="0" w:type="dxa"/>
        </w:tblCellMar>
      </w:tblPr>
      <w:tblGrid>
        <w:gridCol w:w="2165"/>
        <w:gridCol w:w="60"/>
        <w:gridCol w:w="342"/>
        <w:gridCol w:w="1957"/>
        <w:gridCol w:w="75"/>
      </w:tblGrid>
      <w:tr>
        <w:trPr/>
        <w:tc>
          <w:tcPr>
            <w:tcW w:w="216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2299" w:type="dxa"/>
            <w:gridSpan w:val="2"/>
            <w:tcBorders>
              <w:bottom w:val="single" w:sz="8" w:space="0" w:color="000000"/>
            </w:tcBorders>
            <w:vAlign w:val="center"/>
          </w:tcPr>
          <w:p>
            <w:pPr>
              <w:pStyle w:val="TableContents"/>
              <w:bidi w:val="0"/>
              <w:spacing w:before="0" w:after="283"/>
              <w:jc w:val="center"/>
              <w:rPr>
                <w:b/>
              </w:rPr>
            </w:pPr>
            <w:r>
              <w:rPr>
                <w:b/>
              </w:rPr>
              <w:t>2025 Base Salary Rate</w:t>
            </w:r>
          </w:p>
        </w:tc>
        <w:tc>
          <w:tcPr>
            <w:tcW w:w="75" w:type="dxa"/>
            <w:tcBorders/>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pPr>
            <w:r>
              <w:rPr/>
              <w:t>Cyril A. Wallace,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w:t>
            </w:r>
          </w:p>
        </w:tc>
        <w:tc>
          <w:tcPr>
            <w:tcW w:w="1957" w:type="dxa"/>
            <w:tcBorders/>
            <w:shd w:fill="CCEEFF" w:val="clear"/>
            <w:tcMar>
              <w:bottom w:w="0" w:type="dxa"/>
            </w:tcMar>
            <w:vAlign w:val="center"/>
          </w:tcPr>
          <w:p>
            <w:pPr>
              <w:pStyle w:val="TableContents"/>
              <w:bidi w:val="0"/>
              <w:spacing w:before="0" w:after="283"/>
              <w:jc w:val="right"/>
              <w:rPr/>
            </w:pPr>
            <w:r>
              <w:rPr/>
              <w:t>700,000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283"/>
              <w:jc w:val="left"/>
              <w:rPr/>
            </w:pPr>
            <w:r>
              <w:rPr/>
              <w:t>Norman E. Snyder,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2" w:type="dxa"/>
            <w:tcBorders/>
            <w:shd w:fill="FFFFFF" w:val="clear"/>
            <w:tcMar>
              <w:bottom w:w="0" w:type="dxa"/>
            </w:tcMar>
            <w:vAlign w:val="center"/>
          </w:tcPr>
          <w:p>
            <w:pPr>
              <w:pStyle w:val="TableContents"/>
              <w:bidi w:val="0"/>
              <w:spacing w:before="0" w:after="283"/>
              <w:jc w:val="left"/>
              <w:rPr/>
            </w:pPr>
            <w:r>
              <w:rPr/>
              <w:t>$</w:t>
            </w:r>
          </w:p>
        </w:tc>
        <w:tc>
          <w:tcPr>
            <w:tcW w:w="1957" w:type="dxa"/>
            <w:tcBorders/>
            <w:shd w:fill="FFFFFF" w:val="clear"/>
            <w:tcMar>
              <w:bottom w:w="0" w:type="dxa"/>
            </w:tcMar>
            <w:vAlign w:val="center"/>
          </w:tcPr>
          <w:p>
            <w:pPr>
              <w:pStyle w:val="TableContents"/>
              <w:bidi w:val="0"/>
              <w:spacing w:before="0" w:after="283"/>
              <w:jc w:val="right"/>
              <w:rPr/>
            </w:pPr>
            <w:r>
              <w:rPr/>
              <w:t>378,525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65" w:type="dxa"/>
            <w:tcBorders/>
            <w:shd w:fill="CCEEFF" w:val="clear"/>
            <w:tcMar>
              <w:bottom w:w="0" w:type="dxa"/>
            </w:tcMar>
            <w:vAlign w:val="center"/>
          </w:tcPr>
          <w:p>
            <w:pPr>
              <w:pStyle w:val="TableContents"/>
              <w:bidi w:val="0"/>
              <w:spacing w:before="0" w:after="283"/>
              <w:jc w:val="left"/>
              <w:rPr/>
            </w:pPr>
            <w:r>
              <w:rPr/>
              <w:t>Douglas W. McCurdy</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2" w:type="dxa"/>
            <w:tcBorders/>
            <w:shd w:fill="CCEEFF" w:val="clear"/>
            <w:tcMar>
              <w:bottom w:w="0" w:type="dxa"/>
            </w:tcMar>
            <w:vAlign w:val="center"/>
          </w:tcPr>
          <w:p>
            <w:pPr>
              <w:pStyle w:val="TableContents"/>
              <w:bidi w:val="0"/>
              <w:spacing w:before="0" w:after="283"/>
              <w:jc w:val="left"/>
              <w:rPr/>
            </w:pPr>
            <w:r>
              <w:rPr/>
              <w:t>$</w:t>
            </w:r>
          </w:p>
        </w:tc>
        <w:tc>
          <w:tcPr>
            <w:tcW w:w="1957" w:type="dxa"/>
            <w:tcBorders/>
            <w:shd w:fill="CCEEFF" w:val="clear"/>
            <w:tcMar>
              <w:bottom w:w="0" w:type="dxa"/>
            </w:tcMar>
            <w:vAlign w:val="center"/>
          </w:tcPr>
          <w:p>
            <w:pPr>
              <w:pStyle w:val="TableContents"/>
              <w:bidi w:val="0"/>
              <w:spacing w:before="0" w:after="283"/>
              <w:jc w:val="right"/>
              <w:rPr/>
            </w:pPr>
            <w:r>
              <w:rPr/>
              <w:t>323,000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65" w:type="dxa"/>
            <w:tcBorders/>
            <w:shd w:fill="FFFFFF" w:val="clear"/>
            <w:tcMar>
              <w:bottom w:w="0" w:type="dxa"/>
            </w:tcMar>
            <w:vAlign w:val="center"/>
          </w:tcPr>
          <w:p>
            <w:pPr>
              <w:pStyle w:val="TableContents"/>
              <w:bidi w:val="0"/>
              <w:spacing w:before="0" w:after="283"/>
              <w:jc w:val="left"/>
              <w:rPr/>
            </w:pPr>
            <w:r>
              <w:rPr/>
              <w:t>Yumin Dai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2" w:type="dxa"/>
            <w:tcBorders/>
            <w:shd w:fill="FFFFFF" w:val="clear"/>
            <w:tcMar>
              <w:bottom w:w="0" w:type="dxa"/>
            </w:tcMar>
            <w:vAlign w:val="center"/>
          </w:tcPr>
          <w:p>
            <w:pPr>
              <w:pStyle w:val="TableContents"/>
              <w:bidi w:val="0"/>
              <w:spacing w:before="0" w:after="283"/>
              <w:jc w:val="left"/>
              <w:rPr/>
            </w:pPr>
            <w:r>
              <w:rPr/>
              <w:t>$</w:t>
            </w:r>
          </w:p>
        </w:tc>
        <w:tc>
          <w:tcPr>
            <w:tcW w:w="1957" w:type="dxa"/>
            <w:tcBorders/>
            <w:shd w:fill="FFFFFF" w:val="clear"/>
            <w:tcMar>
              <w:bottom w:w="0" w:type="dxa"/>
            </w:tcMar>
            <w:vAlign w:val="center"/>
          </w:tcPr>
          <w:p>
            <w:pPr>
              <w:pStyle w:val="TableContents"/>
              <w:bidi w:val="0"/>
              <w:spacing w:before="0" w:after="283"/>
              <w:jc w:val="right"/>
              <w:rPr/>
            </w:pPr>
            <w:r>
              <w:rPr/>
              <w:t>300,000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Welfare and Other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health, dental, vision, life, and disability insurance benefits to our Named Executive Officers, on the same terms and conditions as provided to all other eligible U.S. employees. We also maintain a 401(k) plan that provides eligible employees, including our U.S.-based Named Executive Officers, with an opportunity to save for retirement on a tax advantaged basis. The 401(k) plan is intended to qualify under Sections 401(a) and 501(a) of the Internal Revenue Code. As a tax-qualified retirement plan, contributions to the 401(k) plan are deductible by us when made and pre-tax contributions and earnings on pre-tax and after-tax contributions are not generally taxable to the employees until withdrawn or distributed from the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Arrangements with Our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Cyril A. Wallace, Jr.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commencement of his employment as our Chief Executive Officer, we entered into an Employment Agreement with Mr. Wallace, dated as of April 16, 2025 (the “Wallace Agreement”). The Wallace Agreement provides for a base salary of $700,000. Mr. Wallace will receive health insurance, four weeks’ paid vacation on an annual basis and other benefits available to our executive officers. Mr. Wallace received a signing bonus of $35,000 and long-distance commuting and relocation expense reimbursement up to $50,000, which in each case must be reimbursed in full if his employment is terminated (for no reason or any reason) prior to the one-year anniversary of April 16, 2025. The Wallace Agreement is “at-will” and may be terminated by Mr. Wallace or Reed’s at any time upon five days’ notice, for no reason or for any reason. Subject to the establishment of a new equity incentive plan and Mr. Wallace’s continued employment, Mr. Wallace will be granted a restricted stock award of 46,667 shares of common stock, vesting monthly over a one-year term measured from April 16, 2025, and three performance-based stock option awards to purchase up to an aggregate of 231,361 shares of common stock. Vesting of performance-based stock options will be subject to achievement of annual performance metrics established by the Board of Directors and agreed between the parties. In addition, the Wallace Agreement provides that, in the event Mr. Wallace receives any payments or benefits that constitute “parachute payments” within the meaning of Section 280G of the Internal Revenue Code and that are subject to the excise tax imposed under Section 4999 of the Internal Revenue Code, the Company will pay Mr. Wallace an amount equal to the sum of the excise tax payable, plus the amount necessary to put Mr. Wallace in the same after tax position as if no excise tax had been imposed.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Norman E. Snyder, Jr.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promotion to Chief Executive Officer of the Company in 2020, we entered into an Amended and Restated Employment Agreement with Mr. Snyder, effective March 1, 2020 (the “Snyder Agreement”). The Snyder Agreement provided for an initial base salary of $300,000 (increased to $350,000 in September 2020), eligibility for standard benefits available to executive officers, and the grant of certain restricted stock and stock option awards. The Snyder Agreement also provided for payment of severance benefits in connection with certain qualifying terminations of employment. In connection with his retirement from employment on May 31, 2025, Mr. Snyder received the benefits described below under “—Potential Payments Upon Termination or Change in Control—Snyder Transition Agreement.”</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Douglas McCurdy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2025, we entered into an Employment Agreement with Mr. McCurdy (the “McCurdy Agreement”). The McCurdy Agreement provided for an initial one-year term beginning on February 10, 2025 and ending on February 10, 2026. On February 10, 2026, the Compensation Committee authorized the extension of the McCurdy Agreement for an additional one-year term beginning on February 10, 2026 and ending on February 10, 2027 (the “Extended Term”), which may be extended for additional successive one-year periods by mutual agreement of the parties. If the McCurdy Agreement is neither terminated nor extended, Mr. McCurdy’s employment continues on an at-will basis for one-month periods following the Extended Term. Pursuant to the terms of the McCurdy Agreement, Mr. McCurdy receives an annual base salary of $323,000 and is eligible for a discretionary annual performance bonus with a target of 30% of his annual salary. Mr. McCurdy is also eligible to receive standard benefits available to executive officers and to receive long-term equity incentive awards from time to time. The McCurdy Agreement also provides for payment of severance benefits in connection with certain qualifying terminations of employment occurring during the Extended Term, as described below under “—Potential Payments Upon Termination or Change in Control—McCurdy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Yumin Dai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Dai receives a salary of $300,000 and certain reimbursement of automobile and housing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Payments upon Termination or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Dai is not entitled to receive any payments in connection with a termination of his employment or a change in control of the Company. The benefits actually provided to Mr. Snyder and Mr. Wallace in connection with their respective departure and the benefits that Mr. McCurdy would be entitled to receive in connection with certain terminations of his employment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Snyder Transition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16, 2025, we entered into a transition and separation agreement with Mr. Snyder, pursuant to which he ceased serving as our Chief Executive Officer (the “Snyder Transition Agreement”). In order to ensure a smooth transition, Mr. Snyder remained an employee of the Company through May 31, 2025. Pursuant to the Snyder Transition Agreement, Mr. Snyder continued to receive his annual base salary and his unvested equity continued to vest through May 31, 2025. In addition, subject to his execution and delivery of a release of claims, Mr. Snyder was entitled to receive 12 months’ severance, payable in equal monthly installments through May 31, 2026, at his then-current salary rate, $378,525 per year, reimbursement of COBRA premiums and deductibles for such 12-month period, and his vested options would remain exercisable for an extended period of two years following his date of separation. The Snyder Transition Agreement also provides for a guaranteed bonus payment of $30,000 and an additional bonus of up to $20,000 based on the achievement of certain performance metrics. As of the date hereof, no portion of the $20,000 additional bonus payment was earned or paid, and the entire $20,000 amount has been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Wallace Separation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we entered into a Separation Agreement and Release (the “Separation Agreement”) with Mr. Wallace. In consideration of Mr. Wallace’s execution of a general release of claims in favor of us and our affiliates and his compliance with the other terms of the Separation Agreement, we agreed to provide Mr. Wallace with the following separation benefits: (i) a severance payment equal to one (1) month of Mr. Wallace’s annual base salary in effect immediately prior to the Separation Date (a gross amount of $58,333.33); (ii) a lump sum payment representative of one (1) month of Mr. Wallace’s COBRA premium in the gross amount of $2,836.60; and (iii) a waiver of Mr. Wallace’s obligations to repay his sign-on bonus and relocation-related expenses pursuant to Sections 4.2 and 4.6 of his Employment Agreement with us dated April 16, 2025 (the “Wallace Employment Agreement”). In addition, the Wallace Employment Agreement provided for a grant to Mr. Wallace of 46,667 restricted stock awards (the “Inducement Award”). In full satisfaction of the Inducement Award and as mutually agreed upon between us and Mr. Wallace, on April 15, 2026, the Compensation Committee approved (x) the grant to Mr. Wallace of a restricted stock award under the 2020 Plan covering 36,657 shares of our common stock, to be issued on or before April 30, 2026 and to be fully vested at the time of issuance, subject to the terms and conditions of the 2020 Plan and the Separation Agreement and contingent upon the Separation Agreement becoming effective in accordance with its terms and the satisfaction of all applicable taxes and withholdings, and (y) a cash payment to Mr. Wallace of $36,336.30, equivalent to 10,010 multiplied by $3.63, the closing price of a share of our common stock as reported on the NYSE American on the Separation Date, in each case as provided under the Separation Agreement.</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McCurdy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termination of Mr. McCurdy’s employment without “cause” or a resignation by Mr. McCurdy for “good reason” (each, as defined in the McCurdy Agreement) during the Original Term, subject to his execution and delivery of a release of claims, Mr. McCurdy would have received (i) equal installment payments of $26,917 for the number of months remaining in the Extended Term, and (ii) COBRA reimbursements for up to the remaining period of the Extended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Year-End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equity awards held by each Named Executive Officer outstanding as of December 31, 2025:</w:t>
      </w:r>
    </w:p>
    <w:p>
      <w:pPr>
        <w:pStyle w:val="TextBody"/>
        <w:bidi w:val="0"/>
        <w:spacing w:before="0" w:after="0"/>
        <w:ind w:left="0" w:right="0" w:hanging="0"/>
        <w:jc w:val="both"/>
        <w:rPr>
          <w:caps w:val="false"/>
          <w:smallCaps w:val="false"/>
        </w:rPr>
      </w:pPr>
      <w:r>
        <w:rPr>
          <w:caps w:val="false"/>
          <w:smallCaps w:val="false"/>
        </w:rPr>
        <w:t> </w:t>
      </w:r>
    </w:p>
    <w:tbl>
      <w:tblPr>
        <w:tblW w:w="9884" w:type="dxa"/>
        <w:jc w:val="left"/>
        <w:tblInd w:w="0" w:type="dxa"/>
        <w:tblLayout w:type="fixed"/>
        <w:tblCellMar>
          <w:top w:w="0" w:type="dxa"/>
          <w:left w:w="0" w:type="dxa"/>
          <w:bottom w:w="28" w:type="dxa"/>
          <w:right w:w="0" w:type="dxa"/>
        </w:tblCellMar>
      </w:tblPr>
      <w:tblGrid>
        <w:gridCol w:w="1985"/>
        <w:gridCol w:w="60"/>
        <w:gridCol w:w="116"/>
        <w:gridCol w:w="1089"/>
        <w:gridCol w:w="60"/>
        <w:gridCol w:w="60"/>
        <w:gridCol w:w="256"/>
        <w:gridCol w:w="1114"/>
        <w:gridCol w:w="60"/>
        <w:gridCol w:w="60"/>
        <w:gridCol w:w="547"/>
        <w:gridCol w:w="2382"/>
        <w:gridCol w:w="60"/>
        <w:gridCol w:w="60"/>
        <w:gridCol w:w="141"/>
        <w:gridCol w:w="689"/>
        <w:gridCol w:w="60"/>
        <w:gridCol w:w="60"/>
        <w:gridCol w:w="1025"/>
      </w:tblGrid>
      <w:tr>
        <w:trPr/>
        <w:tc>
          <w:tcPr>
            <w:tcW w:w="1985" w:type="dxa"/>
            <w:tcBorders>
              <w:bottom w:val="single" w:sz="8" w:space="0" w:color="000000"/>
            </w:tcBorders>
            <w:vAlign w:val="center"/>
          </w:tcPr>
          <w:p>
            <w:pPr>
              <w:pStyle w:val="TableContents"/>
              <w:bidi w:val="0"/>
              <w:spacing w:before="0" w:after="283"/>
              <w:jc w:val="center"/>
              <w:rPr/>
            </w:pPr>
            <w:r>
              <w:rPr/>
              <w:t>Name and Position</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bottom w:val="single" w:sz="8" w:space="0" w:color="000000"/>
            </w:tcBorders>
            <w:vAlign w:val="center"/>
          </w:tcPr>
          <w:p>
            <w:pPr>
              <w:pStyle w:val="TableContents"/>
              <w:bidi w:val="0"/>
              <w:spacing w:before="0" w:after="283"/>
              <w:jc w:val="center"/>
              <w:rPr/>
            </w:pPr>
            <w:r>
              <w:rPr/>
              <w:t>Number of</w:t>
              <w:br/>
              <w:t>Securities</w:t>
              <w:br/>
              <w:t>Underlying</w:t>
              <w:br/>
              <w:t>Unexercised</w:t>
              <w:br/>
              <w:t>Options (#)</w:t>
              <w:br/>
              <w:t>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bottom w:val="single" w:sz="8" w:space="0" w:color="000000"/>
            </w:tcBorders>
            <w:vAlign w:val="center"/>
          </w:tcPr>
          <w:p>
            <w:pPr>
              <w:pStyle w:val="TableContents"/>
              <w:bidi w:val="0"/>
              <w:spacing w:before="0" w:after="283"/>
              <w:jc w:val="center"/>
              <w:rPr/>
            </w:pPr>
            <w:r>
              <w:rPr/>
              <w:t>Number of</w:t>
              <w:br/>
              <w:t>Securities</w:t>
              <w:br/>
              <w:t>Underlying</w:t>
              <w:br/>
              <w:t>Unexercised</w:t>
              <w:br/>
              <w:t>Options (#)</w:t>
              <w:br/>
              <w:t>Unexercisable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29" w:type="dxa"/>
            <w:gridSpan w:val="2"/>
            <w:tcBorders>
              <w:bottom w:val="single" w:sz="8" w:space="0" w:color="000000"/>
            </w:tcBorders>
            <w:vAlign w:val="center"/>
          </w:tcPr>
          <w:p>
            <w:pPr>
              <w:pStyle w:val="TableContents"/>
              <w:bidi w:val="0"/>
              <w:spacing w:before="0" w:after="283"/>
              <w:jc w:val="center"/>
              <w:rPr/>
            </w:pPr>
            <w:r>
              <w:rPr/>
              <w:t>Equity Incentive Plan Awards:</w:t>
              <w:br/>
              <w:t>Number of Securities</w:t>
              <w:br/>
              <w:t>Underlying</w:t>
              <w:br/>
              <w:t>Unexercised</w:t>
              <w:br/>
              <w:t>Unearned</w:t>
              <w:br/>
              <w:t>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pPr>
            <w:r>
              <w:rPr/>
              <w:t>Option</w:t>
              <w:br/>
              <w:t>Exercise</w:t>
              <w:br/>
              <w:t>Price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pPr>
            <w:r>
              <w:rPr/>
              <w:t>Option</w:t>
              <w:br/>
              <w:t>Expiration</w:t>
              <w:br/>
              <w:t>Date</w:t>
            </w:r>
          </w:p>
        </w:tc>
      </w:tr>
      <w:tr>
        <w:trPr/>
        <w:tc>
          <w:tcPr>
            <w:tcW w:w="19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29"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right"/>
              <w:rPr/>
            </w:pPr>
            <w:r>
              <w:rPr/>
              <w:t> </w:t>
            </w:r>
          </w:p>
        </w:tc>
      </w:tr>
      <w:tr>
        <w:trPr/>
        <w:tc>
          <w:tcPr>
            <w:tcW w:w="19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Norman E. Snyder, Jr.</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1,468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7" w:type="dxa"/>
            <w:tcBorders/>
            <w:shd w:fill="CCEEFF" w:val="clear"/>
            <w:tcMar>
              <w:bottom w:w="0" w:type="dxa"/>
            </w:tcMar>
            <w:vAlign w:val="center"/>
          </w:tcPr>
          <w:p>
            <w:pPr>
              <w:pStyle w:val="TableContents"/>
              <w:bidi w:val="0"/>
              <w:spacing w:before="0" w:after="283"/>
              <w:jc w:val="left"/>
              <w:rPr/>
            </w:pPr>
            <w:r>
              <w:rPr/>
              <w:t> </w:t>
            </w:r>
          </w:p>
        </w:tc>
        <w:tc>
          <w:tcPr>
            <w:tcW w:w="23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264.00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2/25/2030</w:t>
            </w:r>
          </w:p>
        </w:tc>
      </w:tr>
      <w:tr>
        <w:trPr/>
        <w:tc>
          <w:tcPr>
            <w:tcW w:w="19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7" w:type="dxa"/>
            <w:tcBorders/>
            <w:shd w:fill="FFFFFF" w:val="clear"/>
            <w:tcMar>
              <w:bottom w:w="0" w:type="dxa"/>
            </w:tcMar>
            <w:vAlign w:val="center"/>
          </w:tcPr>
          <w:p>
            <w:pPr>
              <w:pStyle w:val="TableContents"/>
              <w:bidi w:val="0"/>
              <w:spacing w:before="0" w:after="283"/>
              <w:jc w:val="left"/>
              <w:rPr/>
            </w:pPr>
            <w:r>
              <w:rPr/>
              <w:t> </w:t>
            </w:r>
          </w:p>
        </w:tc>
        <w:tc>
          <w:tcPr>
            <w:tcW w:w="23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689" w:type="dxa"/>
            <w:tcBorders/>
            <w:shd w:fill="FFFFFF" w:val="clear"/>
            <w:tcMar>
              <w:bottom w:w="0" w:type="dxa"/>
            </w:tcMar>
            <w:vAlign w:val="center"/>
          </w:tcPr>
          <w:p>
            <w:pPr>
              <w:pStyle w:val="TableContents"/>
              <w:bidi w:val="0"/>
              <w:spacing w:before="0" w:after="283"/>
              <w:jc w:val="right"/>
              <w:rPr/>
            </w:pPr>
            <w:r>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pPr>
            <w:r>
              <w:rPr/>
              <w:t>3/25/2030</w:t>
            </w:r>
          </w:p>
        </w:tc>
      </w:tr>
      <w:tr>
        <w:trPr/>
        <w:tc>
          <w:tcPr>
            <w:tcW w:w="19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7" w:type="dxa"/>
            <w:tcBorders/>
            <w:shd w:fill="CCEEFF" w:val="clear"/>
            <w:tcMar>
              <w:bottom w:w="0" w:type="dxa"/>
            </w:tcMar>
            <w:vAlign w:val="center"/>
          </w:tcPr>
          <w:p>
            <w:pPr>
              <w:pStyle w:val="TableContents"/>
              <w:bidi w:val="0"/>
              <w:spacing w:before="0" w:after="283"/>
              <w:jc w:val="left"/>
              <w:rPr/>
            </w:pPr>
            <w:r>
              <w:rPr/>
              <w:t> </w:t>
            </w:r>
          </w:p>
        </w:tc>
        <w:tc>
          <w:tcPr>
            <w:tcW w:w="238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210.00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5/20/2030</w:t>
            </w:r>
          </w:p>
        </w:tc>
      </w:tr>
      <w:tr>
        <w:trPr/>
        <w:tc>
          <w:tcPr>
            <w:tcW w:w="19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089" w:type="dxa"/>
            <w:tcBorders/>
            <w:shd w:fill="FFFFFF" w:val="clear"/>
            <w:tcMar>
              <w:bottom w:w="0" w:type="dxa"/>
            </w:tcMar>
            <w:vAlign w:val="center"/>
          </w:tcPr>
          <w:p>
            <w:pPr>
              <w:pStyle w:val="TableContents"/>
              <w:bidi w:val="0"/>
              <w:spacing w:before="0" w:after="283"/>
              <w:jc w:val="right"/>
              <w:rPr/>
            </w:pPr>
            <w:r>
              <w:rPr/>
              <w:t>2,654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6" w:type="dxa"/>
            <w:tcBorders/>
            <w:shd w:fill="FFFFFF" w:val="clear"/>
            <w:tcMar>
              <w:bottom w:w="0" w:type="dxa"/>
            </w:tcMar>
            <w:vAlign w:val="center"/>
          </w:tcPr>
          <w:p>
            <w:pPr>
              <w:pStyle w:val="TableContents"/>
              <w:bidi w:val="0"/>
              <w:spacing w:before="0" w:after="283"/>
              <w:jc w:val="left"/>
              <w:rPr/>
            </w:pPr>
            <w:r>
              <w:rPr/>
              <w:t> </w:t>
            </w:r>
          </w:p>
        </w:tc>
        <w:tc>
          <w:tcPr>
            <w:tcW w:w="11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7" w:type="dxa"/>
            <w:tcBorders/>
            <w:shd w:fill="FFFFFF" w:val="clear"/>
            <w:tcMar>
              <w:bottom w:w="0" w:type="dxa"/>
            </w:tcMar>
            <w:vAlign w:val="center"/>
          </w:tcPr>
          <w:p>
            <w:pPr>
              <w:pStyle w:val="TableContents"/>
              <w:bidi w:val="0"/>
              <w:spacing w:before="0" w:after="283"/>
              <w:jc w:val="left"/>
              <w:rPr/>
            </w:pPr>
            <w:r>
              <w:rPr/>
              <w:t> </w:t>
            </w:r>
          </w:p>
        </w:tc>
        <w:tc>
          <w:tcPr>
            <w:tcW w:w="238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w:t>
            </w:r>
          </w:p>
        </w:tc>
        <w:tc>
          <w:tcPr>
            <w:tcW w:w="689" w:type="dxa"/>
            <w:tcBorders/>
            <w:shd w:fill="FFFFFF" w:val="clear"/>
            <w:tcMar>
              <w:bottom w:w="0" w:type="dxa"/>
            </w:tcMar>
            <w:vAlign w:val="center"/>
          </w:tcPr>
          <w:p>
            <w:pPr>
              <w:pStyle w:val="TableContents"/>
              <w:bidi w:val="0"/>
              <w:spacing w:before="0" w:after="283"/>
              <w:jc w:val="right"/>
              <w:rPr/>
            </w:pPr>
            <w:r>
              <w:rPr/>
              <w:t>285.00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5" w:type="dxa"/>
            <w:tcBorders/>
            <w:shd w:fill="FFFFFF" w:val="clear"/>
            <w:tcMar>
              <w:bottom w:w="0" w:type="dxa"/>
            </w:tcMar>
            <w:vAlign w:val="center"/>
          </w:tcPr>
          <w:p>
            <w:pPr>
              <w:pStyle w:val="TableContents"/>
              <w:bidi w:val="0"/>
              <w:spacing w:before="0" w:after="283"/>
              <w:jc w:val="right"/>
              <w:rPr/>
            </w:pPr>
            <w:r>
              <w:rPr/>
              <w:t>9/16/2030</w:t>
            </w:r>
          </w:p>
        </w:tc>
      </w:tr>
      <w:tr>
        <w:trPr/>
        <w:tc>
          <w:tcPr>
            <w:tcW w:w="19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089" w:type="dxa"/>
            <w:tcBorders/>
            <w:shd w:fill="CCEEFF" w:val="clear"/>
            <w:tcMar>
              <w:bottom w:w="0" w:type="dxa"/>
            </w:tcMar>
            <w:vAlign w:val="center"/>
          </w:tcPr>
          <w:p>
            <w:pPr>
              <w:pStyle w:val="TableContents"/>
              <w:bidi w:val="0"/>
              <w:spacing w:before="0" w:after="283"/>
              <w:jc w:val="right"/>
              <w:rPr/>
            </w:pPr>
            <w:r>
              <w:rPr/>
              <w:t>6,385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6" w:type="dxa"/>
            <w:tcBorders/>
            <w:shd w:fill="CCEEFF" w:val="clear"/>
            <w:tcMar>
              <w:bottom w:w="0" w:type="dxa"/>
            </w:tcMar>
            <w:vAlign w:val="center"/>
          </w:tcPr>
          <w:p>
            <w:pPr>
              <w:pStyle w:val="TableContents"/>
              <w:bidi w:val="0"/>
              <w:spacing w:before="0" w:after="283"/>
              <w:jc w:val="left"/>
              <w:rPr/>
            </w:pPr>
            <w:r>
              <w:rPr/>
              <w:t> </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7" w:type="dxa"/>
            <w:tcBorders/>
            <w:shd w:fill="CCEEFF" w:val="clear"/>
            <w:tcMar>
              <w:bottom w:w="0" w:type="dxa"/>
            </w:tcMar>
            <w:vAlign w:val="center"/>
          </w:tcPr>
          <w:p>
            <w:pPr>
              <w:pStyle w:val="TableContents"/>
              <w:bidi w:val="0"/>
              <w:spacing w:before="0" w:after="283"/>
              <w:jc w:val="left"/>
              <w:rPr/>
            </w:pPr>
            <w:r>
              <w:rPr/>
              <w:t> </w:t>
            </w:r>
          </w:p>
        </w:tc>
        <w:tc>
          <w:tcPr>
            <w:tcW w:w="238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w:t>
            </w:r>
          </w:p>
        </w:tc>
        <w:tc>
          <w:tcPr>
            <w:tcW w:w="689" w:type="dxa"/>
            <w:tcBorders/>
            <w:shd w:fill="CCEEFF" w:val="clear"/>
            <w:tcMar>
              <w:bottom w:w="0" w:type="dxa"/>
            </w:tcMar>
            <w:vAlign w:val="center"/>
          </w:tcPr>
          <w:p>
            <w:pPr>
              <w:pStyle w:val="TableContents"/>
              <w:bidi w:val="0"/>
              <w:spacing w:before="0" w:after="283"/>
              <w:jc w:val="right"/>
              <w:rPr/>
            </w:pPr>
            <w:r>
              <w:rPr/>
              <w:t>7.80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5" w:type="dxa"/>
            <w:tcBorders/>
            <w:shd w:fill="CCEEFF" w:val="clear"/>
            <w:tcMar>
              <w:bottom w:w="0" w:type="dxa"/>
            </w:tcMar>
            <w:vAlign w:val="center"/>
          </w:tcPr>
          <w:p>
            <w:pPr>
              <w:pStyle w:val="TableContents"/>
              <w:bidi w:val="0"/>
              <w:spacing w:before="0" w:after="283"/>
              <w:jc w:val="right"/>
              <w:rPr/>
            </w:pPr>
            <w:r>
              <w:rPr/>
              <w:t>4/29/2034</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Snyder retired as our Chief Executive Officer effective April 16, 2025 and continued serving as an employee through May 31, 2025. Pursuant to the Snyder Transition Agreement, Mr. Snyder’s unvested equity continued to vest through May 31, 2025 and will remain outstanding and exercisable for a period of two years, ending May 31, 2027. See “—Potential Payments Upon Termination or Change in Control—Snyder Transition Agreement.”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included in this section is prescribed by SEC rules and does not necessarily align with how the Company or the Compensation Committee view the link between the Company’s performance and named executive officer pay.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 Versus Performance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set forth below under the headings “Compensation Actually Paid to PEO” and “Average Compensation Actually Paid for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Summary Compensation Table above.</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 w:name="xdx_887_eecd--PvpTableTextBlock_zTU8TiQs"/>
      <w:bookmarkStart w:id="15" w:name="xdx_887_eecd--PvpTableTextBlock_zTU8TiQs"/>
      <w:bookmarkEnd w:id="15"/>
    </w:p>
    <w:tbl>
      <w:tblPr>
        <w:tblW w:w="11305" w:type="dxa"/>
        <w:jc w:val="left"/>
        <w:tblInd w:w="0" w:type="dxa"/>
        <w:tblLayout w:type="fixed"/>
        <w:tblCellMar>
          <w:top w:w="0" w:type="dxa"/>
          <w:left w:w="0" w:type="dxa"/>
          <w:bottom w:w="28" w:type="dxa"/>
          <w:right w:w="0" w:type="dxa"/>
        </w:tblCellMar>
      </w:tblPr>
      <w:tblGrid>
        <w:gridCol w:w="575"/>
        <w:gridCol w:w="60"/>
        <w:gridCol w:w="183"/>
        <w:gridCol w:w="1052"/>
        <w:gridCol w:w="60"/>
        <w:gridCol w:w="60"/>
        <w:gridCol w:w="183"/>
        <w:gridCol w:w="1052"/>
        <w:gridCol w:w="60"/>
        <w:gridCol w:w="60"/>
        <w:gridCol w:w="183"/>
        <w:gridCol w:w="1052"/>
        <w:gridCol w:w="60"/>
        <w:gridCol w:w="60"/>
        <w:gridCol w:w="183"/>
        <w:gridCol w:w="1052"/>
        <w:gridCol w:w="60"/>
        <w:gridCol w:w="60"/>
        <w:gridCol w:w="183"/>
        <w:gridCol w:w="1052"/>
        <w:gridCol w:w="60"/>
        <w:gridCol w:w="60"/>
        <w:gridCol w:w="183"/>
        <w:gridCol w:w="1052"/>
        <w:gridCol w:w="60"/>
        <w:gridCol w:w="60"/>
        <w:gridCol w:w="374"/>
        <w:gridCol w:w="696"/>
        <w:gridCol w:w="60"/>
        <w:gridCol w:w="60"/>
        <w:gridCol w:w="140"/>
        <w:gridCol w:w="1100"/>
        <w:gridCol w:w="110"/>
      </w:tblGrid>
      <w:tr>
        <w:trPr/>
        <w:tc>
          <w:tcPr>
            <w:tcW w:w="5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bookmarkStart w:id="16" w:name="xdx_482_eecd--PeoTotalCompAmt_hecd--Indi"/>
            <w:bookmarkEnd w:id="16"/>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Summary Compensation Table Total for PEO #1 </w:t>
            </w:r>
            <w:bookmarkStart w:id="17" w:name="xdx_F5A_zEioqTs5UaG2"/>
            <w:bookmarkEnd w:id="17"/>
            <w:r>
              <w:rPr>
                <w:rFonts w:ascii="Times New Roman;Times;Serif" w:hAnsi="Times New Roman;Times;Serif"/>
                <w:b/>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Summary Compensation Table Total for PEO #2 </w:t>
            </w:r>
            <w:bookmarkStart w:id="18" w:name="xdx_F59_zBlEdElEGEO4"/>
            <w:bookmarkEnd w:id="18"/>
            <w:r>
              <w:rPr>
                <w:rFonts w:ascii="Times New Roman;Times;Serif" w:hAnsi="Times New Roman;Times;Serif"/>
                <w:b/>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19" w:name="xdx_481_eecd--PeoActuallyPaidCompAmt_hec"/>
            <w:bookmarkEnd w:id="19"/>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Compensation Actually Paid to PEO #1 </w:t>
            </w:r>
            <w:bookmarkStart w:id="20" w:name="xdx_F5A_z0sSHVJtIq9e"/>
            <w:bookmarkEnd w:id="20"/>
            <w:r>
              <w:rPr>
                <w:rFonts w:ascii="Times New Roman;Times;Serif" w:hAnsi="Times New Roman;Times;Serif"/>
                <w:b/>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Compensation Actually Paid to PEO #2 </w:t>
            </w:r>
            <w:bookmarkStart w:id="21" w:name="xdx_F58_zoj9HcqGUhHj"/>
            <w:bookmarkEnd w:id="21"/>
            <w:r>
              <w:rPr>
                <w:rFonts w:ascii="Times New Roman;Times;Serif" w:hAnsi="Times New Roman;Times;Serif"/>
                <w:b/>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2" w:name="xdx_48A_eecd--NonPeoNeoAvgTotalCompAmt_z"/>
            <w:bookmarkEnd w:id="22"/>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Average Summary Compensation Table Total for Non-PEO NEOs </w:t>
            </w:r>
            <w:bookmarkStart w:id="23" w:name="xdx_F5F_zmIU65cx0Hyc"/>
            <w:bookmarkEnd w:id="23"/>
            <w:r>
              <w:rPr>
                <w:rFonts w:ascii="Times New Roman;Times;Serif" w:hAnsi="Times New Roman;Times;Serif"/>
                <w:b/>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4" w:name="xdx_48E_eecd--NonPeoNeoAvgCompActuallyPa"/>
            <w:bookmarkEnd w:id="24"/>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Average Compensation Actually Paid to Non-PEO NEOs </w:t>
            </w:r>
            <w:bookmarkStart w:id="25" w:name="xdx_F5D_zG7NQJLDJAq8"/>
            <w:bookmarkEnd w:id="25"/>
            <w:r>
              <w:rPr>
                <w:rFonts w:ascii="Times New Roman;Times;Serif" w:hAnsi="Times New Roman;Times;Serif"/>
                <w:b/>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26" w:name="xdx_487_eecd--TotalShareholderRtnAmt_zP7"/>
            <w:bookmarkEnd w:id="26"/>
          </w:p>
        </w:tc>
        <w:tc>
          <w:tcPr>
            <w:tcW w:w="10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Value of Initial Fixed $100 Investment Based On Total Shareholder Return </w:t>
            </w:r>
            <w:bookmarkStart w:id="27" w:name="xdx_F5B_zPWMo2QmHKHj"/>
            <w:bookmarkEnd w:id="27"/>
            <w:r>
              <w:rPr>
                <w:rFonts w:ascii="Times New Roman;Times;Serif" w:hAnsi="Times New Roman;Times;Serif"/>
                <w:b/>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Net Income (Loss) </w:t>
            </w:r>
            <w:r>
              <w:rPr>
                <w:rFonts w:ascii="Times New Roman;Times;Serif" w:hAnsi="Times New Roman;Times;Serif"/>
                <w:b/>
                <w:position w:val="7"/>
                <w:sz w:val="16"/>
                <w:sz w:val="20"/>
              </w:rPr>
              <w:t>(5)</w:t>
            </w:r>
          </w:p>
        </w:tc>
        <w:tc>
          <w:tcPr>
            <w:tcW w:w="110" w:type="dxa"/>
            <w:tcBorders/>
            <w:tcMar>
              <w:bottom w:w="0" w:type="dxa"/>
            </w:tcMar>
            <w:vAlign w:val="center"/>
          </w:tcPr>
          <w:p>
            <w:pPr>
              <w:pStyle w:val="TableContents"/>
              <w:bidi w:val="0"/>
              <w:spacing w:before="0" w:after="283"/>
              <w:jc w:val="left"/>
              <w:rPr/>
            </w:pPr>
            <w:r>
              <w:rPr/>
              <w:t> </w:t>
            </w:r>
            <w:bookmarkStart w:id="28" w:name="xdx_416_20250101__20251231_z7xCJ6ztIju"/>
            <w:bookmarkEnd w:id="28"/>
          </w:p>
        </w:tc>
      </w:tr>
      <w:tr>
        <w:trPr/>
        <w:tc>
          <w:tcPr>
            <w:tcW w:w="575" w:type="dxa"/>
            <w:tcBorders/>
            <w:shd w:fill="CCEEFF" w:val="clear"/>
            <w:tcMar>
              <w:bottom w:w="0" w:type="dxa"/>
            </w:tcMar>
            <w:vAlign w:val="center"/>
          </w:tcPr>
          <w:p>
            <w:pPr>
              <w:pStyle w:val="TableContents"/>
              <w:bidi w:val="0"/>
              <w:spacing w:before="0" w:after="283"/>
              <w:jc w:val="right"/>
              <w:rPr/>
            </w:pPr>
            <w:r>
              <w:rPr/>
              <w:t>2025</w:t>
            </w:r>
            <w:bookmarkStart w:id="29" w:name="xdx_F41_zFAbtp4HjUDe"/>
            <w:bookmarkEnd w:id="29"/>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436,976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bookmarkStart w:id="30" w:name="xdx_902_eecd--PeoTotalCompAmt_c20250101_"/>
            <w:bookmarkEnd w:id="30"/>
            <w:r>
              <w:rPr/>
              <w:t>554,694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436,976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bookmarkStart w:id="31" w:name="xdx_90A_eecd--PeoActuallyPaidCompAmt_c20"/>
            <w:bookmarkEnd w:id="31"/>
            <w:r>
              <w:rPr/>
              <w:t>554,694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283,012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283,012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w:t>
            </w:r>
          </w:p>
        </w:tc>
        <w:tc>
          <w:tcPr>
            <w:tcW w:w="696" w:type="dxa"/>
            <w:tcBorders/>
            <w:shd w:fill="CCEEFF" w:val="clear"/>
            <w:tcMar>
              <w:bottom w:w="0" w:type="dxa"/>
            </w:tcMar>
            <w:vAlign w:val="center"/>
          </w:tcPr>
          <w:p>
            <w:pPr>
              <w:pStyle w:val="TableContents"/>
              <w:bidi w:val="0"/>
              <w:spacing w:before="0" w:after="283"/>
              <w:jc w:val="right"/>
              <w:rPr/>
            </w:pPr>
            <w:r>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bookmarkStart w:id="32" w:name="xdx_905_eus-gaap--NetIncomeLoss_iN_di_uU"/>
            <w:bookmarkEnd w:id="32"/>
            <w:r>
              <w:rPr/>
              <w:t>15,842,082</w:t>
            </w:r>
          </w:p>
        </w:tc>
        <w:tc>
          <w:tcPr>
            <w:tcW w:w="110" w:type="dxa"/>
            <w:tcBorders/>
            <w:shd w:fill="CCEEFF" w:val="clear"/>
            <w:tcMar>
              <w:bottom w:w="0" w:type="dxa"/>
            </w:tcMar>
            <w:vAlign w:val="center"/>
          </w:tcPr>
          <w:p>
            <w:pPr>
              <w:pStyle w:val="TableContents"/>
              <w:bidi w:val="0"/>
              <w:spacing w:before="0" w:after="283"/>
              <w:jc w:val="left"/>
              <w:rPr/>
            </w:pPr>
            <w:r>
              <w:rPr/>
              <w:t>)</w:t>
            </w:r>
            <w:bookmarkStart w:id="33" w:name="xdx_41A_20240101__20241231_zNOe2NUrzOH"/>
            <w:bookmarkEnd w:id="33"/>
          </w:p>
        </w:tc>
      </w:tr>
      <w:tr>
        <w:trPr/>
        <w:tc>
          <w:tcPr>
            <w:tcW w:w="575" w:type="dxa"/>
            <w:tcBorders/>
            <w:shd w:fill="FFFFFF" w:val="clear"/>
            <w:tcMar>
              <w:bottom w:w="0" w:type="dxa"/>
            </w:tcMar>
            <w:vAlign w:val="center"/>
          </w:tcPr>
          <w:p>
            <w:pPr>
              <w:pStyle w:val="TableContents"/>
              <w:bidi w:val="0"/>
              <w:spacing w:before="0" w:after="283"/>
              <w:jc w:val="right"/>
              <w:rPr/>
            </w:pPr>
            <w:r>
              <w:rPr/>
              <w:t>2024</w:t>
            </w:r>
            <w:bookmarkStart w:id="34" w:name="xdx_F49_zMFbIzynZCre"/>
            <w:bookmarkEnd w:id="34"/>
            <w:r>
              <w:rPr>
                <w:rFonts w:ascii="Times New Roman;Times;Serif" w:hAnsi="Times New Roman;Times;Serif"/>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493,358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493,358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356,418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w:t>
            </w:r>
          </w:p>
        </w:tc>
        <w:tc>
          <w:tcPr>
            <w:tcW w:w="1052" w:type="dxa"/>
            <w:tcBorders/>
            <w:shd w:fill="FFFFFF" w:val="clear"/>
            <w:tcMar>
              <w:bottom w:w="0" w:type="dxa"/>
            </w:tcMar>
            <w:vAlign w:val="center"/>
          </w:tcPr>
          <w:p>
            <w:pPr>
              <w:pStyle w:val="TableContents"/>
              <w:bidi w:val="0"/>
              <w:spacing w:before="0" w:after="283"/>
              <w:jc w:val="right"/>
              <w:rPr/>
            </w:pPr>
            <w:r>
              <w:rPr/>
              <w:t>356,418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4" w:type="dxa"/>
            <w:tcBorders/>
            <w:shd w:fill="FFFFFF" w:val="clear"/>
            <w:tcMar>
              <w:bottom w:w="0" w:type="dxa"/>
            </w:tcMar>
            <w:vAlign w:val="center"/>
          </w:tcPr>
          <w:p>
            <w:pPr>
              <w:pStyle w:val="TableContents"/>
              <w:bidi w:val="0"/>
              <w:spacing w:before="0" w:after="283"/>
              <w:jc w:val="left"/>
              <w:rPr/>
            </w:pPr>
            <w:r>
              <w:rPr/>
              <w:t>$</w:t>
            </w:r>
          </w:p>
        </w:tc>
        <w:tc>
          <w:tcPr>
            <w:tcW w:w="696" w:type="dxa"/>
            <w:tcBorders/>
            <w:shd w:fill="FFFFFF" w:val="clear"/>
            <w:tcMar>
              <w:bottom w:w="0" w:type="dxa"/>
            </w:tcMar>
            <w:vAlign w:val="center"/>
          </w:tcPr>
          <w:p>
            <w:pPr>
              <w:pStyle w:val="TableContents"/>
              <w:bidi w:val="0"/>
              <w:spacing w:before="0" w:after="283"/>
              <w:jc w:val="right"/>
              <w:rPr/>
            </w:pPr>
            <w:r>
              <w:rPr/>
              <w:t>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100" w:type="dxa"/>
            <w:tcBorders/>
            <w:shd w:fill="FFFFFF" w:val="clear"/>
            <w:tcMar>
              <w:bottom w:w="0" w:type="dxa"/>
            </w:tcMar>
            <w:vAlign w:val="center"/>
          </w:tcPr>
          <w:p>
            <w:pPr>
              <w:pStyle w:val="TableContents"/>
              <w:bidi w:val="0"/>
              <w:spacing w:before="0" w:after="283"/>
              <w:jc w:val="right"/>
              <w:rPr/>
            </w:pPr>
            <w:bookmarkStart w:id="35" w:name="xdx_909_eus-gaap--NetIncomeLoss_iN_di_uU"/>
            <w:bookmarkEnd w:id="35"/>
            <w:r>
              <w:rPr/>
              <w:t>13,152,126</w:t>
            </w:r>
          </w:p>
        </w:tc>
        <w:tc>
          <w:tcPr>
            <w:tcW w:w="110" w:type="dxa"/>
            <w:tcBorders/>
            <w:shd w:fill="FFFFFF" w:val="clear"/>
            <w:tcMar>
              <w:bottom w:w="0" w:type="dxa"/>
            </w:tcMar>
            <w:vAlign w:val="center"/>
          </w:tcPr>
          <w:p>
            <w:pPr>
              <w:pStyle w:val="TableContents"/>
              <w:bidi w:val="0"/>
              <w:spacing w:before="0" w:after="283"/>
              <w:jc w:val="left"/>
              <w:rPr/>
            </w:pPr>
            <w:r>
              <w:rPr/>
              <w:t>)</w:t>
            </w:r>
            <w:bookmarkStart w:id="36" w:name="xdx_41B_20230101__20231231_zpnKokGuIoqc"/>
            <w:bookmarkEnd w:id="36"/>
          </w:p>
        </w:tc>
      </w:tr>
      <w:tr>
        <w:trPr/>
        <w:tc>
          <w:tcPr>
            <w:tcW w:w="575" w:type="dxa"/>
            <w:tcBorders/>
            <w:shd w:fill="CCEEFF" w:val="clear"/>
            <w:tcMar>
              <w:bottom w:w="0" w:type="dxa"/>
            </w:tcMar>
            <w:vAlign w:val="center"/>
          </w:tcPr>
          <w:p>
            <w:pPr>
              <w:pStyle w:val="TableContents"/>
              <w:bidi w:val="0"/>
              <w:spacing w:before="0" w:after="283"/>
              <w:jc w:val="right"/>
              <w:rPr/>
            </w:pPr>
            <w:r>
              <w:rPr/>
              <w:t>2023</w:t>
            </w:r>
            <w:bookmarkStart w:id="37" w:name="xdx_F4E_zxr95DPckoCl"/>
            <w:bookmarkEnd w:id="37"/>
            <w:r>
              <w:rPr>
                <w:rFonts w:ascii="Times New Roman;Times;Serif" w:hAnsi="Times New Roman;Times;Serif"/>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324,255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324,255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185,451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w:t>
            </w:r>
          </w:p>
        </w:tc>
        <w:tc>
          <w:tcPr>
            <w:tcW w:w="1052" w:type="dxa"/>
            <w:tcBorders/>
            <w:shd w:fill="CCEEFF" w:val="clear"/>
            <w:tcMar>
              <w:bottom w:w="0" w:type="dxa"/>
            </w:tcMar>
            <w:vAlign w:val="center"/>
          </w:tcPr>
          <w:p>
            <w:pPr>
              <w:pStyle w:val="TableContents"/>
              <w:bidi w:val="0"/>
              <w:spacing w:before="0" w:after="283"/>
              <w:jc w:val="right"/>
              <w:rPr/>
            </w:pPr>
            <w:r>
              <w:rPr/>
              <w:t>185,451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4" w:type="dxa"/>
            <w:tcBorders/>
            <w:shd w:fill="CCEEFF" w:val="clear"/>
            <w:tcMar>
              <w:bottom w:w="0" w:type="dxa"/>
            </w:tcMar>
            <w:vAlign w:val="center"/>
          </w:tcPr>
          <w:p>
            <w:pPr>
              <w:pStyle w:val="TableContents"/>
              <w:bidi w:val="0"/>
              <w:spacing w:before="0" w:after="283"/>
              <w:jc w:val="left"/>
              <w:rPr/>
            </w:pPr>
            <w:r>
              <w:rPr/>
              <w:t>$</w:t>
            </w:r>
          </w:p>
        </w:tc>
        <w:tc>
          <w:tcPr>
            <w:tcW w:w="696" w:type="dxa"/>
            <w:tcBorders/>
            <w:shd w:fill="CCEEFF" w:val="clear"/>
            <w:tcMar>
              <w:bottom w:w="0" w:type="dxa"/>
            </w:tcMar>
            <w:vAlign w:val="center"/>
          </w:tcPr>
          <w:p>
            <w:pPr>
              <w:pStyle w:val="TableContents"/>
              <w:bidi w:val="0"/>
              <w:spacing w:before="0" w:after="283"/>
              <w:jc w:val="right"/>
              <w:rPr/>
            </w:pPr>
            <w:r>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00" w:type="dxa"/>
            <w:tcBorders/>
            <w:shd w:fill="CCEEFF" w:val="clear"/>
            <w:tcMar>
              <w:bottom w:w="0" w:type="dxa"/>
            </w:tcMar>
            <w:vAlign w:val="center"/>
          </w:tcPr>
          <w:p>
            <w:pPr>
              <w:pStyle w:val="TableContents"/>
              <w:bidi w:val="0"/>
              <w:spacing w:before="0" w:after="283"/>
              <w:jc w:val="right"/>
              <w:rPr/>
            </w:pPr>
            <w:bookmarkStart w:id="38" w:name="xdx_909_eus-gaap--NetIncomeLoss_iN_di_uU"/>
            <w:bookmarkEnd w:id="38"/>
            <w:r>
              <w:rPr/>
              <w:t>15,523,736</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9" w:name="xdx_F02_zW1Z22OtBETd"/>
            <w:bookmarkEnd w:id="39"/>
            <w:r>
              <w:rPr>
                <w:rFonts w:ascii="Times New Roman;Times;Serif" w:hAnsi="Times New Roman;Times;Serif"/>
                <w:b w:val="false"/>
                <w:i w:val="false"/>
                <w:caps w:val="false"/>
                <w:smallCaps w:val="false"/>
                <w:sz w:val="20"/>
              </w:rPr>
              <w:t>(1)</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0" w:name="xdx_F16_zRlKet2upPbl"/>
            <w:bookmarkEnd w:id="40"/>
            <w:r>
              <w:rPr>
                <w:rFonts w:ascii="Times New Roman;Times;Serif" w:hAnsi="Times New Roman;Times;Serif"/>
                <w:b w:val="false"/>
                <w:i w:val="false"/>
                <w:caps w:val="false"/>
                <w:smallCaps w:val="false"/>
                <w:sz w:val="20"/>
              </w:rPr>
              <w:t>The following individuals are our principal executive officers (“PEOs”) and other non-PEO named executive officers (“Non-PEO NEOs”) for each fiscal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1" w:name="xdx_F0B_zPB23GasQNQ4"/>
            <w:bookmarkEnd w:id="41"/>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2" w:name="xdx_F10_zZ2b3BiDpYWe"/>
            <w:bookmarkEnd w:id="42"/>
            <w:r>
              <w:rPr>
                <w:rFonts w:ascii="Times New Roman;Times;Serif" w:hAnsi="Times New Roman;Times;Serif"/>
                <w:b w:val="false"/>
                <w:i w:val="false"/>
                <w:caps w:val="false"/>
                <w:smallCaps w:val="false"/>
                <w:sz w:val="20"/>
              </w:rPr>
              <w:t>Represents the amount of total compensation reported for each of our PEOs and the average total compensation for our Non-PEO NEOs, respectively, for each corresponding year in the “Total” column of the Summary Compensation Table. Refer to “Executive Compensation—Summary Compensation Table.”</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3" w:name="xdx_F01_z7fiunLYCFO1"/>
            <w:bookmarkEnd w:id="43"/>
            <w:r>
              <w:rPr>
                <w:rFonts w:ascii="Times New Roman;Times;Serif" w:hAnsi="Times New Roman;Times;Serif"/>
                <w:b w:val="false"/>
                <w:i w:val="false"/>
                <w:caps w:val="false"/>
                <w:smallCaps w:val="false"/>
                <w:sz w:val="20"/>
              </w:rPr>
              <w:t>(3)</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4" w:name="xdx_F16_zUq9QjWg7sm5"/>
            <w:bookmarkEnd w:id="44"/>
            <w:r>
              <w:rPr>
                <w:rFonts w:ascii="Times New Roman;Times;Serif" w:hAnsi="Times New Roman;Times;Serif"/>
                <w:b w:val="false"/>
                <w:i w:val="false"/>
                <w:caps w:val="false"/>
                <w:smallCaps w:val="false"/>
                <w:sz w:val="20"/>
              </w:rPr>
              <w:t>Represents the amount of CAP to each of our PEOs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reported total compensation for each year to determine the CAP:</w:t>
            </w:r>
          </w:p>
        </w:tc>
      </w:tr>
    </w:tbl>
    <w:tbl>
      <w:tblPr>
        <w:tblW w:w="9355" w:type="dxa"/>
        <w:jc w:val="left"/>
        <w:tblInd w:w="0" w:type="dxa"/>
        <w:tblLayout w:type="fixed"/>
        <w:tblCellMar>
          <w:top w:w="0" w:type="dxa"/>
          <w:left w:w="0" w:type="dxa"/>
          <w:bottom w:w="0" w:type="dxa"/>
          <w:right w:w="0" w:type="dxa"/>
        </w:tblCellMar>
      </w:tblPr>
      <w:tblGrid>
        <w:gridCol w:w="260"/>
        <w:gridCol w:w="90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5" w:name="xdx_F08_zALkkCi2h8H7"/>
            <w:bookmarkEnd w:id="45"/>
            <w:r>
              <w:rPr>
                <w:rFonts w:ascii="Times New Roman;Times;Serif" w:hAnsi="Times New Roman;Times;Serif"/>
                <w:b w:val="false"/>
                <w:i w:val="false"/>
                <w:caps w:val="false"/>
                <w:smallCaps w:val="false"/>
                <w:sz w:val="20"/>
              </w:rPr>
              <w:t>(4)</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6" w:name="xdx_F1D_zLtxxGpER7M6"/>
            <w:bookmarkEnd w:id="46"/>
            <w:r>
              <w:rPr>
                <w:rFonts w:ascii="Times New Roman;Times;Serif" w:hAnsi="Times New Roman;Times;Serif"/>
                <w:b w:val="false"/>
                <w:i w:val="false"/>
                <w:caps w:val="false"/>
                <w:smallCaps w:val="false"/>
                <w:sz w:val="20"/>
              </w:rPr>
              <w:t>Pursuant to SEC rules, the TSR figures assume an initial investment of $100 in our stock on December 31, 2022.</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7" w:name="xdx_F0C_ziTA4ZSc63i2"/>
            <w:bookmarkEnd w:id="47"/>
            <w:r>
              <w:rPr>
                <w:rFonts w:ascii="Times New Roman;Times;Serif" w:hAnsi="Times New Roman;Times;Serif"/>
                <w:b w:val="false"/>
                <w:i w:val="false"/>
                <w:caps w:val="false"/>
                <w:smallCaps w:val="false"/>
                <w:sz w:val="20"/>
              </w:rPr>
              <w:t>(5)</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48" w:name="xdx_F13_znzxRYOoLQm8"/>
            <w:bookmarkEnd w:id="48"/>
            <w:r>
              <w:rPr>
                <w:rFonts w:ascii="Times New Roman;Times;Serif" w:hAnsi="Times New Roman;Times;Serif"/>
                <w:b w:val="false"/>
                <w:i w:val="false"/>
                <w:caps w:val="false"/>
                <w:smallCaps w:val="false"/>
                <w:sz w:val="20"/>
              </w:rPr>
              <w:t>The dollar amounts reported represent the amount of net income (loss) reflected in the Company’s audited financial statements for the applicable year.</w:t>
            </w:r>
          </w:p>
        </w:tc>
      </w:tr>
    </w:tbl>
    <w:p>
      <w:pPr>
        <w:pStyle w:val="TextBody"/>
        <w:bidi w:val="0"/>
        <w:spacing w:before="0" w:after="283"/>
        <w:jc w:val="left"/>
        <w:rPr/>
      </w:pPr>
      <w:bookmarkStart w:id="49" w:name="xdx_8A2_zsyr0gf2vBYl"/>
      <w:bookmarkEnd w:id="49"/>
      <w:r>
        <w:rPr/>
        <w:t> </w:t>
      </w:r>
    </w:p>
    <w:tbl>
      <w:tblPr>
        <w:tblW w:w="10205" w:type="dxa"/>
        <w:jc w:val="left"/>
        <w:tblInd w:w="0" w:type="dxa"/>
        <w:tblLayout w:type="fixed"/>
        <w:tblCellMar>
          <w:top w:w="0" w:type="dxa"/>
          <w:left w:w="0" w:type="dxa"/>
          <w:bottom w:w="28" w:type="dxa"/>
          <w:right w:w="0" w:type="dxa"/>
        </w:tblCellMar>
      </w:tblPr>
      <w:tblGrid>
        <w:gridCol w:w="545"/>
        <w:gridCol w:w="60"/>
        <w:gridCol w:w="1779"/>
        <w:gridCol w:w="60"/>
        <w:gridCol w:w="1660"/>
        <w:gridCol w:w="60"/>
        <w:gridCol w:w="6041"/>
      </w:tblGrid>
      <w:tr>
        <w:trPr/>
        <w:tc>
          <w:tcPr>
            <w:tcW w:w="545" w:type="dxa"/>
            <w:tcBorders>
              <w:bottom w:val="single" w:sz="8" w:space="0" w:color="000000"/>
            </w:tcBorders>
            <w:shd w:fill="FFFFFF" w:val="clear"/>
            <w:vAlign w:val="center"/>
          </w:tcPr>
          <w:p>
            <w:pPr>
              <w:pStyle w:val="TableContents"/>
              <w:bidi w:val="0"/>
              <w:spacing w:before="0" w:after="283"/>
              <w:jc w:val="center"/>
              <w:rPr>
                <w:b/>
              </w:rPr>
            </w:pPr>
            <w:r>
              <w:rPr>
                <w:b/>
              </w:rPr>
              <w:t>Year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9" w:type="dxa"/>
            <w:tcBorders>
              <w:bottom w:val="single" w:sz="8" w:space="0" w:color="000000"/>
            </w:tcBorders>
            <w:shd w:fill="FFFFFF" w:val="clear"/>
            <w:vAlign w:val="center"/>
          </w:tcPr>
          <w:p>
            <w:pPr>
              <w:pStyle w:val="TableContents"/>
              <w:bidi w:val="0"/>
              <w:spacing w:before="0" w:after="283"/>
              <w:jc w:val="center"/>
              <w:rPr>
                <w:b/>
              </w:rPr>
            </w:pPr>
            <w:r>
              <w:rPr>
                <w:b/>
              </w:rPr>
              <w:t>PEO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0" w:type="dxa"/>
            <w:tcBorders>
              <w:bottom w:val="single" w:sz="8" w:space="0" w:color="000000"/>
            </w:tcBorders>
            <w:shd w:fill="FFFFFF" w:val="clear"/>
            <w:vAlign w:val="center"/>
          </w:tcPr>
          <w:p>
            <w:pPr>
              <w:pStyle w:val="TableContents"/>
              <w:bidi w:val="0"/>
              <w:spacing w:before="0" w:after="283"/>
              <w:jc w:val="center"/>
              <w:rPr>
                <w:b/>
              </w:rPr>
            </w:pPr>
            <w:r>
              <w:rPr>
                <w:b/>
              </w:rPr>
              <w:t>PEO #2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41" w:type="dxa"/>
            <w:tcBorders>
              <w:bottom w:val="single" w:sz="8" w:space="0" w:color="000000"/>
            </w:tcBorders>
            <w:shd w:fill="FFFFFF" w:val="clear"/>
            <w:vAlign w:val="center"/>
          </w:tcPr>
          <w:p>
            <w:pPr>
              <w:pStyle w:val="TableContents"/>
              <w:bidi w:val="0"/>
              <w:spacing w:before="0" w:after="283"/>
              <w:jc w:val="center"/>
              <w:rPr>
                <w:b/>
              </w:rPr>
            </w:pPr>
            <w:r>
              <w:rPr>
                <w:b/>
              </w:rPr>
              <w:t>Non-PEO NEOs</w:t>
            </w:r>
          </w:p>
        </w:tc>
      </w:tr>
      <w:tr>
        <w:trPr/>
        <w:tc>
          <w:tcPr>
            <w:tcW w:w="545"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9" w:type="dxa"/>
            <w:tcBorders/>
            <w:shd w:fill="CCEEFF" w:val="clear"/>
            <w:tcMar>
              <w:bottom w:w="0" w:type="dxa"/>
            </w:tcMar>
            <w:vAlign w:val="center"/>
          </w:tcPr>
          <w:p>
            <w:pPr>
              <w:pStyle w:val="TableContents"/>
              <w:bidi w:val="0"/>
              <w:spacing w:before="0" w:after="283"/>
              <w:jc w:val="left"/>
              <w:rPr/>
            </w:pPr>
            <w:bookmarkStart w:id="50" w:name="xdx_902_eecd--PeoName_c20250101__2025123"/>
            <w:bookmarkEnd w:id="50"/>
            <w:r>
              <w:rPr/>
              <w:t>Norman E. Snyder,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0" w:type="dxa"/>
            <w:tcBorders/>
            <w:shd w:fill="CCEEFF" w:val="clear"/>
            <w:tcMar>
              <w:bottom w:w="0" w:type="dxa"/>
            </w:tcMar>
            <w:vAlign w:val="center"/>
          </w:tcPr>
          <w:p>
            <w:pPr>
              <w:pStyle w:val="TableContents"/>
              <w:bidi w:val="0"/>
              <w:spacing w:before="0" w:after="283"/>
              <w:jc w:val="left"/>
              <w:rPr/>
            </w:pPr>
            <w:r>
              <w:rPr/>
              <w:t>Cyril A. Wallace,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41" w:type="dxa"/>
            <w:tcBorders/>
            <w:shd w:fill="CCEEFF" w:val="clear"/>
            <w:tcMar>
              <w:bottom w:w="0" w:type="dxa"/>
            </w:tcMar>
            <w:vAlign w:val="center"/>
          </w:tcPr>
          <w:p>
            <w:pPr>
              <w:pStyle w:val="TableContents"/>
              <w:bidi w:val="0"/>
              <w:spacing w:before="0" w:after="283"/>
              <w:jc w:val="left"/>
              <w:rPr/>
            </w:pPr>
            <w:r>
              <w:rPr/>
              <w:t>Douglas W. McCurdy and Yumin Dai</w:t>
            </w:r>
          </w:p>
        </w:tc>
      </w:tr>
      <w:tr>
        <w:trPr/>
        <w:tc>
          <w:tcPr>
            <w:tcW w:w="545"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9" w:type="dxa"/>
            <w:tcBorders/>
            <w:shd w:fill="FFFFFF" w:val="clear"/>
            <w:tcMar>
              <w:bottom w:w="0" w:type="dxa"/>
            </w:tcMar>
            <w:vAlign w:val="center"/>
          </w:tcPr>
          <w:p>
            <w:pPr>
              <w:pStyle w:val="TableContents"/>
              <w:bidi w:val="0"/>
              <w:spacing w:before="0" w:after="283"/>
              <w:jc w:val="left"/>
              <w:rPr/>
            </w:pPr>
            <w:bookmarkStart w:id="51" w:name="xdx_90A_eecd--PeoName_c20240101__2024123"/>
            <w:bookmarkEnd w:id="51"/>
            <w:r>
              <w:rPr/>
              <w:t>Norman E. Snyder, Jr.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0" w:type="dxa"/>
            <w:tcBorders/>
            <w:shd w:fill="FFFFFF" w:val="clear"/>
            <w:tcMar>
              <w:bottom w:w="0" w:type="dxa"/>
            </w:tcMar>
            <w:vAlign w:val="center"/>
          </w:tcPr>
          <w:p>
            <w:pPr>
              <w:pStyle w:val="TableContents"/>
              <w:bidi w:val="0"/>
              <w:spacing w:before="0" w:after="283"/>
              <w:jc w:val="left"/>
              <w:rPr/>
            </w:pPr>
            <w:r>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41" w:type="dxa"/>
            <w:tcBorders/>
            <w:shd w:fill="FFFFFF" w:val="clear"/>
            <w:tcMar>
              <w:bottom w:w="0" w:type="dxa"/>
            </w:tcMar>
            <w:vAlign w:val="center"/>
          </w:tcPr>
          <w:p>
            <w:pPr>
              <w:pStyle w:val="TableContents"/>
              <w:bidi w:val="0"/>
              <w:spacing w:before="0" w:after="283"/>
              <w:jc w:val="left"/>
              <w:rPr/>
            </w:pPr>
            <w:r>
              <w:rPr/>
              <w:t>Joann C. Tinnelly and Christopher S. Burleson</w:t>
            </w:r>
          </w:p>
        </w:tc>
      </w:tr>
      <w:tr>
        <w:trPr/>
        <w:tc>
          <w:tcPr>
            <w:tcW w:w="545" w:type="dxa"/>
            <w:tcBorders/>
            <w:shd w:fill="CCEEFF" w:val="clear"/>
            <w:tcMar>
              <w:bottom w:w="0" w:type="dxa"/>
            </w:tcMar>
            <w:vAlign w:val="center"/>
          </w:tcPr>
          <w:p>
            <w:pPr>
              <w:pStyle w:val="TableContents"/>
              <w:bidi w:val="0"/>
              <w:spacing w:before="0" w:after="283"/>
              <w:jc w:val="center"/>
              <w:rPr/>
            </w:pPr>
            <w:r>
              <w:rPr/>
              <w:t>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79" w:type="dxa"/>
            <w:tcBorders/>
            <w:shd w:fill="CCEEFF" w:val="clear"/>
            <w:tcMar>
              <w:bottom w:w="0" w:type="dxa"/>
            </w:tcMar>
            <w:vAlign w:val="center"/>
          </w:tcPr>
          <w:p>
            <w:pPr>
              <w:pStyle w:val="TableContents"/>
              <w:bidi w:val="0"/>
              <w:spacing w:before="0" w:after="283"/>
              <w:jc w:val="left"/>
              <w:rPr/>
            </w:pPr>
            <w:bookmarkStart w:id="52" w:name="xdx_904_eecd--PeoName_c20230101__2023123"/>
            <w:bookmarkEnd w:id="52"/>
            <w:r>
              <w:rPr/>
              <w:t>Norman E. Snyder, Jr.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0" w:type="dxa"/>
            <w:tcBorders/>
            <w:shd w:fill="CCEEFF" w:val="clear"/>
            <w:tcMar>
              <w:bottom w:w="0" w:type="dxa"/>
            </w:tcMar>
            <w:vAlign w:val="center"/>
          </w:tcPr>
          <w:p>
            <w:pPr>
              <w:pStyle w:val="TableContents"/>
              <w:bidi w:val="0"/>
              <w:spacing w:before="0" w:after="283"/>
              <w:jc w:val="left"/>
              <w:rPr/>
            </w:pPr>
            <w:r>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41" w:type="dxa"/>
            <w:tcBorders/>
            <w:shd w:fill="CCEEFF" w:val="clear"/>
            <w:tcMar>
              <w:bottom w:w="0" w:type="dxa"/>
            </w:tcMar>
            <w:vAlign w:val="center"/>
          </w:tcPr>
          <w:p>
            <w:pPr>
              <w:pStyle w:val="TableContents"/>
              <w:bidi w:val="0"/>
              <w:spacing w:before="0" w:after="283"/>
              <w:jc w:val="left"/>
              <w:rPr/>
            </w:pPr>
            <w:r>
              <w:rPr/>
              <w:t>Thomas J. Spisak, Neal M. Cohane, Joan C. Tinnelly, and Christopher S. Burleson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total compensation reported for each of our PEOs and the average total compensation for our Non-PEO NEOs, respectively, for each corresponding year in the “Total” column of the Summary Compensation Table. Refer to “Executive Compensation—Summary Compensation Table.”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amount of CAP to each of our PEOs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reported total compensation for each year to determine the CAP:</w:t>
            </w:r>
          </w:p>
        </w:tc>
      </w:tr>
    </w:tbl>
    <w:p>
      <w:pPr>
        <w:pStyle w:val="TextBody"/>
        <w:bidi w:val="0"/>
        <w:spacing w:before="0" w:after="283"/>
        <w:jc w:val="left"/>
        <w:rPr/>
      </w:pPr>
      <w:bookmarkStart w:id="53" w:name="xdx_897_eecd--AdjToPeoCompFnTextBlock_dU"/>
      <w:bookmarkEnd w:id="53"/>
      <w:r>
        <w:rPr/>
        <w:t> </w:t>
      </w:r>
    </w:p>
    <w:tbl>
      <w:tblPr>
        <w:tblW w:w="10205" w:type="dxa"/>
        <w:jc w:val="left"/>
        <w:tblInd w:w="0" w:type="dxa"/>
        <w:tblLayout w:type="fixed"/>
        <w:tblCellMar>
          <w:top w:w="0" w:type="dxa"/>
          <w:left w:w="0" w:type="dxa"/>
          <w:bottom w:w="0" w:type="dxa"/>
          <w:right w:w="0" w:type="dxa"/>
        </w:tblCellMar>
      </w:tblPr>
      <w:tblGrid>
        <w:gridCol w:w="2052"/>
        <w:gridCol w:w="60"/>
        <w:gridCol w:w="143"/>
        <w:gridCol w:w="818"/>
        <w:gridCol w:w="60"/>
        <w:gridCol w:w="60"/>
        <w:gridCol w:w="143"/>
        <w:gridCol w:w="818"/>
        <w:gridCol w:w="60"/>
        <w:gridCol w:w="60"/>
        <w:gridCol w:w="168"/>
        <w:gridCol w:w="969"/>
        <w:gridCol w:w="60"/>
        <w:gridCol w:w="60"/>
        <w:gridCol w:w="143"/>
        <w:gridCol w:w="818"/>
        <w:gridCol w:w="60"/>
        <w:gridCol w:w="60"/>
        <w:gridCol w:w="168"/>
        <w:gridCol w:w="969"/>
        <w:gridCol w:w="60"/>
        <w:gridCol w:w="60"/>
        <w:gridCol w:w="143"/>
        <w:gridCol w:w="818"/>
        <w:gridCol w:w="60"/>
        <w:gridCol w:w="60"/>
        <w:gridCol w:w="168"/>
        <w:gridCol w:w="969"/>
        <w:gridCol w:w="118"/>
      </w:tblGrid>
      <w:tr>
        <w:trPr/>
        <w:tc>
          <w:tcPr>
            <w:tcW w:w="205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4" w:name="xdx_498_20250101__20251231__ecd--Individ"/>
            <w:bookmarkEnd w:id="54"/>
          </w:p>
        </w:tc>
        <w:tc>
          <w:tcPr>
            <w:tcW w:w="9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PEO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 w:name="xdx_49C_20250101__20251231__ecd--Individ"/>
            <w:bookmarkEnd w:id="55"/>
          </w:p>
        </w:tc>
        <w:tc>
          <w:tcPr>
            <w:tcW w:w="9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PEO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 w:name="xdx_49C_20250101__20251231__ecd--Individ"/>
            <w:bookmarkEnd w:id="56"/>
          </w:p>
        </w:tc>
        <w:tc>
          <w:tcPr>
            <w:tcW w:w="11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 Average Non-PEO 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 w:name="xdx_494_20240101__20241231__ecd--Individ"/>
            <w:bookmarkEnd w:id="57"/>
          </w:p>
        </w:tc>
        <w:tc>
          <w:tcPr>
            <w:tcW w:w="9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PEO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8" w:name="xdx_499_20240101__20241231__ecd--Individ"/>
            <w:bookmarkEnd w:id="58"/>
          </w:p>
        </w:tc>
        <w:tc>
          <w:tcPr>
            <w:tcW w:w="11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Average Non-PEO NEOs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 w:name="xdx_495_20230101__20231231__ecd--Individ"/>
            <w:bookmarkEnd w:id="59"/>
          </w:p>
        </w:tc>
        <w:tc>
          <w:tcPr>
            <w:tcW w:w="9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 PEO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 w:name="xdx_494_20230101__20231231__ecd--Individ"/>
            <w:bookmarkEnd w:id="60"/>
          </w:p>
        </w:tc>
        <w:tc>
          <w:tcPr>
            <w:tcW w:w="11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 Average Non-PEO NEOs</w:t>
            </w:r>
          </w:p>
        </w:tc>
        <w:tc>
          <w:tcPr>
            <w:tcW w:w="118" w:type="dxa"/>
            <w:tcBorders/>
            <w:vAlign w:val="center"/>
          </w:tcPr>
          <w:p>
            <w:pPr>
              <w:pStyle w:val="TableContents"/>
              <w:bidi w:val="0"/>
              <w:spacing w:before="0" w:after="283"/>
              <w:jc w:val="left"/>
              <w:rPr/>
            </w:pPr>
            <w:r>
              <w:rPr/>
              <w:t> </w:t>
            </w:r>
          </w:p>
        </w:tc>
      </w:tr>
      <w:tr>
        <w:trPr/>
        <w:tc>
          <w:tcPr>
            <w:tcW w:w="2052" w:type="dxa"/>
            <w:tcBorders/>
            <w:shd w:fill="CCEEFF" w:val="clear"/>
            <w:vAlign w:val="center"/>
          </w:tcPr>
          <w:p>
            <w:pPr>
              <w:pStyle w:val="TableContents"/>
              <w:bidi w:val="0"/>
              <w:spacing w:before="0" w:after="283"/>
              <w:jc w:val="left"/>
              <w:rPr/>
            </w:pPr>
            <w:r>
              <w:rPr/>
              <w:t>Total Compensation in SCT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bookmarkStart w:id="61" w:name="xdx_98F_eecd--PeoTotalCompAmt_c20250101_"/>
            <w:bookmarkEnd w:id="61"/>
          </w:p>
        </w:tc>
        <w:tc>
          <w:tcPr>
            <w:tcW w:w="818" w:type="dxa"/>
            <w:tcBorders/>
            <w:shd w:fill="CCEEFF" w:val="clear"/>
            <w:vAlign w:val="center"/>
          </w:tcPr>
          <w:p>
            <w:pPr>
              <w:pStyle w:val="TableContents"/>
              <w:bidi w:val="0"/>
              <w:spacing w:before="0" w:after="283"/>
              <w:jc w:val="right"/>
              <w:rPr/>
            </w:pPr>
            <w:r>
              <w:rPr/>
              <w:t>436,976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bookmarkStart w:id="62" w:name="xdx_98C_eecd--PeoTotalCompAmt_c20250101_"/>
            <w:bookmarkEnd w:id="62"/>
          </w:p>
        </w:tc>
        <w:tc>
          <w:tcPr>
            <w:tcW w:w="818" w:type="dxa"/>
            <w:tcBorders/>
            <w:shd w:fill="CCEEFF" w:val="clear"/>
            <w:vAlign w:val="center"/>
          </w:tcPr>
          <w:p>
            <w:pPr>
              <w:pStyle w:val="TableContents"/>
              <w:bidi w:val="0"/>
              <w:spacing w:before="0" w:after="283"/>
              <w:jc w:val="right"/>
              <w:rPr/>
            </w:pPr>
            <w:r>
              <w:rPr/>
              <w:t>554,694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63" w:name="xdx_984_eecd--NonPeoNeoAvgTotalCompAmt_c"/>
            <w:bookmarkEnd w:id="63"/>
          </w:p>
        </w:tc>
        <w:tc>
          <w:tcPr>
            <w:tcW w:w="969" w:type="dxa"/>
            <w:tcBorders/>
            <w:shd w:fill="CCEEFF" w:val="clear"/>
            <w:vAlign w:val="center"/>
          </w:tcPr>
          <w:p>
            <w:pPr>
              <w:pStyle w:val="TableContents"/>
              <w:bidi w:val="0"/>
              <w:spacing w:before="0" w:after="283"/>
              <w:jc w:val="right"/>
              <w:rPr/>
            </w:pPr>
            <w:r>
              <w:rPr/>
              <w:t>283,012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bookmarkStart w:id="64" w:name="xdx_989_eecd--PeoTotalCompAmt_c20240101_"/>
            <w:bookmarkEnd w:id="64"/>
          </w:p>
        </w:tc>
        <w:tc>
          <w:tcPr>
            <w:tcW w:w="818" w:type="dxa"/>
            <w:tcBorders/>
            <w:shd w:fill="CCEEFF" w:val="clear"/>
            <w:vAlign w:val="center"/>
          </w:tcPr>
          <w:p>
            <w:pPr>
              <w:pStyle w:val="TableContents"/>
              <w:bidi w:val="0"/>
              <w:spacing w:before="0" w:after="283"/>
              <w:jc w:val="right"/>
              <w:rPr/>
            </w:pPr>
            <w:r>
              <w:rPr/>
              <w:t>493,358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65" w:name="xdx_98E_eecd--NonPeoNeoAvgTotalCompAmt_c"/>
            <w:bookmarkEnd w:id="65"/>
          </w:p>
        </w:tc>
        <w:tc>
          <w:tcPr>
            <w:tcW w:w="969" w:type="dxa"/>
            <w:tcBorders/>
            <w:shd w:fill="CCEEFF" w:val="clear"/>
            <w:vAlign w:val="center"/>
          </w:tcPr>
          <w:p>
            <w:pPr>
              <w:pStyle w:val="TableContents"/>
              <w:bidi w:val="0"/>
              <w:spacing w:before="0" w:after="283"/>
              <w:jc w:val="right"/>
              <w:rPr/>
            </w:pPr>
            <w:r>
              <w:rPr/>
              <w:t>356,418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bookmarkStart w:id="66" w:name="xdx_983_eecd--PeoTotalCompAmt_c20230101_"/>
            <w:bookmarkEnd w:id="66"/>
          </w:p>
        </w:tc>
        <w:tc>
          <w:tcPr>
            <w:tcW w:w="818" w:type="dxa"/>
            <w:tcBorders/>
            <w:shd w:fill="CCEEFF" w:val="clear"/>
            <w:vAlign w:val="center"/>
          </w:tcPr>
          <w:p>
            <w:pPr>
              <w:pStyle w:val="TableContents"/>
              <w:bidi w:val="0"/>
              <w:spacing w:before="0" w:after="283"/>
              <w:jc w:val="right"/>
              <w:rPr/>
            </w:pPr>
            <w:r>
              <w:rPr/>
              <w:t>324,255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bookmarkStart w:id="67" w:name="xdx_98C_eecd--NonPeoNeoAvgTotalCompAmt_c"/>
            <w:bookmarkEnd w:id="67"/>
          </w:p>
        </w:tc>
        <w:tc>
          <w:tcPr>
            <w:tcW w:w="969" w:type="dxa"/>
            <w:tcBorders/>
            <w:shd w:fill="CCEEFF" w:val="clear"/>
            <w:vAlign w:val="center"/>
          </w:tcPr>
          <w:p>
            <w:pPr>
              <w:pStyle w:val="TableContents"/>
              <w:bidi w:val="0"/>
              <w:spacing w:before="0" w:after="283"/>
              <w:jc w:val="right"/>
              <w:rPr/>
            </w:pPr>
            <w:r>
              <w:rPr/>
              <w:t>185,451</w:t>
            </w:r>
          </w:p>
        </w:tc>
        <w:tc>
          <w:tcPr>
            <w:tcW w:w="118" w:type="dxa"/>
            <w:tcBorders/>
            <w:shd w:fill="CCEEFF" w:val="clear"/>
            <w:vAlign w:val="center"/>
          </w:tcPr>
          <w:p>
            <w:pPr>
              <w:pStyle w:val="TableContents"/>
              <w:bidi w:val="0"/>
              <w:spacing w:before="0" w:after="283"/>
              <w:jc w:val="left"/>
              <w:rPr/>
            </w:pPr>
            <w:r>
              <w:rPr/>
              <w:t> </w:t>
            </w:r>
            <w:bookmarkStart w:id="68" w:name="xdx_40A_eecd--AdjToCompAmt_hecd--AdjToCo"/>
            <w:bookmarkEnd w:id="68"/>
          </w:p>
        </w:tc>
      </w:tr>
      <w:tr>
        <w:trPr/>
        <w:tc>
          <w:tcPr>
            <w:tcW w:w="2052" w:type="dxa"/>
            <w:tcBorders/>
            <w:shd w:fill="FFFFFF" w:val="clear"/>
            <w:vAlign w:val="center"/>
          </w:tcPr>
          <w:p>
            <w:pPr>
              <w:pStyle w:val="TableContents"/>
              <w:bidi w:val="0"/>
              <w:spacing w:before="0" w:after="283"/>
              <w:jc w:val="left"/>
              <w:rPr/>
            </w:pPr>
            <w:r>
              <w:rPr/>
              <w:t>Less: Grant date value of stock awards and option awards reported in SCT</w:t>
            </w:r>
            <w:bookmarkStart w:id="69" w:name="xdx_F4A_z3kAGtHzZSWe"/>
            <w:bookmarkEnd w:id="69"/>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969" w:type="dxa"/>
            <w:tcBorders/>
            <w:shd w:fill="FFFFFF" w:val="clear"/>
            <w:vAlign w:val="center"/>
          </w:tcPr>
          <w:p>
            <w:pPr>
              <w:pStyle w:val="TableContents"/>
              <w:bidi w:val="0"/>
              <w:spacing w:before="0" w:after="283"/>
              <w:jc w:val="right"/>
              <w:rPr/>
            </w:pPr>
            <w:r>
              <w:rPr/>
              <w:t>(9,874</w:t>
            </w:r>
          </w:p>
        </w:tc>
        <w:tc>
          <w:tcPr>
            <w:tcW w:w="118" w:type="dxa"/>
            <w:tcBorders/>
            <w:shd w:fill="FFFFFF" w:val="clear"/>
            <w:vAlign w:val="center"/>
          </w:tcPr>
          <w:p>
            <w:pPr>
              <w:pStyle w:val="TableContents"/>
              <w:bidi w:val="0"/>
              <w:spacing w:before="0" w:after="283"/>
              <w:jc w:val="left"/>
              <w:rPr/>
            </w:pPr>
            <w:r>
              <w:rPr/>
              <w:t>)</w:t>
            </w:r>
            <w:bookmarkStart w:id="70" w:name="xdx_40A_eecd--AdjToCompAmt_hecd--AdjToCo"/>
            <w:bookmarkEnd w:id="70"/>
          </w:p>
        </w:tc>
      </w:tr>
      <w:tr>
        <w:trPr/>
        <w:tc>
          <w:tcPr>
            <w:tcW w:w="2052" w:type="dxa"/>
            <w:tcBorders/>
            <w:shd w:fill="CCEEFF" w:val="clear"/>
            <w:vAlign w:val="center"/>
          </w:tcPr>
          <w:p>
            <w:pPr>
              <w:pStyle w:val="TableContents"/>
              <w:bidi w:val="0"/>
              <w:spacing w:before="0" w:after="283"/>
              <w:jc w:val="left"/>
              <w:rPr/>
            </w:pPr>
            <w:r>
              <w:rPr/>
              <w:t>Plus: Year-end value of awards granted during the year that are outstanding and unvested as of year-end</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bookmarkStart w:id="71" w:name="xdx_40F_eecd--AdjToCompAmt_hecd--AdjToCo"/>
            <w:bookmarkEnd w:id="71"/>
          </w:p>
        </w:tc>
      </w:tr>
      <w:tr>
        <w:trPr/>
        <w:tc>
          <w:tcPr>
            <w:tcW w:w="2052" w:type="dxa"/>
            <w:tcBorders/>
            <w:shd w:fill="FFFFFF" w:val="clear"/>
            <w:vAlign w:val="center"/>
          </w:tcPr>
          <w:p>
            <w:pPr>
              <w:pStyle w:val="TableContents"/>
              <w:bidi w:val="0"/>
              <w:spacing w:before="0" w:after="283"/>
              <w:jc w:val="left"/>
              <w:rPr/>
            </w:pPr>
            <w:r>
              <w:rPr/>
              <w:t>Plus (less): Change in value, from prior year-end to year-end, of awards granted in a prior year that are outstanding and unvested as of year-end</w:t>
            </w:r>
            <w:bookmarkStart w:id="72" w:name="xdx_F4E_ziG0dbaTvoYd"/>
            <w:bookmarkEnd w:id="72"/>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bookmarkStart w:id="73" w:name="xdx_40F_eecd--AdjToCompAmt_hecd--AdjToCo"/>
            <w:bookmarkEnd w:id="73"/>
          </w:p>
        </w:tc>
      </w:tr>
      <w:tr>
        <w:trPr/>
        <w:tc>
          <w:tcPr>
            <w:tcW w:w="2052" w:type="dxa"/>
            <w:tcBorders/>
            <w:shd w:fill="CCEEFF" w:val="clear"/>
            <w:vAlign w:val="center"/>
          </w:tcPr>
          <w:p>
            <w:pPr>
              <w:pStyle w:val="TableContents"/>
              <w:bidi w:val="0"/>
              <w:spacing w:before="0" w:after="283"/>
              <w:jc w:val="left"/>
              <w:rPr/>
            </w:pPr>
            <w:r>
              <w:rPr/>
              <w:t>Plus (less): Fair value as of vesting date for awards that are granted and vest in the same covered fiscal year</w:t>
            </w:r>
            <w:bookmarkStart w:id="74" w:name="xdx_F4F_z45GzUMFGy87"/>
            <w:bookmarkEnd w:id="74"/>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969" w:type="dxa"/>
            <w:tcBorders/>
            <w:shd w:fill="CCEEFF" w:val="clear"/>
            <w:vAlign w:val="center"/>
          </w:tcPr>
          <w:p>
            <w:pPr>
              <w:pStyle w:val="TableContents"/>
              <w:bidi w:val="0"/>
              <w:spacing w:before="0" w:after="283"/>
              <w:jc w:val="right"/>
              <w:rPr/>
            </w:pPr>
            <w:r>
              <w:rPr/>
              <w:t>9,874</w:t>
            </w:r>
          </w:p>
        </w:tc>
        <w:tc>
          <w:tcPr>
            <w:tcW w:w="118" w:type="dxa"/>
            <w:tcBorders/>
            <w:shd w:fill="CCEEFF" w:val="clear"/>
            <w:vAlign w:val="center"/>
          </w:tcPr>
          <w:p>
            <w:pPr>
              <w:pStyle w:val="TableContents"/>
              <w:bidi w:val="0"/>
              <w:spacing w:before="0" w:after="283"/>
              <w:jc w:val="left"/>
              <w:rPr/>
            </w:pPr>
            <w:r>
              <w:rPr/>
              <w:t> </w:t>
            </w:r>
            <w:bookmarkStart w:id="75" w:name="xdx_406_eecd--AdjToCompAmt_hecd--AdjToCo"/>
            <w:bookmarkEnd w:id="75"/>
          </w:p>
        </w:tc>
      </w:tr>
      <w:tr>
        <w:trPr/>
        <w:tc>
          <w:tcPr>
            <w:tcW w:w="2052" w:type="dxa"/>
            <w:tcBorders/>
            <w:shd w:fill="FFFFFF" w:val="clear"/>
            <w:vAlign w:val="center"/>
          </w:tcPr>
          <w:p>
            <w:pPr>
              <w:pStyle w:val="TableContents"/>
              <w:bidi w:val="0"/>
              <w:spacing w:before="0" w:after="283"/>
              <w:jc w:val="left"/>
              <w:rPr/>
            </w:pPr>
            <w:r>
              <w:rPr/>
              <w:t>Plus (less): Change in value, from prior year-end to vesting date, of awards granted in a prior year that vested during the year</w:t>
            </w:r>
            <w:bookmarkStart w:id="76" w:name="xdx_F45_zXbR3aq0Sgy9"/>
            <w:bookmarkEnd w:id="76"/>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bookmarkStart w:id="77" w:name="xdx_409_eecd--AdjToCompAmt_hecd--AdjToCo"/>
            <w:bookmarkEnd w:id="77"/>
          </w:p>
        </w:tc>
      </w:tr>
      <w:tr>
        <w:trPr/>
        <w:tc>
          <w:tcPr>
            <w:tcW w:w="2052" w:type="dxa"/>
            <w:tcBorders/>
            <w:shd w:fill="CCEEFF" w:val="clear"/>
            <w:vAlign w:val="center"/>
          </w:tcPr>
          <w:p>
            <w:pPr>
              <w:pStyle w:val="TableContents"/>
              <w:bidi w:val="0"/>
              <w:spacing w:before="0" w:after="283"/>
              <w:jc w:val="left"/>
              <w:rPr/>
            </w:pPr>
            <w:r>
              <w:rPr/>
              <w:t>Less: Prior year-end value of awards granted in a prior year that failed to vest during the year</w:t>
            </w:r>
            <w:bookmarkStart w:id="78" w:name="xdx_F4B_z51cFOApnAt"/>
            <w:bookmarkEnd w:id="78"/>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bookmarkStart w:id="79" w:name="xdx_400_eecd--AdjToCompAmt_hecd--AdjToCo"/>
            <w:bookmarkEnd w:id="79"/>
          </w:p>
        </w:tc>
      </w:tr>
      <w:tr>
        <w:trPr/>
        <w:tc>
          <w:tcPr>
            <w:tcW w:w="2052" w:type="dxa"/>
            <w:tcBorders/>
            <w:shd w:fill="FFFFFF" w:val="clear"/>
            <w:vAlign w:val="center"/>
          </w:tcPr>
          <w:p>
            <w:pPr>
              <w:pStyle w:val="TableContents"/>
              <w:bidi w:val="0"/>
              <w:spacing w:before="0" w:after="283"/>
              <w:jc w:val="left"/>
              <w:rPr/>
            </w:pPr>
            <w:r>
              <w:rPr/>
              <w:t>Plus: Dividends or other earnings paid during applicable fiscal year prior to vesting date</w:t>
            </w:r>
            <w:bookmarkStart w:id="80" w:name="xdx_F40_zwt9VQpdInzh"/>
            <w:bookmarkEnd w:id="80"/>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w:t>
            </w:r>
          </w:p>
        </w:tc>
        <w:tc>
          <w:tcPr>
            <w:tcW w:w="118" w:type="dxa"/>
            <w:tcBorders/>
            <w:shd w:fill="FFFFFF" w:val="clear"/>
            <w:vAlign w:val="center"/>
          </w:tcPr>
          <w:p>
            <w:pPr>
              <w:pStyle w:val="TableContents"/>
              <w:bidi w:val="0"/>
              <w:spacing w:before="0" w:after="283"/>
              <w:jc w:val="left"/>
              <w:rPr/>
            </w:pPr>
            <w:r>
              <w:rPr/>
              <w:t> </w:t>
            </w:r>
            <w:bookmarkStart w:id="81" w:name="xdx_406_eecd--AdjToCompAmt_zTf74s0ki6R3"/>
            <w:bookmarkEnd w:id="81"/>
          </w:p>
        </w:tc>
      </w:tr>
      <w:tr>
        <w:trPr/>
        <w:tc>
          <w:tcPr>
            <w:tcW w:w="2052" w:type="dxa"/>
            <w:tcBorders/>
            <w:shd w:fill="CCEEFF" w:val="clear"/>
            <w:vAlign w:val="center"/>
          </w:tcPr>
          <w:p>
            <w:pPr>
              <w:pStyle w:val="TableContents"/>
              <w:bidi w:val="0"/>
              <w:spacing w:before="0" w:after="283"/>
              <w:jc w:val="left"/>
              <w:rPr/>
            </w:pPr>
            <w:r>
              <w:rPr/>
              <w:t>Total Adjustments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w:t>
            </w:r>
          </w:p>
        </w:tc>
        <w:tc>
          <w:tcPr>
            <w:tcW w:w="118" w:type="dxa"/>
            <w:tcBorders/>
            <w:shd w:fill="CCEEFF" w:val="clear"/>
            <w:vAlign w:val="center"/>
          </w:tcPr>
          <w:p>
            <w:pPr>
              <w:pStyle w:val="TableContents"/>
              <w:bidi w:val="0"/>
              <w:spacing w:before="0" w:after="283"/>
              <w:jc w:val="left"/>
              <w:rPr/>
            </w:pPr>
            <w:r>
              <w:rPr/>
              <w:t> </w:t>
            </w:r>
          </w:p>
        </w:tc>
      </w:tr>
      <w:tr>
        <w:trPr/>
        <w:tc>
          <w:tcPr>
            <w:tcW w:w="2052" w:type="dxa"/>
            <w:tcBorders/>
            <w:shd w:fill="FFFFFF" w:val="clear"/>
            <w:vAlign w:val="center"/>
          </w:tcPr>
          <w:p>
            <w:pPr>
              <w:pStyle w:val="TableContents"/>
              <w:bidi w:val="0"/>
              <w:spacing w:before="0" w:after="283"/>
              <w:jc w:val="left"/>
              <w:rPr/>
            </w:pPr>
            <w:r>
              <w:rPr/>
              <w:t>CAP</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bookmarkStart w:id="82" w:name="xdx_988_eecd--PeoActuallyPaidCompAmt_c20"/>
            <w:bookmarkEnd w:id="82"/>
          </w:p>
        </w:tc>
        <w:tc>
          <w:tcPr>
            <w:tcW w:w="818" w:type="dxa"/>
            <w:tcBorders/>
            <w:shd w:fill="FFFFFF" w:val="clear"/>
            <w:vAlign w:val="center"/>
          </w:tcPr>
          <w:p>
            <w:pPr>
              <w:pStyle w:val="TableContents"/>
              <w:bidi w:val="0"/>
              <w:spacing w:before="0" w:after="283"/>
              <w:jc w:val="right"/>
              <w:rPr/>
            </w:pPr>
            <w:r>
              <w:rPr/>
              <w:t>436,976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bookmarkStart w:id="83" w:name="xdx_989_eecd--PeoActuallyPaidCompAmt_c20"/>
            <w:bookmarkEnd w:id="83"/>
          </w:p>
        </w:tc>
        <w:tc>
          <w:tcPr>
            <w:tcW w:w="818" w:type="dxa"/>
            <w:tcBorders/>
            <w:shd w:fill="FFFFFF" w:val="clear"/>
            <w:vAlign w:val="center"/>
          </w:tcPr>
          <w:p>
            <w:pPr>
              <w:pStyle w:val="TableContents"/>
              <w:bidi w:val="0"/>
              <w:spacing w:before="0" w:after="283"/>
              <w:jc w:val="right"/>
              <w:rPr/>
            </w:pPr>
            <w:r>
              <w:rPr/>
              <w:t>554,694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84" w:name="xdx_988_eecd--NonPeoNeoAvgCompActuallyPa"/>
            <w:bookmarkEnd w:id="84"/>
          </w:p>
        </w:tc>
        <w:tc>
          <w:tcPr>
            <w:tcW w:w="969" w:type="dxa"/>
            <w:tcBorders/>
            <w:shd w:fill="FFFFFF" w:val="clear"/>
            <w:vAlign w:val="center"/>
          </w:tcPr>
          <w:p>
            <w:pPr>
              <w:pStyle w:val="TableContents"/>
              <w:bidi w:val="0"/>
              <w:spacing w:before="0" w:after="283"/>
              <w:jc w:val="right"/>
              <w:rPr/>
            </w:pPr>
            <w:r>
              <w:rPr/>
              <w:t>283,012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bookmarkStart w:id="85" w:name="xdx_98E_eecd--PeoActuallyPaidCompAmt_c20"/>
            <w:bookmarkEnd w:id="85"/>
          </w:p>
        </w:tc>
        <w:tc>
          <w:tcPr>
            <w:tcW w:w="818" w:type="dxa"/>
            <w:tcBorders/>
            <w:shd w:fill="FFFFFF" w:val="clear"/>
            <w:vAlign w:val="center"/>
          </w:tcPr>
          <w:p>
            <w:pPr>
              <w:pStyle w:val="TableContents"/>
              <w:bidi w:val="0"/>
              <w:spacing w:before="0" w:after="283"/>
              <w:jc w:val="right"/>
              <w:rPr/>
            </w:pPr>
            <w:r>
              <w:rPr/>
              <w:t>493,358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86" w:name="xdx_980_eecd--NonPeoNeoAvgCompActuallyPa"/>
            <w:bookmarkEnd w:id="86"/>
          </w:p>
        </w:tc>
        <w:tc>
          <w:tcPr>
            <w:tcW w:w="969" w:type="dxa"/>
            <w:tcBorders/>
            <w:shd w:fill="FFFFFF" w:val="clear"/>
            <w:vAlign w:val="center"/>
          </w:tcPr>
          <w:p>
            <w:pPr>
              <w:pStyle w:val="TableContents"/>
              <w:bidi w:val="0"/>
              <w:spacing w:before="0" w:after="283"/>
              <w:jc w:val="right"/>
              <w:rPr/>
            </w:pPr>
            <w:r>
              <w:rPr/>
              <w:t>356,418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bookmarkStart w:id="87" w:name="xdx_98E_eecd--PeoActuallyPaidCompAmt_c20"/>
            <w:bookmarkEnd w:id="87"/>
          </w:p>
        </w:tc>
        <w:tc>
          <w:tcPr>
            <w:tcW w:w="818" w:type="dxa"/>
            <w:tcBorders/>
            <w:shd w:fill="FFFFFF" w:val="clear"/>
            <w:vAlign w:val="center"/>
          </w:tcPr>
          <w:p>
            <w:pPr>
              <w:pStyle w:val="TableContents"/>
              <w:bidi w:val="0"/>
              <w:spacing w:before="0" w:after="283"/>
              <w:jc w:val="right"/>
              <w:rPr/>
            </w:pPr>
            <w:r>
              <w:rPr/>
              <w:t>324,255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bookmarkStart w:id="88" w:name="xdx_98C_eecd--NonPeoNeoAvgCompActuallyPa"/>
            <w:bookmarkEnd w:id="88"/>
          </w:p>
        </w:tc>
        <w:tc>
          <w:tcPr>
            <w:tcW w:w="969" w:type="dxa"/>
            <w:tcBorders/>
            <w:shd w:fill="FFFFFF" w:val="clear"/>
            <w:vAlign w:val="center"/>
          </w:tcPr>
          <w:p>
            <w:pPr>
              <w:pStyle w:val="TableContents"/>
              <w:bidi w:val="0"/>
              <w:spacing w:before="0" w:after="283"/>
              <w:jc w:val="right"/>
              <w:rPr/>
            </w:pPr>
            <w:r>
              <w:rPr/>
              <w:t>185,451</w:t>
            </w:r>
          </w:p>
        </w:tc>
        <w:tc>
          <w:tcPr>
            <w:tcW w:w="11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9" w:name="xdx_F04_zzAWuq8AViI7"/>
            <w:bookmarkEnd w:id="89"/>
            <w:r>
              <w:rPr>
                <w:rFonts w:ascii="Times New Roman;Times;Serif" w:hAnsi="Times New Roman;Times;Serif"/>
                <w:b w:val="false"/>
                <w:i w:val="false"/>
                <w:caps w:val="false"/>
                <w:smallCaps w:val="false"/>
                <w:sz w:val="20"/>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90" w:name="xdx_F1D_zTA0RJJGikxi"/>
            <w:bookmarkEnd w:id="90"/>
            <w:r>
              <w:rPr>
                <w:rFonts w:ascii="Times New Roman;Times;Serif" w:hAnsi="Times New Roman;Times;Serif"/>
                <w:b w:val="false"/>
                <w:i w:val="false"/>
                <w:caps w:val="false"/>
                <w:smallCaps w:val="false"/>
                <w:sz w:val="20"/>
              </w:rPr>
              <w:t>The valuation assumptions used to calculate fair values did not materially differ from those disclosed at the time of grant.</w:t>
            </w:r>
          </w:p>
        </w:tc>
      </w:tr>
    </w:tbl>
    <w:p>
      <w:pPr>
        <w:pStyle w:val="TextBody"/>
        <w:bidi w:val="0"/>
        <w:spacing w:before="0" w:after="0"/>
        <w:ind w:left="360" w:right="0" w:hanging="360"/>
        <w:jc w:val="both"/>
        <w:rPr>
          <w:caps w:val="false"/>
          <w:smallCaps w:val="false"/>
        </w:rPr>
      </w:pPr>
      <w:bookmarkStart w:id="91" w:name="xdx_8A1_zKOHfsMXA5X8"/>
      <w:bookmarkEnd w:id="91"/>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60"/>
        <w:gridCol w:w="90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 rules, the TSR figures assume an initial investment of $100 in our stock on December 31, 2022.</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dollar amounts reported represent the amount of net income (loss) reflected in the Company’s audited financial statements for the applicable year.</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92" w:name="xdx_891_eecd--CompActuallyPaidVsOtherMea"/>
      <w:bookmarkEnd w:id="92"/>
      <w:r>
        <w:rPr>
          <w:rFonts w:ascii="Times New Roman;Times;Serif" w:hAnsi="Times New Roman;Times;Serif"/>
          <w:b/>
          <w:i/>
          <w:caps w:val="false"/>
          <w:smallCaps w:val="false"/>
          <w:sz w:val="20"/>
        </w:rPr>
        <w:t>Relationship between CAP and Financial Performance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Item 402(v) of Regulation S-K, we are providing the following graphs to illustrate the relationship between the pay and performance figures that are included in the pay versus performance tabular disclosure above. As noted above, CAP for purposes of the tabular disclosure and the following graphs was calculated in accordance with SEC rules and does not reflect the amount of compensation earned by or actually paid to our NEOs during the applicable years.</w:t>
      </w:r>
    </w:p>
    <w:p>
      <w:pPr>
        <w:pStyle w:val="TextBody"/>
        <w:bidi w:val="0"/>
        <w:spacing w:before="0" w:after="0"/>
        <w:ind w:left="0" w:right="0" w:hanging="0"/>
        <w:jc w:val="both"/>
        <w:rPr>
          <w:caps w:val="false"/>
          <w:smallCaps w:val="false"/>
        </w:rPr>
      </w:pPr>
      <w:bookmarkStart w:id="93" w:name="xdx_8AB_z167LbTtlE0k"/>
      <w:bookmarkEnd w:id="93"/>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94" w:name="xdx_89A_eecd--CompActuallyPaidVsNetIncom"/>
      <w:bookmarkEnd w:id="94"/>
      <w:r>
        <w:rPr>
          <w:rFonts w:ascii="Times New Roman;Times;Serif" w:hAnsi="Times New Roman;Times;Serif"/>
          <w:b/>
          <w:i/>
          <w:caps w:val="false"/>
          <w:smallCaps w:val="false"/>
          <w:sz w:val="20"/>
        </w:rPr>
        <w:t>CAP and Net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 below shows the relationship between CAP to our PEOs and the average CAP to our Non-PEO NEOs to the Company’s net income (loss) over the three years presented in the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412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4124325"/>
                    </a:xfrm>
                    <a:prstGeom prst="rect">
                      <a:avLst/>
                    </a:prstGeom>
                  </pic:spPr>
                </pic:pic>
              </a:graphicData>
            </a:graphic>
          </wp:inline>
        </w:drawing>
      </w:r>
    </w:p>
    <w:p>
      <w:pPr>
        <w:pStyle w:val="TextBody"/>
        <w:bidi w:val="0"/>
        <w:spacing w:before="0" w:after="0"/>
        <w:jc w:val="center"/>
        <w:rPr>
          <w:caps w:val="false"/>
          <w:smallCaps w:val="false"/>
        </w:rPr>
      </w:pPr>
      <w:bookmarkStart w:id="95" w:name="xdx_8AF_zveh34HuvUxd"/>
      <w:bookmarkEnd w:id="95"/>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96" w:name="xdx_892_eecd--CompActuallyPaidVsTotalSha"/>
      <w:bookmarkEnd w:id="96"/>
      <w:r>
        <w:rPr>
          <w:rFonts w:ascii="Times New Roman;Times;Serif" w:hAnsi="Times New Roman;Times;Serif"/>
          <w:b/>
          <w:i/>
          <w:caps w:val="false"/>
          <w:smallCaps w:val="false"/>
          <w:sz w:val="20"/>
        </w:rPr>
        <w:t>CAP and Cumulative TSR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graph below shows the relationship between CAP to our PEOs and the average CAP to our Non-PEO NEOs to the Company’s cumulative TSR over the three years presented in the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8572500" cy="408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4086225"/>
                    </a:xfrm>
                    <a:prstGeom prst="rect">
                      <a:avLst/>
                    </a:prstGeom>
                  </pic:spPr>
                </pic:pic>
              </a:graphicData>
            </a:graphic>
          </wp:inline>
        </w:drawing>
      </w:r>
    </w:p>
    <w:p>
      <w:pPr>
        <w:pStyle w:val="TextBody"/>
        <w:bidi w:val="0"/>
        <w:spacing w:before="0" w:after="0"/>
        <w:ind w:left="0" w:right="0" w:hanging="0"/>
        <w:jc w:val="both"/>
        <w:rPr>
          <w:caps w:val="false"/>
          <w:smallCaps w:val="false"/>
        </w:rPr>
      </w:pPr>
      <w:bookmarkStart w:id="97" w:name="xdx_8AE_zsNR4K5KS6Bd"/>
      <w:bookmarkEnd w:id="97"/>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information provided above under the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8" w:name="xdx_983_eecd--AwardTmgMnpiDiscTextBlock_"/>
      <w:bookmarkEnd w:id="98"/>
      <w:r>
        <w:rPr>
          <w:rFonts w:ascii="Times New Roman;Times;Serif" w:hAnsi="Times New Roman;Times;Serif"/>
          <w:b w:val="false"/>
          <w:i w:val="false"/>
          <w:caps w:val="false"/>
          <w:smallCaps w:val="false"/>
          <w:sz w:val="20"/>
        </w:rPr>
        <w:t xml:space="preserve">The Compensation Committee and the Board of Directors have not established written policies regarding the timing of option grants or other awards in relation to the release of material nonpublic information (“MNPI”). They do however as a matter of practice </w:t>
      </w:r>
      <w:bookmarkStart w:id="99" w:name="xdx_90B_eecd--AwardTmgMethodTextBlock_c2"/>
      <w:bookmarkEnd w:id="99"/>
      <w:r>
        <w:rPr>
          <w:rFonts w:ascii="Times New Roman;Times;Serif" w:hAnsi="Times New Roman;Times;Serif"/>
          <w:b w:val="false"/>
          <w:i w:val="false"/>
          <w:caps w:val="false"/>
          <w:smallCaps w:val="false"/>
          <w:sz w:val="20"/>
        </w:rPr>
        <w:t xml:space="preserve">take MNPI into account when determining the timing and terms of stock option or other equity awards to executive officers. The </w:t>
      </w:r>
      <w:bookmarkStart w:id="100" w:name="xdx_90C_eecd--MnpiDiscTimedForCompValFla"/>
      <w:bookmarkEnd w:id="100"/>
      <w:r>
        <w:rPr>
          <w:rFonts w:ascii="Times New Roman;Times;Serif" w:hAnsi="Times New Roman;Times;Serif"/>
          <w:b w:val="false"/>
          <w:i w:val="false"/>
          <w:caps w:val="false"/>
          <w:smallCaps w:val="false"/>
          <w:sz w:val="20"/>
        </w:rPr>
        <w:t>Company does not time the disclosure of MNPI, whether positive or negative, for the purpose of affecting the value of executive compensation. During 2025, the timing of grant of stock options did not trigger disclosures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Compensation Recoupment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written compensation recovery policy in accordance with the Dodd-Frank Wall Street Reform and Consumer Protection Act and applicable exchange rules. A copy of this policy was filed as an exhibit to our Annual Report on Form 10-K.</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1" w:name="su_003"/>
      <w:bookmarkEnd w:id="101"/>
      <w:r>
        <w:rPr>
          <w:rFonts w:ascii="Times New Roman;Times;Serif" w:hAnsi="Times New Roman;Times;Serif"/>
          <w:b/>
          <w:i w:val="false"/>
          <w:caps/>
          <w:sz w:val="20"/>
        </w:rPr>
        <w:t>DIRECTOR COMPENSATION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each of the following individuals served on our Board of Directors as non-employee directors: Shufen Deng, Sam Van, Rudolf J. M. Bakker, Michael C. Tu, Lewis Jaffe, and Randle Lee Edwards.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all of the compensation awards paid or granted to, or earned by, our non-employee directors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4259" w:type="dxa"/>
        <w:jc w:val="left"/>
        <w:tblInd w:w="0" w:type="dxa"/>
        <w:tblLayout w:type="fixed"/>
        <w:tblCellMar>
          <w:top w:w="0" w:type="dxa"/>
          <w:left w:w="0" w:type="dxa"/>
          <w:bottom w:w="28" w:type="dxa"/>
          <w:right w:w="0" w:type="dxa"/>
        </w:tblCellMar>
      </w:tblPr>
      <w:tblGrid>
        <w:gridCol w:w="1955"/>
        <w:gridCol w:w="60"/>
        <w:gridCol w:w="223"/>
        <w:gridCol w:w="1086"/>
        <w:gridCol w:w="60"/>
        <w:gridCol w:w="60"/>
        <w:gridCol w:w="60"/>
        <w:gridCol w:w="680"/>
        <w:gridCol w:w="75"/>
      </w:tblGrid>
      <w:tr>
        <w:trPr/>
        <w:tc>
          <w:tcPr>
            <w:tcW w:w="1955" w:type="dxa"/>
            <w:tcBorders>
              <w:bottom w:val="single" w:sz="8" w:space="0" w:color="000000"/>
            </w:tcBorders>
            <w:vAlign w:val="center"/>
          </w:tcPr>
          <w:p>
            <w:pPr>
              <w:pStyle w:val="TableContents"/>
              <w:bidi w:val="0"/>
              <w:spacing w:before="0" w:after="0"/>
              <w:ind w:left="3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w:t>
              <w:br/>
              <w:t>Paid</w:t>
              <w:br/>
              <w:t>in Cash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w:t>
            </w:r>
          </w:p>
        </w:tc>
        <w:tc>
          <w:tcPr>
            <w:tcW w:w="75" w:type="dxa"/>
            <w:tcBorders/>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Shufen Deng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shd w:fill="FFFFFF" w:val="clear"/>
            <w:tcMar>
              <w:bottom w:w="0" w:type="dxa"/>
            </w:tcMar>
            <w:vAlign w:val="center"/>
          </w:tcPr>
          <w:p>
            <w:pPr>
              <w:pStyle w:val="TableContents"/>
              <w:bidi w:val="0"/>
              <w:spacing w:before="0" w:after="283"/>
              <w:jc w:val="left"/>
              <w:rPr/>
            </w:pPr>
            <w:r>
              <w:rPr/>
              <w:t>Sam Van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1086" w:type="dxa"/>
            <w:tcBorders/>
            <w:shd w:fill="FFFFFF" w:val="clear"/>
            <w:tcMar>
              <w:bottom w:w="0" w:type="dxa"/>
            </w:tcMar>
            <w:vAlign w:val="center"/>
          </w:tcPr>
          <w:p>
            <w:pPr>
              <w:pStyle w:val="TableContents"/>
              <w:bidi w:val="0"/>
              <w:spacing w:before="0" w:after="283"/>
              <w:jc w:val="right"/>
              <w:rPr/>
            </w:pPr>
            <w:r>
              <w:rPr/>
              <w:t>50,000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Rudolf J. M. Bakker </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1086" w:type="dxa"/>
            <w:tcBorders/>
            <w:shd w:fill="CCEEFF" w:val="clear"/>
            <w:tcMar>
              <w:bottom w:w="0" w:type="dxa"/>
            </w:tcMar>
            <w:vAlign w:val="center"/>
          </w:tcPr>
          <w:p>
            <w:pPr>
              <w:pStyle w:val="TableContents"/>
              <w:bidi w:val="0"/>
              <w:spacing w:before="0" w:after="283"/>
              <w:jc w:val="right"/>
              <w:rPr/>
            </w:pPr>
            <w:r>
              <w:rPr/>
              <w:t>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37,500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Michael C. Tu </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1086" w:type="dxa"/>
            <w:tcBorders/>
            <w:shd w:fill="FFFFFF" w:val="clear"/>
            <w:tcMar>
              <w:bottom w:w="0" w:type="dxa"/>
            </w:tcMar>
            <w:vAlign w:val="center"/>
          </w:tcPr>
          <w:p>
            <w:pPr>
              <w:pStyle w:val="TableContents"/>
              <w:bidi w:val="0"/>
              <w:spacing w:before="0" w:after="283"/>
              <w:jc w:val="right"/>
              <w:rPr/>
            </w:pPr>
            <w:r>
              <w:rPr/>
              <w:t>14,674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14,674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Lewis Jaffe </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1086"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12,500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Randle Lee Edwards </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3" w:type="dxa"/>
            <w:tcBorders/>
            <w:shd w:fill="FFFFFF" w:val="clear"/>
            <w:tcMar>
              <w:bottom w:w="0" w:type="dxa"/>
            </w:tcMar>
            <w:vAlign w:val="center"/>
          </w:tcPr>
          <w:p>
            <w:pPr>
              <w:pStyle w:val="TableContents"/>
              <w:bidi w:val="0"/>
              <w:spacing w:before="0" w:after="283"/>
              <w:jc w:val="left"/>
              <w:rPr/>
            </w:pPr>
            <w:r>
              <w:rPr/>
              <w:t> </w:t>
            </w:r>
          </w:p>
        </w:tc>
        <w:tc>
          <w:tcPr>
            <w:tcW w:w="1086" w:type="dxa"/>
            <w:tcBorders/>
            <w:shd w:fill="FFFFFF" w:val="clear"/>
            <w:tcMar>
              <w:bottom w:w="0" w:type="dxa"/>
            </w:tcMar>
            <w:vAlign w:val="center"/>
          </w:tcPr>
          <w:p>
            <w:pPr>
              <w:pStyle w:val="TableContents"/>
              <w:bidi w:val="0"/>
              <w:spacing w:before="0" w:after="283"/>
              <w:jc w:val="right"/>
              <w:rPr/>
            </w:pPr>
            <w:r>
              <w:rPr/>
              <w:t>34,783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34,783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Shufen Deng elected to waive non-employee director compensation due to her position at the time as the principal and director designee of D&amp;D.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Rudolf J. M. Bakker was appointed to the board effective April 11, 2025, and the amounts set forth herein represent the prorated amount of Mr. Bakker’s cash fee.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C. Tu was appointed to the board effective September 15, 2025, and the amounts set forth herein represent the prorated amount of Mr. Tu’s cash fee.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Lewis Jaffe resigned from the board effective March 31, 2025, and the amounts set forth herein represent the prorated amount of Mr. Jaffe’s cash fee.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Randle Lee Edwards resigned from the board effective September 10, 2025, and the amounts set forth herein represent the prorated amount of Mr. Edwards’ cash fee.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Messrs. Snyder and Wallace also served on our Board of Directors during the year ended December 31, 2025, but did not receive any additional compensation for their services as directors. See the section titled “Executive Compensation” for more information regarding the compensation earned by Messrs. Snyder and Wallace.</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2" w:name="su_011"/>
      <w:bookmarkEnd w:id="102"/>
      <w:r>
        <w:rPr>
          <w:rFonts w:ascii="Times New Roman;Times;Serif" w:hAnsi="Times New Roman;Times;Serif"/>
          <w:b/>
          <w:i w:val="false"/>
          <w:caps/>
          <w:sz w:val="20"/>
        </w:rPr>
        <w:t>SECURITIES AUTHORIZED FOR ISSUANCE UNDER EQUITY COMPENSATION PLANS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certain information with respect to all of the Company’s equity compensation plans in effect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33"/>
        <w:gridCol w:w="60"/>
        <w:gridCol w:w="176"/>
        <w:gridCol w:w="2024"/>
        <w:gridCol w:w="224"/>
        <w:gridCol w:w="60"/>
        <w:gridCol w:w="440"/>
        <w:gridCol w:w="2143"/>
        <w:gridCol w:w="60"/>
        <w:gridCol w:w="60"/>
        <w:gridCol w:w="232"/>
        <w:gridCol w:w="2650"/>
        <w:gridCol w:w="243"/>
      </w:tblGrid>
      <w:tr>
        <w:trPr/>
        <w:tc>
          <w:tcPr>
            <w:tcW w:w="1833" w:type="dxa"/>
            <w:tcBorders>
              <w:bottom w:val="single" w:sz="8" w:space="0" w:color="000000"/>
            </w:tcBorders>
            <w:vAlign w:val="center"/>
          </w:tcPr>
          <w:p>
            <w:pPr>
              <w:pStyle w:val="TableContents"/>
              <w:bidi w:val="0"/>
              <w:spacing w:before="0" w:after="283"/>
              <w:jc w:val="center"/>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2200" w:type="dxa"/>
            <w:gridSpan w:val="2"/>
            <w:tcBorders>
              <w:bottom w:val="single" w:sz="8" w:space="0" w:color="000000"/>
            </w:tcBorders>
            <w:vAlign w:val="center"/>
          </w:tcPr>
          <w:p>
            <w:pPr>
              <w:pStyle w:val="TableContents"/>
              <w:bidi w:val="0"/>
              <w:spacing w:before="0" w:after="283"/>
              <w:jc w:val="center"/>
              <w:rPr>
                <w:b/>
              </w:rPr>
            </w:pPr>
            <w:r>
              <w:rPr>
                <w:b/>
              </w:rPr>
              <w:t>Number of securities to be issued upon exercise of outstanding options, warrants and rights</w:t>
              <w:br/>
              <w:t>(a)</w:t>
            </w:r>
          </w:p>
        </w:tc>
        <w:tc>
          <w:tcPr>
            <w:tcW w:w="2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83" w:type="dxa"/>
            <w:gridSpan w:val="2"/>
            <w:tcBorders>
              <w:bottom w:val="single" w:sz="8" w:space="0" w:color="000000"/>
            </w:tcBorders>
            <w:vAlign w:val="center"/>
          </w:tcPr>
          <w:p>
            <w:pPr>
              <w:pStyle w:val="TableContents"/>
              <w:bidi w:val="0"/>
              <w:spacing w:before="0" w:after="283"/>
              <w:jc w:val="center"/>
              <w:rPr>
                <w:b/>
              </w:rPr>
            </w:pPr>
            <w:r>
              <w:rPr>
                <w:b/>
              </w:rPr>
              <w:t>Weighted-average exercise price of outstanding options, warrants and rights</w:t>
              <w:br/>
              <w:t>(b)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2" w:type="dxa"/>
            <w:gridSpan w:val="2"/>
            <w:tcBorders>
              <w:bottom w:val="single" w:sz="8" w:space="0" w:color="000000"/>
            </w:tcBorders>
            <w:vAlign w:val="center"/>
          </w:tcPr>
          <w:p>
            <w:pPr>
              <w:pStyle w:val="TableContents"/>
              <w:bidi w:val="0"/>
              <w:spacing w:before="0" w:after="283"/>
              <w:jc w:val="center"/>
              <w:rPr>
                <w:b/>
              </w:rPr>
            </w:pPr>
            <w:r>
              <w:rPr>
                <w:b/>
              </w:rPr>
              <w:t xml:space="preserve">Number of securities remaining available for issuance under equity compensation plans (excluding securities reflected in column (a)) </w:t>
              <w:br/>
              <w:t>(c)</w:t>
            </w:r>
          </w:p>
        </w:tc>
        <w:tc>
          <w:tcPr>
            <w:tcW w:w="243" w:type="dxa"/>
            <w:tcBorders/>
            <w:tcMar>
              <w:bottom w:w="0" w:type="dxa"/>
            </w:tcMar>
            <w:vAlign w:val="center"/>
          </w:tcPr>
          <w:p>
            <w:pPr>
              <w:pStyle w:val="TableContents"/>
              <w:bidi w:val="0"/>
              <w:spacing w:before="0" w:after="283"/>
              <w:jc w:val="left"/>
              <w:rPr/>
            </w:pPr>
            <w:r>
              <w:rPr/>
              <w:t> </w:t>
            </w:r>
          </w:p>
        </w:tc>
      </w:tr>
      <w:tr>
        <w:trPr/>
        <w:tc>
          <w:tcPr>
            <w:tcW w:w="1833" w:type="dxa"/>
            <w:tcBorders/>
            <w:shd w:fill="CCEEFF" w:val="clear"/>
            <w:tcMar>
              <w:bottom w:w="0" w:type="dxa"/>
            </w:tcMar>
            <w:vAlign w:val="center"/>
          </w:tcPr>
          <w:p>
            <w:pPr>
              <w:pStyle w:val="TableContents"/>
              <w:bidi w:val="0"/>
              <w:spacing w:before="0" w:after="283"/>
              <w:jc w:val="left"/>
              <w:rPr/>
            </w:pPr>
            <w:r>
              <w:rPr/>
              <w:t>Equity compensation plans approved by security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2024" w:type="dxa"/>
            <w:tcBorders/>
            <w:shd w:fill="CCEEFF" w:val="clear"/>
            <w:tcMar>
              <w:bottom w:w="0" w:type="dxa"/>
            </w:tcMar>
            <w:vAlign w:val="center"/>
          </w:tcPr>
          <w:p>
            <w:pPr>
              <w:pStyle w:val="TableContents"/>
              <w:bidi w:val="0"/>
              <w:spacing w:before="0" w:after="283"/>
              <w:jc w:val="right"/>
              <w:rPr/>
            </w:pPr>
            <w:r>
              <w:rPr/>
              <w:t>14,711</w:t>
            </w:r>
          </w:p>
        </w:tc>
        <w:tc>
          <w:tcPr>
            <w:tcW w:w="224" w:type="dxa"/>
            <w:tcBorders/>
            <w:shd w:fill="CCEEFF" w:val="clear"/>
            <w:tcMar>
              <w:bottom w:w="0" w:type="dxa"/>
            </w:tcMar>
            <w:vAlign w:val="center"/>
          </w:tcPr>
          <w:p>
            <w:pPr>
              <w:pStyle w:val="TableContents"/>
              <w:bidi w:val="0"/>
              <w:spacing w:before="0" w:after="283"/>
              <w:jc w:val="left"/>
              <w:rPr/>
            </w:pPr>
            <w:r>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w:t>
            </w:r>
          </w:p>
        </w:tc>
        <w:tc>
          <w:tcPr>
            <w:tcW w:w="2143" w:type="dxa"/>
            <w:tcBorders/>
            <w:shd w:fill="CCEEFF" w:val="clear"/>
            <w:tcMar>
              <w:bottom w:w="0" w:type="dxa"/>
            </w:tcMar>
            <w:vAlign w:val="center"/>
          </w:tcPr>
          <w:p>
            <w:pPr>
              <w:pStyle w:val="TableContents"/>
              <w:bidi w:val="0"/>
              <w:spacing w:before="0" w:after="283"/>
              <w:jc w:val="right"/>
              <w:rPr/>
            </w:pPr>
            <w:r>
              <w:rPr/>
              <w:t>262.78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c>
          <w:tcPr>
            <w:tcW w:w="2650" w:type="dxa"/>
            <w:tcBorders/>
            <w:shd w:fill="CCEEFF" w:val="clear"/>
            <w:tcMar>
              <w:bottom w:w="0" w:type="dxa"/>
            </w:tcMar>
            <w:vAlign w:val="center"/>
          </w:tcPr>
          <w:p>
            <w:pPr>
              <w:pStyle w:val="TableContents"/>
              <w:bidi w:val="0"/>
              <w:spacing w:before="0" w:after="283"/>
              <w:jc w:val="right"/>
              <w:rPr/>
            </w:pPr>
            <w:r>
              <w:rPr/>
              <w:t>36,657</w:t>
            </w:r>
          </w:p>
        </w:tc>
        <w:tc>
          <w:tcPr>
            <w:tcW w:w="243" w:type="dxa"/>
            <w:tcBorders/>
            <w:shd w:fill="CCEEFF" w:val="clear"/>
            <w:tcMar>
              <w:bottom w:w="0" w:type="dxa"/>
            </w:tcMar>
            <w:vAlign w:val="center"/>
          </w:tcPr>
          <w:p>
            <w:pPr>
              <w:pStyle w:val="TableContents"/>
              <w:bidi w:val="0"/>
              <w:spacing w:before="0" w:after="283"/>
              <w:jc w:val="left"/>
              <w:rPr/>
            </w:pPr>
            <w:r>
              <w:rPr/>
              <w:t>(2)</w:t>
            </w:r>
          </w:p>
        </w:tc>
      </w:tr>
      <w:tr>
        <w:trPr/>
        <w:tc>
          <w:tcPr>
            <w:tcW w:w="183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Equity compensation plans not approved by security holders </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6" w:type="dxa"/>
            <w:tcBorders/>
            <w:shd w:fill="FFFFFF" w:val="clear"/>
            <w:tcMar>
              <w:bottom w:w="0" w:type="dxa"/>
            </w:tcMar>
            <w:vAlign w:val="center"/>
          </w:tcPr>
          <w:p>
            <w:pPr>
              <w:pStyle w:val="TableContents"/>
              <w:bidi w:val="0"/>
              <w:spacing w:before="0" w:after="283"/>
              <w:jc w:val="left"/>
              <w:rPr/>
            </w:pPr>
            <w:r>
              <w:rPr/>
              <w:t> </w:t>
            </w:r>
          </w:p>
        </w:tc>
        <w:tc>
          <w:tcPr>
            <w:tcW w:w="2024" w:type="dxa"/>
            <w:tcBorders/>
            <w:shd w:fill="FFFFFF" w:val="clear"/>
            <w:tcMar>
              <w:bottom w:w="0" w:type="dxa"/>
            </w:tcMar>
            <w:vAlign w:val="center"/>
          </w:tcPr>
          <w:p>
            <w:pPr>
              <w:pStyle w:val="TableContents"/>
              <w:bidi w:val="0"/>
              <w:spacing w:before="0" w:after="283"/>
              <w:jc w:val="right"/>
              <w:rPr/>
            </w:pPr>
            <w:r>
              <w:rPr/>
              <w:t>14,317</w:t>
            </w:r>
          </w:p>
        </w:tc>
        <w:tc>
          <w:tcPr>
            <w:tcW w:w="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w:t>
            </w:r>
          </w:p>
        </w:tc>
        <w:tc>
          <w:tcPr>
            <w:tcW w:w="2143" w:type="dxa"/>
            <w:tcBorders/>
            <w:shd w:fill="FFFFFF" w:val="clear"/>
            <w:tcMar>
              <w:bottom w:w="0" w:type="dxa"/>
            </w:tcMar>
            <w:vAlign w:val="center"/>
          </w:tcPr>
          <w:p>
            <w:pPr>
              <w:pStyle w:val="TableContents"/>
              <w:bidi w:val="0"/>
              <w:spacing w:before="0" w:after="283"/>
              <w:jc w:val="right"/>
              <w:rPr/>
            </w:pPr>
            <w:r>
              <w:rPr/>
              <w:t>7.80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2" w:type="dxa"/>
            <w:tcBorders/>
            <w:shd w:fill="FFFFFF" w:val="clear"/>
            <w:tcMar>
              <w:bottom w:w="0" w:type="dxa"/>
            </w:tcMar>
            <w:vAlign w:val="center"/>
          </w:tcPr>
          <w:p>
            <w:pPr>
              <w:pStyle w:val="TableContents"/>
              <w:bidi w:val="0"/>
              <w:spacing w:before="0" w:after="283"/>
              <w:jc w:val="left"/>
              <w:rPr/>
            </w:pPr>
            <w:r>
              <w:rPr/>
              <w:t> </w:t>
            </w:r>
          </w:p>
        </w:tc>
        <w:tc>
          <w:tcPr>
            <w:tcW w:w="2650" w:type="dxa"/>
            <w:tcBorders/>
            <w:shd w:fill="FFFFFF" w:val="clear"/>
            <w:tcMar>
              <w:bottom w:w="0" w:type="dxa"/>
            </w:tcMar>
            <w:vAlign w:val="center"/>
          </w:tcPr>
          <w:p>
            <w:pPr>
              <w:pStyle w:val="TableContents"/>
              <w:bidi w:val="0"/>
              <w:spacing w:before="0" w:after="283"/>
              <w:jc w:val="right"/>
              <w:rPr/>
            </w:pPr>
            <w:r>
              <w:rPr/>
              <w:t>27,350</w:t>
            </w:r>
          </w:p>
        </w:tc>
        <w:tc>
          <w:tcPr>
            <w:tcW w:w="243" w:type="dxa"/>
            <w:tcBorders/>
            <w:shd w:fill="FFFFFF" w:val="clear"/>
            <w:tcMar>
              <w:bottom w:w="0" w:type="dxa"/>
            </w:tcMar>
            <w:vAlign w:val="center"/>
          </w:tcPr>
          <w:p>
            <w:pPr>
              <w:pStyle w:val="TableContents"/>
              <w:bidi w:val="0"/>
              <w:spacing w:before="0" w:after="283"/>
              <w:jc w:val="left"/>
              <w:rPr/>
            </w:pPr>
            <w:r>
              <w:rPr/>
              <w:t> </w:t>
            </w:r>
          </w:p>
        </w:tc>
      </w:tr>
      <w:tr>
        <w:trPr/>
        <w:tc>
          <w:tcPr>
            <w:tcW w:w="1833"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6" w:type="dxa"/>
            <w:tcBorders/>
            <w:shd w:fill="CCEEFF" w:val="clear"/>
            <w:tcMar>
              <w:bottom w:w="0" w:type="dxa"/>
            </w:tcMar>
            <w:vAlign w:val="center"/>
          </w:tcPr>
          <w:p>
            <w:pPr>
              <w:pStyle w:val="TableContents"/>
              <w:bidi w:val="0"/>
              <w:spacing w:before="0" w:after="283"/>
              <w:jc w:val="left"/>
              <w:rPr/>
            </w:pPr>
            <w:r>
              <w:rPr/>
              <w:t> </w:t>
            </w:r>
          </w:p>
        </w:tc>
        <w:tc>
          <w:tcPr>
            <w:tcW w:w="2024" w:type="dxa"/>
            <w:tcBorders/>
            <w:shd w:fill="CCEEFF" w:val="clear"/>
            <w:tcMar>
              <w:bottom w:w="0" w:type="dxa"/>
            </w:tcMar>
            <w:vAlign w:val="center"/>
          </w:tcPr>
          <w:p>
            <w:pPr>
              <w:pStyle w:val="TableContents"/>
              <w:bidi w:val="0"/>
              <w:spacing w:before="0" w:after="283"/>
              <w:jc w:val="right"/>
              <w:rPr/>
            </w:pPr>
            <w:r>
              <w:rPr/>
              <w:t>29,028</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w:t>
            </w:r>
          </w:p>
        </w:tc>
        <w:tc>
          <w:tcPr>
            <w:tcW w:w="2143" w:type="dxa"/>
            <w:tcBorders/>
            <w:shd w:fill="CCEEFF" w:val="clear"/>
            <w:tcMar>
              <w:bottom w:w="0" w:type="dxa"/>
            </w:tcMar>
            <w:vAlign w:val="center"/>
          </w:tcPr>
          <w:p>
            <w:pPr>
              <w:pStyle w:val="TableContents"/>
              <w:bidi w:val="0"/>
              <w:spacing w:before="0" w:after="283"/>
              <w:jc w:val="right"/>
              <w:rPr/>
            </w:pPr>
            <w:r>
              <w:rPr/>
              <w:t>137.02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2" w:type="dxa"/>
            <w:tcBorders/>
            <w:shd w:fill="CCEEFF" w:val="clear"/>
            <w:tcMar>
              <w:bottom w:w="0" w:type="dxa"/>
            </w:tcMar>
            <w:vAlign w:val="center"/>
          </w:tcPr>
          <w:p>
            <w:pPr>
              <w:pStyle w:val="TableContents"/>
              <w:bidi w:val="0"/>
              <w:spacing w:before="0" w:after="283"/>
              <w:jc w:val="left"/>
              <w:rPr/>
            </w:pPr>
            <w:r>
              <w:rPr/>
              <w:t> </w:t>
            </w:r>
          </w:p>
        </w:tc>
        <w:tc>
          <w:tcPr>
            <w:tcW w:w="2650" w:type="dxa"/>
            <w:tcBorders/>
            <w:shd w:fill="CCEEFF" w:val="clear"/>
            <w:tcMar>
              <w:bottom w:w="0" w:type="dxa"/>
            </w:tcMar>
            <w:vAlign w:val="center"/>
          </w:tcPr>
          <w:p>
            <w:pPr>
              <w:pStyle w:val="TableContents"/>
              <w:bidi w:val="0"/>
              <w:spacing w:before="0" w:after="283"/>
              <w:jc w:val="right"/>
              <w:rPr/>
            </w:pPr>
            <w:r>
              <w:rPr/>
              <w:t>64,007</w:t>
            </w:r>
          </w:p>
        </w:tc>
        <w:tc>
          <w:tcPr>
            <w:tcW w:w="243"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outstanding options to purchase 11,183 shares of our common stock under the 2020 Plan and (ii) outstanding options to purchase 3,528 shares of our common stock under the 2017 Plan. The 2017 Plan was terminated upon the adoption of the 2020 Plan.</w:t>
            </w:r>
          </w:p>
        </w:tc>
      </w:tr>
    </w:tbl>
    <w:p>
      <w:pPr>
        <w:pStyle w:val="TextBody"/>
        <w:bidi w:val="0"/>
        <w:spacing w:before="0" w:after="0"/>
        <w:ind w:left="360" w:right="0" w:hanging="36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260"/>
        <w:gridCol w:w="726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our common stock available for future issuance under the 2020 Plan.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our 2024 Inducement Plan (the “2024 Plan”). The 2024 Plan was approved by our Board of Directors on January 13, 2024. The 2024 Plan is currently administered by the Board of Directors. The 2024 Plan permits the grant of options and certain other stock awards to the Company’s employees, directors and consultants. The 2024 Plan provides for the issuance of up to 41,667 shares to eligible recipients pursuant to equity incentive awards. The options may only be granted as “non-qualified stock options”. The exercise price of an option granted under the plan cannot be less than 100% of the fair market value per share of common stock on the date of the grant of the option. Options may not be granted under the plan on or after the tenth anniversary of the adoption of the plan. Options forfeited under the 2024 Plan are returned to the share reserve for future issuance thereunder.</w:t>
            </w:r>
          </w:p>
        </w:tc>
      </w:tr>
    </w:tbl>
    <w:p>
      <w:pPr>
        <w:pStyle w:val="TextBody"/>
        <w:bidi w:val="0"/>
        <w:spacing w:before="0" w:after="0"/>
        <w:ind w:left="360" w:right="0" w:hanging="36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3" w:name="su_012"/>
      <w:bookmarkEnd w:id="103"/>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regarding the ownership of our common stock as of April 17, 2026 (except as noted) by:</w:t>
      </w:r>
    </w:p>
    <w:p>
      <w:pPr>
        <w:pStyle w:val="TextBody"/>
        <w:bidi w:val="0"/>
        <w:spacing w:before="0" w:after="0"/>
        <w:ind w:left="0"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17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group of affiliated persons, known by us to beneficially own more than 5% of our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3393" w:type="dxa"/>
        <w:jc w:val="left"/>
        <w:tblInd w:w="0" w:type="dxa"/>
        <w:tblLayout w:type="fixed"/>
        <w:tblCellMar>
          <w:top w:w="0" w:type="dxa"/>
          <w:left w:w="0" w:type="dxa"/>
          <w:bottom w:w="0" w:type="dxa"/>
          <w:right w:w="0" w:type="dxa"/>
        </w:tblCellMar>
      </w:tblPr>
      <w:tblGrid>
        <w:gridCol w:w="38"/>
        <w:gridCol w:w="17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director and nominee for director;</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executive officers named in the Summary Compensation Table under “Executive Compensation” above (referred to throughout this proxy statement as our “Named Executive Officers”); and</w:t>
            </w:r>
          </w:p>
        </w:tc>
      </w:tr>
    </w:tbl>
    <w:p>
      <w:pPr>
        <w:pStyle w:val="TextBody"/>
        <w:bidi w:val="0"/>
        <w:spacing w:before="0" w:after="0"/>
        <w:ind w:left="720" w:right="0" w:hanging="36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17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3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executive officers and directors as a group.</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table is based upon information supplied by officers and directors, as well as Schedules 13G or 13D and Section 16 filings filed with the SEC by beneficial owners of more than 5% of our common stock. In computing the number of shares beneficially owned by a person and the percentage ownership of that person, shares of our common stock subject to securities that are convertible into or exercisable for shares of common stock as of April 17, 2026 or will become convertible into or exercisable for shares of common stock within 60 days thereafter are deemed outstanding, while such shares are not deemed outstanding for purposes of computing percentage ownership of any other person.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11,820,429 shares outstanding on April 17, 2026, adjusted as required by rules promulgated by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below, the address for persons listed in the table is c/o Reed’s Inc., 501 Merritt 7 PH, Norwalk, CT 06851.</w:t>
      </w:r>
    </w:p>
    <w:p>
      <w:pPr>
        <w:pStyle w:val="TextBody"/>
        <w:bidi w:val="0"/>
        <w:spacing w:before="0" w:after="0"/>
        <w:ind w:left="0" w:right="0" w:hanging="0"/>
        <w:jc w:val="both"/>
        <w:rPr>
          <w:caps w:val="false"/>
          <w:smallCaps w:val="false"/>
        </w:rPr>
      </w:pPr>
      <w:r>
        <w:rPr>
          <w:caps w:val="false"/>
          <w:smallCaps w:val="false"/>
        </w:rPr>
        <w:t> </w:t>
      </w:r>
    </w:p>
    <w:tbl>
      <w:tblPr>
        <w:tblW w:w="9526" w:type="dxa"/>
        <w:jc w:val="left"/>
        <w:tblInd w:w="0" w:type="dxa"/>
        <w:tblLayout w:type="fixed"/>
        <w:tblCellMar>
          <w:top w:w="0" w:type="dxa"/>
          <w:left w:w="0" w:type="dxa"/>
          <w:bottom w:w="0" w:type="dxa"/>
          <w:right w:w="0" w:type="dxa"/>
        </w:tblCellMar>
      </w:tblPr>
      <w:tblGrid>
        <w:gridCol w:w="6650"/>
        <w:gridCol w:w="60"/>
        <w:gridCol w:w="79"/>
        <w:gridCol w:w="1295"/>
        <w:gridCol w:w="79"/>
        <w:gridCol w:w="79"/>
        <w:gridCol w:w="126"/>
        <w:gridCol w:w="928"/>
        <w:gridCol w:w="230"/>
      </w:tblGrid>
      <w:tr>
        <w:trPr/>
        <w:tc>
          <w:tcPr>
            <w:tcW w:w="6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8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Beneficial Ownership</w:t>
            </w:r>
          </w:p>
        </w:tc>
        <w:tc>
          <w:tcPr>
            <w:tcW w:w="230" w:type="dxa"/>
            <w:tcBorders/>
            <w:vAlign w:val="center"/>
          </w:tcPr>
          <w:p>
            <w:pPr>
              <w:pStyle w:val="TableContents"/>
              <w:bidi w:val="0"/>
              <w:spacing w:before="0" w:after="283"/>
              <w:jc w:val="left"/>
              <w:rPr/>
            </w:pPr>
            <w:r>
              <w:rPr/>
              <w:t> </w:t>
            </w:r>
          </w:p>
        </w:tc>
      </w:tr>
      <w:tr>
        <w:trPr/>
        <w:tc>
          <w:tcPr>
            <w:tcW w:w="6650" w:type="dxa"/>
            <w:tcBorders>
              <w:bottom w:val="single" w:sz="8" w:space="0" w:color="000000"/>
            </w:tcBorders>
            <w:tcMar>
              <w:bottom w:w="28" w:type="dxa"/>
            </w:tcMar>
            <w:vAlign w:val="center"/>
          </w:tcPr>
          <w:p>
            <w:pPr>
              <w:pStyle w:val="TableContents"/>
              <w:bidi w:val="0"/>
              <w:spacing w:before="0" w:after="283"/>
              <w:jc w:val="left"/>
              <w:rPr>
                <w:b/>
              </w:rPr>
            </w:pPr>
            <w:r>
              <w:rPr>
                <w:b/>
              </w:rPr>
              <w:t>Beneficial Owner</w:t>
            </w:r>
          </w:p>
        </w:tc>
        <w:tc>
          <w:tcPr>
            <w:tcW w:w="60" w:type="dxa"/>
            <w:tcBorders/>
            <w:vAlign w:val="center"/>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 of</w:t>
              <w:br/>
              <w:t>Total</w:t>
            </w:r>
          </w:p>
        </w:tc>
        <w:tc>
          <w:tcPr>
            <w:tcW w:w="230" w:type="dxa"/>
            <w:tcBorders/>
            <w:vAlign w:val="center"/>
          </w:tcPr>
          <w:p>
            <w:pPr>
              <w:pStyle w:val="TableContents"/>
              <w:bidi w:val="0"/>
              <w:spacing w:before="0" w:after="283"/>
              <w:jc w:val="left"/>
              <w:rPr/>
            </w:pPr>
            <w:r>
              <w:rPr/>
              <w:t> </w:t>
            </w:r>
          </w:p>
        </w:tc>
      </w:tr>
      <w:tr>
        <w:trPr/>
        <w:tc>
          <w:tcPr>
            <w:tcW w:w="6650" w:type="dxa"/>
            <w:tcBorders/>
            <w:shd w:fill="CCEEFF" w:val="clear"/>
            <w:vAlign w:val="center"/>
          </w:tcPr>
          <w:p>
            <w:pPr>
              <w:pStyle w:val="TableContents"/>
              <w:bidi w:val="0"/>
              <w:spacing w:before="0" w:after="283"/>
              <w:jc w:val="left"/>
              <w:rPr>
                <w:b/>
              </w:rPr>
            </w:pPr>
            <w:r>
              <w:rPr>
                <w:b/>
              </w:rPr>
              <w:t>5% Stockholders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left"/>
              <w:rPr>
                <w:sz w:val="4"/>
                <w:szCs w:val="4"/>
              </w:rPr>
            </w:pPr>
            <w:r>
              <w:rPr>
                <w:sz w:val="4"/>
                <w:szCs w:val="4"/>
              </w:rPr>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sz w:val="4"/>
                <w:szCs w:val="4"/>
              </w:rPr>
            </w:pPr>
            <w:r>
              <w:rPr>
                <w:sz w:val="4"/>
                <w:szCs w:val="4"/>
              </w:rPr>
            </w:r>
          </w:p>
        </w:tc>
        <w:tc>
          <w:tcPr>
            <w:tcW w:w="23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D&amp;D Source of Life Holding Ltd.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6,183,856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52.1</w:t>
            </w:r>
          </w:p>
        </w:tc>
        <w:tc>
          <w:tcPr>
            <w:tcW w:w="230" w:type="dxa"/>
            <w:tcBorders/>
            <w:shd w:fill="FFFFFF" w:val="clear"/>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b/>
              </w:rPr>
            </w:pPr>
            <w:r>
              <w:rPr>
                <w:b/>
              </w:rPr>
              <w:t>Named Executive Officers, Directors and Director Nominees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Cyril A. Wallace, Jr.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Norman E. Snyder, Jr.</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11,674</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r>
        <w:trPr/>
        <w:tc>
          <w:tcPr>
            <w:tcW w:w="6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Neal M. Cohane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675</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pPr>
            <w:r>
              <w:rPr/>
              <w:t>Douglas W. McCurdy</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6650" w:type="dxa"/>
            <w:tcBorders/>
            <w:shd w:fill="FFFFFF" w:val="clear"/>
            <w:vAlign w:val="center"/>
          </w:tcPr>
          <w:p>
            <w:pPr>
              <w:pStyle w:val="TableContents"/>
              <w:bidi w:val="0"/>
              <w:spacing w:before="0" w:after="283"/>
              <w:jc w:val="left"/>
              <w:rPr/>
            </w:pPr>
            <w:r>
              <w:rPr/>
              <w:t>Yumin Dai</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pPr>
            <w:r>
              <w:rPr/>
              <w:t>Shufen Deng</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6650" w:type="dxa"/>
            <w:tcBorders/>
            <w:shd w:fill="FFFFFF" w:val="clear"/>
            <w:vAlign w:val="center"/>
          </w:tcPr>
          <w:p>
            <w:pPr>
              <w:pStyle w:val="TableContents"/>
              <w:bidi w:val="0"/>
              <w:spacing w:before="0" w:after="283"/>
              <w:jc w:val="left"/>
              <w:rPr/>
            </w:pPr>
            <w:r>
              <w:rPr/>
              <w:t>Sam Van</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pPr>
            <w:r>
              <w:rPr/>
              <w:t>Rudolf J. M. Bakker</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w:t>
            </w:r>
          </w:p>
        </w:tc>
      </w:tr>
      <w:tr>
        <w:trPr/>
        <w:tc>
          <w:tcPr>
            <w:tcW w:w="6650" w:type="dxa"/>
            <w:tcBorders/>
            <w:shd w:fill="FFFFFF" w:val="clear"/>
            <w:vAlign w:val="center"/>
          </w:tcPr>
          <w:p>
            <w:pPr>
              <w:pStyle w:val="TableContents"/>
              <w:bidi w:val="0"/>
              <w:spacing w:before="0" w:after="283"/>
              <w:jc w:val="left"/>
              <w:rPr/>
            </w:pPr>
            <w:r>
              <w:rPr/>
              <w:t>Michael C. Tu</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w:t>
            </w:r>
          </w:p>
        </w:tc>
      </w:tr>
      <w:tr>
        <w:trPr/>
        <w:tc>
          <w:tcPr>
            <w:tcW w:w="6650" w:type="dxa"/>
            <w:tcBorders/>
            <w:shd w:fill="CCEEFF" w:val="clear"/>
            <w:vAlign w:val="center"/>
          </w:tcPr>
          <w:p>
            <w:pPr>
              <w:pStyle w:val="TableContents"/>
              <w:bidi w:val="0"/>
              <w:spacing w:before="0" w:after="283"/>
              <w:jc w:val="left"/>
              <w:rPr>
                <w:b/>
              </w:rPr>
            </w:pPr>
            <w:r>
              <w:rPr>
                <w:b/>
              </w:rPr>
              <w:t>All current executive officers and directors as a group (7 persons)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675</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140"/>
        <w:gridCol w:w="398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1%.</w:t>
            </w:r>
          </w:p>
        </w:tc>
      </w:tr>
    </w:tbl>
    <w:p>
      <w:pPr>
        <w:pStyle w:val="TextBody"/>
        <w:bidi w:val="0"/>
        <w:spacing w:before="0" w:after="0"/>
        <w:ind w:left="80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is based partially on the information reported on the Schedule 13D filed by D&amp;D and Era Regenerative Medicine Ltd (“ERM”) on June 10, 2025. The amount reported consists of (i) 5,777,524 shares of common stock held by D&amp;D, (ii) 38,685 shares of common stock underlying warrants held by D&amp;D that are exercisable within 60 days of April 17, 2026, (iii) 367,647 shares of common stock held by ERM. 1,250,000 shares of common stock underlying warrants are excluded from the amount reported above as beneficially owned because they are subject to limitations on exercisability if such exercise would result in D&amp;D beneficially owning more than 4.99% of our outstanding common stock. ERM is a holding company and the sole shareholder of D&amp;D. Dai Siqi is the sole director of ERM, and may be deemed to have shared voting, investment and dispositive power with respect to the securities held by D&amp;D. Dai Siqi disclaims beneficial ownership in the securities held by D&amp;D except for his pecuniary interest therein as sole director of ERM. The address of D&amp;D is Genesis Building, 5th Floor, Genesis Close, George Town, PO Box 446, Grand Cayman, Cayman Islands, KY1-1106. The address of each of ERM and Dai Siqi is Unit 8, 3/F, Qwomar Trading Complex, Blackburne Road, Port Purcell, Road Town Tortola, D8, VG1110.</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Wallace resigned from the positions of our Chief Executive Officer and a member of the Board of Directors, effective March 24, 2026. Mr. Wallace remained an employee of the Company through March 31, 2026 and will serve in a consulting capacity through April 30, 2026. Mr. Wallace is expected to receive a restricted stock award under the 2020 Plan pursuant to his separation agreement with us, as described in the section titled “Transactions with Related Persons and Indemnification”.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Snyder retired as our Chief Executive Officer effective April 16, 2025 and continued serving as an employee through May 31, 2025. The amount reported consists of (i) options to purchase 11,198 shares of common stock that are exercisable within 60 days of April 17, 2026 and (ii) 476 shares of common stock underlying warrants that are exercisable within 60 days of April 17,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Cohane, our Chief Operating Officer, was appointed as our interim Chief Executive Officer and a member of the Board of Directors effective March 24, 2026.</w:t>
            </w:r>
          </w:p>
        </w:tc>
      </w:tr>
    </w:tbl>
    <w:p>
      <w:pPr>
        <w:pStyle w:val="TextBody"/>
        <w:bidi w:val="0"/>
        <w:spacing w:before="0" w:after="0"/>
        <w:ind w:left="360" w:right="0" w:hanging="36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4" w:name="su_004"/>
      <w:bookmarkEnd w:id="104"/>
      <w:r>
        <w:rPr>
          <w:rFonts w:ascii="Times New Roman;Times;Serif" w:hAnsi="Times New Roman;Times;Serif"/>
          <w:b/>
          <w:i w:val="false"/>
          <w:caps/>
          <w:sz w:val="20"/>
        </w:rPr>
        <w:t>DELINQUENT SECTION 16(A) REPORTS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Securities Exchange Act of 1934, as amended (the “Exchange Act”), requires our directors and executive officers and beneficial holders of more than 10% of our common stock to file with the SEC initial reports of ownership and reports of changes in ownership of our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upon a review of such reports filed electronically with the SEC, during our fiscal year ended December 31, 2025, the following individuals each failed to timely file a Form 3: Michael C. Tu, Tina Reejsinghani, Cyril Wallace, Rudolf J. M. Bakker, and Sam Van. Era Regenerative Medicine Ltd., an entity affiliated with D&amp;D, failed to timely file a Form 4 with respect to one transaction during the reporting period.</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5" w:name="su_005"/>
      <w:bookmarkEnd w:id="105"/>
      <w:r>
        <w:rPr>
          <w:rFonts w:ascii="Times New Roman;Times;Serif" w:hAnsi="Times New Roman;Times;Serif"/>
          <w:b/>
          <w:i w:val="false"/>
          <w:caps/>
          <w:sz w:val="20"/>
        </w:rPr>
        <w:t>Transactions with Related Persons and Indemnification</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Relationships and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includes a summary of transactions since January 1, 2024 to which we have been a party, in which the amount involved in the transaction exceeded the lesser of $120,000 or one percent of the average of our total assets at year-end for the last two completed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of control, and other arrangements, which are described under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D&amp;D Source of Life Holding, Ltd.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2024, D&amp;D invested $3,000,000 in us through Simple Agreement for Future Equity (SAFE) vehicles. Pursuant to its SAFE, (i) D&amp;D’s director designation rights were reaffirmed and expanded to rights to designate up to three directors of the Company, two of whom must be independent, (ii) Shufen Deng was named Vice-Chairperson of the Board of Directors, and (iii) Randle Lee Edwards was designated as an independent director designee. D&amp;D’s director designation rights continue so long as D&amp;D beneficially owns 25% or more of the Company’s issued and outstanding common stock. In addition, in connection with this investment, the Company agreed to limit the size of the Board to nine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2024, D&amp;D subscribed for an aggregate of 3,268,795 shares of common stock in a private placement transaction (“PIPE”). D&amp;D’s subscription in such private placement was paid through automatic conversion of its SAFE in the principal amount of $3,000,000 with the balance of $1,903,192 paid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2024, certain funds affiliated with Whitebox Advisors, LLC (“Whitebox”) sold and assigned their entire interest in eight secured promissory notes (the “Whitebox Notes”) of the Company to D&amp;D for a total purchase price of $17,878,248.17. The Whitebox Notes contained customary affirmative and negative covenants and events of default. The Whitebox Notes were secured by substantially all of the Company’s assets, including all intellectual property. Certain of the Whitebox Notes were not convertible and certain of the Whitebox Notes were convertible, subject to certain limitations, including a beneficial ownership limitation of 9.9% of the number of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we entered into a new secured one-year term loan with a principal amount of $10.0 million with Whitebox. The term loan is secured by substantially all of the Company’s assets, including all intellectual property. We used part of the proceeds to pay off and close our then existing revolving line of credit. In order to facilitate the term loan transaction, D&amp;D and the Company amended the Whitebox Notes. D&amp;D released all collateral under the Whitebox Notes, deferred cash payments thereunder and extended the maturity dates of all of the Whitebox Notes to 181 days after the maturity of the revolving credit facility, which was November 14, 2025 (with the maturity dates of the Whitebox Notes extended to May 14, 2026). D&amp;D and its agent further waived certain events of default under the Whitebox Notes through the maturity date. Further, as part of the term loan transaction, D&amp;D subordinated its Whitebox Notes to Whitebox. The Company further pledged collateral and granted security interests in all of its intellectual property to Whitebox.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2024, we and D&amp;D entered into an exchange agreement, whereby D&amp;D equitized the Whitebox Notes, in full, for an aggregate of 22,478,074 shares of common stock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ERM, the sole shareholder of D&amp;D, acquired 367,647 shares of our common stock on December 30, 2024, in a private placement of an aggregate of 14,705,882 shares of common stock to accredited investors for aggregate gross proceeds of $10,000,000. The purchase price per share was $0.68. Pursuant to a Registration Rights Agreement, effective December 30, 2024, we filed a registration statement on Form S-1 (File No. 333-286492), which was declared effective by the SEC on April 21, 2025, covering the resale of the Registrable Securities (as defined therein).</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we and D&amp;D entered into an amendment to the Shareholders Agreement dated May 25, 2023 (as amended, the “D&amp;D Shareholders Agreement”), amending the agreement to incorporate the following previously agreed terms: so long as D&amp;D owns 25% or more of the Company’s issued and outstanding common stock, (1) D&amp;D shall have the right to designate three individuals for appointment to the Board of Directors, two of whom shall be “independent directors” as defined in applicable SEC and exchange rules, (2) D&amp;D shall have the right to designate one board observer and (3) the size of the Board of Directors will not exceed nine members without the consent of both D&amp;D’s independent designated directors. Pursuant to the D&amp;D Shareholders Agreement, D&amp;D has designated Shufen Deng, chairperson of our Board of Directors, Sam Van and Michael Tu, each an independent director, to serve on our Board of Directors. D&amp;D has also designated Yumin Dai, the spouse of Shufen Deng, as a board observer.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24, 2025, we and D&amp;D entered into a Board Observer Agreement governing D&amp;D’s right to designate the board observer. Such board observer right permits the observer’s attendance at board meetings and participation in discussions at such meetings. The agreement further provides for indemnification and advancement of expenses from the Company to the same extent provided by the Company to its directors and for reimbursement of reasonable out-of-pocket expenses incurred by the observer in connection with attending meeting, subject to company policies in effect. Any individual’s service as the observer is conditioned on such individual’s execution of an agreement with the Company that preserves the confidentiality of Reed’s information and board discussions. D&amp;D designated Mr. Yumin Dai to be the board observer.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2025, we entered into a Securities Purchase Agreement with certain accredited investors, including D&amp;D, pursuant to which we agreed to issue and sell $3,000,000 of shares of common stock at a purchase price per share of $0.93. D&amp;D purchased $1,000,000 of shares of common stock in this private placement, which closed on June 4, 2025. Pursuant to a Registration Rights Agreement dated May 28, 2025, we filed a registration statement on Form S-1 (File No. 333-289889), which was declared effective by the SEC on September 4, 2025, covering the resale of the Registrable Securities (as defined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2025, we completed a public offering (the “Offering”) of (i) 2,875,000 shares of common stock and (ii) warrants to purchase up to 2,875,000 shares of common stock. Each share of common stock and accompanying warrant to purchase one share of common stock were sold together at a combined public offering price of $4.00. Each warrant issued in the Offering has an exercise price per share of common stock equal to $4.50, subject to certain adjustments and beneficial ownership limitations. The warrants became immediately exercisable upon issuance and will expire on December 8, 2030. D&amp;D participated in the Offering and purchased 1,250,000 shares of common stock and warrants to purchase 1,250,000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John J. Bello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J. Bello is the former Chairperson of the Board of Directors and was a significant stockholder of the Company. In March 2023 he funded $300,000 to the Company through a SAFE investment. The SAFE investment converted into 300,000 shares of common stock on September 10, 2024 pursuant to the Company’s PIPE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Norman E. Snyder, Jr.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Personal Guaranty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2024, Norman E. Snyder Jr., the then-serving CEO of the Company, provided a personal guaranty for $500,000 over advance on the Company’s line of credit with Alterna Capital Solutions, LLC. The over advance was repaid by September 30, 2024.</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Snyder Transition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April 16, 2025, we entered into the Snyder Transition Agreement with Mr. Snyder, pursuant to which he ceased serving as our Chief Executive Officer. In order to ensure a smooth transition, Mr. Snyder remained an employee of the Company through May 31, 2025. Pursuant to the Snyder Transition Agreement, Mr. Snyder continued to receive his annual base salary and his unvested equity continued to vest through May 31, 2025. In addition, subject to his execution and delivery of a release of claims, Mr. Snyder was entitled to receive 12 months’ severance, payable in equal monthly installments through May 31, 2026, at his then-current salary rate, $378,525 per year, reimbursement of COBRA premiums and deductibles for such 12-month period, and his vested options would remain exercisable for an extended period of two years following his date of separation. The Snyder Transition Agreement also provides for a guaranteed bonus payment of $30,000 and an additional bonus of up to $20,000 based on the achievement of certain performance metrics. As of the date hereof, no portion of the $20,000 additional bonus payment was earned or paid, and the entire $20,000 amount has been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Yumin Dai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Yumin Dai is the spouse of Shufen Deng. On February 4, 2025, he was appointed Chief Executive Officer of the Company’s newly formed wholly owned subsidiary, Reed’s (Asia) Limited (BVI). His salary is $300,000 per year. The Company expects to expand Mr. Dai’s duties to serve as Chief Executive Officer and director of a newly formed Japanese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Cyril A. Wallace, Jr.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the Company entered into the Separation Agreement with Mr. Wallace. See “Executive Compensation—Potential Payments Upon Termination or Change of Control—Wallace Separation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with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and offer letter agreements with certain of our executive officers. See “Executive Compensation—Employment Arrangements with Our Named Executive Officers” and “Executive Compensation—Potential Payments Upon Termination or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and may grant in the future, stock options and restricted stock awards to our executive officers and our directors. For a description of these equity awards to our Named Executive Officers, see also the section titled “—Security Ownership of Certain Beneficial Owners and Management” for additional information regarding beneficial ownership of our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Indemnification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certain of our executive officers. These agreements require us to indemnify these individuals and, in certain cases, affiliates of such individuals, to the fullest extent permitted under Delaware law against liabilities that may arise by reason of their service to us, and to advance expenses incurred as a result of any proceeding against them as to which they could be indemnified.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Transactions with Related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involving compensation for services provided to us by an employee, consultant or director will not be considered related person transactions under this policy. A related person is any executive officer, director, nominee to become a director or a holder of more than 5% of any class of our voting securities, including any of their immediate family members and affiliates and entities owned or controlled by any related person.</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policy, the related person in question or, in the case of transactions with a holder of more than 5% of any class of our voting securities, an officer with knowledge of the proposed related person transaction, must present information regarding the proposed related person transaction to our Audit Committee (or, where review by our Audit Committee would be inappropriate, to another independent body of our Board)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2988" w:type="dxa"/>
        <w:jc w:val="left"/>
        <w:tblInd w:w="0" w:type="dxa"/>
        <w:tblLayout w:type="fixed"/>
        <w:tblCellMar>
          <w:top w:w="0" w:type="dxa"/>
          <w:left w:w="0" w:type="dxa"/>
          <w:bottom w:w="0" w:type="dxa"/>
          <w:right w:w="0" w:type="dxa"/>
        </w:tblCellMar>
      </w:tblPr>
      <w:tblGrid>
        <w:gridCol w:w="38"/>
        <w:gridCol w:w="170"/>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costs, and benefits to us;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a director’s independence in the event the related person is a director, immediate family member of a director or an entity with which a director is affiliated;</w:t>
            </w:r>
          </w:p>
        </w:tc>
      </w:tr>
    </w:tbl>
    <w:p>
      <w:pPr>
        <w:pStyle w:val="TextBody"/>
        <w:bidi w:val="0"/>
        <w:spacing w:before="0" w:after="0"/>
        <w:ind w:left="720" w:right="0" w:hanging="360"/>
        <w:jc w:val="both"/>
        <w:rPr>
          <w:caps w:val="false"/>
          <w:smallCaps w:val="false"/>
        </w:rPr>
      </w:pPr>
      <w:r>
        <w:rPr>
          <w:caps w:val="false"/>
          <w:smallCaps w:val="false"/>
        </w:rPr>
        <w:t> </w:t>
      </w:r>
    </w:p>
    <w:tbl>
      <w:tblPr>
        <w:tblW w:w="2493" w:type="dxa"/>
        <w:jc w:val="left"/>
        <w:tblInd w:w="0" w:type="dxa"/>
        <w:tblLayout w:type="fixed"/>
        <w:tblCellMar>
          <w:top w:w="0" w:type="dxa"/>
          <w:left w:w="0" w:type="dxa"/>
          <w:bottom w:w="0" w:type="dxa"/>
          <w:right w:w="0" w:type="dxa"/>
        </w:tblCellMar>
      </w:tblPr>
      <w:tblGrid>
        <w:gridCol w:w="38"/>
        <w:gridCol w:w="170"/>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2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6123" w:type="dxa"/>
        <w:jc w:val="left"/>
        <w:tblInd w:w="0" w:type="dxa"/>
        <w:tblLayout w:type="fixed"/>
        <w:tblCellMar>
          <w:top w:w="0" w:type="dxa"/>
          <w:left w:w="0" w:type="dxa"/>
          <w:bottom w:w="0" w:type="dxa"/>
          <w:right w:w="0" w:type="dxa"/>
        </w:tblCellMar>
      </w:tblPr>
      <w:tblGrid>
        <w:gridCol w:w="38"/>
        <w:gridCol w:w="17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other sources for comparable services or products; and</w:t>
            </w:r>
          </w:p>
        </w:tc>
      </w:tr>
    </w:tbl>
    <w:p>
      <w:pPr>
        <w:pStyle w:val="TextBody"/>
        <w:bidi w:val="0"/>
        <w:spacing w:before="0" w:after="0"/>
        <w:ind w:left="720" w:right="0" w:hanging="360"/>
        <w:jc w:val="both"/>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38"/>
        <w:gridCol w:w="170"/>
        <w:gridCol w:w="5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available to or from, as the case may be, unrelated third parties.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will approve only those transactions that it determines are fair to us and in our best interests. All of the transactions described above were entered into prior to the adoption of such policy.</w:t>
      </w:r>
    </w:p>
    <w:p>
      <w:pPr>
        <w:pStyle w:val="TextBody"/>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6" w:name="su_006"/>
      <w:bookmarkEnd w:id="106"/>
      <w:r>
        <w:rPr>
          <w:rFonts w:ascii="Times New Roman;Times;Serif" w:hAnsi="Times New Roman;Times;Serif"/>
          <w:b/>
          <w:i w:val="false"/>
          <w:caps/>
          <w:sz w:val="20"/>
        </w:rPr>
        <w:t>HOUSEHOLDING OF PROXY MATERIALS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a number of brokers with account holders who are Reed’s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notify our Corporate Secretary at (800) 997-3337 or send a written request to Reed’s, Inc., Attn: Corporate Secretary, 501 Merritt 7 PH, Norwalk, CT 06851. Stockholders who currently receive multiple copies of the Notices of Internet Availability of Proxy Materials at their addresses and would like to request “householding” of their communications should contact their brokers.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7" w:name="su_007"/>
      <w:bookmarkEnd w:id="107"/>
      <w:r>
        <w:rPr>
          <w:rFonts w:ascii="Times New Roman;Times;Serif" w:hAnsi="Times New Roman;Times;Serif"/>
          <w:b/>
          <w:i w:val="false"/>
          <w:caps/>
          <w:sz w:val="20"/>
        </w:rPr>
        <w:t>ADDITIONAL FILINGS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our website, all of our filings that are made electronically with the SEC, including Forms 10-K, 10-Q and 8-K. To access these filings, go to our website https://investor.reedsinc.com/ and click on the “Financial Information—SEC Filings” heading. Copies of our Annual Report on Form 10-K for the year ended December 31, 2025, including financial statements and schedules thereto, filed with the SEC, are also available without charge to stockholders by contacting our Corporate Secretary at (800) 997-3337 or by written request to Reed’s, Inc., Attn: Corporate Secretary, 501 Merritt 7 PH, Norwalk, CT 06851.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8" w:name="su_008"/>
      <w:bookmarkEnd w:id="108"/>
      <w:r>
        <w:rPr>
          <w:rFonts w:ascii="Times New Roman;Times;Serif" w:hAnsi="Times New Roman;Times;Serif"/>
          <w:b/>
          <w:i w:val="false"/>
          <w:caps/>
          <w:sz w:val="20"/>
        </w:rPr>
        <w:t>OTHER MATTERS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does not know of any other matters to be brought before the Annual Meeting. If other matters are presented, the proxy holders have discretionary authority to vote all proxies in accordance with their best judgment. Discretionary authority for them to do so is provided for in the proxy card and other forms of proxy.</w:t>
      </w:r>
    </w:p>
    <w:p>
      <w:pPr>
        <w:pStyle w:val="TextBody"/>
        <w:bidi w:val="0"/>
        <w:spacing w:before="0" w:after="0"/>
        <w:ind w:left="0" w:right="0" w:hanging="0"/>
        <w:jc w:val="both"/>
        <w:rPr>
          <w:caps w:val="false"/>
          <w:smallCaps w:val="false"/>
        </w:rPr>
      </w:pPr>
      <w:r>
        <w:rPr>
          <w:caps w:val="false"/>
          <w:smallCaps w:val="false"/>
        </w:rPr>
        <w:t> </w:t>
      </w:r>
    </w:p>
    <w:tbl>
      <w:tblPr>
        <w:tblW w:w="2660" w:type="dxa"/>
        <w:jc w:val="left"/>
        <w:tblInd w:w="0" w:type="dxa"/>
        <w:tblLayout w:type="fixed"/>
        <w:tblCellMar>
          <w:top w:w="0" w:type="dxa"/>
          <w:left w:w="0" w:type="dxa"/>
          <w:bottom w:w="28" w:type="dxa"/>
          <w:right w:w="0" w:type="dxa"/>
        </w:tblCellMar>
      </w:tblPr>
      <w:tblGrid>
        <w:gridCol w:w="2585"/>
        <w:gridCol w:w="75"/>
      </w:tblGrid>
      <w:tr>
        <w:trPr/>
        <w:tc>
          <w:tcPr>
            <w:tcW w:w="25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Neal M. Cohane</w:t>
            </w:r>
          </w:p>
        </w:tc>
        <w:tc>
          <w:tcPr>
            <w:tcW w:w="7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M. Cohane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Executive Officer</w:t>
            </w:r>
          </w:p>
          <w:p>
            <w:pPr>
              <w:pStyle w:val="TableContents"/>
              <w:bidi w:val="0"/>
              <w:spacing w:before="0" w:after="0"/>
              <w:ind w:left="240" w:right="0" w:hanging="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w:t>
            </w:r>
          </w:p>
        </w:tc>
        <w:tc>
          <w:tcPr>
            <w:tcW w:w="75" w:type="dxa"/>
            <w:tcBorders/>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9" w:name="su_009"/>
      <w:bookmarkEnd w:id="109"/>
      <w:r>
        <w:rPr>
          <w:rFonts w:ascii="Times New Roman;Times;Serif" w:hAnsi="Times New Roman;Times;Serif"/>
          <w:b/>
          <w:i w:val="false"/>
          <w:caps/>
          <w:sz w:val="20"/>
        </w:rPr>
        <w:t>Appendix A</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Reed’s, Inc. 2026 Equity Incentive Plan</w:t>
      </w:r>
    </w:p>
    <w:p>
      <w:pPr>
        <w:pStyle w:val="TextBody"/>
        <w:bidi w:val="0"/>
        <w:spacing w:before="0" w:after="0"/>
        <w:ind w:left="0" w:right="0" w:hanging="0"/>
        <w:jc w:val="center"/>
        <w:rPr>
          <w:caps/>
        </w:rPr>
      </w:pPr>
      <w:r>
        <w:rPr>
          <w:caps/>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bookmarkStart w:id="110" w:name="su_010"/>
      <w:bookmarkEnd w:id="110"/>
      <w:r>
        <w:rPr>
          <w:rFonts w:ascii="Times New Roman;Times;Serif" w:hAnsi="Times New Roman;Times;Serif"/>
          <w:b/>
          <w:i w:val="false"/>
          <w:smallCaps/>
          <w:sz w:val="20"/>
        </w:rPr>
        <w:t>Reed’s, Inc. 2026</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Equity Incentive Plan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Adopted by the Board of Directors: March 31</w:t>
      </w: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Approved by the Stockholders: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General.</w:t>
      </w:r>
    </w:p>
    <w:p>
      <w:pPr>
        <w:pStyle w:val="TextBody"/>
        <w:bidi w:val="0"/>
        <w:spacing w:before="0" w:after="0"/>
        <w:ind w:left="720" w:right="0" w:hanging="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Successor to Prior Plans.</w:t>
      </w:r>
      <w:r>
        <w:rPr>
          <w:rFonts w:ascii="Times New Roman;Times;Serif" w:hAnsi="Times New Roman;Times;Serif"/>
          <w:b w:val="false"/>
          <w:i w:val="false"/>
          <w:caps w:val="false"/>
          <w:smallCaps w:val="false"/>
          <w:sz w:val="20"/>
        </w:rPr>
        <w:t xml:space="preserve"> The Plan is the successor to the Prior Plans. As of the Effective Date, (i) no additional awards may be granted under the Prior Plans; and (ii) all outstanding awards granted under the Prior Plans will remain subject to the terms of the Prior Plans. All Awards granted under this Plan will be subject to the terms of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Plan Purpose.</w:t>
      </w:r>
      <w:r>
        <w:rPr>
          <w:rFonts w:ascii="Times New Roman;Times;Serif" w:hAnsi="Times New Roman;Times;Serif"/>
          <w:b w:val="false"/>
          <w:i w:val="false"/>
          <w:caps w:val="false"/>
          <w:smallCaps w:val="false"/>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Available Awards.</w:t>
      </w:r>
      <w:r>
        <w:rPr>
          <w:rFonts w:ascii="Times New Roman;Times;Serif" w:hAnsi="Times New Roman;Times;Serif"/>
          <w:b w:val="false"/>
          <w:i w:val="false"/>
          <w:caps w:val="false"/>
          <w:smallCaps w:val="false"/>
          <w:sz w:val="20"/>
        </w:rPr>
        <w:t xml:space="preserve"> The Plan provides for the grant of the following Awards: (i) Incentive Stock Options; (ii) Nonstatutory Stock Options; (iii) SARs; (iv) Restricted Stock Awards; (v) RSU Awards; (vi) Performance Awards; and (vii) Other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Adoption Date; Effective Date. </w:t>
      </w:r>
      <w:r>
        <w:rPr>
          <w:rFonts w:ascii="Times New Roman;Times;Serif" w:hAnsi="Times New Roman;Times;Serif"/>
          <w:b w:val="false"/>
          <w:i w:val="false"/>
          <w:caps w:val="false"/>
          <w:smallCaps w:val="false"/>
          <w:sz w:val="20"/>
        </w:rPr>
        <w:t>The Plan will come into existence on the Adoption Date, but no Award may be granted prior to the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smallCaps/>
          <w:sz w:val="20"/>
        </w:rPr>
        <w:t>Shares Subject to the Plan.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Share Reserve. </w:t>
      </w:r>
      <w:r>
        <w:rPr>
          <w:rFonts w:ascii="Times New Roman;Times;Serif" w:hAnsi="Times New Roman;Times;Serif"/>
          <w:b w:val="false"/>
          <w:i w:val="false"/>
          <w:caps w:val="false"/>
          <w:smallCaps w:val="false"/>
          <w:sz w:val="20"/>
        </w:rPr>
        <w:t>Subject to adjustment in accordance with Section 2(c) and any adjustments as necessary to implement any Capitalization Adjustments, the aggregate number of shares of Common Stock that may be issued pursuant to Awards will not exceed 1,300,000 shares. In addition, subject to any adjustments as necessary to implement any Capitalization Adjustments, such aggregate number of shares of Common Stock will automatically increase on January 1 of each year for a period of ten years commencing on January 1, 2027 and ending on (and including) January 1, 2036, in an amount equal to five percent (5%) of the total number of shares of Capital Stock outstanding on December 31 of the preceding year; provided, however, that the Board may act prior to January 1 of a given year to provide that the increase for such year will be a lesser number of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Aggregate Incentive Stock Option Limit.</w:t>
      </w:r>
      <w:r>
        <w:rPr>
          <w:rFonts w:ascii="Times New Roman;Times;Serif" w:hAnsi="Times New Roman;Times;Serif"/>
          <w:b w:val="false"/>
          <w:i w:val="false"/>
          <w:caps w:val="false"/>
          <w:smallCaps w:val="false"/>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3,900,000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Share Reserve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Limit Applies to Common Stock Issued Pursuant to Awards. </w:t>
      </w:r>
      <w:r>
        <w:rPr>
          <w:rFonts w:ascii="Times New Roman;Times;Serif" w:hAnsi="Times New Roman;Times;Serif"/>
          <w:b w:val="false"/>
          <w:i w:val="false"/>
          <w:caps w:val="false"/>
          <w:smallCaps w:val="false"/>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5635(c)(3), NYSE Listed Company Manual Section 303A.08, NYSE American Company Guide Section 711 or other applicable rule, and such issuance will not reduce the number of shares available for issuance under the Plan.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Actions that Do Not Constitute Issuance of Common Stock and Do Not Reduce Share Reserve.</w:t>
      </w:r>
      <w:r>
        <w:rPr>
          <w:rFonts w:ascii="Times New Roman;Times;Serif" w:hAnsi="Times New Roman;Times;Serif"/>
          <w:b w:val="false"/>
          <w:i w:val="false"/>
          <w:caps w:val="false"/>
          <w:smallCaps w:val="false"/>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bidi w:val="0"/>
        <w:spacing w:before="0" w:after="0"/>
        <w:ind w:left="0" w:right="0" w:firstLine="144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Reversion of Previously Issued Shares of Common Stock to Share Reserve.</w:t>
      </w:r>
      <w:r>
        <w:rPr>
          <w:rFonts w:ascii="Times New Roman;Times;Serif" w:hAnsi="Times New Roman;Times;Serif"/>
          <w:b w:val="false"/>
          <w:i w:val="false"/>
          <w:caps w:val="false"/>
          <w:smallCaps w:val="false"/>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smallCaps/>
          <w:sz w:val="20"/>
        </w:rPr>
        <w:t>Eligibility and Limitations.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Eligible Award Recipients.</w:t>
      </w:r>
      <w:r>
        <w:rPr>
          <w:rFonts w:ascii="Times New Roman;Times;Serif" w:hAnsi="Times New Roman;Times;Serif"/>
          <w:b w:val="false"/>
          <w:i w:val="false"/>
          <w:caps w:val="false"/>
          <w:smallCaps w:val="false"/>
          <w:sz w:val="20"/>
        </w:rPr>
        <w:t xml:space="preserve"> Subject to the terms of the Plan, Employees, Directors and Consultants are eligible to receive Awards.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Specific Award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Limitations on Incentive Stock Option Recipients.</w:t>
      </w:r>
      <w:r>
        <w:rPr>
          <w:rFonts w:ascii="Times New Roman;Times;Serif" w:hAnsi="Times New Roman;Times;Serif"/>
          <w:b w:val="false"/>
          <w:i w:val="false"/>
          <w:caps w:val="false"/>
          <w:smallCaps w:val="false"/>
          <w:sz w:val="20"/>
        </w:rPr>
        <w:t xml:space="preserve"> Incentive Stock Options may be granted only to Employees of the Company or a “parent corporation” or “subsidiary corporation” thereof (as such terms are defined in Sections 424(e) and (f)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Incentive Stock Option $100,000 Limitation.</w:t>
      </w:r>
      <w:r>
        <w:rPr>
          <w:rFonts w:ascii="Times New Roman;Times;Serif" w:hAnsi="Times New Roman;Times;Serif"/>
          <w:b w:val="false"/>
          <w:i w:val="false"/>
          <w:caps w:val="false"/>
          <w:smallCaps w:val="false"/>
          <w:sz w:val="20"/>
        </w:rPr>
        <w:t xml:space="preserve"> To the extent that the aggregate Fair Market Value (determined at the time of grant) of the shares of Common Stock with respect to which Incentive Stock Options are exercisable for the first time by any Optionholder during any calendar year (under all plans of the Company and any Affiliates) exceeds $100,000 (or such other limit established in the Code) or any Incentive Stock Options otherwise do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Limitations on Incentive Stock Options Granted to Ten Percent Stockholders.</w:t>
      </w:r>
      <w:r>
        <w:rPr>
          <w:rFonts w:ascii="Times New Roman;Times;Serif" w:hAnsi="Times New Roman;Times;Serif"/>
          <w:b w:val="false"/>
          <w:i w:val="false"/>
          <w:caps w:val="false"/>
          <w:smallCaps w:val="false"/>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Limitations on Nonstatutory Stock Options and SARs.</w:t>
      </w:r>
      <w:r>
        <w:rPr>
          <w:rFonts w:ascii="Times New Roman;Times;Serif" w:hAnsi="Times New Roman;Times;Serif"/>
          <w:b w:val="false"/>
          <w:i w:val="false"/>
          <w:caps w:val="false"/>
          <w:smallCaps w:val="false"/>
          <w:sz w:val="20"/>
        </w:rPr>
        <w:t xml:space="preserve"> Nonstatutory Stock Options and SARs may not be granted to 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Aggregate Incentive Stock Option Limit.</w:t>
      </w:r>
      <w:r>
        <w:rPr>
          <w:rFonts w:ascii="Times New Roman;Times;Serif" w:hAnsi="Times New Roman;Times;Serif"/>
          <w:b w:val="false"/>
          <w:i w:val="false"/>
          <w:caps w:val="false"/>
          <w:smallCaps w:val="false"/>
          <w:sz w:val="20"/>
        </w:rPr>
        <w:t xml:space="preserve"> The aggregate maximum number of shares of Common Stock that may be issued pursuant to the exercise of Incentive Stock Options is the number of shares specified in Section 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Non-Employee Director Compensation Limit. </w:t>
      </w:r>
      <w:r>
        <w:rPr>
          <w:rFonts w:ascii="Times New Roman;Times;Serif" w:hAnsi="Times New Roman;Times;Serif"/>
          <w:b w:val="false"/>
          <w:i w:val="false"/>
          <w:caps w:val="false"/>
          <w:smallCaps w:val="false"/>
          <w:sz w:val="20"/>
        </w:rPr>
        <w:t>The aggregate value of all compensation granted or paid, as applicable, to any individual for service as a Non-Employee Director with respect to any fiscal year, including Awards granted and cash fees paid by the Company to such Non-Employee Director, will not exceed (1) $750,000 in total value or (2) in the event such Non-Employee Director is first appointed or elected to the Board during such fiscal year, $1,000,000 in total value, in each case, calculating the value of any equity awards based on the grant date fair value of such equity awards for financial reporting purposes. For avoidance of doubt, compensation will count towards this limit for the fiscal year in which it was granted or earned, and not later when distributed, in the event it is deferred.</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smallCaps/>
          <w:sz w:val="20"/>
        </w:rPr>
        <w:t>Options and Stock Appreciation Rights.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Term.</w:t>
      </w:r>
      <w:r>
        <w:rPr>
          <w:rFonts w:ascii="Times New Roman;Times;Serif" w:hAnsi="Times New Roman;Times;Serif"/>
          <w:b w:val="false"/>
          <w:i w:val="false"/>
          <w:caps w:val="false"/>
          <w:smallCaps w:val="false"/>
          <w:sz w:val="20"/>
        </w:rPr>
        <w:t xml:space="preserve"> Subject to Section 3(b) regarding Ten Percent Stockholders, no Option or SAR will be exercisable after the expiration of ten years from the date of grant of such Award or such shorter period specified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Exercise or Strike Price.</w:t>
      </w:r>
      <w:r>
        <w:rPr>
          <w:rFonts w:ascii="Times New Roman;Times;Serif" w:hAnsi="Times New Roman;Times;Serif"/>
          <w:b w:val="false"/>
          <w:i w:val="false"/>
          <w:caps w:val="false"/>
          <w:smallCaps w:val="false"/>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Exercise Procedure and Payment of Exercise Price for Options.</w:t>
      </w:r>
      <w:r>
        <w:rPr>
          <w:rFonts w:ascii="Times New Roman;Times;Serif" w:hAnsi="Times New Roman;Times;Serif"/>
          <w:b w:val="false"/>
          <w:i w:val="false"/>
          <w:caps w:val="false"/>
          <w:smallCaps w:val="false"/>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by cash or check, bank draft or money order payable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 xml:space="preserve">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spacing w:before="0" w:after="0"/>
        <w:ind w:left="0" w:right="0" w:firstLine="144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in any other form of consideration that may be acceptable to the Board and permissible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Exercise Procedure and Payment of Appreciation Distribution for SARs.</w:t>
      </w:r>
      <w:r>
        <w:rPr>
          <w:rFonts w:ascii="Times New Roman;Times;Serif" w:hAnsi="Times New Roman;Times;Serif"/>
          <w:b w:val="false"/>
          <w:i w:val="false"/>
          <w:caps w:val="false"/>
          <w:smallCaps w:val="false"/>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Transferability.</w:t>
      </w:r>
      <w:r>
        <w:rPr>
          <w:rFonts w:ascii="Times New Roman;Times;Serif" w:hAnsi="Times New Roman;Times;Serif"/>
          <w:b w:val="false"/>
          <w:i w:val="false"/>
          <w:caps w:val="false"/>
          <w:smallCaps w:val="false"/>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an Option is an Incentive Stock Option, such Option may be deemed to be a Nonstatutory Stock Option as a result of such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Restrictions on Transfer.</w:t>
      </w:r>
      <w:r>
        <w:rPr>
          <w:rFonts w:ascii="Times New Roman;Times;Serif" w:hAnsi="Times New Roman;Times;Serif"/>
          <w:b w:val="false"/>
          <w:i w:val="false"/>
          <w:caps w:val="false"/>
          <w:smallCaps w:val="false"/>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Domestic Relations Orders.</w:t>
      </w:r>
      <w:r>
        <w:rPr>
          <w:rFonts w:ascii="Times New Roman;Times;Serif" w:hAnsi="Times New Roman;Times;Serif"/>
          <w:b w:val="false"/>
          <w:i w:val="false"/>
          <w:caps w:val="false"/>
          <w:smallCaps w:val="false"/>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Vesting.</w:t>
      </w:r>
      <w:r>
        <w:rPr>
          <w:rFonts w:ascii="Times New Roman;Times;Serif" w:hAnsi="Times New Roman;Times;Serif"/>
          <w:b w:val="false"/>
          <w:i w:val="false"/>
          <w:caps w:val="false"/>
          <w:smallCaps w:val="false"/>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Termination of Continuous Service for Cause.</w:t>
      </w:r>
      <w:r>
        <w:rPr>
          <w:rFonts w:ascii="Times New Roman;Times;Serif" w:hAnsi="Times New Roman;Times;Serif"/>
          <w:b w:val="false"/>
          <w:i w:val="false"/>
          <w:caps w:val="false"/>
          <w:smallCaps w:val="false"/>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Post-Termination Exercise Period Following Termination of Continuous Service for Reasons Other than Cause.</w:t>
      </w:r>
      <w:r>
        <w:rPr>
          <w:rFonts w:ascii="Times New Roman;Times;Serif" w:hAnsi="Times New Roman;Times;Serif"/>
          <w:b w:val="false"/>
          <w:i w:val="false"/>
          <w:caps w:val="false"/>
          <w:smallCaps w:val="false"/>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three months following the date of such termination if such termination is a termination without Cause (other than any termination due to the Participant’s Disability or death);</w:t>
      </w:r>
    </w:p>
    <w:p>
      <w:pPr>
        <w:pStyle w:val="TextBody"/>
        <w:bidi w:val="0"/>
        <w:spacing w:before="0" w:after="0"/>
        <w:ind w:left="0" w:right="0" w:firstLine="144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12 months following the date of such termination if such termination is due to the Participant’s Disability;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18 months following the date of such termination if such termination is due to the Participant’s death;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18 months following the date of the Participant’s death if such death occurs following the date of such termination but during the period such Award is otherwise exercisable (as provided in (i) or (ii)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Restrictions on Exercise; Extension of Exercisability. </w:t>
      </w:r>
      <w:r>
        <w:rPr>
          <w:rFonts w:ascii="Times New Roman;Times;Serif" w:hAnsi="Times New Roman;Times;Serif"/>
          <w:b w:val="false"/>
          <w:i w:val="false"/>
          <w:caps w:val="false"/>
          <w:smallCaps w:val="false"/>
          <w:sz w:val="20"/>
        </w:rPr>
        <w:t>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Non-Exempt Employees.</w:t>
      </w:r>
      <w:r>
        <w:rPr>
          <w:rFonts w:ascii="Times New Roman;Times;Serif" w:hAnsi="Times New Roman;Times;Serif"/>
          <w:b w:val="false"/>
          <w:i w:val="false"/>
          <w:caps w:val="false"/>
          <w:smallCaps w:val="false"/>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Whole Shares.</w:t>
      </w:r>
      <w:r>
        <w:rPr>
          <w:rFonts w:ascii="Times New Roman;Times;Serif" w:hAnsi="Times New Roman;Times;Serif"/>
          <w:b w:val="false"/>
          <w:i w:val="false"/>
          <w:caps w:val="false"/>
          <w:smallCaps w:val="false"/>
          <w:sz w:val="20"/>
        </w:rPr>
        <w:t xml:space="preserve"> Options and SARs may be exercised only with respect to whole shares of Common Stock or their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smallCaps/>
          <w:sz w:val="20"/>
        </w:rPr>
        <w:t>Awards Other Than Options and Stock Appreciation Rights.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Restricted Stock Awards and RSU Awards.</w:t>
      </w:r>
      <w:r>
        <w:rPr>
          <w:rFonts w:ascii="Times New Roman;Times;Serif" w:hAnsi="Times New Roman;Times;Serif"/>
          <w:b w:val="false"/>
          <w:i w:val="false"/>
          <w:caps w:val="false"/>
          <w:smallCaps w:val="false"/>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Form of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 xml:space="preserve">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0" w:after="0"/>
        <w:ind w:left="0" w:right="0" w:firstLine="21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 xml:space="preserve">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Award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Restricted Stock Awards: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Vesting. </w:t>
      </w:r>
      <w:r>
        <w:rPr>
          <w:rFonts w:ascii="Times New Roman;Times;Serif" w:hAnsi="Times New Roman;Times;Serif"/>
          <w:b w:val="false"/>
          <w:i w:val="false"/>
          <w:caps w:val="false"/>
          <w:smallCaps w:val="false"/>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Termination of Continuous Service.</w:t>
      </w:r>
      <w:r>
        <w:rPr>
          <w:rFonts w:ascii="Times New Roman;Times;Serif" w:hAnsi="Times New Roman;Times;Serif"/>
          <w:b w:val="false"/>
          <w:i w:val="false"/>
          <w:caps w:val="false"/>
          <w:smallCaps w:val="false"/>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(2) any portion of his or her RSU Award that has not vested will be forfeited upon such termination, and (3) the Participant will have no further right, title or interest in the Restricted Stock Award or RSU Award, the shares of Common Stock subject to or issuable pursuant to the Restricted Stock Award or RSU Award, or any consideration in respect of the Restricted Stock Award or RSU Award.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Dividends and Dividend Equivalents. </w:t>
      </w:r>
      <w:r>
        <w:rPr>
          <w:rFonts w:ascii="Times New Roman;Times;Serif" w:hAnsi="Times New Roman;Times;Serif"/>
          <w:b w:val="false"/>
          <w:i w:val="false"/>
          <w:caps w:val="false"/>
          <w:smallCaps w:val="false"/>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Settlement of RSU Awards.</w:t>
      </w:r>
      <w:r>
        <w:rPr>
          <w:rFonts w:ascii="Times New Roman;Times;Serif" w:hAnsi="Times New Roman;Times;Serif"/>
          <w:b w:val="false"/>
          <w:i w:val="false"/>
          <w:caps w:val="false"/>
          <w:smallCaps w:val="false"/>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pStyle w:val="TextBody"/>
        <w:bidi w:val="0"/>
        <w:spacing w:before="0" w:after="0"/>
        <w:ind w:left="0" w:right="0" w:firstLine="144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Performance Awards.</w:t>
      </w:r>
      <w:r>
        <w:rPr>
          <w:rFonts w:ascii="Times New Roman;Times;Serif" w:hAnsi="Times New Roman;Times;Serif"/>
          <w:b w:val="false"/>
          <w:i w:val="false"/>
          <w:caps w:val="false"/>
          <w:smallCaps w:val="false"/>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Other Awards.</w:t>
      </w:r>
      <w:r>
        <w:rPr>
          <w:rFonts w:ascii="Times New Roman;Times;Serif" w:hAnsi="Times New Roman;Times;Serif"/>
          <w:b w:val="false"/>
          <w:i w:val="false"/>
          <w:caps w:val="false"/>
          <w:smallCaps w:val="false"/>
          <w:sz w:val="20"/>
        </w:rPr>
        <w:t xml:space="preserve"> Other forms of Awards valued in whole or in part by reference to, or otherwise based on, Common Stock, including the 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 </w:t>
      </w:r>
      <w:r>
        <w:rPr>
          <w:rFonts w:ascii="Times New Roman;Times;Serif" w:hAnsi="Times New Roman;Times;Serif"/>
          <w:b/>
          <w:i w:val="false"/>
          <w:smallCaps/>
          <w:sz w:val="20"/>
        </w:rPr>
        <w:t>Adjustments upon Changes in Common Stock; Other Corporate Events.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Capitalization Adjustments.</w:t>
      </w:r>
      <w:r>
        <w:rPr>
          <w:rFonts w:ascii="Times New Roman;Times;Serif" w:hAnsi="Times New Roman;Times;Serif"/>
          <w:b w:val="false"/>
          <w:i w:val="false"/>
          <w:caps w:val="false"/>
          <w:smallCaps w:val="false"/>
          <w:sz w:val="20"/>
        </w:rPr>
        <w:t xml:space="preserve"> In the event of a Capitalization Adjustment, the Board shall appropriately and proportionately adjust: (i) 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Dissolution or Liquidation.</w:t>
      </w:r>
      <w:r>
        <w:rPr>
          <w:rFonts w:ascii="Times New Roman;Times;Serif" w:hAnsi="Times New Roman;Times;Serif"/>
          <w:b w:val="false"/>
          <w:i w:val="false"/>
          <w:caps w:val="false"/>
          <w:smallCaps w:val="false"/>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Corporate Transaction. </w:t>
      </w:r>
      <w:r>
        <w:rPr>
          <w:rFonts w:ascii="Times New Roman;Times;Serif" w:hAnsi="Times New Roman;Times;Serif"/>
          <w:b w:val="false"/>
          <w:i w:val="false"/>
          <w:caps w:val="false"/>
          <w:smallCaps w:val="false"/>
          <w:sz w:val="20"/>
        </w:rPr>
        <w:t xml:space="preserve">The following provisions will apply to Awards in the event of a Corporate Transaction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Awards May Be Assumed.</w:t>
      </w:r>
      <w:r>
        <w:rPr>
          <w:rFonts w:ascii="Times New Roman;Times;Serif" w:hAnsi="Times New Roman;Times;Serif"/>
          <w:b w:val="false"/>
          <w:i w:val="false"/>
          <w:caps w:val="false"/>
          <w:smallCaps w:val="false"/>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pStyle w:val="TextBody"/>
        <w:bidi w:val="0"/>
        <w:spacing w:before="0" w:after="0"/>
        <w:ind w:left="0" w:right="0" w:firstLine="144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Awards Held by Current Participants.</w:t>
      </w:r>
      <w:r>
        <w:rPr>
          <w:rFonts w:ascii="Times New Roman;Times;Serif" w:hAnsi="Times New Roman;Times;Serif"/>
          <w:b w:val="false"/>
          <w:i w:val="false"/>
          <w:caps w:val="false"/>
          <w:smallCaps w:val="false"/>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Times;Serif" w:hAnsi="Times New Roman;Times;Serif"/>
          <w:b/>
          <w:i/>
          <w:caps w:val="false"/>
          <w:smallCaps w:val="false"/>
          <w:sz w:val="20"/>
        </w:rPr>
        <w:t>Current Participants</w:t>
      </w:r>
      <w:r>
        <w:rPr>
          <w:rFonts w:ascii="Times New Roman;Times;Serif" w:hAnsi="Times New Roman;Times;Serif"/>
          <w:b w:val="false"/>
          <w:i w:val="false"/>
          <w:caps w:val="false"/>
          <w:smallCaps w:val="false"/>
          <w:sz w:val="20"/>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Awards Held by Persons other than Current Participants.</w:t>
      </w:r>
      <w:r>
        <w:rPr>
          <w:rFonts w:ascii="Times New Roman;Times;Serif" w:hAnsi="Times New Roman;Times;Serif"/>
          <w:b w:val="false"/>
          <w:i w:val="false"/>
          <w:caps w:val="false"/>
          <w:smallCaps w:val="false"/>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Payment for Awards in Lieu of Exercise.</w:t>
      </w:r>
      <w:r>
        <w:rPr>
          <w:rFonts w:ascii="Times New Roman;Times;Serif" w:hAnsi="Times New Roman;Times;Serif"/>
          <w:b w:val="false"/>
          <w:i w:val="false"/>
          <w:caps w:val="false"/>
          <w:smallCaps w:val="false"/>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Appointment of Stockholder Representative.</w:t>
      </w:r>
      <w:r>
        <w:rPr>
          <w:rFonts w:ascii="Times New Roman;Times;Serif" w:hAnsi="Times New Roman;Times;Serif"/>
          <w:b w:val="false"/>
          <w:i w:val="false"/>
          <w:caps w:val="false"/>
          <w:smallCaps w:val="false"/>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No Restriction on Right to Undertake Transactions.</w:t>
      </w:r>
      <w:r>
        <w:rPr>
          <w:rFonts w:ascii="Times New Roman;Times;Serif" w:hAnsi="Times New Roman;Times;Serif"/>
          <w:b w:val="false"/>
          <w:i w:val="false"/>
          <w:caps w:val="false"/>
          <w:smallCaps w:val="false"/>
          <w:sz w:val="20"/>
        </w:rPr>
        <w:t xml:space="preserve"> The grant of any Award under the Plan and the issuance of shares pursuant to any Award does not affect or restrict in any way the right or power of the Company, the Board or the stockholders of the Company to make or authorize any adjustment, recapitalization, reorganization or other change in the Company’s capital structure or its business, any Change in Control, any Corporate Transaction,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7. </w:t>
      </w:r>
      <w:r>
        <w:rPr>
          <w:rFonts w:ascii="Times New Roman;Times;Serif" w:hAnsi="Times New Roman;Times;Serif"/>
          <w:b/>
          <w:i w:val="false"/>
          <w:smallCaps/>
          <w:sz w:val="20"/>
        </w:rPr>
        <w:t>Administration.</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Administration by Board.</w:t>
      </w:r>
      <w:r>
        <w:rPr>
          <w:rFonts w:ascii="Times New Roman;Times;Serif" w:hAnsi="Times New Roman;Times;Serif"/>
          <w:b w:val="false"/>
          <w:i w:val="false"/>
          <w:caps w:val="false"/>
          <w:smallCaps w:val="false"/>
          <w:sz w:val="20"/>
        </w:rPr>
        <w:t xml:space="preserve"> The Board will administer the Plan unless and until the Board delegates administration of the Plan to a Committee or Committees, as provided in subsection (c) below. </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Powers of Board.</w:t>
      </w:r>
      <w:r>
        <w:rPr>
          <w:rFonts w:ascii="Times New Roman;Times;Serif" w:hAnsi="Times New Roman;Times;Serif"/>
          <w:b w:val="false"/>
          <w:i w:val="false"/>
          <w:caps w:val="false"/>
          <w:smallCaps w:val="false"/>
          <w:sz w:val="20"/>
        </w:rPr>
        <w:t xml:space="preserve"> The Board will have the power, subject to, and within the limitations of, the express provisions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To settle all controversies regarding the Plan and Awards granted under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To amend the Plan in any respect the Board deems necessary or advisable; provided, 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To submit any amendment to the Plan for stockholder approval.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Participant’s rights under any Award will not be Materially Impaired by any such amendment unless (1) the Company requests the consent of the affected Participant, and (2) such Participant consents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 </w:t>
      </w:r>
      <w:r>
        <w:rPr>
          <w:rFonts w:ascii="Times New Roman;Times;Serif" w:hAnsi="Times New Roman;Times;Serif"/>
          <w:b w:val="false"/>
          <w:i w:val="false"/>
          <w:caps w:val="false"/>
          <w:smallCaps w:val="false"/>
          <w:sz w:val="20"/>
        </w:rPr>
        <w:t>To adopt such procedures and sub-plans as are necessary or appropriate to permit and facilitate participation in the Plan by, or take advantage of specific tax treatment for Awards granted to, Employees, Directors or Consultants who are non-U.S. nationals or employed outside the United States (provided that Board approval will not be necessary for immaterial modifications to the Plan or any Award Agreement to ensure or facilitate compliance with the laws of the relevant non-U.S. jurisdiction).</w:t>
      </w:r>
    </w:p>
    <w:p>
      <w:pPr>
        <w:pStyle w:val="TextBody"/>
        <w:bidi w:val="0"/>
        <w:spacing w:before="0" w:after="0"/>
        <w:ind w:left="0" w:right="0" w:firstLine="144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 </w:t>
      </w:r>
      <w:r>
        <w:rPr>
          <w:rFonts w:ascii="Times New Roman;Times;Serif" w:hAnsi="Times New Roman;Times;Serif"/>
          <w:b w:val="false"/>
          <w:i w:val="false"/>
          <w:caps w:val="false"/>
          <w:smallCaps w:val="false"/>
          <w:sz w:val="20"/>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Delegation to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General.</w:t>
      </w:r>
      <w:r>
        <w:rPr>
          <w:rFonts w:ascii="Times New Roman;Times;Serif" w:hAnsi="Times New Roman;Times;Serif"/>
          <w:b w:val="false"/>
          <w:i w:val="false"/>
          <w:caps w:val="false"/>
          <w:smallCaps w:val="false"/>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Rule 16b-3 Compliance.</w:t>
      </w:r>
      <w:r>
        <w:rPr>
          <w:rFonts w:ascii="Times New Roman;Times;Serif" w:hAnsi="Times New Roman;Times;Serif"/>
          <w:b w:val="false"/>
          <w:i w:val="false"/>
          <w:caps w:val="false"/>
          <w:smallCaps w:val="false"/>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Effect of Board’s Decision.</w:t>
      </w:r>
      <w:r>
        <w:rPr>
          <w:rFonts w:ascii="Times New Roman;Times;Serif" w:hAnsi="Times New Roman;Times;Serif"/>
          <w:b w:val="false"/>
          <w:i w:val="false"/>
          <w:caps w:val="false"/>
          <w:smallCaps w:val="false"/>
          <w:sz w:val="20"/>
        </w:rPr>
        <w:t xml:space="preserve"> All determinations, interpretations and constructions made by the Board or any Committee in good faith will not be subject to review by any person and will be final, binding and conclusive on all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Delegation to Other Person or Body.</w:t>
      </w:r>
      <w:r>
        <w:rPr>
          <w:rFonts w:ascii="Times New Roman;Times;Serif" w:hAnsi="Times New Roman;Times;Serif"/>
          <w:b w:val="false"/>
          <w:i w:val="false"/>
          <w:caps w:val="false"/>
          <w:smallCaps w:val="false"/>
          <w:sz w:val="20"/>
        </w:rPr>
        <w:t xml:space="preserve"> The Board or any Committee may delegate to one or more persons or bodies the authority to do one or more of the following to the extent permitted by Applicable Law: (i) designate recipients, other than Officers, of Awards, provided that no person or body may be delegated authority to grant an Award to themself; (ii) determine the number of shares subject to such Awards; and (iii) determine the terms of such Awards; provided, however,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 </w:t>
      </w:r>
      <w:r>
        <w:rPr>
          <w:rFonts w:ascii="Times New Roman;Times;Serif" w:hAnsi="Times New Roman;Times;Serif"/>
          <w:b/>
          <w:i w:val="false"/>
          <w:smallCaps/>
          <w:sz w:val="20"/>
        </w:rPr>
        <w:t>Tax Withholding.</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Withholding Authorization.</w:t>
      </w:r>
      <w:r>
        <w:rPr>
          <w:rFonts w:ascii="Times New Roman;Times;Serif" w:hAnsi="Times New Roman;Times;Serif"/>
          <w:b w:val="false"/>
          <w:i w:val="false"/>
          <w:caps w:val="false"/>
          <w:smallCaps w:val="false"/>
          <w:sz w:val="20"/>
        </w:rPr>
        <w:t xml:space="preserve"> As a condition to acceptance of any Award under the Plan, a Participant authorizes withholding from payroll and any other amounts payable to such Participant, and otherwise agrees to make adequate arrangements to satisfy, any Tax-Related Item withholding obligations, if any, of the Company and/or an Affiliate that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Satisfaction of Withholding Obligation.</w:t>
      </w:r>
      <w:r>
        <w:rPr>
          <w:rFonts w:ascii="Times New Roman;Times;Serif" w:hAnsi="Times New Roman;Times;Serif"/>
          <w:b w:val="false"/>
          <w:i w:val="false"/>
          <w:caps w:val="false"/>
          <w:smallCaps w:val="false"/>
          <w:sz w:val="20"/>
        </w:rPr>
        <w:t xml:space="preserve"> To the extent permitted by the terms of an Award Agreement, the Company may, in its sole discretion, satisfy any Tax-Related Item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(vi) allowing the Participant to enter into a “same day sale” commitment with a broker-dealer (including, without limitation, a commitment under a previously established written trading plan that meets the requirements of Rule 10b5-1 under the Exchange Act); or (vii) by such other method as may be set forth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No Obligation to Notify or Minimize Taxes; No Liability to Claims. </w:t>
      </w:r>
      <w:r>
        <w:rPr>
          <w:rFonts w:ascii="Times New Roman;Times;Serif" w:hAnsi="Times New Roman;Times;Serif"/>
          <w:b w:val="false"/>
          <w:i w:val="false"/>
          <w:caps w:val="false"/>
          <w:smallCaps w:val="false"/>
          <w:sz w:val="20"/>
        </w:rPr>
        <w:t>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Withholding Indemnification. </w:t>
      </w:r>
      <w:r>
        <w:rPr>
          <w:rFonts w:ascii="Times New Roman;Times;Serif" w:hAnsi="Times New Roman;Times;Serif"/>
          <w:b w:val="false"/>
          <w:i w:val="false"/>
          <w:caps w:val="false"/>
          <w:smallCaps w:val="false"/>
          <w:sz w:val="20"/>
        </w:rPr>
        <w:t xml:space="preserve">The Company and/or its Affiliate may withhold or account for Tax-Related Items by considering statutory or other withholding rates, including minimum or maximum rates applicable in a Participant’s jurisdiction.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Tax-Related Items directly to the applicable tax authority or to the Company and/or its Affiliate. 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Further, if the obligation for Tax-Related Items is satisfied by withholding in shares of Common Stock, for tax purposes, the Participant will be deemed to have been issued the full number of shares subject to the Award, notwithstanding that a number of the shares is held back solely for the purpose of paying the Tax-Related Items.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 </w:t>
      </w:r>
      <w:r>
        <w:rPr>
          <w:rFonts w:ascii="Times New Roman;Times;Serif" w:hAnsi="Times New Roman;Times;Serif"/>
          <w:b/>
          <w:i w:val="false"/>
          <w:smallCaps/>
          <w:sz w:val="20"/>
        </w:rPr>
        <w:t>Miscellaneous.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Source of Shares.</w:t>
      </w:r>
      <w:r>
        <w:rPr>
          <w:rFonts w:ascii="Times New Roman;Times;Serif" w:hAnsi="Times New Roman;Times;Serif"/>
          <w:b w:val="false"/>
          <w:i w:val="false"/>
          <w:caps w:val="false"/>
          <w:smallCaps w:val="false"/>
          <w:sz w:val="20"/>
        </w:rPr>
        <w:t xml:space="preserve"> The stock issuable under the Plan will be shares of authorized but unissued or reacquired Common Stock, including shares repurchased by the Company on the open market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Use of Proceeds from Sales of Common Stock. </w:t>
      </w:r>
      <w:r>
        <w:rPr>
          <w:rFonts w:ascii="Times New Roman;Times;Serif" w:hAnsi="Times New Roman;Times;Serif"/>
          <w:b w:val="false"/>
          <w:i w:val="false"/>
          <w:caps w:val="false"/>
          <w:smallCaps w:val="false"/>
          <w:sz w:val="20"/>
        </w:rPr>
        <w:t>Proceeds from the sale of shares of Common Stock pursuant to Awards will constitute general funds of the Company.</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Corporate Action Constituting Grant of Awards.</w:t>
      </w:r>
      <w:r>
        <w:rPr>
          <w:rFonts w:ascii="Times New Roman;Times;Serif" w:hAnsi="Times New Roman;Times;Serif"/>
          <w:b w:val="false"/>
          <w:i w:val="false"/>
          <w:caps w:val="false"/>
          <w:smallCaps w:val="false"/>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Stockholder Rights.</w:t>
      </w:r>
      <w:r>
        <w:rPr>
          <w:rFonts w:ascii="Times New Roman;Times;Serif" w:hAnsi="Times New Roman;Times;Serif"/>
          <w:b w:val="false"/>
          <w:i w:val="false"/>
          <w:caps w:val="false"/>
          <w:smallCaps w:val="false"/>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No Employment or Other Service Rights.</w:t>
      </w:r>
      <w:r>
        <w:rPr>
          <w:rFonts w:ascii="Times New Roman;Times;Serif" w:hAnsi="Times New Roman;Times;Serif"/>
          <w:b w:val="false"/>
          <w:i w:val="false"/>
          <w:caps w:val="false"/>
          <w:smallCaps w:val="false"/>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(unless otherwise required under Applicable Law)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U.S. state or non-U.S.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Change in Time Commitment.</w:t>
      </w:r>
      <w:r>
        <w:rPr>
          <w:rFonts w:ascii="Times New Roman;Times;Serif" w:hAnsi="Times New Roman;Times;Serif"/>
          <w:b w:val="false"/>
          <w:i w:val="false"/>
          <w:caps w:val="false"/>
          <w:smallCaps w:val="false"/>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Execution of Additional Documents.</w:t>
      </w:r>
      <w:r>
        <w:rPr>
          <w:rFonts w:ascii="Times New Roman;Times;Serif" w:hAnsi="Times New Roman;Times;Serif"/>
          <w:b w:val="false"/>
          <w:i w:val="false"/>
          <w:caps w:val="false"/>
          <w:smallCaps w:val="false"/>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Electronic Delivery and Participation.</w:t>
      </w:r>
      <w:r>
        <w:rPr>
          <w:rFonts w:ascii="Times New Roman;Times;Serif" w:hAnsi="Times New Roman;Times;Serif"/>
          <w:b w:val="false"/>
          <w:i w:val="false"/>
          <w:caps w:val="false"/>
          <w:smallCaps w:val="false"/>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Clawback/Recovery.</w:t>
      </w:r>
      <w:r>
        <w:rPr>
          <w:rFonts w:ascii="Times New Roman;Times;Serif" w:hAnsi="Times New Roman;Times;Serif"/>
          <w:b w:val="false"/>
          <w:i w:val="false"/>
          <w:caps w:val="false"/>
          <w:smallCaps w:val="false"/>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pStyle w:val="TextBody"/>
        <w:bidi w:val="0"/>
        <w:spacing w:before="0" w:after="0"/>
        <w:ind w:left="0" w:right="0" w:firstLine="72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Securities Law Compliance. </w:t>
      </w:r>
      <w:r>
        <w:rPr>
          <w:rFonts w:ascii="Times New Roman;Times;Serif" w:hAnsi="Times New Roman;Times;Serif"/>
          <w:b w:val="false"/>
          <w:i w:val="false"/>
          <w:caps w:val="false"/>
          <w:smallCaps w:val="false"/>
          <w:sz w:val="20"/>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Transfer or Assignment of Awards; Issued Shares.</w:t>
      </w:r>
      <w:r>
        <w:rPr>
          <w:rFonts w:ascii="Times New Roman;Times;Serif" w:hAnsi="Times New Roman;Times;Serif"/>
          <w:b w:val="false"/>
          <w:i w:val="false"/>
          <w:caps w:val="false"/>
          <w:smallCaps w:val="false"/>
          <w:sz w:val="20"/>
        </w:rPr>
        <w:t xml:space="preserve"> Except as expressly provided in the Plan or the form of Award Agreement, Awards granted under the Plan may not be transferred or assigned by the Participant. After the vested shares subject to an Award have been issued, or in the case of a Restricted Stock Award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Effect on Other Employee Benefit Plans. </w:t>
      </w:r>
      <w:r>
        <w:rPr>
          <w:rFonts w:ascii="Times New Roman;Times;Serif" w:hAnsi="Times New Roman;Times;Serif"/>
          <w:b w:val="false"/>
          <w:i w:val="false"/>
          <w:caps w:val="false"/>
          <w:smallCaps w:val="false"/>
          <w:sz w:val="20"/>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Deferrals.</w:t>
      </w:r>
      <w:r>
        <w:rPr>
          <w:rFonts w:ascii="Times New Roman;Times;Serif" w:hAnsi="Times New Roman;Times;Serif"/>
          <w:b w:val="false"/>
          <w:i w:val="false"/>
          <w:caps w:val="false"/>
          <w:smallCaps w:val="false"/>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Section 409A. </w:t>
      </w:r>
      <w:r>
        <w:rPr>
          <w:rFonts w:ascii="Times New Roman;Times;Serif" w:hAnsi="Times New Roman;Times;Serif"/>
          <w:b w:val="false"/>
          <w:i w:val="false"/>
          <w:caps w:val="false"/>
          <w:smallCaps w:val="false"/>
          <w:sz w:val="20"/>
        </w:rPr>
        <w:t>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 Choice of Law</w:t>
      </w:r>
      <w:r>
        <w:rPr>
          <w:rFonts w:ascii="Times New Roman;Times;Serif" w:hAnsi="Times New Roman;Times;Serif"/>
          <w:b/>
          <w:i w:val="false"/>
          <w:smallCaps/>
          <w:sz w:val="20"/>
        </w:rPr>
        <w:t xml:space="preserve">. </w:t>
      </w:r>
      <w:r>
        <w:rPr>
          <w:rFonts w:ascii="Times New Roman;Times;Serif" w:hAnsi="Times New Roman;Times;Serif"/>
          <w:b w:val="false"/>
          <w:i w:val="false"/>
          <w:caps w:val="false"/>
          <w:smallCaps w:val="false"/>
          <w:sz w:val="20"/>
        </w:rPr>
        <w:t>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 </w:t>
      </w:r>
      <w:r>
        <w:rPr>
          <w:rFonts w:ascii="Times New Roman;Times;Serif" w:hAnsi="Times New Roman;Times;Serif"/>
          <w:b/>
          <w:i w:val="false"/>
          <w:smallCaps/>
          <w:sz w:val="20"/>
        </w:rPr>
        <w:t>Covenants of the Company.</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smallCaps/>
          <w:sz w:val="20"/>
        </w:rPr>
        <w:t xml:space="preserve">Severability.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smallCaps/>
          <w:sz w:val="20"/>
        </w:rPr>
        <w:t>Termination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smallCaps/>
          <w:sz w:val="20"/>
        </w:rPr>
        <w:t>Definitions.</w:t>
      </w:r>
    </w:p>
    <w:p>
      <w:pPr>
        <w:pStyle w:val="TextBody"/>
        <w:bidi w:val="0"/>
        <w:spacing w:before="0" w:after="0"/>
        <w:ind w:left="0" w:right="0" w:hanging="0"/>
        <w:jc w:val="both"/>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definitions apply to the capitalized terms indicated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Adoption Date</w:t>
      </w:r>
      <w:r>
        <w:rPr>
          <w:rFonts w:ascii="Times New Roman;Times;Serif" w:hAnsi="Times New Roman;Times;Serif"/>
          <w:b w:val="false"/>
          <w:i w:val="false"/>
          <w:caps w:val="false"/>
          <w:smallCaps w:val="false"/>
          <w:sz w:val="20"/>
        </w:rPr>
        <w:t>” means the date the Plan is first approved by the Board or Compensation Committee,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Annual Meeting</w:t>
      </w:r>
      <w:r>
        <w:rPr>
          <w:rFonts w:ascii="Times New Roman;Times;Serif" w:hAnsi="Times New Roman;Times;Serif"/>
          <w:b w:val="false"/>
          <w:i w:val="false"/>
          <w:caps w:val="false"/>
          <w:smallCaps w:val="false"/>
          <w:sz w:val="20"/>
        </w:rPr>
        <w:t xml:space="preserve">” means the first meeting of the Company’s stockholders held each calendar year at which Directors are elected.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Applicable Law</w:t>
      </w:r>
      <w:r>
        <w:rPr>
          <w:rFonts w:ascii="Times New Roman;Times;Serif" w:hAnsi="Times New Roman;Times;Serif"/>
          <w:b w:val="false"/>
          <w:i w:val="false"/>
          <w:caps w:val="false"/>
          <w:smallCaps w:val="false"/>
          <w:sz w:val="20"/>
        </w:rPr>
        <w:t>” means the Code and any applicable U.S. and non-U.S. securities, exchange control, tax, federal, state,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means any right to receive Common Stock, cash or other property granted under the Plan (including an Incentive Stock Option, a Nonstatutory Stock Option, a Restricted Stock Award, an RSU Award, a SAR, a Performance Award or any Other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Capital Stock</w:t>
      </w:r>
      <w:r>
        <w:rPr>
          <w:rFonts w:ascii="Times New Roman;Times;Serif" w:hAnsi="Times New Roman;Times;Serif"/>
          <w:b w:val="false"/>
          <w:i w:val="false"/>
          <w:caps w:val="false"/>
          <w:smallCaps w:val="false"/>
          <w:sz w:val="20"/>
        </w:rPr>
        <w:t>” means each and every class of common stock of the Company, regardless of the number of votes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Capitalization Adjustment</w:t>
      </w:r>
      <w:r>
        <w:rPr>
          <w:rFonts w:ascii="Times New Roman;Times;Serif" w:hAnsi="Times New Roman;Times;Serif"/>
          <w:b w:val="false"/>
          <w:i w:val="false"/>
          <w:caps w:val="false"/>
          <w:smallCaps w:val="false"/>
          <w:sz w:val="20"/>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(v) such Participant’s gross misconduct; (vi) such Participant’s failure or refusal to comply with a material directive from the Board, the Participant’s supervisor or, if applicable, the board of directors of any Affiliate; or (vii) such Participant’s breach of a fiduciary duty to the Company.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the occurrence, in a single transaction or in a series of related transactions, of any one or more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b/>
          <w:i/>
          <w:caps w:val="false"/>
          <w:smallCaps w:val="false"/>
          <w:sz w:val="20"/>
        </w:rPr>
        <w:t>Subject Person</w:t>
      </w:r>
      <w:r>
        <w:rPr>
          <w:rFonts w:ascii="Times New Roman;Times;Serif" w:hAnsi="Times New Roman;Times;Serif"/>
          <w:b w:val="false"/>
          <w:i w:val="false"/>
          <w:caps w:val="false"/>
          <w:smallCaps w:val="false"/>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0" w:after="0"/>
        <w:ind w:left="0" w:right="0" w:firstLine="144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individuals who, on the Effective Date, are members of the Board (the “</w:t>
      </w:r>
      <w:r>
        <w:rPr>
          <w:rFonts w:ascii="Times New Roman;Times;Serif" w:hAnsi="Times New Roman;Times;Serif"/>
          <w:b/>
          <w:i/>
          <w:caps w:val="false"/>
          <w:smallCaps w:val="false"/>
          <w:sz w:val="20"/>
        </w:rPr>
        <w:t>Incumbent Board</w:t>
      </w:r>
      <w:r>
        <w:rPr>
          <w:rFonts w:ascii="Times New Roman;Times;Serif" w:hAnsi="Times New Roman;Times;Serif"/>
          <w:b w:val="false"/>
          <w:i w:val="false"/>
          <w:caps w:val="false"/>
          <w:smallCaps w:val="false"/>
          <w:sz w:val="20"/>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including any applicable regulations and guidance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the Compensation Committee and any other committee of one or more Directors to whom authority has been delegated by the Board or Compensation Committee in accordance with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Reed’s,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means the Compensation Committee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Consultant</w:t>
      </w:r>
      <w:r>
        <w:rPr>
          <w:rFonts w:ascii="Times New Roman;Times;Serif" w:hAnsi="Times New Roman;Times;Serif"/>
          <w:b w:val="false"/>
          <w:i w:val="false"/>
          <w:caps w:val="false"/>
          <w:smallCaps w:val="false"/>
          <w:sz w:val="20"/>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Continuous Service</w:t>
      </w:r>
      <w:r>
        <w:rPr>
          <w:rFonts w:ascii="Times New Roman;Times;Serif" w:hAnsi="Times New Roman;Times;Serif"/>
          <w:b w:val="false"/>
          <w:i w:val="false"/>
          <w:caps w:val="false"/>
          <w:smallCaps w:val="false"/>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Applicable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Applicable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Regulations Section 1.409A-1(h) (without regard to any alternative definition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Corporate Transaction</w:t>
      </w:r>
      <w:r>
        <w:rPr>
          <w:rFonts w:ascii="Times New Roman;Times;Serif" w:hAnsi="Times New Roman;Times;Serif"/>
          <w:b w:val="false"/>
          <w:i w:val="false"/>
          <w:caps w:val="false"/>
          <w:smallCaps w:val="false"/>
          <w:sz w:val="20"/>
        </w:rPr>
        <w:t>” means the consummation, in a single transaction or in a series of related transactions, of any one or more of the following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a sale or other disposition of all or substantially all, as determined by the Board, of the consolidated assets of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a sale or other disposition of at least 50% of the outstanding securities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 merger, consolidation or similar transaction following which the Company is not the surviving corporation;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determine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determined</w:t>
      </w:r>
      <w:r>
        <w:rPr>
          <w:rFonts w:ascii="Times New Roman;Times;Serif" w:hAnsi="Times New Roman;Times;Serif"/>
          <w:b w:val="false"/>
          <w:i w:val="false"/>
          <w:caps w:val="false"/>
          <w:smallCaps w:val="false"/>
          <w:sz w:val="20"/>
        </w:rPr>
        <w:t>” means as determined by the Board or the Committee (or its designee)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means the date of the Annual Meeting in 2026, provided this Plan is approved by the Company’s stockholders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Employer</w:t>
      </w:r>
      <w:r>
        <w:rPr>
          <w:rFonts w:ascii="Times New Roman;Times;Serif" w:hAnsi="Times New Roman;Times;Serif"/>
          <w:b w:val="false"/>
          <w:i w:val="false"/>
          <w:caps w:val="false"/>
          <w:smallCaps w:val="false"/>
          <w:sz w:val="20"/>
        </w:rPr>
        <w:t>” means the Company or the Affiliate of the Company that employs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(z)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means a corporation, partnership, limited liability company or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 Person</w:t>
      </w:r>
      <w:r>
        <w:rPr>
          <w:rFonts w:ascii="Times New Roman;Times;Serif" w:hAnsi="Times New Roman;Times;Serif"/>
          <w:b w:val="false"/>
          <w:i w:val="false"/>
          <w:caps w:val="false"/>
          <w:smallCaps w:val="false"/>
          <w:sz w:val="20"/>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unless otherwise determined by the Board, the value of the Common Stock (as determined on a per share or aggregate basis, as applicable) determined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If there is no closing sales price for the Common Stock on the date of determination, then the Fair Market Value will be the closing selling price on the last preceding date for which such quotation exists.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In the absence of such markets for the Common Stock, or if otherwise determined by the Board, the Fair Market Value will be determined by the Board in good faith and in a manner that complies with Sections 409A and 422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Governmental Body</w:t>
      </w:r>
      <w:r>
        <w:rPr>
          <w:rFonts w:ascii="Times New Roman;Times;Serif" w:hAnsi="Times New Roman;Times;Serif"/>
          <w:b w:val="false"/>
          <w:i w:val="false"/>
          <w:caps w:val="false"/>
          <w:smallCaps w:val="false"/>
          <w:sz w:val="20"/>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Incentive Stock Option</w:t>
      </w:r>
      <w:r>
        <w:rPr>
          <w:rFonts w:ascii="Times New Roman;Times;Serif" w:hAnsi="Times New Roman;Times;Serif"/>
          <w:b w:val="false"/>
          <w:i w:val="false"/>
          <w:caps w:val="false"/>
          <w:smallCaps w:val="false"/>
          <w:sz w:val="20"/>
        </w:rPr>
        <w:t>” means an option granted pursuant to Section 4 of the Plan that is intended to be, and qualifies as, an “incentive stock option” within the meaning of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Materially Impair</w:t>
      </w:r>
      <w:r>
        <w:rPr>
          <w:rFonts w:ascii="Times New Roman;Times;Serif" w:hAnsi="Times New Roman;Times;Serif"/>
          <w:b w:val="false"/>
          <w:i w:val="false"/>
          <w:caps w:val="false"/>
          <w:smallCaps w:val="false"/>
          <w:sz w:val="20"/>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Non-Employee Director</w:t>
      </w:r>
      <w:r>
        <w:rPr>
          <w:rFonts w:ascii="Times New Roman;Times;Serif" w:hAnsi="Times New Roman;Times;Serif"/>
          <w:b w:val="false"/>
          <w:i w:val="false"/>
          <w:caps w:val="false"/>
          <w:smallCaps w:val="false"/>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i/>
          <w:caps w:val="false"/>
          <w:smallCaps w:val="false"/>
          <w:sz w:val="20"/>
        </w:rPr>
        <w:t>Regulation S-K</w:t>
      </w:r>
      <w:r>
        <w:rPr>
          <w:rFonts w:ascii="Times New Roman;Times;Serif" w:hAnsi="Times New Roman;Times;Serif"/>
          <w:b w:val="false"/>
          <w:i w:val="false"/>
          <w:caps w:val="false"/>
          <w:smallCaps w:val="false"/>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Nonstatutory Stock Option</w:t>
      </w:r>
      <w:r>
        <w:rPr>
          <w:rFonts w:ascii="Times New Roman;Times;Serif" w:hAnsi="Times New Roman;Times;Serif"/>
          <w:b w:val="false"/>
          <w:i w:val="false"/>
          <w:caps w:val="false"/>
          <w:smallCaps w:val="false"/>
          <w:sz w:val="20"/>
        </w:rPr>
        <w:t>” means any option granted pursuant to Section 4 of the Plan that does not qualify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an Incentive Stock Option or a Nonstatutory Stock Option to purchase shares of Common Stock granted pursuant to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Optionholder</w:t>
      </w:r>
      <w:r>
        <w:rPr>
          <w:rFonts w:ascii="Times New Roman;Times;Serif" w:hAnsi="Times New Roman;Times;Serif"/>
          <w:b w:val="false"/>
          <w:i w:val="false"/>
          <w:caps w:val="false"/>
          <w:smallCaps w:val="false"/>
          <w:sz w:val="20"/>
        </w:rPr>
        <w:t>” means a person to whom an Option is granted pursuant to the Plan or, if applicable, such other person who holds an outstanding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Award</w:t>
      </w:r>
      <w:r>
        <w:rPr>
          <w:rFonts w:ascii="Times New Roman;Times;Serif" w:hAnsi="Times New Roman;Times;Serif"/>
          <w:b w:val="false"/>
          <w:i w:val="false"/>
          <w:caps w:val="false"/>
          <w:smallCaps w:val="false"/>
          <w:sz w:val="20"/>
        </w:rPr>
        <w:t xml:space="preserve">” means an award based in whole or in part by reference to the Common Stock which is granted pursuant to the terms and conditions of Section 5(c).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Award Agreement</w:t>
      </w:r>
      <w:r>
        <w:rPr>
          <w:rFonts w:ascii="Times New Roman;Times;Serif" w:hAnsi="Times New Roman;Times;Serif"/>
          <w:b w:val="false"/>
          <w:i w:val="false"/>
          <w:caps w:val="false"/>
          <w:smallCaps w:val="false"/>
          <w:sz w:val="20"/>
        </w:rPr>
        <w:t>” means a written or electronic agreement between the Company and a holder of an Other Award evidencing the terms and conditions of an Other Award grant. Each Other Award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Own,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Ownership</w:t>
      </w:r>
      <w:r>
        <w:rPr>
          <w:rFonts w:ascii="Times New Roman;Times;Serif" w:hAnsi="Times New Roman;Times;Serif"/>
          <w:b w:val="false"/>
          <w:i w:val="false"/>
          <w:caps w:val="false"/>
          <w:smallCaps w:val="false"/>
          <w:sz w:val="20"/>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an Employee, Director or Consultant to whom an Award is granted pursuant to the Plan or, if applicable, such other person who holds an outstanding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Award</w:t>
      </w:r>
      <w:r>
        <w:rPr>
          <w:rFonts w:ascii="Times New Roman;Times;Serif" w:hAnsi="Times New Roman;Times;Serif"/>
          <w:b w:val="false"/>
          <w:i w:val="false"/>
          <w:caps w:val="false"/>
          <w:smallCaps w:val="false"/>
          <w:sz w:val="20"/>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Criteria</w:t>
      </w:r>
      <w:r>
        <w:rPr>
          <w:rFonts w:ascii="Times New Roman;Times;Serif" w:hAnsi="Times New Roman;Times;Serif"/>
          <w:b w:val="false"/>
          <w:i w:val="false"/>
          <w:caps w:val="false"/>
          <w:smallCaps w:val="false"/>
          <w:sz w:val="20"/>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growth of net income or operating income; billings; financing;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Goals</w:t>
      </w:r>
      <w:r>
        <w:rPr>
          <w:rFonts w:ascii="Times New Roman;Times;Serif" w:hAnsi="Times New Roman;Times;Serif"/>
          <w:b w:val="false"/>
          <w:i w:val="false"/>
          <w:caps w:val="false"/>
          <w:smallCaps w:val="false"/>
          <w:sz w:val="20"/>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Award.</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(uu)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Period</w:t>
      </w:r>
      <w:r>
        <w:rPr>
          <w:rFonts w:ascii="Times New Roman;Times;Serif" w:hAnsi="Times New Roman;Times;Serif"/>
          <w:b w:val="false"/>
          <w:i w:val="false"/>
          <w:caps w:val="false"/>
          <w:smallCaps w:val="false"/>
          <w:sz w:val="20"/>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Reed’s, Inc. 2026 Equity Incentive Plan,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Plan Administrator</w:t>
      </w:r>
      <w:r>
        <w:rPr>
          <w:rFonts w:ascii="Times New Roman;Times;Serif" w:hAnsi="Times New Roman;Times;Serif"/>
          <w:b w:val="false"/>
          <w:i w:val="false"/>
          <w:caps w:val="false"/>
          <w:smallCaps w:val="false"/>
          <w:sz w:val="20"/>
        </w:rPr>
        <w:t>” means the person, persons, and/or third-party administrator designated by the Company to administer the day to day operations of the Plan and the Company’s other equity incentive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(xx)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Post-Termination Exercise Period</w:t>
      </w:r>
      <w:r>
        <w:rPr>
          <w:rFonts w:ascii="Times New Roman;Times;Serif" w:hAnsi="Times New Roman;Times;Serif"/>
          <w:b w:val="false"/>
          <w:i w:val="false"/>
          <w:caps w:val="false"/>
          <w:smallCaps w:val="false"/>
          <w:sz w:val="20"/>
        </w:rPr>
        <w:t>” means the period following termination of a Participant’s Continuous Service within which an Option or SAR is exercisable, as specified in Section 4(h).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(yy)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Prior Plans</w:t>
      </w:r>
      <w:r>
        <w:rPr>
          <w:rFonts w:ascii="Times New Roman;Times;Serif" w:hAnsi="Times New Roman;Times;Serif"/>
          <w:b w:val="false"/>
          <w:i w:val="false"/>
          <w:caps w:val="false"/>
          <w:smallCaps w:val="false"/>
          <w:sz w:val="20"/>
        </w:rPr>
        <w:t>” means the Reed’s, Inc. 2020 Equity Incentive Plan, as amended from time to time and the Second Amended and Restated 2017 Incentive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(zz)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means the document containing the Plan information specified in Section 10(a)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Stock Award</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RSA</w:t>
      </w:r>
      <w:r>
        <w:rPr>
          <w:rFonts w:ascii="Times New Roman;Times;Serif" w:hAnsi="Times New Roman;Times;Serif"/>
          <w:b w:val="false"/>
          <w:i w:val="false"/>
          <w:caps w:val="false"/>
          <w:smallCaps w:val="false"/>
          <w:sz w:val="20"/>
        </w:rPr>
        <w:t>” means an Award of shares of Common Stock which is granted pursuant to the terms and conditions of Section 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(bbb)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Stock Award Agreement</w:t>
      </w:r>
      <w:r>
        <w:rPr>
          <w:rFonts w:ascii="Times New Roman;Times;Serif" w:hAnsi="Times New Roman;Times;Serif"/>
          <w:b w:val="false"/>
          <w:i w:val="false"/>
          <w:caps w:val="false"/>
          <w:smallCaps w:val="false"/>
          <w:sz w:val="20"/>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RSU Award</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RSU</w:t>
      </w:r>
      <w:r>
        <w:rPr>
          <w:rFonts w:ascii="Times New Roman;Times;Serif" w:hAnsi="Times New Roman;Times;Serif"/>
          <w:b w:val="false"/>
          <w:i w:val="false"/>
          <w:caps w:val="false"/>
          <w:smallCaps w:val="false"/>
          <w:sz w:val="20"/>
        </w:rPr>
        <w:t>” means an Award of restricted stock units representing the right to receive an issuance of shares of Common Stock which is granted pursuant to the terms and conditions of Section 5(a).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(ddd)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RSU Award Agreement</w:t>
      </w:r>
      <w:r>
        <w:rPr>
          <w:rFonts w:ascii="Times New Roman;Times;Serif" w:hAnsi="Times New Roman;Times;Serif"/>
          <w:b w:val="false"/>
          <w:i w:val="false"/>
          <w:caps w:val="false"/>
          <w:smallCaps w:val="false"/>
          <w:sz w:val="20"/>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Rule 16b-3</w:t>
      </w:r>
      <w:r>
        <w:rPr>
          <w:rFonts w:ascii="Times New Roman;Times;Serif" w:hAnsi="Times New Roman;Times;Serif"/>
          <w:b w:val="false"/>
          <w:i w:val="false"/>
          <w:caps w:val="false"/>
          <w:smallCaps w:val="false"/>
          <w:sz w:val="20"/>
        </w:rPr>
        <w:t>” means Rule 16b-3 promulgated under the Exchange Act or any successor to Rule 16b-3, as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(fff)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Rule 405</w:t>
      </w:r>
      <w:r>
        <w:rPr>
          <w:rFonts w:ascii="Times New Roman;Times;Serif" w:hAnsi="Times New Roman;Times;Serif"/>
          <w:b w:val="false"/>
          <w:i w:val="false"/>
          <w:caps w:val="false"/>
          <w:smallCaps w:val="false"/>
          <w:sz w:val="20"/>
        </w:rPr>
        <w:t xml:space="preserve">” means Rule 405 promulgated under the Securities Act.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(ggg)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SAR Agreement</w:t>
      </w:r>
      <w:r>
        <w:rPr>
          <w:rFonts w:ascii="Times New Roman;Times;Serif" w:hAnsi="Times New Roman;Times;Serif"/>
          <w:b w:val="false"/>
          <w:i w:val="false"/>
          <w:caps w:val="false"/>
          <w:smallCaps w:val="false"/>
          <w:sz w:val="20"/>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(hhh)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means Section 409A of the Code and the regulations and other guidance thereunder.</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Section 409A Change in Control</w:t>
      </w:r>
      <w:r>
        <w:rPr>
          <w:rFonts w:ascii="Times New Roman;Times;Serif" w:hAnsi="Times New Roman;Times;Serif"/>
          <w:b w:val="false"/>
          <w:i w:val="false"/>
          <w:caps w:val="false"/>
          <w:smallCaps w:val="false"/>
          <w:sz w:val="20"/>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(jjj)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(kkk)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Share Reserve</w:t>
      </w:r>
      <w:r>
        <w:rPr>
          <w:rFonts w:ascii="Times New Roman;Times;Serif" w:hAnsi="Times New Roman;Times;Serif"/>
          <w:b w:val="false"/>
          <w:i w:val="false"/>
          <w:caps w:val="false"/>
          <w:smallCaps w:val="false"/>
          <w:sz w:val="20"/>
        </w:rPr>
        <w:t>” means the number of shares available for issuance under the Plan as set forth in Section 2(a).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(lll)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SAR</w:t>
      </w:r>
      <w:r>
        <w:rPr>
          <w:rFonts w:ascii="Times New Roman;Times;Serif" w:hAnsi="Times New Roman;Times;Serif"/>
          <w:b w:val="false"/>
          <w:i w:val="false"/>
          <w:caps w:val="false"/>
          <w:smallCaps w:val="false"/>
          <w:sz w:val="20"/>
        </w:rPr>
        <w:t>” means a right to receive the appreciation on Common Stock that is granted pursuant to the terms and conditions of Section 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(mmm)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(nnn)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Tax-Related Items</w:t>
      </w:r>
      <w:r>
        <w:rPr>
          <w:rFonts w:ascii="Times New Roman;Times;Serif" w:hAnsi="Times New Roman;Times;Serif"/>
          <w:b w:val="false"/>
          <w:i w:val="false"/>
          <w:caps w:val="false"/>
          <w:smallCaps w:val="false"/>
          <w:sz w:val="20"/>
        </w:rPr>
        <w:t>” means any income tax, social insurance, payroll tax, fringe benefit tax, payment on account or other tax-related items arising out of or in relation to a Participant’s participation in the Plan and legally applicable or deemed applicable to the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(ooo)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Ten Percent Stockholder</w:t>
      </w:r>
      <w:r>
        <w:rPr>
          <w:rFonts w:ascii="Times New Roman;Times;Serif" w:hAnsi="Times New Roman;Times;Serif"/>
          <w:b w:val="false"/>
          <w:i w:val="false"/>
          <w:caps w:val="false"/>
          <w:smallCaps w:val="false"/>
          <w:sz w:val="20"/>
        </w:rPr>
        <w:t>” means a person who Owns (or is deemed to Own pursuant to Section 424(d) of the Code) stock possessing more than 10% of the total combined voting power of all classes of stock of the Company or any Affiliate.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(ppp)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Trading Policy</w:t>
      </w:r>
      <w:r>
        <w:rPr>
          <w:rFonts w:ascii="Times New Roman;Times;Serif" w:hAnsi="Times New Roman;Times;Serif"/>
          <w:b w:val="false"/>
          <w:i w:val="false"/>
          <w:caps w:val="false"/>
          <w:smallCaps w:val="false"/>
          <w:sz w:val="20"/>
        </w:rPr>
        <w:t>” 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005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1005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10058400"/>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43519</Words>
  <Characters>227790</Characters>
  <CharactersWithSpaces>271815</CharactersWithSpaces>
  <Paragraphs>3404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