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6_edei--DocumentType_c20260811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6_edei--DocumentPeriodEndDate_c202"/>
      <w:bookmarkEnd w:id="3"/>
      <w:r>
        <w:rPr>
          <w:rFonts w:ascii="Times New Roman;Times;Serif" w:hAnsi="Times New Roman;Times;Serif"/>
          <w:b/>
          <w:i w:val="false"/>
          <w:caps w:val="false"/>
          <w:smallCaps w:val="false"/>
          <w:sz w:val="20"/>
        </w:rPr>
        <w:t>August 11,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D_edei--EntityRegistrantName_c2026"/>
      <w:bookmarkEnd w:id="4"/>
      <w:r>
        <w:rPr>
          <w:rFonts w:ascii="Times New Roman;Times;Serif" w:hAnsi="Times New Roman;Times;Serif"/>
          <w:b/>
          <w:i w:val="false"/>
          <w:caps w:val="false"/>
          <w:smallCaps w:val="false"/>
          <w:sz w:val="36"/>
        </w:rPr>
        <w:t>REED’S,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firstLine="360"/>
        <w:jc w:val="both"/>
        <w:rPr>
          <w:caps w:val="false"/>
          <w:smallCaps w:val="false"/>
        </w:rPr>
      </w:pPr>
      <w:r>
        <w:rPr>
          <w:caps w:val="false"/>
          <w:smallCaps w:val="false"/>
        </w:rPr>
        <w:t> </w:t>
      </w:r>
    </w:p>
    <w:tbl>
      <w:tblPr>
        <w:tblW w:w="5190" w:type="dxa"/>
        <w:jc w:val="left"/>
        <w:tblInd w:w="0" w:type="dxa"/>
        <w:tblLayout w:type="fixed"/>
        <w:tblCellMar>
          <w:top w:w="0" w:type="dxa"/>
          <w:left w:w="0" w:type="dxa"/>
          <w:bottom w:w="0" w:type="dxa"/>
          <w:right w:w="0" w:type="dxa"/>
        </w:tblCellMar>
      </w:tblPr>
      <w:tblGrid>
        <w:gridCol w:w="2360"/>
        <w:gridCol w:w="60"/>
        <w:gridCol w:w="1145"/>
        <w:gridCol w:w="60"/>
        <w:gridCol w:w="1565"/>
      </w:tblGrid>
      <w:tr>
        <w:trPr/>
        <w:tc>
          <w:tcPr>
            <w:tcW w:w="23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B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3_edei--EntityFileNumber_c20260811"/>
            <w:bookmarkEnd w:id="6"/>
            <w:r>
              <w:rPr>
                <w:rFonts w:ascii="Times New Roman;Times;Serif" w:hAnsi="Times New Roman;Times;Serif"/>
                <w:b/>
                <w:i w:val="false"/>
                <w:caps w:val="false"/>
                <w:smallCaps w:val="false"/>
                <w:sz w:val="20"/>
              </w:rPr>
              <w:t>001-32501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5_edei--EntityTaxIdentificationNum"/>
            <w:bookmarkEnd w:id="7"/>
            <w:r>
              <w:rPr>
                <w:rFonts w:ascii="Times New Roman;Times;Serif" w:hAnsi="Times New Roman;Times;Serif"/>
                <w:b/>
                <w:i w:val="false"/>
                <w:caps w:val="false"/>
                <w:smallCaps w:val="false"/>
                <w:sz w:val="20"/>
              </w:rPr>
              <w:t>35-2177773</w:t>
            </w:r>
          </w:p>
        </w:tc>
      </w:tr>
      <w:tr>
        <w:trPr/>
        <w:tc>
          <w:tcPr>
            <w:tcW w:w="23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3395"/>
        <w:gridCol w:w="60"/>
        <w:gridCol w:w="935"/>
      </w:tblGrid>
      <w:tr>
        <w:trPr/>
        <w:tc>
          <w:tcPr>
            <w:tcW w:w="339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C_edei--EntityAddressAddressLine1_"/>
            <w:bookmarkEnd w:id="8"/>
            <w:r>
              <w:rPr>
                <w:rFonts w:ascii="Times New Roman;Times;Serif" w:hAnsi="Times New Roman;Times;Serif"/>
                <w:b/>
                <w:i w:val="false"/>
                <w:caps w:val="false"/>
                <w:smallCaps w:val="false"/>
                <w:sz w:val="20"/>
              </w:rPr>
              <w:t>501 Merritt 7 PH</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9" w:name="xdx_909_edei--EntityAddressCityOrTown_c2"/>
            <w:bookmarkEnd w:id="9"/>
            <w:r>
              <w:rPr>
                <w:rFonts w:ascii="Times New Roman;Times;Serif" w:hAnsi="Times New Roman;Times;Serif"/>
                <w:b/>
                <w:i w:val="false"/>
                <w:caps w:val="false"/>
                <w:smallCaps w:val="false"/>
                <w:sz w:val="20"/>
              </w:rPr>
              <w:t xml:space="preserve">Norwalk, </w:t>
            </w:r>
            <w:bookmarkStart w:id="10" w:name="xdx_905_edei--EntityAddressStateOrProvin"/>
            <w:bookmarkEnd w:id="10"/>
            <w:r>
              <w:rPr>
                <w:rFonts w:ascii="Times New Roman;Times;Serif" w:hAnsi="Times New Roman;Times;Serif"/>
                <w:b/>
                <w:i w:val="false"/>
                <w:caps w:val="false"/>
                <w:smallCaps w:val="false"/>
                <w:sz w:val="20"/>
              </w:rPr>
              <w:t>Connecticut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C_edei--EntityAddressPostalZipCode"/>
            <w:bookmarkEnd w:id="11"/>
            <w:r>
              <w:rPr>
                <w:rFonts w:ascii="Times New Roman;Times;Serif" w:hAnsi="Times New Roman;Times;Serif"/>
                <w:b/>
                <w:i w:val="false"/>
                <w:caps w:val="false"/>
                <w:smallCaps w:val="false"/>
                <w:sz w:val="20"/>
              </w:rPr>
              <w:t>06851</w:t>
            </w:r>
          </w:p>
        </w:tc>
      </w:tr>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2" w:name="xdx_900_edei--CityAreaCode_c20260811__20"/>
      <w:bookmarkEnd w:id="12"/>
      <w:r>
        <w:rPr>
          <w:rFonts w:ascii="Times New Roman;Times;Serif" w:hAnsi="Times New Roman;Times;Serif"/>
          <w:b/>
          <w:i w:val="false"/>
          <w:caps w:val="false"/>
          <w:smallCaps w:val="false"/>
          <w:sz w:val="20"/>
        </w:rPr>
        <w:t xml:space="preserve">(800) </w:t>
      </w:r>
      <w:bookmarkStart w:id="13" w:name="xdx_902_edei--LocalPhoneNumber_c20260811"/>
      <w:bookmarkEnd w:id="13"/>
      <w:r>
        <w:rPr>
          <w:rFonts w:ascii="Times New Roman;Times;Serif" w:hAnsi="Times New Roman;Times;Serif"/>
          <w:b/>
          <w:i w:val="false"/>
          <w:caps w:val="false"/>
          <w:smallCaps w:val="false"/>
          <w:sz w:val="20"/>
        </w:rPr>
        <w:t>997-3337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3_edei--WrittenCommunications_c202"/>
            <w:bookmarkEnd w:id="1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0_edei--SolicitingMaterial_c202608"/>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E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9_edei--PreCommencementIssuerTende"/>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030" w:type="dxa"/>
        <w:jc w:val="left"/>
        <w:tblInd w:w="0" w:type="dxa"/>
        <w:tblLayout w:type="fixed"/>
        <w:tblCellMar>
          <w:top w:w="0" w:type="dxa"/>
          <w:left w:w="0" w:type="dxa"/>
          <w:bottom w:w="28" w:type="dxa"/>
          <w:right w:w="0" w:type="dxa"/>
        </w:tblCellMar>
      </w:tblPr>
      <w:tblGrid>
        <w:gridCol w:w="3590"/>
        <w:gridCol w:w="60"/>
        <w:gridCol w:w="1610"/>
        <w:gridCol w:w="60"/>
        <w:gridCol w:w="3710"/>
      </w:tblGrid>
      <w:tr>
        <w:trPr/>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8_edei--Security12bTitle_c20260811"/>
            <w:bookmarkEnd w:id="18"/>
            <w:r>
              <w:rPr>
                <w:rFonts w:ascii="Times New Roman;Times;Serif" w:hAnsi="Times New Roman;Times;Serif"/>
                <w:b w:val="false"/>
                <w:i w:val="false"/>
                <w:caps w:val="false"/>
                <w:smallCaps w:val="false"/>
                <w:sz w:val="20"/>
              </w:rPr>
              <w:t>Common stock, $0.0001 par value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2_edei--TradingSymbol_c20260811__2"/>
            <w:bookmarkEnd w:id="19"/>
            <w:r>
              <w:rPr>
                <w:rFonts w:ascii="Times New Roman;Times;Serif" w:hAnsi="Times New Roman;Times;Serif"/>
                <w:b w:val="false"/>
                <w:i w:val="false"/>
                <w:caps w:val="false"/>
                <w:smallCaps w:val="false"/>
                <w:sz w:val="20"/>
              </w:rPr>
              <w:t>REED</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1_edei--SecurityExchangeName_c2026"/>
            <w:bookmarkEnd w:id="20"/>
            <w:r>
              <w:rPr>
                <w:rFonts w:ascii="Times New Roman;Times;Serif" w:hAnsi="Times New Roman;Times;Serif"/>
                <w:b w:val="false"/>
                <w:i w:val="false"/>
                <w:caps w:val="false"/>
                <w:smallCaps w:val="false"/>
                <w:sz w:val="20"/>
              </w:rPr>
              <w:t>NYSE American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1" w:name="xdx_909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11, 2026, Reed’s, Inc., a Delaware corporation (the “Company”), issued a press release announcing financial results for the quarter ended June 30, 2026. The full text of the press release is attached as Exhibit 99.1 to this Current Report on Form 8-K and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2.02 and the attached Exhibit 99.1 are being furnished and shall not be deemed to be “filed” for the purposes of Section 18 of the Securities Exchange Act of 1934, as amended (the “Exchange Act”), or otherwise subject to the liabilities of that section, nor shall they be deemed to be incorporated by reference in any filing made by the Company under the Securities Act of 1933, as amended, or the Exchange Act, except as shall be expressly set forth by specific reference in such a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7315" w:type="dxa"/>
        <w:jc w:val="left"/>
        <w:tblInd w:w="0" w:type="dxa"/>
        <w:tblLayout w:type="fixed"/>
        <w:tblCellMar>
          <w:top w:w="0" w:type="dxa"/>
          <w:left w:w="0" w:type="dxa"/>
          <w:bottom w:w="28" w:type="dxa"/>
          <w:right w:w="0" w:type="dxa"/>
        </w:tblCellMar>
      </w:tblPr>
      <w:tblGrid>
        <w:gridCol w:w="725"/>
        <w:gridCol w:w="60"/>
        <w:gridCol w:w="6530"/>
      </w:tblGrid>
      <w:tr>
        <w:trPr/>
        <w:tc>
          <w:tcPr>
            <w:tcW w:w="72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53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tcMar>
              <w:bottom w:w="0" w:type="dxa"/>
            </w:tcM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dated August 11, 2026.</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215" w:type="dxa"/>
        <w:jc w:val="left"/>
        <w:tblInd w:w="0" w:type="dxa"/>
        <w:tblLayout w:type="fixed"/>
        <w:tblCellMar>
          <w:top w:w="0" w:type="dxa"/>
          <w:left w:w="0" w:type="dxa"/>
          <w:bottom w:w="0" w:type="dxa"/>
          <w:right w:w="0" w:type="dxa"/>
        </w:tblCellMar>
      </w:tblPr>
      <w:tblGrid>
        <w:gridCol w:w="1865"/>
        <w:gridCol w:w="320"/>
        <w:gridCol w:w="2030"/>
      </w:tblGrid>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35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Inc.</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0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11,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Douglas W. McCurdy</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Douglas W. McCurdy</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22" w:name="ex99-1.htm"/>
      <w:bookmarkStart w:id="23" w:name="ksex991"/>
      <w:bookmarkEnd w:id="22"/>
      <w:bookmarkEnd w:id="23"/>
      <w:r>
        <w:rPr>
          <w:caps w:val="false"/>
          <w:smallCaps w:val="false"/>
        </w:rPr>
        <w:t> </w:t>
      </w:r>
      <w:r>
        <w:br w:type="page"/>
      </w:r>
    </w:p>
    <w:p>
      <w:pPr>
        <w:pStyle w:val="TextBody"/>
        <w:bidi w:val="0"/>
        <w:spacing w:before="0" w:after="0"/>
        <w:ind w:left="1087"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304925"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04925" cy="4476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Reports Second Quarter 2026 Results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Management Team to Host Conference Call Tomorrow at 8:30 a.m. ET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Norwalk, CT, (August 11, 2026) – </w:t>
      </w:r>
      <w:r>
        <w:rPr>
          <w:rFonts w:ascii="Times New Roman;Times;Serif" w:hAnsi="Times New Roman;Times;Serif"/>
          <w:b w:val="false"/>
          <w:i w:val="false"/>
          <w:caps w:val="false"/>
          <w:smallCaps w:val="false"/>
          <w:sz w:val="20"/>
        </w:rPr>
        <w:t>Reed’s, Inc. (NYSE American: REED) (“Reed’s” or the “Company”), owner of the nation’s leading portfolio of handcrafted, natural ginger beverages, today announced financial results for the three and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 2026 Financial Highlights (vs. Q2 2025):</w:t>
      </w:r>
    </w:p>
    <w:p>
      <w:pPr>
        <w:pStyle w:val="TextBody"/>
        <w:bidi w:val="0"/>
        <w:spacing w:before="0" w:after="0"/>
        <w:ind w:left="720" w:right="0" w:hanging="360"/>
        <w:jc w:val="both"/>
        <w:rPr>
          <w:caps w:val="false"/>
          <w:smallCaps w:val="false"/>
        </w:rPr>
      </w:pPr>
      <w:r>
        <w:rPr>
          <w:caps w:val="false"/>
          <w:smallCaps w:val="false"/>
        </w:rPr>
        <w:t> </w:t>
      </w:r>
    </w:p>
    <w:tbl>
      <w:tblPr>
        <w:tblW w:w="8253" w:type="dxa"/>
        <w:jc w:val="left"/>
        <w:tblInd w:w="0" w:type="dxa"/>
        <w:tblLayout w:type="fixed"/>
        <w:tblCellMar>
          <w:top w:w="0" w:type="dxa"/>
          <w:left w:w="0" w:type="dxa"/>
          <w:bottom w:w="0" w:type="dxa"/>
          <w:right w:w="0" w:type="dxa"/>
        </w:tblCellMar>
      </w:tblPr>
      <w:tblGrid>
        <w:gridCol w:w="38"/>
        <w:gridCol w:w="170"/>
        <w:gridCol w:w="80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were $7.5 million compared to $9.5 million.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was $1.8 million compared to $0.8 million, with gross margin of 24% compared to 8%.</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and handling expenses were $2.54 per case compared to $2.95 per case.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were $4.7 million compared to $5.0 million.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was $4.3 million compared to $6.0 million.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loss was $4.0 million compared to $5.7 million.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Neal Cohane, Reed’s interim CEO, stated, “We are seeing early traction from the corrective actions we took earlier this year, with sequential improvement in net sales, gross margin and overall operating performance. During the quarter, we prioritized our efforts on reengaging key retail and distribution partners, regaining shelf space, increasing doors, restoring our heritage glass bottle packaging, tightening inventory controls, and continuing cost reduction efforts.”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believe we are making progress centered on sequential improvement. Net sales increased 5% compared to the first quarter. Gross margin expanded compared to the first quarter, and we expect continued expansion to the mid-30% area. Selling, general &amp; administrative expenses decreased by 18% compared to the first quarter, and we expect continuing optimization. Net loss decreased by 34% compared to the first quarter and we are focused on achieving profitable growth. Additionally, we are evaluating financing alternatives to support the business going forward. We believe the actions we are taking will enable us to position Reed’s for long-term sustainable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second quarter, Reed’s continued to execute the corrective actions initiated earlier this year to stabilize the business, improve operational performance, and position the Company for profitable growth, resulting in the following developments:</w:t>
      </w:r>
    </w:p>
    <w:p>
      <w:pPr>
        <w:pStyle w:val="TextBody"/>
        <w:bidi w:val="0"/>
        <w:spacing w:before="0" w:after="0"/>
        <w:ind w:left="720" w:right="0" w:hanging="360"/>
        <w:jc w:val="both"/>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170"/>
        <w:gridCol w:w="86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Regained shelf space and grew doors by reengaging national and regional retail accounts.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Invested in sales brokers to increase retail coverage and improve in-market execution across key channels.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EBITDA is a non-GAAP financial measure. Definition of the non-GAAP measure used by Reed’s and a reconciliation of such measure to the related GAAP financial measure can be found under the sections below titled “Non-GAAP Financial Measures” and “Reconciliation of GAAP Financial Measure to Non-GAAP Financial Measure.”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Improved trade spend efficiency, contributing to higher gross margin.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Improved working capital efficiency, reducing inventory to $7.0 million and improving the Company’s cash conversion cycle.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progress optimizing selling, general and administrative expenses.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second quarter of 2026, net sales were $7.5 million, compared to $9.5 million in the prior year period. The decrease was primarily driven by lower volumes with recurring national customers. On a sequential basis, net sales increased 5% compared to the first quarter of 2026, which the Company believes reflects early progress with its profitable growth initiatives.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for the second quarter of 2026 increased to $1.8 million, compared to $0.8 million in the prior year period. Gross margin increased to 24% compared to 8% in the prior year period. The increase was primarily driven by lower inventory write-offs, which declined to $0.1 million from $1.6 million in the prior year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and handling expenses decreased by 30% to $1.1 million during the second quarter of 2026 compared to $1.6 million in the second quarter of 2025, primarily driven by continued improvements in logistics efficiency and freight optimization. Delivery and handling costs were 15% of net sales, or $2.54 per case, compared to 17% of net sales, or $2.95 per case, during the same period last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decreased by 6% to $4.7 million, compared to $5.0 million in the prior year period. The decrease was primarily driven by lower legal settlements and continuing efforts to optimize selling, general and administrative expenses, offset by investment in personnel and related services to support the Company’s Asia growth initiative.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during the second quarter of 2026 decreased by 29% to $4.3 million, or $(0.36) per share, compared to a net loss of $6.0 million, or $(0.78) per share, in the prior year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loss decreased by 30% to $4.0 million in the second quarter of 2026 compared to $5.7 million in the year-ago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Cash 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second quarter of 2026, cash used in operations improved to $2.2 million compared to cash used in operations of $5.0 million in the year-ago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$2.4 million of cash and $9.2 million of total debt net of deferred financing fees, compared to $10.4 million of cash and $9.2 million of total debt net of deferred financing fees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Conference Call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conduct a conference call tomorrow, August 12, 2026, at 8:30 a.m. Eastern time to discuss its results for the three and six months ended June 30, 2026.</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 leadership team will host the conference call, followed by a question-and-answer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Wednesday, August 12, 2026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8:30 a.m. Eastern time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Toll-free dial-in number: (800) 717-1738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dial-in number: (646) 307-1865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Conference ID: 72811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Webcast: </w:t>
      </w:r>
      <w:r>
        <w:rPr>
          <w:rFonts w:ascii="Times New Roman;Times;Serif" w:hAnsi="Times New Roman;Times;Serif"/>
          <w:b w:val="false"/>
          <w:i w:val="false"/>
          <w:caps w:val="false"/>
          <w:smallCaps w:val="false"/>
          <w:sz w:val="20"/>
          <w:u w:val="single"/>
        </w:rPr>
        <w:t>Reed’s Q2 2026 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dial into the conference call 5-10 minutes prior to the start time. An operator will register your name and organization. If you have any difficulty connecting with the conference call, please contact the Company’s investor relations team at (720) 330-2829.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conference call will also be broadcast live and available for replay on the investor relations section of the Company’s website at </w:t>
      </w:r>
      <w:r>
        <w:rPr>
          <w:rFonts w:ascii="Times New Roman;Times;Serif" w:hAnsi="Times New Roman;Times;Serif"/>
          <w:b w:val="false"/>
          <w:i w:val="false"/>
          <w:caps w:val="false"/>
          <w:smallCaps w:val="false"/>
          <w:sz w:val="20"/>
          <w:u w:val="single"/>
        </w:rPr>
        <w:t>https://investor.reedsinc.com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Reed’s,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 is an innovative company and category leader that provides the world with high quality, premium and better-for-you sodas. Established in 1989, Reed’s is a leader in craft beverages under the Reed’s®, Virgil’s® and Flying Cauldron® brand names. The Company’s beverages are now sold in over 32,000 stores nationwide.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U.S. GAAP results, we present EBITDA as a supplemental measure of our performance. However, EBITDA is not a recognized measurement under U.S. GAAP and should not be considered as an alternative to net income, income from operations or any other performance measure derived in accordance with U.S. GAAP, or as an alternative to cash flow from operating activities as a measure of liquidity. We define EBITDA as net income (loss), plus interest expense, tax expense, and depreciation and amortization.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considers our core operating performance to be that which our managers can affect in any particular period through their management of the resources that affect our underlying revenue and profit generating operations during that period. Non-GAAP adjustments to our results prepared in accordance with U.S. GAAP are itemized below. You are encouraged to evaluate these adjustments and the reasons we consider them appropriate for supplemental analysis. In evaluating EBITDA, you should be aware that in the future we may incur expenses that are the same as or similar to some of the adjustments in this presentation. Our presentation of EBITDA should not be construed as an inference that our future results will be unaffected by unusual or non-recurring items.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present EBITDA because we believe it assists investors and analysts in comparing our performance across reporting periods on a consistent basis by excluding items that we do not believe are indicative of our core operating performance. In addition, we use EBITDA in developing our internal budgets, forecasts and strategic plan; in analyzing the effectiveness of our business strategies in evaluating potential acquisitions; making compensation decisions; and in communications with our board of directors concerning our financial performance. EBITDA has limitations as an analytical tool, which includes, among others,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does not reflect our cash expenditures, or future requirements, for capital expenditures or contractual commitments;</w:t>
            </w:r>
          </w:p>
        </w:tc>
      </w:tr>
    </w:tbl>
    <w:p>
      <w:pPr>
        <w:pStyle w:val="TextBody"/>
        <w:bidi w:val="0"/>
        <w:spacing w:before="0" w:after="0"/>
        <w:ind w:left="720" w:right="0" w:hanging="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does not reflect changes in, or cash requirements for, our working capital needs;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does not reflect future interest expense, or the cash requirements necessary to service interest or principal payments, on our debts;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depreciation and amortization are non-cash charges, the assets being depreciated and amortized will often have to be replaced in the future, and EBITDA does not reflect any cash requirements for such replacements.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forward-looking statements within the meaning of the Private Securities Litigation Reform Act of 1995. Statements that are not historical are forward-looking statements. These forward- looking statements may be identified by terms such as “believe,” “expect,” “intends,” “outlook,” “may,” “will” and similar expressions. Forward-looking statements include, but are not limited to, statements herein with respect to implied or express statements regarding the Company’s expectations relating to its financial projections, including expected expansion of gross margin, business strategy, growth initiatives, operational improvements, potential financing alternatives, and the Company’s belief that its corrective efforts will help reposition the Company for long-term sustainable growth, profitability and shareholder value creation. These forward-looking statements are based on current expectations. The achievement or success of the matters covered by such forward-looking statements involves risks, uncertainties, and assumptions, many of which involve factors or circumstances that are beyond our control. These risks could materially impact our ability to access raw materials, production, transportation and/or other logistics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any such risks or uncertainties materialize or if any of the assumptions prove incorrect, Reed’s actual results could differ materially from the results expressed or implied by the forward-looking statements we make. The risks and uncertainties referred to above include, but are not limited to: inventory shortages; risks associated with new product releases; the impacts of further inflation; risks that customer demand may fluctuate or decrease; risks that we are unable to collect unbilled contractual commitments, particularly in the current economic environment; our ability to compete successfully and manage growth; our ability to attract and retain qualified management and personnel; our ability to develop and expand strategic and third party distribution channels; our dependence on third party suppliers, brewers and distributors; third party co-packers meeting contractual commitments; risks related to our business expansion and international operations; our ability to continue to innovate; our strategy of making investments in sales to drive growth; increasing costs of fuel and freight; protection of intellectual property; competition; general political or destabilizing events; general economic conditions; the effect of evolving domestic and foreign government regulations; and other risks detailed from time to time in Reed’s public filings, including Reed’s annual report on Form 10-K filed on March 25, 2026, which is available on the Securities and Exchange Commission’s web 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These forward-looking statements are based on current expectations and speak only as of the date hereof. Reed’s assumes no obligation and does not intend to update these forward-looking statements,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Sean Mansouri, CFA or Aaron D’Souza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Elevate IR</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ir@reedsinc.com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(720) 330-2829</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Six Months Ended June 30, 2026 and 2025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 and per share amounts)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50"/>
        <w:gridCol w:w="60"/>
        <w:gridCol w:w="140"/>
        <w:gridCol w:w="1100"/>
        <w:gridCol w:w="95"/>
        <w:gridCol w:w="60"/>
        <w:gridCol w:w="140"/>
        <w:gridCol w:w="980"/>
        <w:gridCol w:w="95"/>
        <w:gridCol w:w="60"/>
        <w:gridCol w:w="140"/>
        <w:gridCol w:w="1100"/>
        <w:gridCol w:w="95"/>
        <w:gridCol w:w="60"/>
        <w:gridCol w:w="140"/>
        <w:gridCol w:w="980"/>
        <w:gridCol w:w="110"/>
      </w:tblGrid>
      <w:tr>
        <w:trPr/>
        <w:tc>
          <w:tcPr>
            <w:tcW w:w="48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1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0" w:type="dxa"/>
            <w:tcBorders/>
            <w:vAlign w:val="center"/>
          </w:tcPr>
          <w:p>
            <w:pPr>
              <w:pStyle w:val="TableContents"/>
              <w:bidi w:val="0"/>
              <w:spacing w:before="0" w:after="283"/>
              <w:jc w:val="left"/>
              <w:rPr/>
            </w:pPr>
            <w:r>
              <w:rPr/>
              <w:t> </w:t>
            </w:r>
          </w:p>
        </w:tc>
      </w:tr>
      <w:tr>
        <w:trPr/>
        <w:tc>
          <w:tcPr>
            <w:tcW w:w="48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b/>
              </w:rPr>
            </w:pPr>
            <w:r>
              <w:rPr>
                <w:b/>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7,488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9,523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14,630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19,552</w:t>
            </w:r>
          </w:p>
        </w:tc>
        <w:tc>
          <w:tcPr>
            <w:tcW w:w="11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pPr>
            <w:r>
              <w:rPr/>
              <w:t>Cost of goods sold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5,607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7,110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11,314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13,682</w:t>
            </w:r>
          </w:p>
        </w:tc>
        <w:tc>
          <w:tcPr>
            <w:tcW w:w="11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pPr>
            <w:r>
              <w:rPr/>
              <w:t>Inventory write-offs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1,606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830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1,661</w:t>
            </w:r>
          </w:p>
        </w:tc>
        <w:tc>
          <w:tcPr>
            <w:tcW w:w="11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pPr>
            <w:r>
              <w:rPr/>
              <w:t>Total cost of goods sold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5,699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8,716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12,144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15,343</w:t>
            </w:r>
          </w:p>
        </w:tc>
        <w:tc>
          <w:tcPr>
            <w:tcW w:w="11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1,789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807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2,486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4,209</w:t>
            </w:r>
          </w:p>
        </w:tc>
        <w:tc>
          <w:tcPr>
            <w:tcW w:w="11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pPr>
            <w:r>
              <w:rPr/>
              <w:t>Delivery and handling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1,572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2,227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3,199</w:t>
            </w:r>
          </w:p>
        </w:tc>
        <w:tc>
          <w:tcPr>
            <w:tcW w:w="11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pPr>
            <w:r>
              <w:rPr/>
              <w:t>Selling and marketing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3,456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2,773</w:t>
            </w:r>
          </w:p>
        </w:tc>
        <w:tc>
          <w:tcPr>
            <w:tcW w:w="11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pPr>
            <w:r>
              <w:rPr/>
              <w:t>General and administrative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3,037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3,757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7,082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5,772</w:t>
            </w:r>
          </w:p>
        </w:tc>
        <w:tc>
          <w:tcPr>
            <w:tcW w:w="11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5,853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6,600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12,765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11,744</w:t>
            </w:r>
          </w:p>
        </w:tc>
        <w:tc>
          <w:tcPr>
            <w:tcW w:w="11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b/>
              </w:rPr>
            </w:pPr>
            <w:r>
              <w:rPr>
                <w:b/>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(4,064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(5,793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(10,279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(7,535</w:t>
            </w:r>
          </w:p>
        </w:tc>
        <w:tc>
          <w:tcPr>
            <w:tcW w:w="110" w:type="dxa"/>
            <w:tcBorders/>
            <w:shd w:fill="CCEEFF" w:val="clear"/>
            <w:vAlign w:val="center"/>
          </w:tcPr>
          <w:p>
            <w:pPr>
              <w:pStyle w:val="TableContents"/>
              <w:bidi w:val="0"/>
              <w:spacing w:before="0" w:after="283"/>
              <w:jc w:val="left"/>
              <w:rPr/>
            </w:pPr>
            <w:r>
              <w:rPr/>
              <w:t>)</w:t>
            </w:r>
          </w:p>
        </w:tc>
      </w:tr>
      <w:tr>
        <w:trPr/>
        <w:tc>
          <w:tcPr>
            <w:tcW w:w="4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pPr>
            <w:r>
              <w:rPr/>
              <w:t>Other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46</w:t>
            </w:r>
          </w:p>
        </w:tc>
        <w:tc>
          <w:tcPr>
            <w:tcW w:w="11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(590</w:t>
            </w:r>
          </w:p>
        </w:tc>
        <w:tc>
          <w:tcPr>
            <w:tcW w:w="110" w:type="dxa"/>
            <w:tcBorders/>
            <w:shd w:fill="FFFFFF" w:val="clear"/>
            <w:vAlign w:val="center"/>
          </w:tcPr>
          <w:p>
            <w:pPr>
              <w:pStyle w:val="TableContents"/>
              <w:bidi w:val="0"/>
              <w:spacing w:before="0" w:after="283"/>
              <w:jc w:val="left"/>
              <w:rPr/>
            </w:pPr>
            <w:r>
              <w:rPr/>
              <w:t>)</w:t>
            </w:r>
          </w:p>
        </w:tc>
      </w:tr>
      <w:tr>
        <w:trPr/>
        <w:tc>
          <w:tcPr>
            <w:tcW w:w="4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(4,273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(6,048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(10,737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(8,079</w:t>
            </w:r>
          </w:p>
        </w:tc>
        <w:tc>
          <w:tcPr>
            <w:tcW w:w="110" w:type="dxa"/>
            <w:tcBorders/>
            <w:shd w:fill="FFFFFF" w:val="clear"/>
            <w:vAlign w:val="center"/>
          </w:tcPr>
          <w:p>
            <w:pPr>
              <w:pStyle w:val="TableContents"/>
              <w:bidi w:val="0"/>
              <w:spacing w:before="0" w:after="283"/>
              <w:jc w:val="left"/>
              <w:rPr/>
            </w:pPr>
            <w:r>
              <w:rPr/>
              <w:t>)</w:t>
            </w:r>
          </w:p>
        </w:tc>
      </w:tr>
      <w:tr>
        <w:trPr/>
        <w:tc>
          <w:tcPr>
            <w:tcW w:w="4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b/>
              </w:rPr>
            </w:pPr>
            <w:r>
              <w:rPr>
                <w:b/>
              </w:rPr>
              <w:t>Dividends on Series A Convertible Preferred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(5</w:t>
            </w:r>
          </w:p>
        </w:tc>
        <w:tc>
          <w:tcPr>
            <w:tcW w:w="110" w:type="dxa"/>
            <w:tcBorders/>
            <w:shd w:fill="FFFFFF" w:val="clear"/>
            <w:vAlign w:val="center"/>
          </w:tcPr>
          <w:p>
            <w:pPr>
              <w:pStyle w:val="TableContents"/>
              <w:bidi w:val="0"/>
              <w:spacing w:before="0" w:after="283"/>
              <w:jc w:val="left"/>
              <w:rPr/>
            </w:pPr>
            <w:r>
              <w:rPr/>
              <w:t>)</w:t>
            </w:r>
          </w:p>
        </w:tc>
      </w:tr>
      <w:tr>
        <w:trPr/>
        <w:tc>
          <w:tcPr>
            <w:tcW w:w="4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b/>
              </w:rPr>
            </w:pPr>
            <w:r>
              <w:rPr>
                <w:b/>
              </w:rPr>
              <w:t>Net Loss Attributable to Common 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(4,273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(6,053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(10,737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(8,084</w:t>
            </w:r>
          </w:p>
        </w:tc>
        <w:tc>
          <w:tcPr>
            <w:tcW w:w="110" w:type="dxa"/>
            <w:tcBorders/>
            <w:shd w:fill="FFFFFF" w:val="clear"/>
            <w:vAlign w:val="center"/>
          </w:tcPr>
          <w:p>
            <w:pPr>
              <w:pStyle w:val="TableContents"/>
              <w:bidi w:val="0"/>
              <w:spacing w:before="0" w:after="283"/>
              <w:jc w:val="left"/>
              <w:rPr/>
            </w:pPr>
            <w:r>
              <w:rPr/>
              <w:t>)</w:t>
            </w:r>
          </w:p>
        </w:tc>
      </w:tr>
      <w:tr>
        <w:trPr/>
        <w:tc>
          <w:tcPr>
            <w:tcW w:w="4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b/>
              </w:rPr>
            </w:pPr>
            <w:r>
              <w:rPr>
                <w:b/>
              </w:rPr>
              <w:t>Loss per share –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(0.36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(0.78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(0.91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(1.06</w:t>
            </w:r>
          </w:p>
        </w:tc>
        <w:tc>
          <w:tcPr>
            <w:tcW w:w="110" w:type="dxa"/>
            <w:tcBorders/>
            <w:shd w:fill="FFFFFF" w:val="clear"/>
            <w:vAlign w:val="center"/>
          </w:tcPr>
          <w:p>
            <w:pPr>
              <w:pStyle w:val="TableContents"/>
              <w:bidi w:val="0"/>
              <w:spacing w:before="0" w:after="283"/>
              <w:jc w:val="left"/>
              <w:rPr/>
            </w:pPr>
            <w:r>
              <w:rPr/>
              <w:t>)</w:t>
            </w:r>
          </w:p>
        </w:tc>
      </w:tr>
      <w:tr>
        <w:trPr/>
        <w:tc>
          <w:tcPr>
            <w:tcW w:w="4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pPr>
            <w:r>
              <w:rPr/>
              <w:t>Weighted average number of shares outstanding –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11,846,210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7,727,840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11,833,391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7,645,316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 amounts)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52"/>
        <w:gridCol w:w="60"/>
        <w:gridCol w:w="167"/>
        <w:gridCol w:w="1045"/>
        <w:gridCol w:w="95"/>
        <w:gridCol w:w="60"/>
        <w:gridCol w:w="140"/>
        <w:gridCol w:w="875"/>
        <w:gridCol w:w="111"/>
      </w:tblGrid>
      <w:tr>
        <w:trPr/>
        <w:tc>
          <w:tcPr>
            <w:tcW w:w="765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12"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31, 2025</w:t>
            </w:r>
          </w:p>
        </w:tc>
        <w:tc>
          <w:tcPr>
            <w:tcW w:w="111" w:type="dxa"/>
            <w:tcBorders/>
            <w:vAlign w:val="center"/>
          </w:tcPr>
          <w:p>
            <w:pPr>
              <w:pStyle w:val="TableContents"/>
              <w:bidi w:val="0"/>
              <w:spacing w:before="0" w:after="283"/>
              <w:jc w:val="left"/>
              <w:rPr/>
            </w:pPr>
            <w:r>
              <w:rPr/>
              <w:t> </w:t>
            </w:r>
          </w:p>
        </w:tc>
      </w:tr>
      <w:tr>
        <w:trPr/>
        <w:tc>
          <w:tcPr>
            <w:tcW w:w="765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12"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center"/>
              <w:rPr/>
            </w:pPr>
            <w:r>
              <w:rPr/>
              <w:t> </w:t>
            </w:r>
          </w:p>
        </w:tc>
        <w:tc>
          <w:tcPr>
            <w:tcW w:w="111" w:type="dxa"/>
            <w:tcBorders/>
            <w:vAlign w:val="center"/>
          </w:tcPr>
          <w:p>
            <w:pPr>
              <w:pStyle w:val="TableContents"/>
              <w:bidi w:val="0"/>
              <w:spacing w:before="0" w:after="283"/>
              <w:jc w:val="left"/>
              <w:rPr/>
            </w:pPr>
            <w:r>
              <w:rPr/>
              <w:t> </w:t>
            </w:r>
          </w:p>
        </w:tc>
      </w:tr>
      <w:tr>
        <w:trPr/>
        <w:tc>
          <w:tcPr>
            <w:tcW w:w="765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12"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center"/>
              <w:rPr/>
            </w:pPr>
            <w:r>
              <w:rPr/>
              <w:t> </w:t>
            </w:r>
          </w:p>
        </w:tc>
        <w:tc>
          <w:tcPr>
            <w:tcW w:w="111" w:type="dxa"/>
            <w:tcBorders/>
            <w:vAlign w:val="center"/>
          </w:tcPr>
          <w:p>
            <w:pPr>
              <w:pStyle w:val="TableContents"/>
              <w:bidi w:val="0"/>
              <w:spacing w:before="0" w:after="283"/>
              <w:jc w:val="left"/>
              <w:rPr/>
            </w:pPr>
            <w:r>
              <w:rPr/>
              <w:t> </w:t>
            </w:r>
          </w:p>
        </w:tc>
      </w:tr>
      <w:tr>
        <w:trPr/>
        <w:tc>
          <w:tcPr>
            <w:tcW w:w="7652"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7652"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7652"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1045" w:type="dxa"/>
            <w:tcBorders/>
            <w:shd w:fill="CCEEFF" w:val="clear"/>
            <w:vAlign w:val="center"/>
          </w:tcPr>
          <w:p>
            <w:pPr>
              <w:pStyle w:val="TableContents"/>
              <w:bidi w:val="0"/>
              <w:spacing w:before="0" w:after="283"/>
              <w:jc w:val="right"/>
              <w:rPr/>
            </w:pPr>
            <w:r>
              <w:rPr/>
              <w:t>2,410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10,424</w:t>
            </w:r>
          </w:p>
        </w:tc>
        <w:tc>
          <w:tcPr>
            <w:tcW w:w="111" w:type="dxa"/>
            <w:tcBorders/>
            <w:shd w:fill="CCEEFF" w:val="clear"/>
            <w:vAlign w:val="center"/>
          </w:tcPr>
          <w:p>
            <w:pPr>
              <w:pStyle w:val="TableContents"/>
              <w:bidi w:val="0"/>
              <w:spacing w:before="0" w:after="283"/>
              <w:jc w:val="left"/>
              <w:rPr/>
            </w:pPr>
            <w:r>
              <w:rPr/>
              <w:t> </w:t>
            </w:r>
          </w:p>
        </w:tc>
      </w:tr>
      <w:tr>
        <w:trPr/>
        <w:tc>
          <w:tcPr>
            <w:tcW w:w="7652" w:type="dxa"/>
            <w:tcBorders/>
            <w:shd w:fill="FFFFFF" w:val="clear"/>
            <w:vAlign w:val="center"/>
          </w:tcPr>
          <w:p>
            <w:pPr>
              <w:pStyle w:val="TableContents"/>
              <w:bidi w:val="0"/>
              <w:spacing w:before="0" w:after="283"/>
              <w:jc w:val="left"/>
              <w:rPr/>
            </w:pPr>
            <w:r>
              <w:rPr/>
              <w:t>Accounts receivable, net of allowance of $1,060 and $980, respectively</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pPr>
            <w:r>
              <w:rPr/>
              <w:t>3,107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2,317</w:t>
            </w:r>
          </w:p>
        </w:tc>
        <w:tc>
          <w:tcPr>
            <w:tcW w:w="111" w:type="dxa"/>
            <w:tcBorders/>
            <w:shd w:fill="FFFFFF" w:val="clear"/>
            <w:vAlign w:val="center"/>
          </w:tcPr>
          <w:p>
            <w:pPr>
              <w:pStyle w:val="TableContents"/>
              <w:bidi w:val="0"/>
              <w:spacing w:before="0" w:after="283"/>
              <w:jc w:val="left"/>
              <w:rPr/>
            </w:pPr>
            <w:r>
              <w:rPr/>
              <w:t> </w:t>
            </w:r>
          </w:p>
        </w:tc>
      </w:tr>
      <w:tr>
        <w:trPr/>
        <w:tc>
          <w:tcPr>
            <w:tcW w:w="7652" w:type="dxa"/>
            <w:tcBorders/>
            <w:shd w:fill="CCEEFF" w:val="clear"/>
            <w:vAlign w:val="center"/>
          </w:tcPr>
          <w:p>
            <w:pPr>
              <w:pStyle w:val="TableContents"/>
              <w:bidi w:val="0"/>
              <w:spacing w:before="0" w:after="283"/>
              <w:jc w:val="left"/>
              <w:rPr/>
            </w:pPr>
            <w:r>
              <w:rPr/>
              <w:t>Inventory, net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pPr>
            <w:r>
              <w:rPr/>
              <w:t>6,992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8,046</w:t>
            </w:r>
          </w:p>
        </w:tc>
        <w:tc>
          <w:tcPr>
            <w:tcW w:w="111" w:type="dxa"/>
            <w:tcBorders/>
            <w:shd w:fill="CCEEFF" w:val="clear"/>
            <w:vAlign w:val="center"/>
          </w:tcPr>
          <w:p>
            <w:pPr>
              <w:pStyle w:val="TableContents"/>
              <w:bidi w:val="0"/>
              <w:spacing w:before="0" w:after="283"/>
              <w:jc w:val="left"/>
              <w:rPr/>
            </w:pPr>
            <w:r>
              <w:rPr/>
              <w:t> </w:t>
            </w:r>
          </w:p>
        </w:tc>
      </w:tr>
      <w:tr>
        <w:trPr/>
        <w:tc>
          <w:tcPr>
            <w:tcW w:w="7652"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5" w:type="dxa"/>
            <w:tcBorders>
              <w:bottom w:val="single" w:sz="8" w:space="0" w:color="000000"/>
            </w:tcBorders>
            <w:shd w:fill="FFFFFF" w:val="clear"/>
            <w:tcMar>
              <w:bottom w:w="28" w:type="dxa"/>
            </w:tcMar>
            <w:vAlign w:val="center"/>
          </w:tcPr>
          <w:p>
            <w:pPr>
              <w:pStyle w:val="TableContents"/>
              <w:bidi w:val="0"/>
              <w:spacing w:before="0" w:after="283"/>
              <w:jc w:val="right"/>
              <w:rPr/>
            </w:pPr>
            <w:r>
              <w:rPr/>
              <w:t>1,153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673</w:t>
            </w:r>
          </w:p>
        </w:tc>
        <w:tc>
          <w:tcPr>
            <w:tcW w:w="111" w:type="dxa"/>
            <w:tcBorders/>
            <w:shd w:fill="FFFFFF" w:val="clear"/>
            <w:vAlign w:val="center"/>
          </w:tcPr>
          <w:p>
            <w:pPr>
              <w:pStyle w:val="TableContents"/>
              <w:bidi w:val="0"/>
              <w:spacing w:before="0" w:after="283"/>
              <w:jc w:val="left"/>
              <w:rPr/>
            </w:pPr>
            <w:r>
              <w:rPr/>
              <w:t> </w:t>
            </w:r>
          </w:p>
        </w:tc>
      </w:tr>
      <w:tr>
        <w:trPr/>
        <w:tc>
          <w:tcPr>
            <w:tcW w:w="7652" w:type="dxa"/>
            <w:tcBorders/>
            <w:shd w:fill="CCEEFF" w:val="clear"/>
            <w:vAlign w:val="center"/>
          </w:tcPr>
          <w:p>
            <w:pPr>
              <w:pStyle w:val="TableContents"/>
              <w:bidi w:val="0"/>
              <w:spacing w:before="0" w:after="283"/>
              <w:jc w:val="left"/>
              <w:rPr>
                <w:i/>
              </w:rPr>
            </w:pPr>
            <w:r>
              <w:rPr>
                <w:i/>
              </w:rPr>
              <w:t>Total current assets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pPr>
            <w:r>
              <w:rPr/>
              <w:t>13,662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21,460</w:t>
            </w:r>
          </w:p>
        </w:tc>
        <w:tc>
          <w:tcPr>
            <w:tcW w:w="111" w:type="dxa"/>
            <w:tcBorders/>
            <w:shd w:fill="CCEEFF" w:val="clear"/>
            <w:vAlign w:val="center"/>
          </w:tcPr>
          <w:p>
            <w:pPr>
              <w:pStyle w:val="TableContents"/>
              <w:bidi w:val="0"/>
              <w:spacing w:before="0" w:after="283"/>
              <w:jc w:val="left"/>
              <w:rPr/>
            </w:pPr>
            <w:r>
              <w:rPr/>
              <w:t> </w:t>
            </w:r>
          </w:p>
        </w:tc>
      </w:tr>
      <w:tr>
        <w:trPr/>
        <w:tc>
          <w:tcPr>
            <w:tcW w:w="76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7652" w:type="dxa"/>
            <w:tcBorders/>
            <w:shd w:fill="CCEEFF" w:val="clear"/>
            <w:vAlign w:val="center"/>
          </w:tcPr>
          <w:p>
            <w:pPr>
              <w:pStyle w:val="TableContents"/>
              <w:bidi w:val="0"/>
              <w:spacing w:before="0" w:after="283"/>
              <w:jc w:val="left"/>
              <w:rPr/>
            </w:pPr>
            <w:r>
              <w:rPr/>
              <w:t>Property and equipment, net of accumulated depreciation of $864 and $785, respectively</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pPr>
            <w:r>
              <w:rPr/>
              <w:t>1,137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1,231</w:t>
            </w:r>
          </w:p>
        </w:tc>
        <w:tc>
          <w:tcPr>
            <w:tcW w:w="111" w:type="dxa"/>
            <w:tcBorders/>
            <w:shd w:fill="CCEEFF" w:val="clear"/>
            <w:vAlign w:val="center"/>
          </w:tcPr>
          <w:p>
            <w:pPr>
              <w:pStyle w:val="TableContents"/>
              <w:bidi w:val="0"/>
              <w:spacing w:before="0" w:after="283"/>
              <w:jc w:val="left"/>
              <w:rPr/>
            </w:pPr>
            <w:r>
              <w:rPr/>
              <w:t> </w:t>
            </w:r>
          </w:p>
        </w:tc>
      </w:tr>
      <w:tr>
        <w:trPr/>
        <w:tc>
          <w:tcPr>
            <w:tcW w:w="7652" w:type="dxa"/>
            <w:tcBorders/>
            <w:shd w:fill="FFFFFF" w:val="clear"/>
            <w:vAlign w:val="center"/>
          </w:tcPr>
          <w:p>
            <w:pPr>
              <w:pStyle w:val="TableContents"/>
              <w:bidi w:val="0"/>
              <w:spacing w:before="0" w:after="283"/>
              <w:jc w:val="left"/>
              <w:rPr/>
            </w:pPr>
            <w:r>
              <w:rPr/>
              <w:t>Intangible assets</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5" w:type="dxa"/>
            <w:tcBorders>
              <w:bottom w:val="single" w:sz="8" w:space="0" w:color="000000"/>
            </w:tcBorders>
            <w:shd w:fill="FFFFFF" w:val="clear"/>
            <w:tcMar>
              <w:bottom w:w="28" w:type="dxa"/>
            </w:tcMar>
            <w:vAlign w:val="center"/>
          </w:tcPr>
          <w:p>
            <w:pPr>
              <w:pStyle w:val="TableContents"/>
              <w:bidi w:val="0"/>
              <w:spacing w:before="0" w:after="283"/>
              <w:jc w:val="right"/>
              <w:rPr/>
            </w:pPr>
            <w:r>
              <w:rPr/>
              <w:t>650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650</w:t>
            </w:r>
          </w:p>
        </w:tc>
        <w:tc>
          <w:tcPr>
            <w:tcW w:w="111" w:type="dxa"/>
            <w:tcBorders/>
            <w:shd w:fill="FFFFFF" w:val="clear"/>
            <w:vAlign w:val="center"/>
          </w:tcPr>
          <w:p>
            <w:pPr>
              <w:pStyle w:val="TableContents"/>
              <w:bidi w:val="0"/>
              <w:spacing w:before="0" w:after="283"/>
              <w:jc w:val="left"/>
              <w:rPr/>
            </w:pPr>
            <w:r>
              <w:rPr/>
              <w:t> </w:t>
            </w:r>
          </w:p>
        </w:tc>
      </w:tr>
      <w:tr>
        <w:trPr/>
        <w:tc>
          <w:tcPr>
            <w:tcW w:w="7652"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45" w:type="dxa"/>
            <w:tcBorders>
              <w:bottom w:val="double" w:sz="6" w:space="0" w:color="000000"/>
            </w:tcBorders>
            <w:shd w:fill="CCEEFF" w:val="clear"/>
            <w:tcMar>
              <w:bottom w:w="28" w:type="dxa"/>
            </w:tcMar>
            <w:vAlign w:val="center"/>
          </w:tcPr>
          <w:p>
            <w:pPr>
              <w:pStyle w:val="TableContents"/>
              <w:bidi w:val="0"/>
              <w:spacing w:before="0" w:after="283"/>
              <w:jc w:val="right"/>
              <w:rPr/>
            </w:pPr>
            <w:r>
              <w:rPr/>
              <w:t>15,449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23,341</w:t>
            </w:r>
          </w:p>
        </w:tc>
        <w:tc>
          <w:tcPr>
            <w:tcW w:w="111" w:type="dxa"/>
            <w:tcBorders/>
            <w:shd w:fill="CCEEFF" w:val="clear"/>
            <w:vAlign w:val="center"/>
          </w:tcPr>
          <w:p>
            <w:pPr>
              <w:pStyle w:val="TableContents"/>
              <w:bidi w:val="0"/>
              <w:spacing w:before="0" w:after="283"/>
              <w:jc w:val="left"/>
              <w:rPr/>
            </w:pPr>
            <w:r>
              <w:rPr/>
              <w:t> </w:t>
            </w:r>
          </w:p>
        </w:tc>
      </w:tr>
      <w:tr>
        <w:trPr/>
        <w:tc>
          <w:tcPr>
            <w:tcW w:w="76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7652" w:type="dxa"/>
            <w:tcBorders/>
            <w:shd w:fill="CCEEFF" w:val="clear"/>
            <w:vAlign w:val="center"/>
          </w:tcPr>
          <w:p>
            <w:pPr>
              <w:pStyle w:val="TableContents"/>
              <w:bidi w:val="0"/>
              <w:spacing w:before="0" w:after="283"/>
              <w:jc w:val="left"/>
              <w:rPr>
                <w:b/>
              </w:rPr>
            </w:pPr>
            <w:r>
              <w:rPr>
                <w:b/>
              </w:rPr>
              <w:t>LIABILITIES AND STOCKHOLDERS’ EQUITY (DEFICIENCY)</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7652"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7652"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1045" w:type="dxa"/>
            <w:tcBorders/>
            <w:shd w:fill="CCEEFF" w:val="clear"/>
            <w:vAlign w:val="center"/>
          </w:tcPr>
          <w:p>
            <w:pPr>
              <w:pStyle w:val="TableContents"/>
              <w:bidi w:val="0"/>
              <w:spacing w:before="0" w:after="283"/>
              <w:jc w:val="right"/>
              <w:rPr/>
            </w:pPr>
            <w:r>
              <w:rPr/>
              <w:t>6,200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3,496</w:t>
            </w:r>
          </w:p>
        </w:tc>
        <w:tc>
          <w:tcPr>
            <w:tcW w:w="111" w:type="dxa"/>
            <w:tcBorders/>
            <w:shd w:fill="CCEEFF" w:val="clear"/>
            <w:vAlign w:val="center"/>
          </w:tcPr>
          <w:p>
            <w:pPr>
              <w:pStyle w:val="TableContents"/>
              <w:bidi w:val="0"/>
              <w:spacing w:before="0" w:after="283"/>
              <w:jc w:val="left"/>
              <w:rPr/>
            </w:pPr>
            <w:r>
              <w:rPr/>
              <w:t> </w:t>
            </w:r>
          </w:p>
        </w:tc>
      </w:tr>
      <w:tr>
        <w:trPr/>
        <w:tc>
          <w:tcPr>
            <w:tcW w:w="7652" w:type="dxa"/>
            <w:tcBorders/>
            <w:shd w:fill="FFFFFF" w:val="clear"/>
            <w:vAlign w:val="center"/>
          </w:tcPr>
          <w:p>
            <w:pPr>
              <w:pStyle w:val="TableContents"/>
              <w:bidi w:val="0"/>
              <w:spacing w:before="0" w:after="283"/>
              <w:jc w:val="left"/>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pPr>
            <w:r>
              <w:rPr/>
              <w:t>634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669</w:t>
            </w:r>
          </w:p>
        </w:tc>
        <w:tc>
          <w:tcPr>
            <w:tcW w:w="111" w:type="dxa"/>
            <w:tcBorders/>
            <w:shd w:fill="FFFFFF" w:val="clear"/>
            <w:vAlign w:val="center"/>
          </w:tcPr>
          <w:p>
            <w:pPr>
              <w:pStyle w:val="TableContents"/>
              <w:bidi w:val="0"/>
              <w:spacing w:before="0" w:after="283"/>
              <w:jc w:val="left"/>
              <w:rPr/>
            </w:pPr>
            <w:r>
              <w:rPr/>
              <w:t> </w:t>
            </w:r>
          </w:p>
        </w:tc>
      </w:tr>
      <w:tr>
        <w:trPr/>
        <w:tc>
          <w:tcPr>
            <w:tcW w:w="7652"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pPr>
            <w:r>
              <w:rPr/>
              <w:t>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p>
        </w:tc>
      </w:tr>
      <w:tr>
        <w:trPr/>
        <w:tc>
          <w:tcPr>
            <w:tcW w:w="7652" w:type="dxa"/>
            <w:tcBorders/>
            <w:shd w:fill="FFFFFF" w:val="clear"/>
            <w:vAlign w:val="center"/>
          </w:tcPr>
          <w:p>
            <w:pPr>
              <w:pStyle w:val="TableContents"/>
              <w:bidi w:val="0"/>
              <w:spacing w:before="0" w:after="283"/>
              <w:jc w:val="left"/>
              <w:rPr/>
            </w:pPr>
            <w:r>
              <w:rPr/>
              <w:t>Senior secured loan, net of deferred financing costs of $23 and $68, respectively</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pPr>
            <w:r>
              <w:rPr/>
              <w:t>9,227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9,182</w:t>
            </w:r>
          </w:p>
        </w:tc>
        <w:tc>
          <w:tcPr>
            <w:tcW w:w="111" w:type="dxa"/>
            <w:tcBorders/>
            <w:shd w:fill="FFFFFF" w:val="clear"/>
            <w:vAlign w:val="center"/>
          </w:tcPr>
          <w:p>
            <w:pPr>
              <w:pStyle w:val="TableContents"/>
              <w:bidi w:val="0"/>
              <w:spacing w:before="0" w:after="283"/>
              <w:jc w:val="left"/>
              <w:rPr/>
            </w:pPr>
            <w:r>
              <w:rPr/>
              <w:t> </w:t>
            </w:r>
          </w:p>
        </w:tc>
      </w:tr>
      <w:tr>
        <w:trPr/>
        <w:tc>
          <w:tcPr>
            <w:tcW w:w="7652" w:type="dxa"/>
            <w:tcBorders/>
            <w:shd w:fill="CCEEFF" w:val="clear"/>
            <w:vAlign w:val="center"/>
          </w:tcPr>
          <w:p>
            <w:pPr>
              <w:pStyle w:val="TableContents"/>
              <w:bidi w:val="0"/>
              <w:spacing w:before="0" w:after="283"/>
              <w:jc w:val="left"/>
              <w:rPr/>
            </w:pPr>
            <w:r>
              <w:rPr/>
              <w:t>Current portion of lease liabilities</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5" w:type="dxa"/>
            <w:tcBorders>
              <w:bottom w:val="single" w:sz="8" w:space="0" w:color="000000"/>
            </w:tcBorders>
            <w:shd w:fill="CCEEFF" w:val="clear"/>
            <w:tcMar>
              <w:bottom w:w="28" w:type="dxa"/>
            </w:tcMar>
            <w:vAlign w:val="center"/>
          </w:tcPr>
          <w:p>
            <w:pPr>
              <w:pStyle w:val="TableContents"/>
              <w:bidi w:val="0"/>
              <w:spacing w:before="0" w:after="283"/>
              <w:jc w:val="right"/>
              <w:rPr/>
            </w:pPr>
            <w:r>
              <w:rPr/>
              <w:t>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40</w:t>
            </w:r>
          </w:p>
        </w:tc>
        <w:tc>
          <w:tcPr>
            <w:tcW w:w="111" w:type="dxa"/>
            <w:tcBorders/>
            <w:shd w:fill="CCEEFF" w:val="clear"/>
            <w:vAlign w:val="center"/>
          </w:tcPr>
          <w:p>
            <w:pPr>
              <w:pStyle w:val="TableContents"/>
              <w:bidi w:val="0"/>
              <w:spacing w:before="0" w:after="283"/>
              <w:jc w:val="left"/>
              <w:rPr/>
            </w:pPr>
            <w:r>
              <w:rPr/>
              <w:t> </w:t>
            </w:r>
          </w:p>
        </w:tc>
      </w:tr>
      <w:tr>
        <w:trPr/>
        <w:tc>
          <w:tcPr>
            <w:tcW w:w="7652" w:type="dxa"/>
            <w:tcBorders/>
            <w:shd w:fill="FFFFFF" w:val="clear"/>
            <w:vAlign w:val="center"/>
          </w:tcPr>
          <w:p>
            <w:pPr>
              <w:pStyle w:val="TableContents"/>
              <w:bidi w:val="0"/>
              <w:spacing w:before="0" w:after="283"/>
              <w:jc w:val="left"/>
              <w:rPr>
                <w:i/>
              </w:rPr>
            </w:pPr>
            <w:r>
              <w:rPr>
                <w:i/>
              </w:rPr>
              <w:t>Total current liabilities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pPr>
            <w:r>
              <w:rPr/>
              <w:t>16,147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13,387</w:t>
            </w:r>
          </w:p>
        </w:tc>
        <w:tc>
          <w:tcPr>
            <w:tcW w:w="111" w:type="dxa"/>
            <w:tcBorders/>
            <w:shd w:fill="FFFFFF" w:val="clear"/>
            <w:vAlign w:val="center"/>
          </w:tcPr>
          <w:p>
            <w:pPr>
              <w:pStyle w:val="TableContents"/>
              <w:bidi w:val="0"/>
              <w:spacing w:before="0" w:after="283"/>
              <w:jc w:val="left"/>
              <w:rPr/>
            </w:pPr>
            <w:r>
              <w:rPr/>
              <w:t> </w:t>
            </w:r>
          </w:p>
        </w:tc>
      </w:tr>
      <w:tr>
        <w:trPr/>
        <w:tc>
          <w:tcPr>
            <w:tcW w:w="765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7652" w:type="dxa"/>
            <w:tcBorders/>
            <w:shd w:fill="FFFFFF" w:val="clear"/>
            <w:vAlign w:val="center"/>
          </w:tcPr>
          <w:p>
            <w:pPr>
              <w:pStyle w:val="TableContents"/>
              <w:bidi w:val="0"/>
              <w:spacing w:before="0" w:after="283"/>
              <w:jc w:val="left"/>
              <w:rPr/>
            </w:pPr>
            <w:r>
              <w:rPr/>
              <w:t>Lease liabilities, less current portion</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5" w:type="dxa"/>
            <w:tcBorders>
              <w:bottom w:val="single" w:sz="8" w:space="0" w:color="000000"/>
            </w:tcBorders>
            <w:shd w:fill="FFFFFF" w:val="clear"/>
            <w:tcMar>
              <w:bottom w:w="28" w:type="dxa"/>
            </w:tcMar>
            <w:vAlign w:val="center"/>
          </w:tcPr>
          <w:p>
            <w:pPr>
              <w:pStyle w:val="TableContents"/>
              <w:bidi w:val="0"/>
              <w:spacing w:before="0" w:after="283"/>
              <w:jc w:val="right"/>
              <w:rPr/>
            </w:pPr>
            <w:r>
              <w:rPr/>
              <w:t>787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803</w:t>
            </w:r>
          </w:p>
        </w:tc>
        <w:tc>
          <w:tcPr>
            <w:tcW w:w="111" w:type="dxa"/>
            <w:tcBorders/>
            <w:shd w:fill="FFFFFF" w:val="clear"/>
            <w:vAlign w:val="center"/>
          </w:tcPr>
          <w:p>
            <w:pPr>
              <w:pStyle w:val="TableContents"/>
              <w:bidi w:val="0"/>
              <w:spacing w:before="0" w:after="283"/>
              <w:jc w:val="left"/>
              <w:rPr/>
            </w:pPr>
            <w:r>
              <w:rPr/>
              <w:t> </w:t>
            </w:r>
          </w:p>
        </w:tc>
      </w:tr>
      <w:tr>
        <w:trPr/>
        <w:tc>
          <w:tcPr>
            <w:tcW w:w="7652"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5" w:type="dxa"/>
            <w:tcBorders>
              <w:bottom w:val="single" w:sz="8" w:space="0" w:color="000000"/>
            </w:tcBorders>
            <w:shd w:fill="CCEEFF" w:val="clear"/>
            <w:tcMar>
              <w:bottom w:w="28" w:type="dxa"/>
            </w:tcMar>
            <w:vAlign w:val="center"/>
          </w:tcPr>
          <w:p>
            <w:pPr>
              <w:pStyle w:val="TableContents"/>
              <w:bidi w:val="0"/>
              <w:spacing w:before="0" w:after="283"/>
              <w:jc w:val="right"/>
              <w:rPr/>
            </w:pPr>
            <w:r>
              <w:rPr/>
              <w:t>16,934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14,190</w:t>
            </w:r>
          </w:p>
        </w:tc>
        <w:tc>
          <w:tcPr>
            <w:tcW w:w="111" w:type="dxa"/>
            <w:tcBorders/>
            <w:shd w:fill="CCEEFF" w:val="clear"/>
            <w:vAlign w:val="center"/>
          </w:tcPr>
          <w:p>
            <w:pPr>
              <w:pStyle w:val="TableContents"/>
              <w:bidi w:val="0"/>
              <w:spacing w:before="0" w:after="283"/>
              <w:jc w:val="left"/>
              <w:rPr/>
            </w:pPr>
            <w:r>
              <w:rPr/>
              <w:t> </w:t>
            </w:r>
          </w:p>
        </w:tc>
      </w:tr>
      <w:tr>
        <w:trPr/>
        <w:tc>
          <w:tcPr>
            <w:tcW w:w="76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7652" w:type="dxa"/>
            <w:tcBorders/>
            <w:shd w:fill="CCEEFF" w:val="clear"/>
            <w:vAlign w:val="center"/>
          </w:tcPr>
          <w:p>
            <w:pPr>
              <w:pStyle w:val="TableContents"/>
              <w:bidi w:val="0"/>
              <w:spacing w:before="0" w:after="283"/>
              <w:jc w:val="left"/>
              <w:rPr>
                <w:b/>
              </w:rPr>
            </w:pPr>
            <w:r>
              <w:rPr>
                <w:b/>
              </w:rPr>
              <w:t>Stockholders’ equity (deficiency):</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7652" w:type="dxa"/>
            <w:tcBorders/>
            <w:shd w:fill="FFFFFF" w:val="clear"/>
            <w:vAlign w:val="center"/>
          </w:tcPr>
          <w:p>
            <w:pPr>
              <w:pStyle w:val="TableContents"/>
              <w:bidi w:val="0"/>
              <w:spacing w:before="0" w:after="283"/>
              <w:jc w:val="left"/>
              <w:rPr/>
            </w:pPr>
            <w:r>
              <w:rPr/>
              <w:t>Series A Convertible Preferred stock, $10 par value, 500,000 shares authorized, 9,411 shares issued and outstanding</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pPr>
            <w:r>
              <w:rPr/>
              <w:t>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94</w:t>
            </w:r>
          </w:p>
        </w:tc>
        <w:tc>
          <w:tcPr>
            <w:tcW w:w="111" w:type="dxa"/>
            <w:tcBorders/>
            <w:shd w:fill="FFFFFF" w:val="clear"/>
            <w:vAlign w:val="center"/>
          </w:tcPr>
          <w:p>
            <w:pPr>
              <w:pStyle w:val="TableContents"/>
              <w:bidi w:val="0"/>
              <w:spacing w:before="0" w:after="283"/>
              <w:jc w:val="left"/>
              <w:rPr/>
            </w:pPr>
            <w:r>
              <w:rPr/>
              <w:t> </w:t>
            </w:r>
          </w:p>
        </w:tc>
      </w:tr>
      <w:tr>
        <w:trPr/>
        <w:tc>
          <w:tcPr>
            <w:tcW w:w="7652" w:type="dxa"/>
            <w:tcBorders/>
            <w:shd w:fill="CCEEFF" w:val="clear"/>
            <w:vAlign w:val="center"/>
          </w:tcPr>
          <w:p>
            <w:pPr>
              <w:pStyle w:val="TableContents"/>
              <w:bidi w:val="0"/>
              <w:spacing w:before="0" w:after="283"/>
              <w:jc w:val="left"/>
              <w:rPr/>
            </w:pPr>
            <w:r>
              <w:rPr/>
              <w:t>Common stock, $.0001 par value, 60,000,000 shares authorized; 11,857,086 and 11,820,429 shares issued and outstanding, respectively</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pPr>
            <w:r>
              <w:rPr/>
              <w:t>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w:t>
            </w:r>
          </w:p>
        </w:tc>
        <w:tc>
          <w:tcPr>
            <w:tcW w:w="111" w:type="dxa"/>
            <w:tcBorders/>
            <w:shd w:fill="CCEEFF" w:val="clear"/>
            <w:vAlign w:val="center"/>
          </w:tcPr>
          <w:p>
            <w:pPr>
              <w:pStyle w:val="TableContents"/>
              <w:bidi w:val="0"/>
              <w:spacing w:before="0" w:after="283"/>
              <w:jc w:val="left"/>
              <w:rPr/>
            </w:pPr>
            <w:r>
              <w:rPr/>
              <w:t> </w:t>
            </w:r>
          </w:p>
        </w:tc>
      </w:tr>
      <w:tr>
        <w:trPr/>
        <w:tc>
          <w:tcPr>
            <w:tcW w:w="7652" w:type="dxa"/>
            <w:tcBorders/>
            <w:shd w:fill="FFFFFF" w:val="clear"/>
            <w:vAlign w:val="center"/>
          </w:tcPr>
          <w:p>
            <w:pPr>
              <w:pStyle w:val="TableContents"/>
              <w:bidi w:val="0"/>
              <w:spacing w:before="0" w:after="283"/>
              <w:jc w:val="left"/>
              <w:rPr/>
            </w:pPr>
            <w:r>
              <w:rPr/>
              <w:t>Additional paid in capital</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pPr>
            <w:r>
              <w:rPr/>
              <w:t>176,884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176,783</w:t>
            </w:r>
          </w:p>
        </w:tc>
        <w:tc>
          <w:tcPr>
            <w:tcW w:w="111" w:type="dxa"/>
            <w:tcBorders/>
            <w:shd w:fill="FFFFFF" w:val="clear"/>
            <w:vAlign w:val="center"/>
          </w:tcPr>
          <w:p>
            <w:pPr>
              <w:pStyle w:val="TableContents"/>
              <w:bidi w:val="0"/>
              <w:spacing w:before="0" w:after="283"/>
              <w:jc w:val="left"/>
              <w:rPr/>
            </w:pPr>
            <w:r>
              <w:rPr/>
              <w:t> </w:t>
            </w:r>
          </w:p>
        </w:tc>
      </w:tr>
      <w:tr>
        <w:trPr/>
        <w:tc>
          <w:tcPr>
            <w:tcW w:w="7652"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5" w:type="dxa"/>
            <w:tcBorders>
              <w:bottom w:val="single" w:sz="8" w:space="0" w:color="000000"/>
            </w:tcBorders>
            <w:shd w:fill="CCEEFF" w:val="clear"/>
            <w:tcMar>
              <w:bottom w:w="28" w:type="dxa"/>
            </w:tcMar>
            <w:vAlign w:val="center"/>
          </w:tcPr>
          <w:p>
            <w:pPr>
              <w:pStyle w:val="TableContents"/>
              <w:bidi w:val="0"/>
              <w:spacing w:before="0" w:after="283"/>
              <w:jc w:val="right"/>
              <w:rPr/>
            </w:pPr>
            <w:r>
              <w:rPr/>
              <w:t>(178,468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(167,731</w:t>
            </w:r>
          </w:p>
        </w:tc>
        <w:tc>
          <w:tcPr>
            <w:tcW w:w="111" w:type="dxa"/>
            <w:tcBorders/>
            <w:shd w:fill="CCEEFF" w:val="clear"/>
            <w:vAlign w:val="center"/>
          </w:tcPr>
          <w:p>
            <w:pPr>
              <w:pStyle w:val="TableContents"/>
              <w:bidi w:val="0"/>
              <w:spacing w:before="0" w:after="283"/>
              <w:jc w:val="left"/>
              <w:rPr/>
            </w:pPr>
            <w:r>
              <w:rPr/>
              <w:t>)</w:t>
            </w:r>
          </w:p>
        </w:tc>
      </w:tr>
      <w:tr>
        <w:trPr/>
        <w:tc>
          <w:tcPr>
            <w:tcW w:w="7652" w:type="dxa"/>
            <w:tcBorders/>
            <w:shd w:fill="FFFFFF" w:val="clear"/>
            <w:vAlign w:val="center"/>
          </w:tcPr>
          <w:p>
            <w:pPr>
              <w:pStyle w:val="TableContents"/>
              <w:bidi w:val="0"/>
              <w:spacing w:before="0" w:after="283"/>
              <w:jc w:val="left"/>
              <w:rPr>
                <w:b/>
              </w:rPr>
            </w:pPr>
            <w:r>
              <w:rPr>
                <w:b/>
              </w:rPr>
              <w:t>Total stockholders’ equity (deficiency):</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5" w:type="dxa"/>
            <w:tcBorders>
              <w:bottom w:val="single" w:sz="8" w:space="0" w:color="000000"/>
            </w:tcBorders>
            <w:shd w:fill="FFFFFF" w:val="clear"/>
            <w:tcMar>
              <w:bottom w:w="28" w:type="dxa"/>
            </w:tcMar>
            <w:vAlign w:val="center"/>
          </w:tcPr>
          <w:p>
            <w:pPr>
              <w:pStyle w:val="TableContents"/>
              <w:bidi w:val="0"/>
              <w:spacing w:before="0" w:after="283"/>
              <w:jc w:val="right"/>
              <w:rPr/>
            </w:pPr>
            <w:r>
              <w:rPr/>
              <w:t>(1,485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9,151</w:t>
            </w:r>
          </w:p>
        </w:tc>
        <w:tc>
          <w:tcPr>
            <w:tcW w:w="111" w:type="dxa"/>
            <w:tcBorders/>
            <w:shd w:fill="FFFFFF" w:val="clear"/>
            <w:vAlign w:val="center"/>
          </w:tcPr>
          <w:p>
            <w:pPr>
              <w:pStyle w:val="TableContents"/>
              <w:bidi w:val="0"/>
              <w:spacing w:before="0" w:after="283"/>
              <w:jc w:val="left"/>
              <w:rPr/>
            </w:pPr>
            <w:r>
              <w:rPr/>
              <w:t> </w:t>
            </w:r>
          </w:p>
        </w:tc>
      </w:tr>
      <w:tr>
        <w:trPr/>
        <w:tc>
          <w:tcPr>
            <w:tcW w:w="7652" w:type="dxa"/>
            <w:tcBorders/>
            <w:shd w:fill="CCEEFF" w:val="clear"/>
            <w:vAlign w:val="center"/>
          </w:tcPr>
          <w:p>
            <w:pPr>
              <w:pStyle w:val="TableContents"/>
              <w:bidi w:val="0"/>
              <w:spacing w:before="0" w:after="283"/>
              <w:jc w:val="left"/>
              <w:rPr>
                <w:b/>
              </w:rPr>
            </w:pPr>
            <w:r>
              <w:rPr>
                <w:b/>
              </w:rPr>
              <w:t>Total liabilities and stockholders’ equity (deficiency):</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45" w:type="dxa"/>
            <w:tcBorders>
              <w:bottom w:val="double" w:sz="6" w:space="0" w:color="000000"/>
            </w:tcBorders>
            <w:shd w:fill="CCEEFF" w:val="clear"/>
            <w:tcMar>
              <w:bottom w:w="28" w:type="dxa"/>
            </w:tcMar>
            <w:vAlign w:val="center"/>
          </w:tcPr>
          <w:p>
            <w:pPr>
              <w:pStyle w:val="TableContents"/>
              <w:bidi w:val="0"/>
              <w:spacing w:before="0" w:after="283"/>
              <w:jc w:val="right"/>
              <w:rPr/>
            </w:pPr>
            <w:r>
              <w:rPr/>
              <w:t>15,449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23,341</w:t>
            </w:r>
          </w:p>
        </w:tc>
        <w:tc>
          <w:tcPr>
            <w:tcW w:w="11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2026 and 2025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w:t>
      </w:r>
    </w:p>
    <w:p>
      <w:pPr>
        <w:pStyle w:val="TextBody"/>
        <w:bidi w:val="0"/>
        <w:spacing w:before="0" w:after="0"/>
        <w:jc w:val="center"/>
        <w:rPr>
          <w:caps w:val="false"/>
          <w:smallCaps w:val="false"/>
        </w:rPr>
      </w:pPr>
      <w:r>
        <w:rPr>
          <w:caps w:val="false"/>
          <w:smallCaps w:val="false"/>
        </w:rPr>
        <w:t> </w:t>
      </w:r>
    </w:p>
    <w:tbl>
      <w:tblPr>
        <w:tblW w:w="8990" w:type="dxa"/>
        <w:jc w:val="left"/>
        <w:tblInd w:w="0" w:type="dxa"/>
        <w:tblLayout w:type="fixed"/>
        <w:tblCellMar>
          <w:top w:w="0" w:type="dxa"/>
          <w:left w:w="0" w:type="dxa"/>
          <w:bottom w:w="0" w:type="dxa"/>
          <w:right w:w="0" w:type="dxa"/>
        </w:tblCellMar>
      </w:tblPr>
      <w:tblGrid>
        <w:gridCol w:w="6875"/>
        <w:gridCol w:w="60"/>
        <w:gridCol w:w="140"/>
        <w:gridCol w:w="755"/>
        <w:gridCol w:w="95"/>
        <w:gridCol w:w="60"/>
        <w:gridCol w:w="140"/>
        <w:gridCol w:w="755"/>
        <w:gridCol w:w="110"/>
      </w:tblGrid>
      <w:tr>
        <w:trPr/>
        <w:tc>
          <w:tcPr>
            <w:tcW w:w="6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10" w:type="dxa"/>
            <w:tcBorders/>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i/>
              </w:rPr>
            </w:pPr>
            <w:r>
              <w:rPr>
                <w:i/>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(10,737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(8,079</w:t>
            </w:r>
          </w:p>
        </w:tc>
        <w:tc>
          <w:tcPr>
            <w:tcW w:w="110" w:type="dxa"/>
            <w:tcBorders/>
            <w:shd w:fill="FFFFFF" w:val="clear"/>
            <w:vAlign w:val="center"/>
          </w:tcPr>
          <w:p>
            <w:pPr>
              <w:pStyle w:val="TableContents"/>
              <w:bidi w:val="0"/>
              <w:spacing w:before="0" w:after="283"/>
              <w:jc w:val="left"/>
              <w:rPr/>
            </w:pPr>
            <w:r>
              <w:rPr/>
              <w:t>)</w:t>
            </w:r>
          </w:p>
        </w:tc>
      </w:tr>
      <w:tr>
        <w:trPr/>
        <w:tc>
          <w:tcPr>
            <w:tcW w:w="6875" w:type="dxa"/>
            <w:tcBorders/>
            <w:shd w:fill="CCEEFF" w:val="clear"/>
            <w:vAlign w:val="center"/>
          </w:tcPr>
          <w:p>
            <w:pPr>
              <w:pStyle w:val="TableContents"/>
              <w:bidi w:val="0"/>
              <w:spacing w:before="0" w:after="283"/>
              <w:jc w:val="left"/>
              <w:rPr>
                <w:i/>
              </w:rPr>
            </w:pPr>
            <w:r>
              <w:rPr>
                <w:i/>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92</w:t>
            </w:r>
          </w:p>
        </w:tc>
        <w:tc>
          <w:tcPr>
            <w:tcW w:w="110"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pPr>
            <w:r>
              <w:rPr/>
              <w:t>Amortization of debt discount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199</w:t>
            </w:r>
          </w:p>
        </w:tc>
        <w:tc>
          <w:tcPr>
            <w:tcW w:w="110"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pPr>
            <w:r>
              <w:rPr/>
              <w:t>Fair value of vested options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56</w:t>
            </w:r>
          </w:p>
        </w:tc>
        <w:tc>
          <w:tcPr>
            <w:tcW w:w="110"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pPr>
            <w:r>
              <w:rPr/>
              <w:t>Fair value of vested restricted shares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pPr>
            <w:r>
              <w:rPr/>
              <w:t>Change in allowance for doubtful accounts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1,091</w:t>
            </w:r>
          </w:p>
        </w:tc>
        <w:tc>
          <w:tcPr>
            <w:tcW w:w="110"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pPr>
            <w:r>
              <w:rPr/>
              <w:t>Inventory write-offs and change in reserve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1,661</w:t>
            </w:r>
          </w:p>
        </w:tc>
        <w:tc>
          <w:tcPr>
            <w:tcW w:w="110"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i/>
              </w:rPr>
            </w:pPr>
            <w:r>
              <w:rPr>
                <w:i/>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(2,114</w:t>
            </w:r>
          </w:p>
        </w:tc>
        <w:tc>
          <w:tcPr>
            <w:tcW w:w="110" w:type="dxa"/>
            <w:tcBorders/>
            <w:shd w:fill="FFFFFF" w:val="clear"/>
            <w:vAlign w:val="center"/>
          </w:tcPr>
          <w:p>
            <w:pPr>
              <w:pStyle w:val="TableContents"/>
              <w:bidi w:val="0"/>
              <w:spacing w:before="0" w:after="283"/>
              <w:jc w:val="left"/>
              <w:rPr/>
            </w:pPr>
            <w:r>
              <w:rPr/>
              <w:t>)</w:t>
            </w:r>
          </w:p>
        </w:tc>
      </w:tr>
      <w:tr>
        <w:trPr/>
        <w:tc>
          <w:tcPr>
            <w:tcW w:w="6875"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(6,728</w:t>
            </w:r>
          </w:p>
        </w:tc>
        <w:tc>
          <w:tcPr>
            <w:tcW w:w="110" w:type="dxa"/>
            <w:tcBorders/>
            <w:shd w:fill="CCEEFF" w:val="clear"/>
            <w:vAlign w:val="center"/>
          </w:tcPr>
          <w:p>
            <w:pPr>
              <w:pStyle w:val="TableContents"/>
              <w:bidi w:val="0"/>
              <w:spacing w:before="0" w:after="283"/>
              <w:jc w:val="left"/>
              <w:rPr/>
            </w:pPr>
            <w:r>
              <w:rPr/>
              <w:t>)</w:t>
            </w:r>
          </w:p>
        </w:tc>
      </w:tr>
      <w:tr>
        <w:trPr/>
        <w:tc>
          <w:tcPr>
            <w:tcW w:w="6875" w:type="dxa"/>
            <w:tcBorders/>
            <w:shd w:fill="FFFFFF" w:val="clear"/>
            <w:vAlign w:val="center"/>
          </w:tcPr>
          <w:p>
            <w:pPr>
              <w:pStyle w:val="TableContents"/>
              <w:bidi w:val="0"/>
              <w:spacing w:before="0" w:after="283"/>
              <w:jc w:val="left"/>
              <w:rPr/>
            </w:pPr>
            <w:r>
              <w:rPr/>
              <w:t>Prepaid expenses and 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(179</w:t>
            </w:r>
          </w:p>
        </w:tc>
        <w:tc>
          <w:tcPr>
            <w:tcW w:w="110" w:type="dxa"/>
            <w:tcBorders/>
            <w:shd w:fill="FFFFFF" w:val="clear"/>
            <w:vAlign w:val="center"/>
          </w:tcPr>
          <w:p>
            <w:pPr>
              <w:pStyle w:val="TableContents"/>
              <w:bidi w:val="0"/>
              <w:spacing w:before="0" w:after="283"/>
              <w:jc w:val="left"/>
              <w:rPr/>
            </w:pPr>
            <w:r>
              <w:rPr/>
              <w:t>)</w:t>
            </w:r>
          </w:p>
        </w:tc>
      </w:tr>
      <w:tr>
        <w:trPr/>
        <w:tc>
          <w:tcPr>
            <w:tcW w:w="6875" w:type="dxa"/>
            <w:tcBorders/>
            <w:shd w:fill="CCEEFF" w:val="clear"/>
            <w:vAlign w:val="center"/>
          </w:tcPr>
          <w:p>
            <w:pPr>
              <w:pStyle w:val="TableContents"/>
              <w:bidi w:val="0"/>
              <w:spacing w:before="0" w:after="283"/>
              <w:jc w:val="left"/>
              <w:rPr/>
            </w:pPr>
            <w:r>
              <w:rPr/>
              <w:t>Decrease in right of use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23</w:t>
            </w:r>
          </w:p>
        </w:tc>
        <w:tc>
          <w:tcPr>
            <w:tcW w:w="110"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2,718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1,637</w:t>
            </w:r>
          </w:p>
        </w:tc>
        <w:tc>
          <w:tcPr>
            <w:tcW w:w="110"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1,906</w:t>
            </w:r>
          </w:p>
        </w:tc>
        <w:tc>
          <w:tcPr>
            <w:tcW w:w="110"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pPr>
            <w:r>
              <w:rPr/>
              <w:t>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25</w:t>
            </w:r>
          </w:p>
        </w:tc>
        <w:tc>
          <w:tcPr>
            <w:tcW w:w="110"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b/>
              </w:rPr>
            </w:pPr>
            <w:r>
              <w:rPr>
                <w:b/>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(8,014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(10,410</w:t>
            </w:r>
          </w:p>
        </w:tc>
        <w:tc>
          <w:tcPr>
            <w:tcW w:w="110" w:type="dxa"/>
            <w:tcBorders/>
            <w:shd w:fill="FFFFFF" w:val="clear"/>
            <w:vAlign w:val="center"/>
          </w:tcPr>
          <w:p>
            <w:pPr>
              <w:pStyle w:val="TableContents"/>
              <w:bidi w:val="0"/>
              <w:spacing w:before="0" w:after="283"/>
              <w:jc w:val="left"/>
              <w:rPr/>
            </w:pPr>
            <w:r>
              <w:rPr/>
              <w:t>)</w:t>
            </w:r>
          </w:p>
        </w:tc>
      </w:tr>
      <w:tr>
        <w:trPr/>
        <w:tc>
          <w:tcPr>
            <w:tcW w:w="6875" w:type="dxa"/>
            <w:tcBorders/>
            <w:shd w:fill="CCEEFF" w:val="clear"/>
            <w:vAlign w:val="center"/>
          </w:tcPr>
          <w:p>
            <w:pPr>
              <w:pStyle w:val="TableContents"/>
              <w:bidi w:val="0"/>
              <w:spacing w:before="0" w:after="283"/>
              <w:jc w:val="left"/>
              <w:rPr>
                <w:i/>
              </w:rPr>
            </w:pPr>
            <w:r>
              <w:rPr>
                <w:i/>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pPr>
            <w:r>
              <w:rPr/>
              <w:t>Trademark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w:t>
            </w:r>
          </w:p>
        </w:tc>
        <w:tc>
          <w:tcPr>
            <w:tcW w:w="110" w:type="dxa"/>
            <w:tcBorders/>
            <w:shd w:fill="FFFFFF" w:val="clear"/>
            <w:vAlign w:val="center"/>
          </w:tcPr>
          <w:p>
            <w:pPr>
              <w:pStyle w:val="TableContents"/>
              <w:bidi w:val="0"/>
              <w:spacing w:before="0" w:after="283"/>
              <w:jc w:val="left"/>
              <w:rPr/>
            </w:pPr>
            <w:r>
              <w:rPr/>
              <w:t>)</w:t>
            </w:r>
          </w:p>
        </w:tc>
      </w:tr>
      <w:tr>
        <w:trPr/>
        <w:tc>
          <w:tcPr>
            <w:tcW w:w="6875" w:type="dxa"/>
            <w:tcBorders/>
            <w:shd w:fill="CCEEFF" w:val="clear"/>
            <w:vAlign w:val="center"/>
          </w:tcPr>
          <w:p>
            <w:pPr>
              <w:pStyle w:val="TableContents"/>
              <w:bidi w:val="0"/>
              <w:spacing w:before="0" w:after="283"/>
              <w:jc w:val="left"/>
              <w:rPr/>
            </w:pPr>
            <w:r>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(95</w:t>
            </w:r>
          </w:p>
        </w:tc>
        <w:tc>
          <w:tcPr>
            <w:tcW w:w="110" w:type="dxa"/>
            <w:tcBorders/>
            <w:shd w:fill="CCEEFF" w:val="clear"/>
            <w:vAlign w:val="center"/>
          </w:tcPr>
          <w:p>
            <w:pPr>
              <w:pStyle w:val="TableContents"/>
              <w:bidi w:val="0"/>
              <w:spacing w:before="0" w:after="283"/>
              <w:jc w:val="left"/>
              <w:rPr/>
            </w:pPr>
            <w:r>
              <w:rPr/>
              <w:t>)</w:t>
            </w:r>
          </w:p>
        </w:tc>
      </w:tr>
      <w:tr>
        <w:trPr/>
        <w:tc>
          <w:tcPr>
            <w:tcW w:w="6875" w:type="dxa"/>
            <w:tcBorders/>
            <w:shd w:fill="FFFFFF" w:val="clear"/>
            <w:vAlign w:val="center"/>
          </w:tcPr>
          <w:p>
            <w:pPr>
              <w:pStyle w:val="TableContents"/>
              <w:bidi w:val="0"/>
              <w:spacing w:before="0" w:after="283"/>
              <w:jc w:val="left"/>
              <w:rPr>
                <w:b/>
              </w:rPr>
            </w:pPr>
            <w:r>
              <w:rPr>
                <w:b/>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(101</w:t>
            </w:r>
          </w:p>
        </w:tc>
        <w:tc>
          <w:tcPr>
            <w:tcW w:w="110" w:type="dxa"/>
            <w:tcBorders/>
            <w:shd w:fill="FFFFFF" w:val="clear"/>
            <w:vAlign w:val="center"/>
          </w:tcPr>
          <w:p>
            <w:pPr>
              <w:pStyle w:val="TableContents"/>
              <w:bidi w:val="0"/>
              <w:spacing w:before="0" w:after="283"/>
              <w:jc w:val="left"/>
              <w:rPr/>
            </w:pPr>
            <w:r>
              <w:rPr/>
              <w:t>)</w:t>
            </w:r>
          </w:p>
        </w:tc>
      </w:tr>
      <w:tr>
        <w:trPr/>
        <w:tc>
          <w:tcPr>
            <w:tcW w:w="6875" w:type="dxa"/>
            <w:tcBorders/>
            <w:shd w:fill="CCEEFF" w:val="clear"/>
            <w:vAlign w:val="center"/>
          </w:tcPr>
          <w:p>
            <w:pPr>
              <w:pStyle w:val="TableContents"/>
              <w:bidi w:val="0"/>
              <w:spacing w:before="0" w:after="283"/>
              <w:jc w:val="left"/>
              <w:rPr>
                <w:i/>
              </w:rPr>
            </w:pPr>
            <w:r>
              <w:rPr>
                <w:i/>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pPr>
            <w:r>
              <w:rPr/>
              <w:t>Proceeds from sale of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3,000</w:t>
            </w:r>
          </w:p>
        </w:tc>
        <w:tc>
          <w:tcPr>
            <w:tcW w:w="110"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pPr>
            <w:r>
              <w:rPr/>
              <w:t>Payment of cash recorded as debt discount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(34</w:t>
            </w:r>
          </w:p>
        </w:tc>
        <w:tc>
          <w:tcPr>
            <w:tcW w:w="110" w:type="dxa"/>
            <w:tcBorders/>
            <w:shd w:fill="CCEEFF" w:val="clear"/>
            <w:vAlign w:val="center"/>
          </w:tcPr>
          <w:p>
            <w:pPr>
              <w:pStyle w:val="TableContents"/>
              <w:bidi w:val="0"/>
              <w:spacing w:before="0" w:after="283"/>
              <w:jc w:val="left"/>
              <w:rPr/>
            </w:pPr>
            <w:r>
              <w:rPr/>
              <w:t>)</w:t>
            </w:r>
          </w:p>
        </w:tc>
      </w:tr>
      <w:tr>
        <w:trPr/>
        <w:tc>
          <w:tcPr>
            <w:tcW w:w="6875" w:type="dxa"/>
            <w:tcBorders/>
            <w:shd w:fill="FFFFFF" w:val="clear"/>
            <w:vAlign w:val="center"/>
          </w:tcPr>
          <w:p>
            <w:pPr>
              <w:pStyle w:val="TableContents"/>
              <w:bidi w:val="0"/>
              <w:spacing w:before="0" w:after="283"/>
              <w:jc w:val="left"/>
              <w:rPr/>
            </w:pPr>
            <w:r>
              <w:rPr/>
              <w:t>Amounts from former related party,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(169</w:t>
            </w:r>
          </w:p>
        </w:tc>
        <w:tc>
          <w:tcPr>
            <w:tcW w:w="110" w:type="dxa"/>
            <w:tcBorders/>
            <w:shd w:fill="FFFFFF" w:val="clear"/>
            <w:vAlign w:val="center"/>
          </w:tcPr>
          <w:p>
            <w:pPr>
              <w:pStyle w:val="TableContents"/>
              <w:bidi w:val="0"/>
              <w:spacing w:before="0" w:after="283"/>
              <w:jc w:val="left"/>
              <w:rPr/>
            </w:pPr>
            <w:r>
              <w:rPr/>
              <w:t>)</w:t>
            </w:r>
          </w:p>
        </w:tc>
      </w:tr>
      <w:tr>
        <w:trPr/>
        <w:tc>
          <w:tcPr>
            <w:tcW w:w="6875" w:type="dxa"/>
            <w:tcBorders/>
            <w:shd w:fill="CCEEFF" w:val="clear"/>
            <w:vAlign w:val="center"/>
          </w:tcPr>
          <w:p>
            <w:pPr>
              <w:pStyle w:val="TableContents"/>
              <w:bidi w:val="0"/>
              <w:spacing w:before="0" w:after="283"/>
              <w:jc w:val="left"/>
              <w:rPr>
                <w:b/>
              </w:rPr>
            </w:pPr>
            <w:r>
              <w:rPr>
                <w:b/>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2,797</w:t>
            </w:r>
          </w:p>
        </w:tc>
        <w:tc>
          <w:tcPr>
            <w:tcW w:w="110"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pPr>
            <w:r>
              <w:rPr/>
              <w:t>Net decrease in 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(8,014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(7,714</w:t>
            </w:r>
          </w:p>
        </w:tc>
        <w:tc>
          <w:tcPr>
            <w:tcW w:w="110" w:type="dxa"/>
            <w:tcBorders/>
            <w:shd w:fill="CCEEFF" w:val="clear"/>
            <w:vAlign w:val="center"/>
          </w:tcPr>
          <w:p>
            <w:pPr>
              <w:pStyle w:val="TableContents"/>
              <w:bidi w:val="0"/>
              <w:spacing w:before="0" w:after="283"/>
              <w:jc w:val="left"/>
              <w:rPr/>
            </w:pPr>
            <w:r>
              <w:rPr/>
              <w:t>)</w:t>
            </w:r>
          </w:p>
        </w:tc>
      </w:tr>
      <w:tr>
        <w:trPr/>
        <w:tc>
          <w:tcPr>
            <w:tcW w:w="6875" w:type="dxa"/>
            <w:tcBorders/>
            <w:shd w:fill="FFFFFF" w:val="clear"/>
            <w:vAlign w:val="center"/>
          </w:tcPr>
          <w:p>
            <w:pPr>
              <w:pStyle w:val="TableContents"/>
              <w:bidi w:val="0"/>
              <w:spacing w:before="0" w:after="283"/>
              <w:jc w:val="left"/>
              <w:rPr/>
            </w:pPr>
            <w:r>
              <w:rPr/>
              <w:t>Cash at beginning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10,424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10,391</w:t>
            </w:r>
          </w:p>
        </w:tc>
        <w:tc>
          <w:tcPr>
            <w:tcW w:w="110"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pPr>
            <w:r>
              <w:rPr/>
              <w:t>Cash at end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2,410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2,677</w:t>
            </w:r>
          </w:p>
        </w:tc>
        <w:tc>
          <w:tcPr>
            <w:tcW w:w="110"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b/>
              </w:rPr>
            </w:pPr>
            <w:r>
              <w:rPr>
                <w:b/>
              </w:rPr>
              <w:t>Supplemental disclosures of cash flow information: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pPr>
            <w:r>
              <w:rPr/>
              <w:t>Cash paid for 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372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400</w:t>
            </w:r>
          </w:p>
        </w:tc>
        <w:tc>
          <w:tcPr>
            <w:tcW w:w="110"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b/>
              </w:rPr>
            </w:pPr>
            <w:r>
              <w:rPr>
                <w:b/>
              </w:rPr>
              <w:t>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pPr>
            <w:r>
              <w:rPr/>
              <w:t>Reduction in property and equipment and 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pPr>
            <w:r>
              <w:rPr/>
              <w:t>Reclass SAFE agreement from accounts payable to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115</w:t>
            </w:r>
          </w:p>
        </w:tc>
        <w:tc>
          <w:tcPr>
            <w:tcW w:w="110"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pPr>
            <w:r>
              <w:rPr/>
              <w:t>Dividends on Series A Convertible Preferred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GAAP FINANCIAL MEASURE TO NON-GAAP FINANCIAL MEASURE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Six Months Ended June 30, 2026 and 2025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w:t>
      </w:r>
    </w:p>
    <w:p>
      <w:pPr>
        <w:pStyle w:val="TextBody"/>
        <w:bidi w:val="0"/>
        <w:spacing w:before="0" w:after="0"/>
        <w:jc w:val="center"/>
        <w:rPr>
          <w:caps w:val="false"/>
          <w:smallCaps w:val="false"/>
        </w:rPr>
      </w:pPr>
      <w:r>
        <w:rPr>
          <w:caps w:val="false"/>
          <w:smallCaps w:val="false"/>
        </w:rPr>
        <w:t> </w:t>
      </w:r>
    </w:p>
    <w:tbl>
      <w:tblPr>
        <w:tblW w:w="4887" w:type="dxa"/>
        <w:jc w:val="left"/>
        <w:tblInd w:w="0" w:type="dxa"/>
        <w:tblLayout w:type="fixed"/>
        <w:tblCellMar>
          <w:top w:w="0" w:type="dxa"/>
          <w:left w:w="0" w:type="dxa"/>
          <w:bottom w:w="0" w:type="dxa"/>
          <w:right w:w="0" w:type="dxa"/>
        </w:tblCellMar>
      </w:tblPr>
      <w:tblGrid>
        <w:gridCol w:w="2885"/>
        <w:gridCol w:w="60"/>
        <w:gridCol w:w="150"/>
        <w:gridCol w:w="683"/>
        <w:gridCol w:w="102"/>
        <w:gridCol w:w="64"/>
        <w:gridCol w:w="150"/>
        <w:gridCol w:w="683"/>
        <w:gridCol w:w="110"/>
      </w:tblGrid>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2"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Three Months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683" w:type="dxa"/>
            <w:tcBorders/>
            <w:shd w:fill="CCEEFF" w:val="clear"/>
            <w:vAlign w:val="center"/>
          </w:tcPr>
          <w:p>
            <w:pPr>
              <w:pStyle w:val="TableContents"/>
              <w:bidi w:val="0"/>
              <w:spacing w:before="0" w:after="283"/>
              <w:jc w:val="right"/>
              <w:rPr/>
            </w:pPr>
            <w:r>
              <w:rPr/>
              <w:t>(4,273</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683" w:type="dxa"/>
            <w:tcBorders/>
            <w:shd w:fill="CCEEFF" w:val="clear"/>
            <w:vAlign w:val="center"/>
          </w:tcPr>
          <w:p>
            <w:pPr>
              <w:pStyle w:val="TableContents"/>
              <w:bidi w:val="0"/>
              <w:spacing w:before="0" w:after="283"/>
              <w:jc w:val="right"/>
              <w:rPr/>
            </w:pPr>
            <w:r>
              <w:rPr/>
              <w:t>(6,048</w:t>
            </w:r>
          </w:p>
        </w:tc>
        <w:tc>
          <w:tcPr>
            <w:tcW w:w="110" w:type="dxa"/>
            <w:tcBorders/>
            <w:shd w:fill="CCEEFF" w:val="clear"/>
            <w:vAlign w:val="center"/>
          </w:tcPr>
          <w:p>
            <w:pPr>
              <w:pStyle w:val="TableContents"/>
              <w:bidi w:val="0"/>
              <w:spacing w:before="0" w:after="283"/>
              <w:jc w:val="left"/>
              <w:rPr/>
            </w:pPr>
            <w:r>
              <w:rPr/>
              <w:t>)</w:t>
            </w:r>
          </w:p>
        </w:tc>
      </w:tr>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EBITDA adjustments: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pPr>
            <w:r>
              <w:rPr/>
              <w:t>204</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pPr>
            <w:r>
              <w:rPr/>
              <w:t>301</w:t>
            </w:r>
          </w:p>
        </w:tc>
        <w:tc>
          <w:tcPr>
            <w:tcW w:w="11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Tax expense</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right"/>
              <w:rPr/>
            </w:pPr>
            <w:r>
              <w:rPr/>
              <w:t>61</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right"/>
              <w:rPr/>
            </w:pPr>
            <w:r>
              <w:rPr/>
              <w:t>28</w:t>
            </w:r>
          </w:p>
        </w:tc>
        <w:tc>
          <w:tcPr>
            <w:tcW w:w="11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3" w:type="dxa"/>
            <w:tcBorders>
              <w:bottom w:val="single" w:sz="8" w:space="0" w:color="000000"/>
            </w:tcBorders>
            <w:shd w:fill="FFFFFF" w:val="clear"/>
            <w:tcMar>
              <w:bottom w:w="28" w:type="dxa"/>
            </w:tcMar>
            <w:vAlign w:val="center"/>
          </w:tcPr>
          <w:p>
            <w:pPr>
              <w:pStyle w:val="TableContents"/>
              <w:bidi w:val="0"/>
              <w:spacing w:before="0" w:after="283"/>
              <w:jc w:val="right"/>
              <w:rPr/>
            </w:pPr>
            <w:r>
              <w:rPr/>
              <w:t>37</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3" w:type="dxa"/>
            <w:tcBorders>
              <w:bottom w:val="single" w:sz="8" w:space="0" w:color="000000"/>
            </w:tcBorders>
            <w:shd w:fill="FFFFFF" w:val="clear"/>
            <w:tcMar>
              <w:bottom w:w="28" w:type="dxa"/>
            </w:tcMar>
            <w:vAlign w:val="center"/>
          </w:tcPr>
          <w:p>
            <w:pPr>
              <w:pStyle w:val="TableContents"/>
              <w:bidi w:val="0"/>
              <w:spacing w:before="0" w:after="283"/>
              <w:jc w:val="right"/>
              <w:rPr/>
            </w:pPr>
            <w:r>
              <w:rPr/>
              <w:t>39</w:t>
            </w:r>
          </w:p>
        </w:tc>
        <w:tc>
          <w:tcPr>
            <w:tcW w:w="11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Total EBITDA adjustments</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83" w:type="dxa"/>
            <w:tcBorders>
              <w:bottom w:val="single" w:sz="8" w:space="0" w:color="000000"/>
            </w:tcBorders>
            <w:shd w:fill="CCEEFF" w:val="clear"/>
            <w:tcMar>
              <w:bottom w:w="28" w:type="dxa"/>
            </w:tcMar>
            <w:vAlign w:val="center"/>
          </w:tcPr>
          <w:p>
            <w:pPr>
              <w:pStyle w:val="TableContents"/>
              <w:bidi w:val="0"/>
              <w:spacing w:before="0" w:after="283"/>
              <w:jc w:val="right"/>
              <w:rPr/>
            </w:pPr>
            <w:r>
              <w:rPr/>
              <w:t>302</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83" w:type="dxa"/>
            <w:tcBorders>
              <w:bottom w:val="single" w:sz="8" w:space="0" w:color="000000"/>
            </w:tcBorders>
            <w:shd w:fill="CCEEFF" w:val="clear"/>
            <w:tcMar>
              <w:bottom w:w="28" w:type="dxa"/>
            </w:tcMar>
            <w:vAlign w:val="center"/>
          </w:tcPr>
          <w:p>
            <w:pPr>
              <w:pStyle w:val="TableContents"/>
              <w:bidi w:val="0"/>
              <w:spacing w:before="0" w:after="283"/>
              <w:jc w:val="right"/>
              <w:rPr/>
            </w:pPr>
            <w:r>
              <w:rPr/>
              <w:t>368</w:t>
            </w:r>
          </w:p>
        </w:tc>
        <w:tc>
          <w:tcPr>
            <w:tcW w:w="11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EBITDA</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3" w:type="dxa"/>
            <w:tcBorders>
              <w:bottom w:val="double" w:sz="6" w:space="0" w:color="000000"/>
            </w:tcBorders>
            <w:shd w:fill="CCEEFF" w:val="clear"/>
            <w:tcMar>
              <w:bottom w:w="28" w:type="dxa"/>
            </w:tcMar>
            <w:vAlign w:val="center"/>
          </w:tcPr>
          <w:p>
            <w:pPr>
              <w:pStyle w:val="TableContents"/>
              <w:bidi w:val="0"/>
              <w:spacing w:before="0" w:after="283"/>
              <w:jc w:val="right"/>
              <w:rPr/>
            </w:pPr>
            <w:r>
              <w:rPr/>
              <w:t>(3,971</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3" w:type="dxa"/>
            <w:tcBorders>
              <w:bottom w:val="double" w:sz="6" w:space="0" w:color="000000"/>
            </w:tcBorders>
            <w:shd w:fill="CCEEFF" w:val="clear"/>
            <w:tcMar>
              <w:bottom w:w="28" w:type="dxa"/>
            </w:tcMar>
            <w:vAlign w:val="center"/>
          </w:tcPr>
          <w:p>
            <w:pPr>
              <w:pStyle w:val="TableContents"/>
              <w:bidi w:val="0"/>
              <w:spacing w:before="0" w:after="283"/>
              <w:jc w:val="right"/>
              <w:rPr/>
            </w:pPr>
            <w:r>
              <w:rPr/>
              <w:t>(5,680</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5876" w:type="dxa"/>
        <w:jc w:val="left"/>
        <w:tblInd w:w="0" w:type="dxa"/>
        <w:tblLayout w:type="fixed"/>
        <w:tblCellMar>
          <w:top w:w="0" w:type="dxa"/>
          <w:left w:w="0" w:type="dxa"/>
          <w:bottom w:w="0" w:type="dxa"/>
          <w:right w:w="0" w:type="dxa"/>
        </w:tblCellMar>
      </w:tblPr>
      <w:tblGrid>
        <w:gridCol w:w="2885"/>
        <w:gridCol w:w="60"/>
        <w:gridCol w:w="216"/>
        <w:gridCol w:w="1168"/>
        <w:gridCol w:w="147"/>
        <w:gridCol w:w="92"/>
        <w:gridCol w:w="216"/>
        <w:gridCol w:w="982"/>
        <w:gridCol w:w="110"/>
      </w:tblGrid>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1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47"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19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(10,737</w:t>
            </w:r>
          </w:p>
        </w:tc>
        <w:tc>
          <w:tcPr>
            <w:tcW w:w="147" w:type="dxa"/>
            <w:tcBorders/>
            <w:shd w:fill="CCEEFF" w:val="clear"/>
            <w:vAlign w:val="center"/>
          </w:tcPr>
          <w:p>
            <w:pPr>
              <w:pStyle w:val="TableContents"/>
              <w:bidi w:val="0"/>
              <w:spacing w:before="0" w:after="283"/>
              <w:jc w:val="left"/>
              <w:rPr/>
            </w:pPr>
            <w:r>
              <w:rPr/>
              <w:t>)</w:t>
            </w:r>
          </w:p>
        </w:tc>
        <w:tc>
          <w:tcPr>
            <w:tcW w:w="92"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982" w:type="dxa"/>
            <w:tcBorders/>
            <w:shd w:fill="CCEEFF" w:val="clear"/>
            <w:vAlign w:val="center"/>
          </w:tcPr>
          <w:p>
            <w:pPr>
              <w:pStyle w:val="TableContents"/>
              <w:bidi w:val="0"/>
              <w:spacing w:before="0" w:after="283"/>
              <w:jc w:val="right"/>
              <w:rPr/>
            </w:pPr>
            <w:r>
              <w:rPr/>
              <w:t>(8,079</w:t>
            </w:r>
          </w:p>
        </w:tc>
        <w:tc>
          <w:tcPr>
            <w:tcW w:w="110" w:type="dxa"/>
            <w:tcBorders/>
            <w:shd w:fill="CCEEFF" w:val="clear"/>
            <w:vAlign w:val="center"/>
          </w:tcPr>
          <w:p>
            <w:pPr>
              <w:pStyle w:val="TableContents"/>
              <w:bidi w:val="0"/>
              <w:spacing w:before="0" w:after="283"/>
              <w:jc w:val="left"/>
              <w:rPr/>
            </w:pPr>
            <w:r>
              <w:rPr/>
              <w:t>)</w:t>
            </w:r>
          </w:p>
        </w:tc>
      </w:tr>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 </w:t>
            </w:r>
          </w:p>
        </w:tc>
        <w:tc>
          <w:tcPr>
            <w:tcW w:w="147"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b/>
              </w:rPr>
            </w:pPr>
            <w:r>
              <w:rPr>
                <w:b/>
              </w:rPr>
              <w:t>EBITDA adjustments:</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408</w:t>
            </w:r>
          </w:p>
        </w:tc>
        <w:tc>
          <w:tcPr>
            <w:tcW w:w="147"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590</w:t>
            </w:r>
          </w:p>
        </w:tc>
        <w:tc>
          <w:tcPr>
            <w:tcW w:w="11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Tax expense</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110</w:t>
            </w:r>
          </w:p>
        </w:tc>
        <w:tc>
          <w:tcPr>
            <w:tcW w:w="147"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48</w:t>
            </w:r>
          </w:p>
        </w:tc>
        <w:tc>
          <w:tcPr>
            <w:tcW w:w="11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FFFFFF" w:val="clear"/>
            <w:tcMar>
              <w:bottom w:w="28" w:type="dxa"/>
            </w:tcMar>
            <w:vAlign w:val="center"/>
          </w:tcPr>
          <w:p>
            <w:pPr>
              <w:pStyle w:val="TableContents"/>
              <w:bidi w:val="0"/>
              <w:spacing w:before="0" w:after="283"/>
              <w:jc w:val="right"/>
              <w:rPr/>
            </w:pPr>
            <w:r>
              <w:rPr/>
              <w:t>79</w:t>
            </w:r>
          </w:p>
        </w:tc>
        <w:tc>
          <w:tcPr>
            <w:tcW w:w="147"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FFFFFF" w:val="clear"/>
            <w:tcMar>
              <w:bottom w:w="28" w:type="dxa"/>
            </w:tcMar>
            <w:vAlign w:val="center"/>
          </w:tcPr>
          <w:p>
            <w:pPr>
              <w:pStyle w:val="TableContents"/>
              <w:bidi w:val="0"/>
              <w:spacing w:before="0" w:after="283"/>
              <w:jc w:val="right"/>
              <w:rPr/>
            </w:pPr>
            <w:r>
              <w:rPr/>
              <w:t>92</w:t>
            </w:r>
          </w:p>
        </w:tc>
        <w:tc>
          <w:tcPr>
            <w:tcW w:w="11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Total EBITDA adjustments</w:t>
            </w:r>
          </w:p>
        </w:tc>
        <w:tc>
          <w:tcPr>
            <w:tcW w:w="60" w:type="dxa"/>
            <w:tcBorders/>
            <w:shd w:fill="CCEEFF" w:val="clear"/>
            <w:vAlign w:val="center"/>
          </w:tcPr>
          <w:p>
            <w:pPr>
              <w:pStyle w:val="TableContents"/>
              <w:bidi w:val="0"/>
              <w:spacing w:before="0" w:after="283"/>
              <w:jc w:val="left"/>
              <w:rPr/>
            </w:pPr>
            <w:r>
              <w:rPr/>
              <w:t> </w:t>
            </w:r>
          </w:p>
        </w:tc>
        <w:tc>
          <w:tcPr>
            <w:tcW w:w="21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68" w:type="dxa"/>
            <w:tcBorders>
              <w:bottom w:val="single" w:sz="8" w:space="0" w:color="000000"/>
            </w:tcBorders>
            <w:shd w:fill="CCEEFF" w:val="clear"/>
            <w:tcMar>
              <w:bottom w:w="28" w:type="dxa"/>
            </w:tcMar>
            <w:vAlign w:val="center"/>
          </w:tcPr>
          <w:p>
            <w:pPr>
              <w:pStyle w:val="TableContents"/>
              <w:bidi w:val="0"/>
              <w:spacing w:before="0" w:after="283"/>
              <w:jc w:val="right"/>
              <w:rPr/>
            </w:pPr>
            <w:r>
              <w:rPr/>
              <w:t>597</w:t>
            </w:r>
          </w:p>
        </w:tc>
        <w:tc>
          <w:tcPr>
            <w:tcW w:w="147"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82" w:type="dxa"/>
            <w:tcBorders>
              <w:bottom w:val="single" w:sz="8" w:space="0" w:color="000000"/>
            </w:tcBorders>
            <w:shd w:fill="CCEEFF" w:val="clear"/>
            <w:tcMar>
              <w:bottom w:w="28" w:type="dxa"/>
            </w:tcMar>
            <w:vAlign w:val="center"/>
          </w:tcPr>
          <w:p>
            <w:pPr>
              <w:pStyle w:val="TableContents"/>
              <w:bidi w:val="0"/>
              <w:spacing w:before="0" w:after="283"/>
              <w:jc w:val="right"/>
              <w:rPr/>
            </w:pPr>
            <w:r>
              <w:rPr/>
              <w:t>730</w:t>
            </w:r>
          </w:p>
        </w:tc>
        <w:tc>
          <w:tcPr>
            <w:tcW w:w="11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 </w:t>
            </w:r>
          </w:p>
        </w:tc>
        <w:tc>
          <w:tcPr>
            <w:tcW w:w="147"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EBITDA</w:t>
            </w:r>
          </w:p>
        </w:tc>
        <w:tc>
          <w:tcPr>
            <w:tcW w:w="60" w:type="dxa"/>
            <w:tcBorders/>
            <w:shd w:fill="CCEEFF" w:val="clear"/>
            <w:vAlign w:val="center"/>
          </w:tcPr>
          <w:p>
            <w:pPr>
              <w:pStyle w:val="TableContents"/>
              <w:bidi w:val="0"/>
              <w:spacing w:before="0" w:after="283"/>
              <w:jc w:val="left"/>
              <w:rPr/>
            </w:pPr>
            <w:r>
              <w:rPr/>
              <w:t> </w:t>
            </w:r>
          </w:p>
        </w:tc>
        <w:tc>
          <w:tcPr>
            <w:tcW w:w="21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8" w:type="dxa"/>
            <w:tcBorders>
              <w:bottom w:val="double" w:sz="6" w:space="0" w:color="000000"/>
            </w:tcBorders>
            <w:shd w:fill="CCEEFF" w:val="clear"/>
            <w:tcMar>
              <w:bottom w:w="28" w:type="dxa"/>
            </w:tcMar>
            <w:vAlign w:val="center"/>
          </w:tcPr>
          <w:p>
            <w:pPr>
              <w:pStyle w:val="TableContents"/>
              <w:bidi w:val="0"/>
              <w:spacing w:before="0" w:after="283"/>
              <w:jc w:val="right"/>
              <w:rPr/>
            </w:pPr>
            <w:r>
              <w:rPr/>
              <w:t>(10,140</w:t>
            </w:r>
          </w:p>
        </w:tc>
        <w:tc>
          <w:tcPr>
            <w:tcW w:w="147" w:type="dxa"/>
            <w:tcBorders/>
            <w:shd w:fill="CCEEFF" w:val="clear"/>
            <w:vAlign w:val="center"/>
          </w:tcPr>
          <w:p>
            <w:pPr>
              <w:pStyle w:val="TableContents"/>
              <w:bidi w:val="0"/>
              <w:spacing w:before="0" w:after="283"/>
              <w:jc w:val="left"/>
              <w:rPr/>
            </w:pPr>
            <w:r>
              <w:rPr/>
              <w:t>)</w:t>
            </w:r>
          </w:p>
        </w:tc>
        <w:tc>
          <w:tcPr>
            <w:tcW w:w="92" w:type="dxa"/>
            <w:tcBorders/>
            <w:shd w:fill="CCEEFF" w:val="clear"/>
            <w:vAlign w:val="center"/>
          </w:tcPr>
          <w:p>
            <w:pPr>
              <w:pStyle w:val="TableContents"/>
              <w:bidi w:val="0"/>
              <w:spacing w:before="0" w:after="283"/>
              <w:jc w:val="left"/>
              <w:rPr/>
            </w:pPr>
            <w:r>
              <w:rPr/>
              <w:t> </w:t>
            </w:r>
          </w:p>
        </w:tc>
        <w:tc>
          <w:tcPr>
            <w:tcW w:w="21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2" w:type="dxa"/>
            <w:tcBorders>
              <w:bottom w:val="double" w:sz="6" w:space="0" w:color="000000"/>
            </w:tcBorders>
            <w:shd w:fill="CCEEFF" w:val="clear"/>
            <w:tcMar>
              <w:bottom w:w="28" w:type="dxa"/>
            </w:tcMar>
            <w:vAlign w:val="center"/>
          </w:tcPr>
          <w:p>
            <w:pPr>
              <w:pStyle w:val="TableContents"/>
              <w:bidi w:val="0"/>
              <w:spacing w:before="0" w:after="283"/>
              <w:jc w:val="right"/>
              <w:rPr/>
            </w:pPr>
            <w:r>
              <w:rPr/>
              <w:t>(7,349</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3197</Words>
  <Characters>17497</Characters>
  <CharactersWithSpaces>21221</CharactersWithSpaces>
  <Paragraphs>1656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