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32" w:space="1" w:color="000000"/>
        </w:rPr>
      </w:pPr>
      <w:bookmarkStart w:id="0" w:name="form10-q.htm"/>
      <w:bookmarkStart w:id="1" w:name="ksform10q"/>
      <w:bookmarkEnd w:id="0"/>
      <w:bookmarkEnd w:id="1"/>
      <w:r>
        <w:rPr>
          <w:bdr w:val="single" w:sz="32" w:space="1" w:color="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z w:val="24"/>
        </w:rPr>
        <w:t>Washington, D.C. 20549</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 xml:space="preserve">FORM </w:t>
      </w:r>
      <w:bookmarkStart w:id="2" w:name="xdx_908_edei--DocumentType_c20230101__20"/>
      <w:bookmarkEnd w:id="2"/>
      <w:r>
        <w:rPr>
          <w:rFonts w:ascii="Times New Roman;Times;Serif" w:hAnsi="Times New Roman;Times;Serif"/>
          <w:b/>
          <w:i w:val="false"/>
          <w:caps w:val="false"/>
          <w:smallCaps w:val="false"/>
          <w:color w:val="000000"/>
          <w:sz w:val="36"/>
        </w:rPr>
        <w:t>10-Q</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caps w:val="false"/>
          <w:smallCaps w:val="false"/>
          <w:color w:val="000000"/>
        </w:rPr>
      </w:pPr>
      <w:bookmarkStart w:id="3" w:name="xdx_90B_edei--DocumentQuarterlyReport_c2"/>
      <w:bookmarkEnd w:id="3"/>
      <w:r>
        <w:rPr>
          <w:caps w:val="false"/>
          <w:smallCaps w:val="false"/>
          <w:color w:val="000000"/>
        </w:rPr>
        <w:t xml:space="preserve">☒ </w:t>
      </w:r>
      <w:r>
        <w:rPr>
          <w:rFonts w:ascii="Times New Roman;Times;Serif" w:hAnsi="Times New Roman;Times;Serif"/>
          <w:b w:val="false"/>
          <w:i w:val="false"/>
          <w:caps w:val="false"/>
          <w:smallCaps w:val="false"/>
          <w:color w:val="000000"/>
          <w:sz w:val="20"/>
        </w:rPr>
        <w:t>QUARTERLY REPORT UNDER SECTION 13 OR 15(d) OF THE SECURITIES EXCHANGE ACT OF 1934</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For the quarterly period ended </w:t>
      </w:r>
      <w:bookmarkStart w:id="4" w:name="xdx_909_edei--DocumentPeriodEndDate_c202"/>
      <w:bookmarkEnd w:id="4"/>
      <w:r>
        <w:rPr>
          <w:rFonts w:ascii="Times New Roman;Times;Serif" w:hAnsi="Times New Roman;Times;Serif"/>
          <w:b w:val="false"/>
          <w:i w:val="false"/>
          <w:caps w:val="false"/>
          <w:smallCaps w:val="false"/>
          <w:color w:val="000000"/>
          <w:sz w:val="20"/>
        </w:rPr>
        <w:t xml:space="preserve">June 30, </w:t>
      </w:r>
      <w:bookmarkStart w:id="5" w:name="xdx_90C_edei--DocumentFiscalYearFocus_c2"/>
      <w:bookmarkEnd w:id="5"/>
      <w:r>
        <w:rPr>
          <w:rFonts w:ascii="Times New Roman;Times;Serif" w:hAnsi="Times New Roman;Times;Serif"/>
          <w:b w:val="false"/>
          <w:i w:val="false"/>
          <w:caps w:val="false"/>
          <w:smallCaps w:val="false"/>
          <w:color w:val="000000"/>
          <w:sz w:val="20"/>
        </w:rPr>
        <w:t>2023</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caps w:val="false"/>
          <w:smallCaps w:val="false"/>
          <w:color w:val="000000"/>
        </w:rPr>
      </w:pPr>
      <w:bookmarkStart w:id="6" w:name="xdx_90A_edei--DocumentTransitionReport_c"/>
      <w:bookmarkEnd w:id="6"/>
      <w:r>
        <w:rPr>
          <w:caps w:val="false"/>
          <w:smallCaps w:val="false"/>
          <w:color w:val="000000"/>
        </w:rPr>
        <w:t xml:space="preserve">☐ </w:t>
      </w:r>
      <w:r>
        <w:rPr>
          <w:rFonts w:ascii="Times New Roman;Times;Serif" w:hAnsi="Times New Roman;Times;Serif"/>
          <w:b w:val="false"/>
          <w:i w:val="false"/>
          <w:caps w:val="false"/>
          <w:smallCaps w:val="false"/>
          <w:color w:val="000000"/>
          <w:sz w:val="20"/>
        </w:rPr>
        <w:t>TRANSITION REPORT UNDER SECTION 13 OR 15(d) OF THE EXCHANGE ACT OF 1934</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transition period from _______ to _______</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Commission file number: </w:t>
      </w:r>
      <w:bookmarkStart w:id="7" w:name="xdx_908_edei--EntityFileNumber_c20230101"/>
      <w:bookmarkEnd w:id="7"/>
      <w:r>
        <w:rPr>
          <w:rFonts w:ascii="Times New Roman;Times;Serif" w:hAnsi="Times New Roman;Times;Serif"/>
          <w:b w:val="false"/>
          <w:i w:val="false"/>
          <w:caps w:val="false"/>
          <w:smallCaps w:val="false"/>
          <w:color w:val="000000"/>
          <w:sz w:val="20"/>
        </w:rPr>
        <w:t>001-32501</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bookmarkStart w:id="8" w:name="xdx_90A_edei--EntityRegistrantName_c2023"/>
      <w:bookmarkEnd w:id="8"/>
      <w:r>
        <w:rPr>
          <w:rFonts w:ascii="Times New Roman;Times;Serif" w:hAnsi="Times New Roman;Times;Serif"/>
          <w:b/>
          <w:i w:val="false"/>
          <w:caps w:val="false"/>
          <w:smallCaps w:val="false"/>
          <w:color w:val="000000"/>
          <w:sz w:val="36"/>
        </w:rPr>
        <w:t>REED’S, INC.</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registrant as specified in its charter)</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2800" w:type="dxa"/>
        <w:jc w:val="left"/>
        <w:tblInd w:w="0" w:type="dxa"/>
        <w:tblLayout w:type="fixed"/>
        <w:tblCellMar>
          <w:top w:w="0" w:type="dxa"/>
          <w:left w:w="0" w:type="dxa"/>
          <w:bottom w:w="28" w:type="dxa"/>
          <w:right w:w="0" w:type="dxa"/>
        </w:tblCellMar>
      </w:tblPr>
      <w:tblGrid>
        <w:gridCol w:w="1205"/>
        <w:gridCol w:w="60"/>
        <w:gridCol w:w="1535"/>
      </w:tblGrid>
      <w:tr>
        <w:trPr/>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9" w:name="xdx_905_edei--EntityIncorporationStateCo"/>
            <w:bookmarkEnd w:id="9"/>
            <w:r>
              <w:rPr>
                <w:rFonts w:ascii="Times New Roman;Times;Serif" w:hAnsi="Times New Roman;Times;Serif"/>
                <w:b w:val="false"/>
                <w:i w:val="false"/>
                <w:caps w:val="false"/>
                <w:smallCaps w:val="false"/>
                <w:color w:val="000000"/>
                <w:sz w:val="20"/>
              </w:rPr>
              <w:t xml:space="preserve">Delaware </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0" w:name="xdx_90B_edei--EntityTaxIdentificationNum"/>
            <w:bookmarkEnd w:id="10"/>
            <w:r>
              <w:rPr>
                <w:rFonts w:ascii="Times New Roman;Times;Serif" w:hAnsi="Times New Roman;Times;Serif"/>
                <w:b w:val="false"/>
                <w:i w:val="false"/>
                <w:caps w:val="false"/>
                <w:smallCaps w:val="false"/>
                <w:color w:val="000000"/>
                <w:sz w:val="20"/>
              </w:rPr>
              <w:t>35-2177773</w:t>
            </w:r>
          </w:p>
        </w:tc>
      </w:tr>
      <w:tr>
        <w:trPr/>
        <w:tc>
          <w:tcPr>
            <w:tcW w:w="120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of</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incorporation)</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Identification No.)</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bookmarkStart w:id="11" w:name="xdx_905_edei--EntityAddressAddressLine1_"/>
      <w:bookmarkEnd w:id="11"/>
      <w:r>
        <w:rPr>
          <w:rFonts w:ascii="Times New Roman;Times;Serif" w:hAnsi="Times New Roman;Times;Serif"/>
          <w:b w:val="false"/>
          <w:i w:val="false"/>
          <w:caps w:val="false"/>
          <w:smallCaps w:val="false"/>
          <w:color w:val="000000"/>
          <w:sz w:val="20"/>
        </w:rPr>
        <w:t xml:space="preserve">201 Merritt 7, </w:t>
      </w:r>
      <w:bookmarkStart w:id="12" w:name="xdx_90B_edei--EntityAddressCityOrTown_c2"/>
      <w:bookmarkEnd w:id="12"/>
      <w:r>
        <w:rPr>
          <w:rFonts w:ascii="Times New Roman;Times;Serif" w:hAnsi="Times New Roman;Times;Serif"/>
          <w:b w:val="false"/>
          <w:i w:val="false"/>
          <w:caps w:val="false"/>
          <w:smallCaps w:val="false"/>
          <w:color w:val="000000"/>
          <w:sz w:val="20"/>
        </w:rPr>
        <w:t xml:space="preserve">Norwalk, </w:t>
      </w:r>
      <w:bookmarkStart w:id="13" w:name="xdx_909_edei--EntityAddressStateOrProvin"/>
      <w:bookmarkEnd w:id="13"/>
      <w:r>
        <w:rPr>
          <w:rFonts w:ascii="Times New Roman;Times;Serif" w:hAnsi="Times New Roman;Times;Serif"/>
          <w:b w:val="false"/>
          <w:i w:val="false"/>
          <w:caps w:val="false"/>
          <w:smallCaps w:val="false"/>
          <w:color w:val="000000"/>
          <w:sz w:val="20"/>
        </w:rPr>
        <w:t xml:space="preserve">CT. </w:t>
      </w:r>
      <w:bookmarkStart w:id="14" w:name="xdx_900_edei--EntityAddressPostalZipCode"/>
      <w:bookmarkEnd w:id="14"/>
      <w:r>
        <w:rPr>
          <w:rFonts w:ascii="Times New Roman;Times;Serif" w:hAnsi="Times New Roman;Times;Serif"/>
          <w:b w:val="false"/>
          <w:i w:val="false"/>
          <w:caps w:val="false"/>
          <w:smallCaps w:val="false"/>
          <w:color w:val="000000"/>
          <w:sz w:val="20"/>
        </w:rPr>
        <w:t>06851</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of principal executive offices) (Zip Code)</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bookmarkStart w:id="15" w:name="xdx_900_edei--CityAreaCode_c20230101__20"/>
      <w:bookmarkEnd w:id="15"/>
      <w:r>
        <w:rPr>
          <w:rFonts w:ascii="Times New Roman;Times;Serif" w:hAnsi="Times New Roman;Times;Serif"/>
          <w:b w:val="false"/>
          <w:i w:val="false"/>
          <w:caps w:val="false"/>
          <w:smallCaps w:val="false"/>
          <w:color w:val="000000"/>
          <w:sz w:val="20"/>
        </w:rPr>
        <w:t xml:space="preserve">(800) </w:t>
      </w:r>
      <w:bookmarkStart w:id="16" w:name="xdx_904_edei--LocalPhoneNumber_c20230101"/>
      <w:bookmarkEnd w:id="16"/>
      <w:r>
        <w:rPr>
          <w:rFonts w:ascii="Times New Roman;Times;Serif" w:hAnsi="Times New Roman;Times;Serif"/>
          <w:b w:val="false"/>
          <w:i w:val="false"/>
          <w:caps w:val="false"/>
          <w:smallCaps w:val="false"/>
          <w:color w:val="000000"/>
          <w:sz w:val="20"/>
        </w:rPr>
        <w:t>997-3337</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(Registrant’s telephone number, including area code)</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registered pursuant to Section 12(b) of the Act: None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6945" w:type="dxa"/>
        <w:jc w:val="left"/>
        <w:tblInd w:w="0" w:type="dxa"/>
        <w:tblLayout w:type="fixed"/>
        <w:tblCellMar>
          <w:top w:w="0" w:type="dxa"/>
          <w:left w:w="0" w:type="dxa"/>
          <w:bottom w:w="28" w:type="dxa"/>
          <w:right w:w="0" w:type="dxa"/>
        </w:tblCellMar>
      </w:tblPr>
      <w:tblGrid>
        <w:gridCol w:w="1625"/>
        <w:gridCol w:w="60"/>
        <w:gridCol w:w="1415"/>
        <w:gridCol w:w="60"/>
        <w:gridCol w:w="3785"/>
      </w:tblGrid>
      <w:tr>
        <w:trPr/>
        <w:tc>
          <w:tcPr>
            <w:tcW w:w="16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Trading Symbol</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Names of each exchange on which registered</w:t>
            </w:r>
          </w:p>
        </w:tc>
      </w:tr>
      <w:tr>
        <w:trPr/>
        <w:tc>
          <w:tcPr>
            <w:tcW w:w="1625"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415"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785"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the number of shares outstanding of each of the issuer’s classes of common stock, as of the latest practicable date: There were a total of </w:t>
      </w:r>
      <w:bookmarkStart w:id="17" w:name="xdx_90A_edei--EntityCommonStockSharesOut"/>
      <w:bookmarkEnd w:id="17"/>
      <w:r>
        <w:rPr>
          <w:rFonts w:ascii="Times New Roman;Times;Serif" w:hAnsi="Times New Roman;Times;Serif"/>
          <w:b w:val="false"/>
          <w:i w:val="false"/>
          <w:caps w:val="false"/>
          <w:smallCaps w:val="false"/>
          <w:color w:val="000000"/>
          <w:sz w:val="20"/>
        </w:rPr>
        <w:t>4,169,131 shares of Common Stock outstanding as of August 1,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18" w:name="xdx_906_edei--EntityCurrentReportingStat"/>
      <w:bookmarkEnd w:id="18"/>
      <w:r>
        <w:rPr>
          <w:rFonts w:ascii="Times New Roman;Times;Serif" w:hAnsi="Times New Roman;Times;Serif"/>
          <w:b w:val="false"/>
          <w:i w:val="false"/>
          <w:caps w:val="false"/>
          <w:smallCaps w:val="false"/>
          <w:color w:val="000000"/>
          <w:sz w:val="20"/>
        </w:rPr>
        <w:t>Yes ☒ No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19" w:name="xdx_904_edei--EntityInteractiveDataCurre"/>
      <w:bookmarkEnd w:id="19"/>
      <w:r>
        <w:rPr>
          <w:rFonts w:ascii="Times New Roman;Times;Serif" w:hAnsi="Times New Roman;Times;Serif"/>
          <w:b w:val="false"/>
          <w:i w:val="false"/>
          <w:caps w:val="false"/>
          <w:smallCaps w:val="false"/>
          <w:color w:val="000000"/>
          <w:sz w:val="20"/>
        </w:rPr>
        <w:t>Yes ☒ No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7155" w:type="dxa"/>
        <w:jc w:val="left"/>
        <w:tblInd w:w="0" w:type="dxa"/>
        <w:tblLayout w:type="fixed"/>
        <w:tblCellMar>
          <w:top w:w="0" w:type="dxa"/>
          <w:left w:w="0" w:type="dxa"/>
          <w:bottom w:w="0" w:type="dxa"/>
          <w:right w:w="0" w:type="dxa"/>
        </w:tblCellMar>
      </w:tblPr>
      <w:tblGrid>
        <w:gridCol w:w="2585"/>
        <w:gridCol w:w="2525"/>
        <w:gridCol w:w="2045"/>
      </w:tblGrid>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Accelerated Filer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bookmarkStart w:id="20" w:name="xdx_903_edei--EntityFilerCategory_c20230"/>
            <w:bookmarkEnd w:id="20"/>
            <w:r>
              <w:rPr>
                <w:rFonts w:ascii="Times New Roman;Times;Serif" w:hAnsi="Times New Roman;Times;Serif"/>
                <w:b w:val="false"/>
                <w:i w:val="false"/>
                <w:caps w:val="false"/>
                <w:smallCaps w:val="false"/>
                <w:color w:val="000000"/>
                <w:sz w:val="20"/>
              </w:rPr>
              <w:t>Non-Accelerated Filer ☒</w:t>
            </w:r>
          </w:p>
        </w:tc>
      </w:tr>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Smaller Reporting Company </w:t>
            </w:r>
            <w:bookmarkStart w:id="21" w:name="xdx_901_edei--EntitySmallBusiness_c20230"/>
            <w:bookmarkEnd w:id="21"/>
            <w:r>
              <w:rPr>
                <w:rFonts w:ascii="Times New Roman;Times;Serif" w:hAnsi="Times New Roman;Times;Serif"/>
                <w:b w:val="false"/>
                <w:i w:val="false"/>
                <w:caps w:val="false"/>
                <w:smallCaps w:val="false"/>
                <w:color w:val="000000"/>
                <w:sz w:val="20"/>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color w:val="000000"/>
                <w:sz w:val="20"/>
              </w:rPr>
              <w:t>☐</w:t>
            </w:r>
          </w:p>
        </w:tc>
        <w:tc>
          <w:tcPr>
            <w:tcW w:w="20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check mark whether the issuer is a shell company (as defined in Rule 12b-2 of the Exchange Act). Yes ☐ </w:t>
      </w:r>
      <w:bookmarkStart w:id="23" w:name="xdx_90B_edei--EntityShellCompany_c202301"/>
      <w:bookmarkEnd w:id="23"/>
      <w:r>
        <w:rPr>
          <w:rFonts w:ascii="Times New Roman;Times;Serif" w:hAnsi="Times New Roman;Times;Serif"/>
          <w:b w:val="false"/>
          <w:i w:val="false"/>
          <w:caps w:val="false"/>
          <w:smallCaps w:val="false"/>
          <w:color w:val="000000"/>
          <w:sz w:val="20"/>
        </w:rPr>
        <w:t>No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TABLE OF CONTENTS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9849"/>
        <w:gridCol w:w="60"/>
        <w:gridCol w:w="296"/>
      </w:tblGrid>
      <w:tr>
        <w:trPr/>
        <w:tc>
          <w:tcPr>
            <w:tcW w:w="9849"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color w:val="000000"/>
                </w:rPr>
                <w:t>PART I - FINANCIAL INFORMATION</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color w:val="000000"/>
                </w:rPr>
                <w:t>Item 1. Condensed Financial Statements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color w:val="000000"/>
                </w:rPr>
                <w:t>Condensed Balance Sheets - June 30, 2023 (Unaudited) and December 31, 2022</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color w:val="000000"/>
                </w:rPr>
                <w:t>Condensed Statements of Operations for the three and six months ended June 30, 2023 and 2022 (Unaudited)</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F-2</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color w:val="000000"/>
                </w:rPr>
                <w:t>Condensed Statements of Changes in Stockholders’ Equity (Deficit) for the three and six months ended June 30, 2023 and 2022 (Unaudited)</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F-3</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color w:val="000000"/>
                </w:rPr>
                <w:t>Condensed Statements of Cash Flows for the six months ended June 30, 2023 and 2022 (Unaudited)</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F-4</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color w:val="000000"/>
                </w:rPr>
                <w:t>Notes to Condensed Financial Statements three and six months ended June 30, 2023 and 2022 (Unaudited)</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F-5</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color w:val="00000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color w:val="00000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10</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color w:val="000000"/>
                </w:rPr>
                <w:t>Item 4. Controls and Procedures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color w:val="000000"/>
              </w:rPr>
            </w:pPr>
            <w:r>
              <w:rPr>
                <w:color w:val="000000"/>
              </w:rPr>
              <w:t>10</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color w:val="000000"/>
                </w:rPr>
                <w:t>PART II – OTHER INFORMATION</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color w:val="000000"/>
              </w:rPr>
            </w:pPr>
            <w:r>
              <w:rPr>
                <w:color w:val="000000"/>
              </w:rPr>
              <w:t>10</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color w:val="000000"/>
                </w:rPr>
                <w:t>Item 1. Legal Proceedings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color w:val="000000"/>
              </w:rPr>
            </w:pPr>
            <w:r>
              <w:rPr>
                <w:color w:val="000000"/>
              </w:rPr>
              <w:t>10</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color w:val="000000"/>
                </w:rPr>
                <w:t>Item 1A. Risk Factors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10</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left"/>
              <w:rPr>
                <w:sz w:val="4"/>
                <w:szCs w:val="4"/>
              </w:rPr>
            </w:pPr>
            <w:r>
              <w:rPr>
                <w:sz w:val="4"/>
                <w:szCs w:val="4"/>
              </w:rPr>
            </w:r>
          </w:p>
        </w:tc>
      </w:tr>
      <w:tr>
        <w:trPr/>
        <w:tc>
          <w:tcPr>
            <w:tcW w:w="9849"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color w:val="000000"/>
                </w:rPr>
                <w:t>Item 2. Unregistered Sales of Equity Securities and Use of Proceeds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color w:val="000000"/>
                </w:rPr>
                <w:t>Item 3. Defaults Upon Senior Securities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color w:val="000000"/>
                </w:rPr>
                <w:t>Item 4. Mine Safety Disclosures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color w:val="000000"/>
                </w:rPr>
                <w:t>Item 5. Other Information</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11</w:t>
            </w:r>
          </w:p>
        </w:tc>
      </w:tr>
      <w:tr>
        <w:trPr/>
        <w:tc>
          <w:tcPr>
            <w:tcW w:w="9849"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6" w:type="dxa"/>
            <w:tcBorders/>
            <w:shd w:fill="FFFFFF" w:val="clear"/>
            <w:vAlign w:val="center"/>
          </w:tcPr>
          <w:p>
            <w:pPr>
              <w:pStyle w:val="TableContents"/>
              <w:bidi w:val="0"/>
              <w:spacing w:before="0" w:after="283"/>
              <w:jc w:val="center"/>
              <w:rPr>
                <w:color w:val="000000"/>
              </w:rPr>
            </w:pPr>
            <w:r>
              <w:rPr>
                <w:color w:val="000000"/>
              </w:rPr>
              <w:t> </w:t>
            </w:r>
          </w:p>
        </w:tc>
      </w:tr>
      <w:tr>
        <w:trPr/>
        <w:tc>
          <w:tcPr>
            <w:tcW w:w="9849"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color w:val="000000"/>
                </w:rPr>
                <w:t>Item 6. Exhibits</w:t>
              </w:r>
            </w:hyperlink>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6" w:type="dxa"/>
            <w:tcBorders/>
            <w:shd w:fill="CCEEFF" w:val="cle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11</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CAUTIONARY STATEMENT REGARDING FORWARD-LOOKING STATEMENTS AND INFORMATION</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Management cautions that these forward-looking statements are qualified by their terms and/or important factors, many of which are outside of our control, and involve a number of risks, uncertainties and other factors that could cause actual results and events to differ materially from the statements made, including, but not limited to, the following risk factors: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We have a history of operating losses. Our estimates regarding the sufficiency of our cash resource and capital requirements and needs for additional financing raises substantial doubt about our ability to continue as a going concern.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We may not be able to extend or repay our indebtedness owed to our secured lenders, which would have a material adverse effect on our financial condition and ability to continue as a going concern.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We require additional financing to support our working capital and execute our operating plans for fiscal 2023, which may not be available or may be costly and dilutive.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Our ability to absorb, mitigate or pass on cost increases to our bottlers/distributors and/or customers;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impact of rising costs, interest rates, and inflation on the discretionary income of our consumers, particularly the rising cost of energy;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Uncertainties associated with an economic slowdown or recession that could negatively impact the financial condition of our customers and could result in a reduced demand for our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impact of the military conflict in Ukraine, including supply chain disruptions, volatility in commodity prices, increased economic uncertainty and escalating geopolitical tensions;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impact of logistical issues and delays;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Our ability to effectively manage our inventories and/or our accounts receivables;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Our ability to continue to generate sufficient cash flows to support our expansion plans and general operating activities;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impact on our business of competitive products and pricing pressures and our ability to gain or maintain our share of sales in the marketplace as a result of actions by competitors;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Our ability to implement and/or maintain price increases, including through reductions in promotional allowances;</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effectiveness of sales and/or marketing efforts by us and/or by distributors of our products, most of whom distribute products that may be regarded as competitive with our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costs and/or effectiveness, now or in the future, of our advertising, marketing and promotional strategies;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failure of our co-packers to manufacture our products on a timely basis or at all;</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Our ability to make suitable arrangements and/or procure sufficient capacity for the co-packing of any of our products, the timely replacement of discontinued co-packing arrangements and/or limitations on co-packing availability;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Volatility of stock prices which may restrict stock sales, stock purchases or other opportunities as well as negatively impact the motivation of equity award grantees;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Any disruption in and/or lack of effectiveness of our information technology systems, including a breach of cyber security, which disrupts our business or negatively impacts customer relationships, as well as cybersecurity incidents involving data shared with third parties;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The imposition of additional regulation imposing excise taxes and/or sales taxes on sweetened beverages or alcoholic beverages; and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xml:space="preserve">● </w:t>
      </w:r>
      <w:r>
        <w:rPr>
          <w:rFonts w:ascii="Times New Roman;Times;Serif" w:hAnsi="Times New Roman;Times;Serif"/>
          <w:b w:val="false"/>
          <w:i/>
          <w:caps w:val="false"/>
          <w:smallCaps w:val="false"/>
          <w:color w:val="000000"/>
          <w:sz w:val="20"/>
        </w:rPr>
        <w:t>Recruitment and retention of senior management, other key employees and our employee base in general.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4" w:name="a_001"/>
      <w:bookmarkEnd w:id="24"/>
      <w:r>
        <w:rPr>
          <w:rFonts w:ascii="Times New Roman;Times;Serif" w:hAnsi="Times New Roman;Times;Serif"/>
          <w:b/>
          <w:i w:val="false"/>
          <w:caps w:val="false"/>
          <w:smallCaps w:val="false"/>
          <w:color w:val="000000"/>
          <w:sz w:val="20"/>
        </w:rPr>
        <w:t>Part I – FINANCIAL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5" w:name="a_002"/>
      <w:bookmarkEnd w:id="25"/>
      <w:r>
        <w:rPr>
          <w:rFonts w:ascii="Times New Roman;Times;Serif" w:hAnsi="Times New Roman;Times;Serif"/>
          <w:b/>
          <w:i w:val="false"/>
          <w:caps w:val="false"/>
          <w:smallCaps w:val="false"/>
          <w:color w:val="000000"/>
          <w:sz w:val="20"/>
        </w:rPr>
        <w:t>Item 1.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26" w:name="a_003"/>
      <w:bookmarkEnd w:id="26"/>
      <w:r>
        <w:rPr>
          <w:rFonts w:ascii="Times New Roman;Times;Serif" w:hAnsi="Times New Roman;Times;Serif"/>
          <w:b/>
          <w:i w:val="false"/>
          <w:caps w:val="false"/>
          <w:smallCaps w:val="false"/>
          <w:color w:val="000000"/>
          <w:sz w:val="20"/>
        </w:rP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(Amounts in thousands, except share amounts)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27" w:name="xdx_308_111_pn3n3_zn2JntIfAlV2"/>
      <w:bookmarkStart w:id="28" w:name="xdx_308_111_pn3n3_zn2JntIfAlV2"/>
      <w:bookmarkEnd w:id="28"/>
    </w:p>
    <w:tbl>
      <w:tblPr>
        <w:tblW w:w="10205" w:type="dxa"/>
        <w:jc w:val="left"/>
        <w:tblInd w:w="0" w:type="dxa"/>
        <w:tblLayout w:type="fixed"/>
        <w:tblCellMar>
          <w:top w:w="0" w:type="dxa"/>
          <w:left w:w="0" w:type="dxa"/>
          <w:bottom w:w="0" w:type="dxa"/>
          <w:right w:w="0" w:type="dxa"/>
        </w:tblCellMar>
      </w:tblPr>
      <w:tblGrid>
        <w:gridCol w:w="7659"/>
        <w:gridCol w:w="60"/>
        <w:gridCol w:w="154"/>
        <w:gridCol w:w="969"/>
        <w:gridCol w:w="95"/>
        <w:gridCol w:w="60"/>
        <w:gridCol w:w="151"/>
        <w:gridCol w:w="945"/>
        <w:gridCol w:w="112"/>
      </w:tblGrid>
      <w:tr>
        <w:trPr/>
        <w:tc>
          <w:tcPr>
            <w:tcW w:w="7659"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29" w:name="xdx_49F_20230630_zaJt7byCiPy6"/>
            <w:bookmarkEnd w:id="29"/>
          </w:p>
        </w:tc>
        <w:tc>
          <w:tcPr>
            <w:tcW w:w="1123"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0" w:name="xdx_491_20221231_ztSyD0B0J3lh"/>
            <w:bookmarkEnd w:id="30"/>
          </w:p>
        </w:tc>
        <w:tc>
          <w:tcPr>
            <w:tcW w:w="1096"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color w:val="000000"/>
                <w:sz w:val="20"/>
              </w:rPr>
            </w:pPr>
            <w:r>
              <w:rPr>
                <w:rFonts w:ascii="Times New Roman;Times;Serif" w:hAnsi="Times New Roman;Times;Serif"/>
                <w:b/>
                <w:color w:val="000000"/>
                <w:sz w:val="20"/>
              </w:rPr>
              <w:t>December 31,</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112" w:type="dxa"/>
            <w:tcBorders/>
            <w:vAlign w:val="center"/>
          </w:tcPr>
          <w:p>
            <w:pPr>
              <w:pStyle w:val="TableContents"/>
              <w:bidi w:val="0"/>
              <w:spacing w:before="0" w:after="283"/>
              <w:jc w:val="center"/>
              <w:rPr>
                <w:color w:val="000000"/>
              </w:rPr>
            </w:pPr>
            <w:r>
              <w:rPr>
                <w:color w:val="000000"/>
              </w:rPr>
              <w:t> </w:t>
            </w:r>
          </w:p>
        </w:tc>
      </w:tr>
      <w:tr>
        <w:trPr/>
        <w:tc>
          <w:tcPr>
            <w:tcW w:w="7659"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3"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(Unaudited)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96" w:type="dxa"/>
            <w:gridSpan w:val="2"/>
            <w:tcBorders/>
            <w:vAlign w:val="center"/>
          </w:tcPr>
          <w:p>
            <w:pPr>
              <w:pStyle w:val="TableContents"/>
              <w:bidi w:val="0"/>
              <w:spacing w:before="0" w:after="283"/>
              <w:jc w:val="left"/>
              <w:rPr>
                <w:color w:val="000000"/>
              </w:rPr>
            </w:pPr>
            <w:r>
              <w:rPr>
                <w:color w:val="000000"/>
              </w:rPr>
              <w:t> </w:t>
            </w:r>
          </w:p>
        </w:tc>
        <w:tc>
          <w:tcPr>
            <w:tcW w:w="112" w:type="dxa"/>
            <w:tcBorders/>
            <w:vAlign w:val="center"/>
          </w:tcPr>
          <w:p>
            <w:pPr>
              <w:pStyle w:val="TableContents"/>
              <w:bidi w:val="0"/>
              <w:spacing w:before="0" w:after="283"/>
              <w:jc w:val="left"/>
              <w:rPr>
                <w:color w:val="000000"/>
              </w:rPr>
            </w:pPr>
            <w:r>
              <w:rPr>
                <w:color w:val="000000"/>
              </w:rPr>
              <w:t> </w:t>
            </w:r>
            <w:bookmarkStart w:id="31" w:name="xdx_40E_eus-gaap--AssetsAbstract_iB_z0V4"/>
            <w:bookmarkEnd w:id="31"/>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32" w:name="xdx_403_eus-gaap--AssetsCurrentAbstract_"/>
            <w:bookmarkEnd w:id="32"/>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color w:val="000000"/>
              </w:rPr>
            </w:pPr>
            <w:r>
              <w:rPr>
                <w:color w:val="000000"/>
              </w:rPr>
              <w:t> </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33" w:name="xdx_40F_eus-gaap--Cash_i02I_maCzkMn_zwdx"/>
            <w:bookmarkEnd w:id="33"/>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6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533</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34" w:name="xdx_40D_eus-gaap--AccountsReceivableNetC"/>
            <w:bookmarkEnd w:id="34"/>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receivable, net of allowance of $</w:t>
            </w:r>
            <w:bookmarkStart w:id="35" w:name="xdx_904_eus-gaap--AllowanceForDoubtfulAc"/>
            <w:bookmarkEnd w:id="35"/>
            <w:r>
              <w:rPr>
                <w:rFonts w:ascii="Times New Roman;Times;Serif" w:hAnsi="Times New Roman;Times;Serif"/>
                <w:color w:val="000000"/>
              </w:rPr>
              <w:t>306 and $</w:t>
            </w:r>
            <w:bookmarkStart w:id="36" w:name="xdx_901_eus-gaap--AllowanceForDoubtfulAc"/>
            <w:bookmarkEnd w:id="36"/>
            <w:r>
              <w:rPr>
                <w:rFonts w:ascii="Times New Roman;Times;Serif" w:hAnsi="Times New Roman;Times;Serif"/>
                <w:color w:val="000000"/>
              </w:rPr>
              <w:t>252, respectively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3,734</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5,671</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37" w:name="xdx_401_eus-gaap--InventoryNet_i02I_maCz"/>
            <w:bookmarkEnd w:id="37"/>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Inventory,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13,690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16,175</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38" w:name="xdx_408_eus-gaap--OtherReceivablesNetCur"/>
            <w:bookmarkEnd w:id="38"/>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Receivable from former related party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777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777</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39" w:name="xdx_400_eus-gaap--PrepaidExpenseAndOther"/>
            <w:bookmarkEnd w:id="39"/>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expenses and other 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880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939</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40" w:name="xdx_400_eus-gaap--AssetsCurrent_i02TI_mt"/>
            <w:bookmarkEnd w:id="40"/>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Total 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19,528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24,095</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7659"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41" w:name="xdx_400_eus-gaap--PropertyPlantAndEquipm"/>
            <w:bookmarkEnd w:id="41"/>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Property and equipment, net of accumulated depreciation of $</w:t>
            </w:r>
            <w:bookmarkStart w:id="42" w:name="xdx_90B_eus-gaap--AccumulatedDepreciatio"/>
            <w:bookmarkEnd w:id="42"/>
            <w:r>
              <w:rPr>
                <w:rFonts w:ascii="Times New Roman;Times;Serif" w:hAnsi="Times New Roman;Times;Serif"/>
                <w:color w:val="000000"/>
              </w:rPr>
              <w:t>933 and $</w:t>
            </w:r>
            <w:bookmarkStart w:id="43" w:name="xdx_907_eus-gaap--AccumulatedDepreciatio"/>
            <w:bookmarkEnd w:id="43"/>
            <w:r>
              <w:rPr>
                <w:rFonts w:ascii="Times New Roman;Times;Serif" w:hAnsi="Times New Roman;Times;Serif"/>
                <w:color w:val="000000"/>
              </w:rPr>
              <w:t>787, respectively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766</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44" w:name="xdx_400_eus-gaap--IntangibleAssetsNetExc"/>
            <w:bookmarkEnd w:id="44"/>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Intangible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626</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45" w:name="xdx_405_eus-gaap--Assets_i01TI_mtCzI9j_z"/>
            <w:bookmarkEnd w:id="45"/>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20,698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25,487</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7659"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46" w:name="xdx_40C_eus-gaap--LiabilitiesAndStockhol"/>
            <w:bookmarkEnd w:id="46"/>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LIABILITIES AND STOCKHOLDERS’ DEFICIT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color w:val="000000"/>
              </w:rPr>
            </w:pPr>
            <w:r>
              <w:rPr>
                <w:color w:val="000000"/>
              </w:rPr>
              <w:t> </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47" w:name="xdx_402_eus-gaap--LiabilitiesCurrentAbst"/>
            <w:bookmarkEnd w:id="47"/>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Current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48" w:name="xdx_406_eus-gaap--AccountsPayableCurrent"/>
            <w:bookmarkEnd w:id="48"/>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payable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7,201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9,805</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49" w:name="xdx_400_eus-gaap--AccruedLiabilitiesCurr"/>
            <w:bookmarkEnd w:id="49"/>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798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233</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50" w:name="xdx_403_eus-gaap--LinesOfCreditCurrent_i"/>
            <w:bookmarkEnd w:id="50"/>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Revolving line of credit, net of capitalized financing costs of $</w:t>
            </w:r>
            <w:bookmarkStart w:id="51" w:name="xdx_907_eus-gaap--DeferredFinanceCostsCu"/>
            <w:bookmarkEnd w:id="51"/>
            <w:r>
              <w:rPr>
                <w:rFonts w:ascii="Times New Roman;Times;Serif" w:hAnsi="Times New Roman;Times;Serif"/>
                <w:color w:val="000000"/>
              </w:rPr>
              <w:t>282 and $</w:t>
            </w:r>
            <w:bookmarkStart w:id="52" w:name="xdx_902_eus-gaap--DeferredFinanceCostsCu"/>
            <w:bookmarkEnd w:id="52"/>
            <w:r>
              <w:rPr>
                <w:rFonts w:ascii="Times New Roman;Times;Serif" w:hAnsi="Times New Roman;Times;Serif"/>
                <w:color w:val="000000"/>
              </w:rPr>
              <w:t>363, respectively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6,560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10,974</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53" w:name="xdx_40E_eus-gaap--ConvertibleNotesPayabl"/>
            <w:bookmarkEnd w:id="53"/>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Convertible notes payable, current portion, net of debt discount of $</w:t>
            </w:r>
            <w:bookmarkStart w:id="54" w:name="xdx_90F_eus-gaap--DebtInstrumentUnamorti"/>
            <w:bookmarkEnd w:id="54"/>
            <w:r>
              <w:rPr>
                <w:rFonts w:ascii="Times New Roman;Times;Serif" w:hAnsi="Times New Roman;Times;Serif"/>
                <w:color w:val="000000"/>
              </w:rPr>
              <w:t>505 and $</w:t>
            </w:r>
            <w:bookmarkStart w:id="55" w:name="xdx_900_eus-gaap--DebtInstrumentUnamorti"/>
            <w:bookmarkEnd w:id="55"/>
            <w:r>
              <w:rPr>
                <w:rFonts w:ascii="Times New Roman;Times;Serif" w:hAnsi="Times New Roman;Times;Serif"/>
                <w:color w:val="000000"/>
              </w:rPr>
              <w:t>414, respectively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7,241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2,434</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56" w:name="xdx_405_eus-gaap--OtherLiabilitiesCurren"/>
            <w:bookmarkEnd w:id="56"/>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Payable to former related party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1,111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2,025</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57" w:name="xdx_40C_eus-gaap--OperatingLeaseLiabilit"/>
            <w:bookmarkEnd w:id="57"/>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Current portion of lease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187</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58" w:name="xdx_402_eus-gaap--LiabilitiesCurrent_i02"/>
            <w:bookmarkEnd w:id="58"/>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Total current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23,113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25,658</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7659"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59" w:name="xdx_406_eus-gaap--ConvertibleLongTermNot"/>
            <w:bookmarkEnd w:id="59"/>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Convertible note payable, net of debt discount of $</w:t>
            </w:r>
            <w:bookmarkStart w:id="60" w:name="xdx_909_eus-gaap--DebtInstrumentUnamorti"/>
            <w:bookmarkEnd w:id="60"/>
            <w:r>
              <w:rPr>
                <w:rFonts w:ascii="Times New Roman;Times;Serif" w:hAnsi="Times New Roman;Times;Serif"/>
                <w:color w:val="000000"/>
              </w:rPr>
              <w:t>355 and $</w:t>
            </w:r>
            <w:bookmarkStart w:id="61" w:name="xdx_908_eus-gaap--DebtInstrumentUnamorti"/>
            <w:bookmarkEnd w:id="61"/>
            <w:r>
              <w:rPr>
                <w:rFonts w:ascii="Times New Roman;Times;Serif" w:hAnsi="Times New Roman;Times;Serif"/>
                <w:color w:val="000000"/>
              </w:rPr>
              <w:t>562, respectively, less current portion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8,945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8,092</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62" w:name="xdx_40B_eus-gaap--OperatingLeaseLiabilit"/>
            <w:bookmarkEnd w:id="62"/>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Lease liabilities, less current portion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207</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63" w:name="xdx_40E_eus-gaap--Liabilities_i01TI_mtCz"/>
            <w:bookmarkEnd w:id="63"/>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32,161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33,957</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7659"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64" w:name="xdx_402_eus-gaap--StockholdersEquityAbst"/>
            <w:bookmarkEnd w:id="64"/>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Stockholders’ deficit: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color w:val="000000"/>
              </w:rPr>
            </w:pPr>
            <w:r>
              <w:rPr>
                <w:color w:val="000000"/>
              </w:rPr>
              <w:t> </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65" w:name="xdx_406_eus-gaap--PreferredStockValue_i0"/>
            <w:bookmarkEnd w:id="65"/>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Series A Convertible Preferred stock, $</w:t>
            </w:r>
            <w:bookmarkStart w:id="66" w:name="xdx_90D_eus-gaap--PreferredStockParOrSta"/>
            <w:bookmarkStart w:id="67" w:name="xdx_90E_eus-gaap--PreferredStockParOrSta"/>
            <w:bookmarkEnd w:id="66"/>
            <w:bookmarkEnd w:id="67"/>
            <w:r>
              <w:rPr>
                <w:rFonts w:ascii="Times New Roman;Times;Serif" w:hAnsi="Times New Roman;Times;Serif"/>
                <w:color w:val="000000"/>
              </w:rPr>
              <w:t xml:space="preserve">10 par value, </w:t>
            </w:r>
            <w:bookmarkStart w:id="68" w:name="xdx_90B_eus-gaap--PreferredStockSharesAu"/>
            <w:bookmarkStart w:id="69" w:name="xdx_90C_eus-gaap--PreferredStockSharesAu"/>
            <w:bookmarkEnd w:id="68"/>
            <w:bookmarkEnd w:id="69"/>
            <w:r>
              <w:rPr>
                <w:rFonts w:ascii="Times New Roman;Times;Serif" w:hAnsi="Times New Roman;Times;Serif"/>
                <w:color w:val="000000"/>
              </w:rPr>
              <w:t xml:space="preserve">500,000 shares authorized, </w:t>
            </w:r>
            <w:bookmarkStart w:id="70" w:name="xdx_900_eus-gaap--PreferredStockSharesOu"/>
            <w:bookmarkStart w:id="71" w:name="xdx_908_eus-gaap--PreferredStockSharesIs"/>
            <w:bookmarkStart w:id="72" w:name="xdx_90A_eus-gaap--PreferredStockSharesOu"/>
            <w:bookmarkStart w:id="73" w:name="xdx_903_eus-gaap--PreferredStockSharesIs"/>
            <w:bookmarkEnd w:id="70"/>
            <w:bookmarkEnd w:id="71"/>
            <w:bookmarkEnd w:id="72"/>
            <w:bookmarkEnd w:id="73"/>
            <w:r>
              <w:rPr>
                <w:rFonts w:ascii="Times New Roman;Times;Serif" w:hAnsi="Times New Roman;Times;Serif"/>
                <w:color w:val="000000"/>
              </w:rPr>
              <w:t>9,411 shares issued and outstanding</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74" w:name="xdx_405_eus-gaap--CommonStockValue_i02I_"/>
            <w:bookmarkEnd w:id="74"/>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w:t>
            </w:r>
            <w:bookmarkStart w:id="75" w:name="xdx_907_eus-gaap--CommonStockParOrStated"/>
            <w:bookmarkStart w:id="76" w:name="xdx_902_eus-gaap--CommonStockParOrStated"/>
            <w:bookmarkEnd w:id="75"/>
            <w:bookmarkEnd w:id="76"/>
            <w:r>
              <w:rPr>
                <w:rFonts w:ascii="Times New Roman;Times;Serif" w:hAnsi="Times New Roman;Times;Serif"/>
                <w:color w:val="000000"/>
              </w:rPr>
              <w:t xml:space="preserve">.0001 par value, </w:t>
            </w:r>
            <w:bookmarkStart w:id="77" w:name="xdx_90F_eus-gaap--CommonStockSharesAutho"/>
            <w:bookmarkStart w:id="78" w:name="xdx_90A_eus-gaap--CommonStockSharesAutho"/>
            <w:bookmarkEnd w:id="77"/>
            <w:bookmarkEnd w:id="78"/>
            <w:r>
              <w:rPr>
                <w:rFonts w:ascii="Times New Roman;Times;Serif" w:hAnsi="Times New Roman;Times;Serif"/>
                <w:color w:val="000000"/>
              </w:rPr>
              <w:t xml:space="preserve">180,000,000 shares authorized; </w:t>
            </w:r>
            <w:bookmarkStart w:id="79" w:name="xdx_90C_eus-gaap--CommonStockSharesOutst"/>
            <w:bookmarkStart w:id="80" w:name="xdx_900_eus-gaap--CommonStockSharesIssue"/>
            <w:bookmarkEnd w:id="79"/>
            <w:bookmarkEnd w:id="80"/>
            <w:r>
              <w:rPr>
                <w:rFonts w:ascii="Times New Roman;Times;Serif" w:hAnsi="Times New Roman;Times;Serif"/>
                <w:color w:val="000000"/>
              </w:rPr>
              <w:t xml:space="preserve">4,169,131 and </w:t>
            </w:r>
            <w:bookmarkStart w:id="81" w:name="xdx_90B_eus-gaap--CommonStockSharesOutst"/>
            <w:bookmarkStart w:id="82" w:name="xdx_906_eus-gaap--CommonStockSharesIssue"/>
            <w:bookmarkEnd w:id="81"/>
            <w:bookmarkEnd w:id="82"/>
            <w:r>
              <w:rPr>
                <w:rFonts w:ascii="Times New Roman;Times;Serif" w:hAnsi="Times New Roman;Times;Serif"/>
                <w:color w:val="000000"/>
              </w:rPr>
              <w:t>2,519,485 shares issued and outstanding, respectively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83" w:name="xdx_402_eus-gaap--AdditionalPaidInCapita"/>
            <w:bookmarkEnd w:id="83"/>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Additional paid in capital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119,138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114,635</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84" w:name="xdx_40C_eus-gaap--RetainedEarningsAccumu"/>
            <w:bookmarkEnd w:id="84"/>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Accumulated deficit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(130,695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(123,199</w:t>
            </w:r>
          </w:p>
        </w:tc>
        <w:tc>
          <w:tcPr>
            <w:tcW w:w="11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85" w:name="xdx_40D_eus-gaap--StockholdersEquity_i02"/>
            <w:bookmarkEnd w:id="85"/>
          </w:p>
        </w:tc>
      </w:tr>
      <w:tr>
        <w:trPr/>
        <w:tc>
          <w:tcPr>
            <w:tcW w:w="7659"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stockholders’ deficit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(11,463</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(8,470</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86" w:name="xdx_40B_eus-gaap--LiabilitiesAndStockhol"/>
            <w:bookmarkEnd w:id="86"/>
          </w:p>
        </w:tc>
      </w:tr>
      <w:tr>
        <w:trPr/>
        <w:tc>
          <w:tcPr>
            <w:tcW w:w="7659"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liabilities and stockholders’ deficit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20,698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25,487</w:t>
            </w:r>
          </w:p>
        </w:tc>
        <w:tc>
          <w:tcPr>
            <w:tcW w:w="112"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condensed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87" w:name="a_004"/>
      <w:bookmarkEnd w:id="87"/>
      <w:r>
        <w:rPr>
          <w:rFonts w:ascii="Times New Roman;Times;Serif" w:hAnsi="Times New Roman;Times;Serif"/>
          <w:b/>
          <w:i w:val="false"/>
          <w:caps w:val="false"/>
          <w:smallCaps w:val="false"/>
          <w:color w:val="000000"/>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Three and Six Months Ended June 30, 2023 and 2022</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(Amounts in thousands, except share and per share amounts)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88" w:name="xdx_30C_113_pn3n3_zsLoecynCRs7"/>
      <w:bookmarkStart w:id="89" w:name="xdx_30C_113_pn3n3_zsLoecynCRs7"/>
      <w:bookmarkEnd w:id="89"/>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90" w:name="xdx_495_20230401__20230630_zYwFeIE874zg"/>
            <w:bookmarkEnd w:id="90"/>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91" w:name="xdx_49B_20220401__20220630_zDpXcCbcSqy7"/>
            <w:bookmarkEnd w:id="91"/>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92" w:name="xdx_498_20230101__20230630_zJkJBGeVBYc3"/>
            <w:bookmarkEnd w:id="92"/>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93" w:name="xdx_492_20220101__20220630_zZsMkMmxIWC9"/>
            <w:bookmarkEnd w:id="9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509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239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Three Months Ended</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239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Six Months Ended</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tc>
        <w:tc>
          <w:tcPr>
            <w:tcW w:w="110" w:type="dxa"/>
            <w:tcBorders/>
            <w:vAlign w:val="center"/>
          </w:tcPr>
          <w:p>
            <w:pPr>
              <w:pStyle w:val="TableContents"/>
              <w:bidi w:val="0"/>
              <w:spacing w:before="0" w:after="283"/>
              <w:jc w:val="center"/>
              <w:rPr>
                <w:color w:val="000000"/>
              </w:rPr>
            </w:pPr>
            <w:r>
              <w:rPr>
                <w:color w:val="000000"/>
              </w:rPr>
              <w:t> </w:t>
            </w:r>
          </w:p>
        </w:tc>
      </w:tr>
      <w:tr>
        <w:trPr/>
        <w:tc>
          <w:tcPr>
            <w:tcW w:w="509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2022</w:t>
            </w:r>
          </w:p>
        </w:tc>
        <w:tc>
          <w:tcPr>
            <w:tcW w:w="110" w:type="dxa"/>
            <w:tcBorders/>
            <w:vAlign w:val="center"/>
          </w:tcPr>
          <w:p>
            <w:pPr>
              <w:pStyle w:val="TableContents"/>
              <w:bidi w:val="0"/>
              <w:spacing w:before="0" w:after="283"/>
              <w:jc w:val="left"/>
              <w:rPr>
                <w:color w:val="000000"/>
              </w:rPr>
            </w:pPr>
            <w:r>
              <w:rPr>
                <w:color w:val="000000"/>
              </w:rPr>
              <w:t> </w:t>
            </w:r>
            <w:bookmarkStart w:id="94" w:name="xdx_40D_eus-gaap--RevenueFromContractWit"/>
            <w:bookmarkEnd w:id="9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Sales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10,005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13,725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21,162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25,907</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95" w:name="xdx_40C_eus-gaap--CostOfGoodsAndServices"/>
            <w:bookmarkEnd w:id="9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Cost of goods sold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10,426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15,955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19,676</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96" w:name="xdx_408_eus-gaap--GrossProfit_iT_mtCzgWx"/>
            <w:bookmarkEnd w:id="9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Gross profit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2,509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5,207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6,231</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97" w:name="xdx_400_eus-gaap--OperatingExpensesAbstr"/>
            <w:bookmarkEnd w:id="97"/>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Operating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98" w:name="xdx_409_ecustom--DeliveryAndHandlingExpe"/>
            <w:bookmarkEnd w:id="98"/>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Delivery and handling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1,686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3,832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3,806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6,644</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99" w:name="xdx_405_eus-gaap--SellingAndMarketingExp"/>
            <w:bookmarkEnd w:id="99"/>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Selling and marketing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1,259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2,225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2,706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4,403</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00" w:name="xdx_404_eus-gaap--GeneralAndAdministrati"/>
            <w:bookmarkEnd w:id="100"/>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General and administrative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1,311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1,778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3,020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3,899</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01" w:name="xdx_409_eus-gaap--OperatingExpenses_i01T"/>
            <w:bookmarkEnd w:id="101"/>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operating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4,256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7,835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9,532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14,946</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02" w:name="xdx_402_eus-gaap--OperatingIncomeLoss_iT"/>
            <w:bookmarkEnd w:id="102"/>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Loss from operations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(1,747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(4,536</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(4,325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(8,715</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03" w:name="xdx_402_eus-gaap--InterestExpense_iN_di_"/>
            <w:bookmarkEnd w:id="103"/>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Interest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(1,387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(541</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(3,166</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(1,342</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04" w:name="xdx_400_eus-gaap--NetIncomeLoss_iT_mtNIL"/>
            <w:bookmarkEnd w:id="10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(3,134</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(5,077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(7,491</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(10,057</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05" w:name="xdx_401_eus-gaap--PreferredStockDividend"/>
            <w:bookmarkEnd w:id="105"/>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Dividends on Series A Convertible Preferred Stock</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06" w:name="xdx_409_eus-gaap--NetIncomeLossAvailable"/>
            <w:bookmarkEnd w:id="10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Loss Attributable to Common Stockholders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(3,139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(5,082</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(7,496</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(10,062</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Loss per share – basic and diluted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107" w:name="xdx_90D_eus-gaap--EarningsPerShareDilute"/>
            <w:bookmarkStart w:id="108" w:name="xdx_901_eus-gaap--EarningsPerShareBasic_"/>
            <w:bookmarkEnd w:id="107"/>
            <w:bookmarkEnd w:id="108"/>
            <w:r>
              <w:rPr>
                <w:rFonts w:ascii="Times New Roman;Times;Serif" w:hAnsi="Times New Roman;Times;Serif"/>
                <w:color w:val="000000"/>
              </w:rPr>
              <w:t>(0.99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109" w:name="xdx_904_eus-gaap--EarningsPerShareDilute"/>
            <w:bookmarkStart w:id="110" w:name="xdx_900_eus-gaap--EarningsPerShareBasic_"/>
            <w:bookmarkEnd w:id="109"/>
            <w:bookmarkEnd w:id="110"/>
            <w:r>
              <w:rPr>
                <w:rFonts w:ascii="Times New Roman;Times;Serif" w:hAnsi="Times New Roman;Times;Serif"/>
                <w:color w:val="000000"/>
              </w:rPr>
              <w:t>(2.25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111" w:name="xdx_90C_eus-gaap--EarningsPerShareDilute"/>
            <w:bookmarkStart w:id="112" w:name="xdx_90C_eus-gaap--EarningsPerShareBasic_"/>
            <w:bookmarkEnd w:id="111"/>
            <w:bookmarkEnd w:id="112"/>
            <w:r>
              <w:rPr>
                <w:rFonts w:ascii="Times New Roman;Times;Serif" w:hAnsi="Times New Roman;Times;Serif"/>
                <w:color w:val="000000"/>
              </w:rPr>
              <w:t>(2.59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113" w:name="xdx_905_eus-gaap--EarningsPerShareDilute"/>
            <w:bookmarkStart w:id="114" w:name="xdx_909_eus-gaap--EarningsPerShareBasic_"/>
            <w:bookmarkEnd w:id="113"/>
            <w:bookmarkEnd w:id="114"/>
            <w:r>
              <w:rPr>
                <w:rFonts w:ascii="Times New Roman;Times;Serif" w:hAnsi="Times New Roman;Times;Serif"/>
                <w:color w:val="000000"/>
              </w:rPr>
              <w:t>(4.79</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9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Weighted average number of shares outstanding – basic and diluted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bookmarkStart w:id="115" w:name="xdx_900_eus-gaap--WeightedAverageNumberO"/>
            <w:bookmarkStart w:id="116" w:name="xdx_90C_eus-gaap--WeightedAverageNumberO"/>
            <w:bookmarkEnd w:id="115"/>
            <w:bookmarkEnd w:id="116"/>
            <w:r>
              <w:rPr>
                <w:rFonts w:ascii="Times New Roman;Times;Serif" w:hAnsi="Times New Roman;Times;Serif"/>
                <w:color w:val="000000"/>
              </w:rPr>
              <w:t>3,179,661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bookmarkStart w:id="117" w:name="xdx_90A_eus-gaap--WeightedAverageNumberO"/>
            <w:bookmarkStart w:id="118" w:name="xdx_90B_eus-gaap--WeightedAverageNumberO"/>
            <w:bookmarkEnd w:id="117"/>
            <w:bookmarkEnd w:id="118"/>
            <w:r>
              <w:rPr>
                <w:rFonts w:ascii="Times New Roman;Times;Serif" w:hAnsi="Times New Roman;Times;Serif"/>
                <w:color w:val="000000"/>
              </w:rPr>
              <w:t>2,252,318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bookmarkStart w:id="119" w:name="xdx_90D_eus-gaap--WeightedAverageNumberO"/>
            <w:bookmarkStart w:id="120" w:name="xdx_90A_eus-gaap--WeightedAverageNumberO"/>
            <w:bookmarkEnd w:id="119"/>
            <w:bookmarkEnd w:id="120"/>
            <w:r>
              <w:rPr>
                <w:rFonts w:ascii="Times New Roman;Times;Serif" w:hAnsi="Times New Roman;Times;Serif"/>
                <w:color w:val="000000"/>
              </w:rPr>
              <w:t>2,892,860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bookmarkStart w:id="121" w:name="xdx_907_eus-gaap--WeightedAverageNumberO"/>
            <w:bookmarkStart w:id="122" w:name="xdx_908_eus-gaap--WeightedAverageNumberO"/>
            <w:bookmarkEnd w:id="121"/>
            <w:bookmarkEnd w:id="122"/>
            <w:r>
              <w:rPr>
                <w:rFonts w:ascii="Times New Roman;Times;Serif" w:hAnsi="Times New Roman;Times;Serif"/>
                <w:color w:val="000000"/>
              </w:rPr>
              <w:t>2,100,775</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condensed financial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123" w:name="a_005"/>
      <w:bookmarkEnd w:id="123"/>
      <w:r>
        <w:rPr>
          <w:rFonts w:ascii="Times New Roman;Times;Serif" w:hAnsi="Times New Roman;Times;Serif"/>
          <w:b/>
          <w:i w:val="false"/>
          <w:caps w:val="false"/>
          <w:smallCaps w:val="false"/>
          <w:color w:val="000000"/>
          <w:sz w:val="20"/>
        </w:rPr>
        <w:t>CONDENSED STATEMENTS OF CHANGES IN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Three and Six Months Ended June 30, 2023 and 2022</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(Amounts in thousands except share amounts)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124" w:name="xdx_30E_114_pn3n3_ztHfecleBCZ3"/>
      <w:bookmarkStart w:id="125" w:name="xdx_30E_114_pn3n3_ztHfecleBCZ3"/>
      <w:bookmarkEnd w:id="125"/>
    </w:p>
    <w:tbl>
      <w:tblPr>
        <w:tblW w:w="10205" w:type="dxa"/>
        <w:jc w:val="left"/>
        <w:tblInd w:w="0" w:type="dxa"/>
        <w:tblLayout w:type="fixed"/>
        <w:tblCellMar>
          <w:top w:w="0" w:type="dxa"/>
          <w:left w:w="0" w:type="dxa"/>
          <w:bottom w:w="0" w:type="dxa"/>
          <w:right w:w="0" w:type="dxa"/>
        </w:tblCellMar>
      </w:tblPr>
      <w:tblGrid>
        <w:gridCol w:w="2160"/>
        <w:gridCol w:w="60"/>
        <w:gridCol w:w="60"/>
        <w:gridCol w:w="980"/>
        <w:gridCol w:w="60"/>
        <w:gridCol w:w="60"/>
        <w:gridCol w:w="476"/>
        <w:gridCol w:w="324"/>
        <w:gridCol w:w="60"/>
        <w:gridCol w:w="60"/>
        <w:gridCol w:w="62"/>
        <w:gridCol w:w="588"/>
        <w:gridCol w:w="60"/>
        <w:gridCol w:w="60"/>
        <w:gridCol w:w="280"/>
        <w:gridCol w:w="520"/>
        <w:gridCol w:w="60"/>
        <w:gridCol w:w="60"/>
        <w:gridCol w:w="170"/>
        <w:gridCol w:w="983"/>
        <w:gridCol w:w="95"/>
        <w:gridCol w:w="60"/>
        <w:gridCol w:w="176"/>
        <w:gridCol w:w="1104"/>
        <w:gridCol w:w="95"/>
        <w:gridCol w:w="60"/>
        <w:gridCol w:w="212"/>
        <w:gridCol w:w="1148"/>
        <w:gridCol w:w="112"/>
      </w:tblGrid>
      <w:tr>
        <w:trPr/>
        <w:tc>
          <w:tcPr>
            <w:tcW w:w="21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26" w:name="xdx_4BA_us-gaap--StatementEquityComponen"/>
            <w:bookmarkEnd w:id="126"/>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27" w:name="xdx_4B3_us-gaap--StatementEquityComponen"/>
            <w:bookmarkEnd w:id="127"/>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28" w:name="xdx_4B1_us-gaap--StatementEquityComponen"/>
            <w:bookmarkEnd w:id="128"/>
          </w:p>
        </w:tc>
        <w:tc>
          <w:tcPr>
            <w:tcW w:w="11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29" w:name="xdx_4B5_us-gaap--StatementEquityComponen"/>
            <w:bookmarkEnd w:id="129"/>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30" w:name="xdx_4B7_zc19z9A84yEj"/>
            <w:bookmarkEnd w:id="130"/>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112" w:type="dxa"/>
            <w:tcBorders/>
            <w:vAlign w:val="center"/>
          </w:tcPr>
          <w:p>
            <w:pPr>
              <w:pStyle w:val="TableContents"/>
              <w:bidi w:val="0"/>
              <w:spacing w:before="0" w:after="283"/>
              <w:jc w:val="left"/>
              <w:rPr>
                <w:color w:val="000000"/>
              </w:rPr>
            </w:pPr>
            <w:r>
              <w:rPr>
                <w:color w:val="000000"/>
              </w:rPr>
              <w:t> </w:t>
            </w:r>
          </w:p>
        </w:tc>
      </w:tr>
      <w:tr>
        <w:trPr/>
        <w:tc>
          <w:tcPr>
            <w:tcW w:w="21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Preferred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53"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Additional Paid In</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Accumulated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Total Stockholders’</w:t>
            </w:r>
          </w:p>
        </w:tc>
        <w:tc>
          <w:tcPr>
            <w:tcW w:w="112" w:type="dxa"/>
            <w:tcBorders/>
            <w:vAlign w:val="center"/>
          </w:tcPr>
          <w:p>
            <w:pPr>
              <w:pStyle w:val="TableContents"/>
              <w:bidi w:val="0"/>
              <w:spacing w:before="0" w:after="283"/>
              <w:jc w:val="left"/>
              <w:rPr>
                <w:color w:val="000000"/>
              </w:rPr>
            </w:pPr>
            <w:r>
              <w:rPr>
                <w:color w:val="000000"/>
              </w:rPr>
              <w:t> </w:t>
            </w:r>
          </w:p>
        </w:tc>
      </w:tr>
      <w:tr>
        <w:trPr/>
        <w:tc>
          <w:tcPr>
            <w:tcW w:w="21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112" w:type="dxa"/>
            <w:tcBorders/>
            <w:vAlign w:val="center"/>
          </w:tcPr>
          <w:p>
            <w:pPr>
              <w:pStyle w:val="TableContents"/>
              <w:bidi w:val="0"/>
              <w:spacing w:before="0" w:after="283"/>
              <w:jc w:val="left"/>
              <w:rPr>
                <w:color w:val="000000"/>
              </w:rPr>
            </w:pPr>
            <w:r>
              <w:rPr>
                <w:color w:val="000000"/>
              </w:rPr>
              <w:t> </w:t>
            </w:r>
            <w:bookmarkStart w:id="131" w:name="xdx_434_c20230401__20230630_eus-gaap--St"/>
            <w:bookmarkEnd w:id="131"/>
          </w:p>
        </w:tc>
      </w:tr>
      <w:tr>
        <w:trPr/>
        <w:tc>
          <w:tcPr>
            <w:tcW w:w="21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March 31,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32" w:name="xdx_98F_eus-gaap--SharesOutstanding_iS_p"/>
            <w:bookmarkEnd w:id="132"/>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2,602,399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bookmarkStart w:id="133" w:name="xdx_98C_eus-gaap--SharesOutstanding_iS_p"/>
            <w:bookmarkEnd w:id="133"/>
          </w:p>
        </w:tc>
        <w:tc>
          <w:tcPr>
            <w:tcW w:w="5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115,140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(127,556</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(12,322</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34" w:name="xdx_400_ecustom--AdjustmentsToAdditional"/>
            <w:bookmarkEnd w:id="134"/>
          </w:p>
        </w:tc>
      </w:tr>
      <w:tr>
        <w:trPr/>
        <w:tc>
          <w:tcPr>
            <w:tcW w:w="21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588"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0" w:type="dxa"/>
            <w:tcBorders/>
            <w:shd w:fill="FFFFFF" w:val="clear"/>
            <w:vAlign w:val="center"/>
          </w:tcPr>
          <w:p>
            <w:pPr>
              <w:pStyle w:val="TableContents"/>
              <w:bidi w:val="0"/>
              <w:spacing w:before="0" w:after="283"/>
              <w:jc w:val="left"/>
              <w:rPr>
                <w:color w:val="000000"/>
              </w:rPr>
            </w:pPr>
            <w:r>
              <w:rPr>
                <w:color w:val="00000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2" w:type="dxa"/>
            <w:tcBorders/>
            <w:shd w:fill="FFFFFF" w:val="clear"/>
            <w:vAlign w:val="center"/>
          </w:tcPr>
          <w:p>
            <w:pPr>
              <w:pStyle w:val="TableContents"/>
              <w:bidi w:val="0"/>
              <w:spacing w:before="0" w:after="283"/>
              <w:jc w:val="left"/>
              <w:rPr>
                <w:color w:val="000000"/>
              </w:rPr>
            </w:pPr>
            <w:r>
              <w:rPr>
                <w:color w:val="000000"/>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w:t>
            </w:r>
          </w:p>
        </w:tc>
        <w:tc>
          <w:tcPr>
            <w:tcW w:w="11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35" w:name="xdx_403_eus-gaap--DividendsPreferredStoc"/>
            <w:bookmarkEnd w:id="135"/>
          </w:p>
        </w:tc>
      </w:tr>
      <w:tr>
        <w:trPr/>
        <w:tc>
          <w:tcPr>
            <w:tcW w:w="21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Issuance of shares for dividends on Series A Convertible Preferred Stock</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36" w:name="xdx_987_eus-gaap--PreferredStockDividend"/>
            <w:bookmarkEnd w:id="136"/>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588"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8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2" w:type="dxa"/>
            <w:tcBorders/>
            <w:shd w:fill="CCEEFF" w:val="clear"/>
            <w:vAlign w:val="center"/>
          </w:tcPr>
          <w:p>
            <w:pPr>
              <w:pStyle w:val="TableContents"/>
              <w:bidi w:val="0"/>
              <w:spacing w:before="0" w:after="283"/>
              <w:jc w:val="left"/>
              <w:rPr>
                <w:color w:val="000000"/>
              </w:rPr>
            </w:pPr>
            <w:r>
              <w:rPr>
                <w:color w:val="000000"/>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37" w:name="xdx_405_eus-gaap--StockIssuedDuringPerio"/>
            <w:bookmarkEnd w:id="137"/>
          </w:p>
        </w:tc>
      </w:tr>
      <w:tr>
        <w:trPr/>
        <w:tc>
          <w:tcPr>
            <w:tcW w:w="21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shares issued for cash, net of offering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38" w:name="xdx_983_eus-gaap--StockIssuedDuringPerio"/>
            <w:bookmarkEnd w:id="138"/>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1,566,732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588"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0" w:type="dxa"/>
            <w:tcBorders/>
            <w:shd w:fill="FFFFFF" w:val="clear"/>
            <w:vAlign w:val="center"/>
          </w:tcPr>
          <w:p>
            <w:pPr>
              <w:pStyle w:val="TableContents"/>
              <w:bidi w:val="0"/>
              <w:spacing w:before="0" w:after="283"/>
              <w:jc w:val="left"/>
              <w:rPr>
                <w:color w:val="000000"/>
              </w:rPr>
            </w:pPr>
            <w:r>
              <w:rPr>
                <w:color w:val="00000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4,016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2" w:type="dxa"/>
            <w:tcBorders/>
            <w:shd w:fill="FFFFFF" w:val="clear"/>
            <w:vAlign w:val="center"/>
          </w:tcPr>
          <w:p>
            <w:pPr>
              <w:pStyle w:val="TableContents"/>
              <w:bidi w:val="0"/>
              <w:spacing w:before="0" w:after="283"/>
              <w:jc w:val="left"/>
              <w:rPr>
                <w:color w:val="000000"/>
              </w:rPr>
            </w:pPr>
            <w:r>
              <w:rPr>
                <w:color w:val="000000"/>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4,016</w:t>
            </w:r>
          </w:p>
        </w:tc>
        <w:tc>
          <w:tcPr>
            <w:tcW w:w="112" w:type="dxa"/>
            <w:tcBorders/>
            <w:shd w:fill="FFFFFF" w:val="clear"/>
            <w:vAlign w:val="center"/>
          </w:tcPr>
          <w:p>
            <w:pPr>
              <w:pStyle w:val="TableContents"/>
              <w:bidi w:val="0"/>
              <w:spacing w:before="0" w:after="283"/>
              <w:jc w:val="left"/>
              <w:rPr>
                <w:color w:val="000000"/>
              </w:rPr>
            </w:pPr>
            <w:r>
              <w:rPr>
                <w:color w:val="000000"/>
              </w:rPr>
              <w:t> </w:t>
            </w:r>
            <w:bookmarkStart w:id="139" w:name="xdx_40C_eus-gaap--NetIncomeLoss_zuHB7x2m"/>
            <w:bookmarkEnd w:id="139"/>
          </w:p>
        </w:tc>
      </w:tr>
      <w:tr>
        <w:trPr/>
        <w:tc>
          <w:tcPr>
            <w:tcW w:w="21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5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(3,134</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(3,134</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40" w:name="xdx_43E_c20230401__20230630_eus-gaap--St"/>
            <w:bookmarkEnd w:id="140"/>
          </w:p>
        </w:tc>
      </w:tr>
      <w:tr>
        <w:trPr/>
        <w:tc>
          <w:tcPr>
            <w:tcW w:w="2160"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41" w:name="xdx_98E_eus-gaap--SharesOutstanding_iE_p"/>
            <w:bookmarkEnd w:id="14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4,169,131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42" w:name="xdx_986_eus-gaap--SharesOutstanding_iE_p"/>
            <w:bookmarkEnd w:id="142"/>
          </w:p>
        </w:tc>
        <w:tc>
          <w:tcPr>
            <w:tcW w:w="5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119,138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(130,695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(11,463</w:t>
            </w:r>
          </w:p>
        </w:tc>
        <w:tc>
          <w:tcPr>
            <w:tcW w:w="11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097"/>
        <w:gridCol w:w="60"/>
        <w:gridCol w:w="60"/>
        <w:gridCol w:w="988"/>
        <w:gridCol w:w="95"/>
        <w:gridCol w:w="60"/>
        <w:gridCol w:w="476"/>
        <w:gridCol w:w="324"/>
        <w:gridCol w:w="60"/>
        <w:gridCol w:w="60"/>
        <w:gridCol w:w="78"/>
        <w:gridCol w:w="598"/>
        <w:gridCol w:w="62"/>
        <w:gridCol w:w="62"/>
        <w:gridCol w:w="280"/>
        <w:gridCol w:w="520"/>
        <w:gridCol w:w="60"/>
        <w:gridCol w:w="60"/>
        <w:gridCol w:w="169"/>
        <w:gridCol w:w="976"/>
        <w:gridCol w:w="95"/>
        <w:gridCol w:w="60"/>
        <w:gridCol w:w="176"/>
        <w:gridCol w:w="1104"/>
        <w:gridCol w:w="95"/>
        <w:gridCol w:w="60"/>
        <w:gridCol w:w="211"/>
        <w:gridCol w:w="1142"/>
        <w:gridCol w:w="117"/>
      </w:tblGrid>
      <w:tr>
        <w:trPr/>
        <w:tc>
          <w:tcPr>
            <w:tcW w:w="2097"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Preferred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5"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Additional Paid In</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Accumulated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3"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Total Stockholders’</w:t>
            </w:r>
          </w:p>
        </w:tc>
        <w:tc>
          <w:tcPr>
            <w:tcW w:w="117" w:type="dxa"/>
            <w:tcBorders/>
            <w:vAlign w:val="center"/>
          </w:tcPr>
          <w:p>
            <w:pPr>
              <w:pStyle w:val="TableContents"/>
              <w:bidi w:val="0"/>
              <w:spacing w:before="0" w:after="283"/>
              <w:jc w:val="left"/>
              <w:rPr>
                <w:color w:val="000000"/>
              </w:rPr>
            </w:pPr>
            <w:r>
              <w:rPr>
                <w:color w:val="000000"/>
              </w:rPr>
              <w:t> </w:t>
            </w:r>
          </w:p>
        </w:tc>
      </w:tr>
      <w:tr>
        <w:trPr/>
        <w:tc>
          <w:tcPr>
            <w:tcW w:w="2097"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2" w:type="dxa"/>
            <w:tcBorders/>
            <w:vAlign w:val="center"/>
          </w:tcPr>
          <w:p>
            <w:pPr>
              <w:pStyle w:val="TableContents"/>
              <w:bidi w:val="0"/>
              <w:spacing w:before="0" w:after="283"/>
              <w:jc w:val="left"/>
              <w:rPr>
                <w:color w:val="000000"/>
              </w:rPr>
            </w:pPr>
            <w:r>
              <w:rPr>
                <w:color w:val="000000"/>
              </w:rPr>
              <w:t> </w:t>
            </w:r>
          </w:p>
        </w:tc>
        <w:tc>
          <w:tcPr>
            <w:tcW w:w="62"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117" w:type="dxa"/>
            <w:tcBorders/>
            <w:vAlign w:val="center"/>
          </w:tcPr>
          <w:p>
            <w:pPr>
              <w:pStyle w:val="TableContents"/>
              <w:bidi w:val="0"/>
              <w:spacing w:before="0" w:after="283"/>
              <w:jc w:val="left"/>
              <w:rPr>
                <w:color w:val="000000"/>
              </w:rPr>
            </w:pPr>
            <w:r>
              <w:rPr>
                <w:color w:val="000000"/>
              </w:rPr>
              <w:t> </w:t>
            </w:r>
            <w:bookmarkStart w:id="143" w:name="xdx_43A_c20230101__20230630_eus-gaap--St"/>
            <w:bookmarkEnd w:id="143"/>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December 31,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44" w:name="xdx_988_eus-gaap--SharesOutstanding_iS_p"/>
            <w:bookmarkEnd w:id="144"/>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2,519,485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bookmarkStart w:id="145" w:name="xdx_985_eus-gaap--SharesOutstanding_iS_p"/>
            <w:bookmarkEnd w:id="145"/>
          </w:p>
        </w:tc>
        <w:tc>
          <w:tcPr>
            <w:tcW w:w="59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114,635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(123,199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(8,470</w:t>
            </w:r>
          </w:p>
        </w:tc>
        <w:tc>
          <w:tcPr>
            <w:tcW w:w="11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46" w:name="xdx_40D_ecustom--AdjustmentsToAdditional"/>
            <w:bookmarkEnd w:id="146"/>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8"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shd w:fill="FFFFFF" w:val="clear"/>
            <w:vAlign w:val="center"/>
          </w:tcPr>
          <w:p>
            <w:pPr>
              <w:pStyle w:val="TableContents"/>
              <w:bidi w:val="0"/>
              <w:spacing w:before="0" w:after="283"/>
              <w:jc w:val="left"/>
              <w:rPr>
                <w:color w:val="000000"/>
              </w:rPr>
            </w:pPr>
            <w:r>
              <w:rPr>
                <w:color w:val="000000"/>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shd w:fill="FFFFFF" w:val="clear"/>
            <w:vAlign w:val="center"/>
          </w:tcPr>
          <w:p>
            <w:pPr>
              <w:pStyle w:val="TableContents"/>
              <w:bidi w:val="0"/>
              <w:spacing w:before="0" w:after="283"/>
              <w:jc w:val="left"/>
              <w:rPr>
                <w:color w:val="000000"/>
              </w:rPr>
            </w:pPr>
            <w:r>
              <w:rPr>
                <w:color w:val="000000"/>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w:t>
            </w:r>
          </w:p>
        </w:tc>
        <w:tc>
          <w:tcPr>
            <w:tcW w:w="117" w:type="dxa"/>
            <w:tcBorders/>
            <w:shd w:fill="FFFFFF" w:val="clear"/>
            <w:vAlign w:val="center"/>
          </w:tcPr>
          <w:p>
            <w:pPr>
              <w:pStyle w:val="TableContents"/>
              <w:bidi w:val="0"/>
              <w:spacing w:before="0" w:after="283"/>
              <w:jc w:val="left"/>
              <w:rPr>
                <w:color w:val="000000"/>
              </w:rPr>
            </w:pPr>
            <w:r>
              <w:rPr>
                <w:color w:val="000000"/>
              </w:rPr>
              <w:t> </w:t>
            </w:r>
            <w:bookmarkStart w:id="147" w:name="xdx_40D_eus-gaap--StockIssuedDuringPerio"/>
            <w:bookmarkEnd w:id="147"/>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restricted shares granted to officers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48" w:name="xdx_98F_eus-gaap--StockIssuedDuringPerio"/>
            <w:bookmarkEnd w:id="148"/>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color w:val="000000"/>
              </w:rPr>
            </w:pPr>
            <w:r>
              <w:rPr>
                <w:color w:val="00000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color w:val="000000"/>
              </w:rPr>
            </w:pPr>
            <w:r>
              <w:rPr>
                <w:color w:val="000000"/>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49" w:name="xdx_40A_eus-gaap--StockRepurchasedDuring"/>
            <w:bookmarkEnd w:id="149"/>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Repurchase of common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50" w:name="xdx_98E_eus-gaap--StockRepurchasedDuring"/>
            <w:bookmarkEnd w:id="150"/>
          </w:p>
        </w:tc>
        <w:tc>
          <w:tcPr>
            <w:tcW w:w="98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(274</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shd w:fill="FFFFFF" w:val="clear"/>
            <w:vAlign w:val="center"/>
          </w:tcPr>
          <w:p>
            <w:pPr>
              <w:pStyle w:val="TableContents"/>
              <w:bidi w:val="0"/>
              <w:spacing w:before="0" w:after="283"/>
              <w:jc w:val="left"/>
              <w:rPr>
                <w:color w:val="000000"/>
              </w:rPr>
            </w:pPr>
            <w:r>
              <w:rPr>
                <w:color w:val="000000"/>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shd w:fill="FFFFFF" w:val="clear"/>
            <w:vAlign w:val="center"/>
          </w:tcPr>
          <w:p>
            <w:pPr>
              <w:pStyle w:val="TableContents"/>
              <w:bidi w:val="0"/>
              <w:spacing w:before="0" w:after="283"/>
              <w:jc w:val="left"/>
              <w:rPr>
                <w:color w:val="000000"/>
              </w:rPr>
            </w:pPr>
            <w:r>
              <w:rPr>
                <w:color w:val="000000"/>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w:t>
            </w:r>
          </w:p>
        </w:tc>
        <w:tc>
          <w:tcPr>
            <w:tcW w:w="11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51" w:name="xdx_407_eus-gaap--StockIssuedDuringPerio"/>
            <w:bookmarkEnd w:id="151"/>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shares issued for financing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52" w:name="xdx_98A_eus-gaap--StockIssuedDuringPerio"/>
            <w:bookmarkEnd w:id="152"/>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82,438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color w:val="000000"/>
              </w:rPr>
            </w:pPr>
            <w:r>
              <w:rPr>
                <w:color w:val="00000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color w:val="000000"/>
              </w:rPr>
            </w:pPr>
            <w:r>
              <w:rPr>
                <w:color w:val="000000"/>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273</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53" w:name="xdx_403_eus-gaap--DividendsPreferredStoc"/>
            <w:bookmarkEnd w:id="153"/>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Issuance of shares for dividends on Series A Convertible Preferred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54" w:name="xdx_986_eus-gaap--PreferredStockDividend"/>
            <w:bookmarkEnd w:id="154"/>
          </w:p>
        </w:tc>
        <w:tc>
          <w:tcPr>
            <w:tcW w:w="98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shd w:fill="FFFFFF" w:val="clear"/>
            <w:vAlign w:val="center"/>
          </w:tcPr>
          <w:p>
            <w:pPr>
              <w:pStyle w:val="TableContents"/>
              <w:bidi w:val="0"/>
              <w:spacing w:before="0" w:after="283"/>
              <w:jc w:val="left"/>
              <w:rPr>
                <w:color w:val="000000"/>
              </w:rPr>
            </w:pPr>
            <w:r>
              <w:rPr>
                <w:color w:val="000000"/>
              </w:rPr>
              <w:t> </w:t>
            </w:r>
          </w:p>
        </w:tc>
        <w:tc>
          <w:tcPr>
            <w:tcW w:w="976"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shd w:fill="FFFFFF" w:val="clear"/>
            <w:vAlign w:val="center"/>
          </w:tcPr>
          <w:p>
            <w:pPr>
              <w:pStyle w:val="TableContents"/>
              <w:bidi w:val="0"/>
              <w:spacing w:before="0" w:after="283"/>
              <w:jc w:val="left"/>
              <w:rPr>
                <w:color w:val="000000"/>
              </w:rPr>
            </w:pPr>
            <w:r>
              <w:rPr>
                <w:color w:val="000000"/>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11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55" w:name="xdx_405_eus-gaap--StockIssuedDuringPerio"/>
            <w:bookmarkEnd w:id="155"/>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shares issued for cash, net of offering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56" w:name="xdx_98D_eus-gaap--StockIssuedDuringPerio"/>
            <w:bookmarkEnd w:id="156"/>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1,566,732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color w:val="000000"/>
              </w:rPr>
            </w:pPr>
            <w:r>
              <w:rPr>
                <w:color w:val="00000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4,016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color w:val="000000"/>
              </w:rPr>
            </w:pPr>
            <w:r>
              <w:rPr>
                <w:color w:val="000000"/>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4,016</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57" w:name="xdx_40C_eus-gaap--NetIncomeLoss_zR22iAzQ"/>
            <w:bookmarkEnd w:id="157"/>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32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(7,491</w:t>
            </w:r>
          </w:p>
        </w:tc>
        <w:tc>
          <w:tcPr>
            <w:tcW w:w="11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58" w:name="xdx_43E_c20230101__20230630_eus-gaap--St"/>
            <w:bookmarkEnd w:id="158"/>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59" w:name="xdx_98F_eus-gaap--SharesOutstanding_iE_p"/>
            <w:bookmarkEnd w:id="159"/>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4,169,131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60" w:name="xdx_983_eus-gaap--SharesOutstanding_iE_p"/>
            <w:bookmarkEnd w:id="160"/>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119,138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(130,695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(11,463</w:t>
            </w:r>
          </w:p>
        </w:tc>
        <w:tc>
          <w:tcPr>
            <w:tcW w:w="11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21"/>
        <w:gridCol w:w="60"/>
        <w:gridCol w:w="60"/>
        <w:gridCol w:w="993"/>
        <w:gridCol w:w="60"/>
        <w:gridCol w:w="60"/>
        <w:gridCol w:w="476"/>
        <w:gridCol w:w="324"/>
        <w:gridCol w:w="60"/>
        <w:gridCol w:w="60"/>
        <w:gridCol w:w="78"/>
        <w:gridCol w:w="598"/>
        <w:gridCol w:w="63"/>
        <w:gridCol w:w="63"/>
        <w:gridCol w:w="280"/>
        <w:gridCol w:w="520"/>
        <w:gridCol w:w="60"/>
        <w:gridCol w:w="60"/>
        <w:gridCol w:w="170"/>
        <w:gridCol w:w="978"/>
        <w:gridCol w:w="95"/>
        <w:gridCol w:w="60"/>
        <w:gridCol w:w="176"/>
        <w:gridCol w:w="1104"/>
        <w:gridCol w:w="95"/>
        <w:gridCol w:w="60"/>
        <w:gridCol w:w="244"/>
        <w:gridCol w:w="1112"/>
        <w:gridCol w:w="115"/>
      </w:tblGrid>
      <w:tr>
        <w:trPr/>
        <w:tc>
          <w:tcPr>
            <w:tcW w:w="2121"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97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60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Preferred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8"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Additional Paid In</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Accumulated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6" w:type="dxa"/>
            <w:gridSpan w:val="2"/>
            <w:tcBorders/>
            <w:vAlign w:val="center"/>
          </w:tcPr>
          <w:p>
            <w:pPr>
              <w:pStyle w:val="TableContents"/>
              <w:bidi w:val="0"/>
              <w:jc w:val="center"/>
              <w:rPr>
                <w:rFonts w:ascii="Times New Roman;Times;Serif" w:hAnsi="Times New Roman;Times;Serif"/>
                <w:color w:val="000000"/>
              </w:rPr>
            </w:pPr>
            <w:r>
              <w:rPr>
                <w:rFonts w:ascii="Times New Roman;Times;Serif" w:hAnsi="Times New Roman;Times;Serif"/>
                <w:color w:val="000000"/>
              </w:rPr>
              <w:t>Total Stockholders’</w:t>
            </w:r>
          </w:p>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Equity</w:t>
            </w:r>
          </w:p>
        </w:tc>
        <w:tc>
          <w:tcPr>
            <w:tcW w:w="115" w:type="dxa"/>
            <w:tcBorders/>
            <w:vAlign w:val="center"/>
          </w:tcPr>
          <w:p>
            <w:pPr>
              <w:pStyle w:val="TableContents"/>
              <w:bidi w:val="0"/>
              <w:spacing w:before="0" w:after="283"/>
              <w:jc w:val="left"/>
              <w:rPr>
                <w:color w:val="000000"/>
              </w:rPr>
            </w:pPr>
            <w:r>
              <w:rPr>
                <w:color w:val="000000"/>
              </w:rPr>
              <w:t> </w:t>
            </w:r>
          </w:p>
        </w:tc>
      </w:tr>
      <w:tr>
        <w:trPr/>
        <w:tc>
          <w:tcPr>
            <w:tcW w:w="2121"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3" w:type="dxa"/>
            <w:tcBorders/>
            <w:vAlign w:val="center"/>
          </w:tcPr>
          <w:p>
            <w:pPr>
              <w:pStyle w:val="TableContents"/>
              <w:bidi w:val="0"/>
              <w:spacing w:before="0" w:after="283"/>
              <w:jc w:val="left"/>
              <w:rPr>
                <w:color w:val="000000"/>
              </w:rPr>
            </w:pPr>
            <w:r>
              <w:rPr>
                <w:color w:val="000000"/>
              </w:rPr>
              <w:t> </w:t>
            </w:r>
          </w:p>
        </w:tc>
        <w:tc>
          <w:tcPr>
            <w:tcW w:w="63"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115" w:type="dxa"/>
            <w:tcBorders/>
            <w:vAlign w:val="center"/>
          </w:tcPr>
          <w:p>
            <w:pPr>
              <w:pStyle w:val="TableContents"/>
              <w:bidi w:val="0"/>
              <w:spacing w:before="0" w:after="283"/>
              <w:jc w:val="left"/>
              <w:rPr>
                <w:color w:val="000000"/>
              </w:rPr>
            </w:pPr>
            <w:r>
              <w:rPr>
                <w:color w:val="000000"/>
              </w:rPr>
              <w:t> </w:t>
            </w:r>
            <w:bookmarkStart w:id="161" w:name="xdx_438_c20220401__20220630_eus-gaap--St"/>
            <w:bookmarkEnd w:id="161"/>
          </w:p>
        </w:tc>
      </w:tr>
      <w:tr>
        <w:trPr/>
        <w:tc>
          <w:tcPr>
            <w:tcW w:w="2121"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March 31,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62" w:name="xdx_980_eus-gaap--SharesOutstanding_iS_p"/>
            <w:bookmarkEnd w:id="162"/>
          </w:p>
        </w:tc>
        <w:tc>
          <w:tcPr>
            <w:tcW w:w="9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2,251,038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bookmarkStart w:id="163" w:name="xdx_98A_eus-gaap--SharesOutstanding_iS_p"/>
            <w:bookmarkEnd w:id="163"/>
          </w:p>
        </w:tc>
        <w:tc>
          <w:tcPr>
            <w:tcW w:w="59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112,639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(108,117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4,616</w:t>
            </w:r>
          </w:p>
        </w:tc>
        <w:tc>
          <w:tcPr>
            <w:tcW w:w="115" w:type="dxa"/>
            <w:tcBorders/>
            <w:shd w:fill="CCEEFF" w:val="clear"/>
            <w:vAlign w:val="center"/>
          </w:tcPr>
          <w:p>
            <w:pPr>
              <w:pStyle w:val="TableContents"/>
              <w:bidi w:val="0"/>
              <w:spacing w:before="0" w:after="283"/>
              <w:jc w:val="left"/>
              <w:rPr>
                <w:color w:val="000000"/>
              </w:rPr>
            </w:pPr>
            <w:r>
              <w:rPr>
                <w:color w:val="000000"/>
              </w:rPr>
              <w:t> </w:t>
            </w:r>
            <w:bookmarkStart w:id="164" w:name="xdx_400_ecustom--AdjustmentsToAdditional"/>
            <w:bookmarkEnd w:id="164"/>
          </w:p>
        </w:tc>
      </w:tr>
      <w:tr>
        <w:trPr/>
        <w:tc>
          <w:tcPr>
            <w:tcW w:w="21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93"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0" w:type="dxa"/>
            <w:tcBorders/>
            <w:shd w:fill="FFFFFF" w:val="clear"/>
            <w:vAlign w:val="center"/>
          </w:tcPr>
          <w:p>
            <w:pPr>
              <w:pStyle w:val="TableContents"/>
              <w:bidi w:val="0"/>
              <w:spacing w:before="0" w:after="283"/>
              <w:jc w:val="left"/>
              <w:rPr>
                <w:color w:val="000000"/>
              </w:rPr>
            </w:pPr>
            <w:r>
              <w:rPr>
                <w:color w:val="000000"/>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shd w:fill="FFFFFF" w:val="clear"/>
            <w:vAlign w:val="center"/>
          </w:tcPr>
          <w:p>
            <w:pPr>
              <w:pStyle w:val="TableContents"/>
              <w:bidi w:val="0"/>
              <w:spacing w:before="0" w:after="283"/>
              <w:jc w:val="left"/>
              <w:rPr>
                <w:color w:val="000000"/>
              </w:rPr>
            </w:pPr>
            <w:r>
              <w:rPr>
                <w:color w:val="000000"/>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w:t>
            </w:r>
          </w:p>
        </w:tc>
        <w:tc>
          <w:tcPr>
            <w:tcW w:w="115" w:type="dxa"/>
            <w:tcBorders/>
            <w:shd w:fill="FFFFFF" w:val="clear"/>
            <w:vAlign w:val="center"/>
          </w:tcPr>
          <w:p>
            <w:pPr>
              <w:pStyle w:val="TableContents"/>
              <w:bidi w:val="0"/>
              <w:spacing w:before="0" w:after="283"/>
              <w:jc w:val="left"/>
              <w:rPr>
                <w:color w:val="000000"/>
              </w:rPr>
            </w:pPr>
            <w:r>
              <w:rPr>
                <w:color w:val="000000"/>
              </w:rPr>
              <w:t> </w:t>
            </w:r>
            <w:bookmarkStart w:id="165" w:name="xdx_40C_eus-gaap--StockIssuedDuringPerio"/>
            <w:bookmarkEnd w:id="165"/>
          </w:p>
        </w:tc>
      </w:tr>
      <w:tr>
        <w:trPr/>
        <w:tc>
          <w:tcPr>
            <w:tcW w:w="212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restricted shares granted to officers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66" w:name="xdx_980_eus-gaap--StockIssuedDuringPerio"/>
            <w:bookmarkEnd w:id="166"/>
          </w:p>
        </w:tc>
        <w:tc>
          <w:tcPr>
            <w:tcW w:w="9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w:t>
            </w:r>
          </w:p>
        </w:tc>
        <w:tc>
          <w:tcPr>
            <w:tcW w:w="115" w:type="dxa"/>
            <w:tcBorders/>
            <w:shd w:fill="CCEEFF" w:val="clear"/>
            <w:vAlign w:val="center"/>
          </w:tcPr>
          <w:p>
            <w:pPr>
              <w:pStyle w:val="TableContents"/>
              <w:bidi w:val="0"/>
              <w:spacing w:before="0" w:after="283"/>
              <w:jc w:val="left"/>
              <w:rPr>
                <w:color w:val="000000"/>
              </w:rPr>
            </w:pPr>
            <w:r>
              <w:rPr>
                <w:color w:val="000000"/>
              </w:rPr>
              <w:t> </w:t>
            </w:r>
            <w:bookmarkStart w:id="167" w:name="xdx_403_eus-gaap--DividendsPreferredStoc"/>
            <w:bookmarkEnd w:id="167"/>
          </w:p>
        </w:tc>
      </w:tr>
      <w:tr>
        <w:trPr/>
        <w:tc>
          <w:tcPr>
            <w:tcW w:w="21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Issuance of shares for dividends on Series A Convertible Preferred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68" w:name="xdx_980_eus-gaap--PreferredStockDividend"/>
            <w:bookmarkEnd w:id="168"/>
          </w:p>
        </w:tc>
        <w:tc>
          <w:tcPr>
            <w:tcW w:w="9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0" w:type="dxa"/>
            <w:tcBorders/>
            <w:shd w:fill="FFFFFF" w:val="clear"/>
            <w:vAlign w:val="center"/>
          </w:tcPr>
          <w:p>
            <w:pPr>
              <w:pStyle w:val="TableContents"/>
              <w:bidi w:val="0"/>
              <w:spacing w:before="0" w:after="283"/>
              <w:jc w:val="left"/>
              <w:rPr>
                <w:color w:val="000000"/>
              </w:rPr>
            </w:pPr>
            <w:r>
              <w:rPr>
                <w:color w:val="000000"/>
              </w:rPr>
              <w:t> </w:t>
            </w:r>
          </w:p>
        </w:tc>
        <w:tc>
          <w:tcPr>
            <w:tcW w:w="978"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shd w:fill="FFFFFF" w:val="clear"/>
            <w:vAlign w:val="center"/>
          </w:tcPr>
          <w:p>
            <w:pPr>
              <w:pStyle w:val="TableContents"/>
              <w:bidi w:val="0"/>
              <w:spacing w:before="0" w:after="283"/>
              <w:jc w:val="left"/>
              <w:rPr>
                <w:color w:val="000000"/>
              </w:rPr>
            </w:pPr>
            <w:r>
              <w:rPr>
                <w:color w:val="000000"/>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11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69" w:name="xdx_400_eus-gaap--StockIssuedDuringPerio"/>
            <w:bookmarkEnd w:id="169"/>
          </w:p>
        </w:tc>
      </w:tr>
      <w:tr>
        <w:trPr/>
        <w:tc>
          <w:tcPr>
            <w:tcW w:w="212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shares issued for cash, net of offering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70" w:name="xdx_98D_eus-gaap--StockIssuedDuringPerio"/>
            <w:bookmarkEnd w:id="170"/>
          </w:p>
        </w:tc>
        <w:tc>
          <w:tcPr>
            <w:tcW w:w="9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w:t>
            </w:r>
          </w:p>
        </w:tc>
        <w:tc>
          <w:tcPr>
            <w:tcW w:w="1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71" w:name="xdx_400_eus-gaap--NetIncomeLoss_zdN8f0OS"/>
            <w:bookmarkEnd w:id="171"/>
          </w:p>
        </w:tc>
      </w:tr>
      <w:tr>
        <w:trPr/>
        <w:tc>
          <w:tcPr>
            <w:tcW w:w="21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3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(5,077</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(5,077</w:t>
            </w:r>
          </w:p>
        </w:tc>
        <w:tc>
          <w:tcPr>
            <w:tcW w:w="11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72" w:name="xdx_43F_c20220401__20220630_eus-gaap--St"/>
            <w:bookmarkEnd w:id="172"/>
          </w:p>
        </w:tc>
      </w:tr>
      <w:tr>
        <w:trPr/>
        <w:tc>
          <w:tcPr>
            <w:tcW w:w="2121"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June 30,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73" w:name="xdx_98C_eus-gaap--SharesOutstanding_iE_p"/>
            <w:bookmarkEnd w:id="173"/>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2,253,047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74" w:name="xdx_988_eus-gaap--SharesOutstanding_iE_p"/>
            <w:bookmarkEnd w:id="174"/>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112,686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(113,199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(419</w:t>
            </w:r>
          </w:p>
        </w:tc>
        <w:tc>
          <w:tcPr>
            <w:tcW w:w="1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097"/>
        <w:gridCol w:w="60"/>
        <w:gridCol w:w="60"/>
        <w:gridCol w:w="988"/>
        <w:gridCol w:w="95"/>
        <w:gridCol w:w="60"/>
        <w:gridCol w:w="476"/>
        <w:gridCol w:w="324"/>
        <w:gridCol w:w="60"/>
        <w:gridCol w:w="60"/>
        <w:gridCol w:w="78"/>
        <w:gridCol w:w="598"/>
        <w:gridCol w:w="62"/>
        <w:gridCol w:w="62"/>
        <w:gridCol w:w="280"/>
        <w:gridCol w:w="520"/>
        <w:gridCol w:w="60"/>
        <w:gridCol w:w="60"/>
        <w:gridCol w:w="169"/>
        <w:gridCol w:w="976"/>
        <w:gridCol w:w="95"/>
        <w:gridCol w:w="60"/>
        <w:gridCol w:w="176"/>
        <w:gridCol w:w="1104"/>
        <w:gridCol w:w="95"/>
        <w:gridCol w:w="60"/>
        <w:gridCol w:w="211"/>
        <w:gridCol w:w="1142"/>
        <w:gridCol w:w="117"/>
      </w:tblGrid>
      <w:tr>
        <w:trPr/>
        <w:tc>
          <w:tcPr>
            <w:tcW w:w="2097"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Preferred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5"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Additional Paid In</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Accumulated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3" w:type="dxa"/>
            <w:gridSpan w:val="2"/>
            <w:tcBorders/>
            <w:vAlign w:val="center"/>
          </w:tcPr>
          <w:p>
            <w:pPr>
              <w:pStyle w:val="TableContents"/>
              <w:bidi w:val="0"/>
              <w:jc w:val="center"/>
              <w:rPr>
                <w:rFonts w:ascii="Times New Roman;Times;Serif" w:hAnsi="Times New Roman;Times;Serif"/>
                <w:color w:val="000000"/>
              </w:rPr>
            </w:pPr>
            <w:r>
              <w:rPr>
                <w:rFonts w:ascii="Times New Roman;Times;Serif" w:hAnsi="Times New Roman;Times;Serif"/>
                <w:color w:val="000000"/>
              </w:rPr>
              <w:t>Total Stockholders’</w:t>
            </w:r>
          </w:p>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Equity</w:t>
            </w:r>
          </w:p>
        </w:tc>
        <w:tc>
          <w:tcPr>
            <w:tcW w:w="117" w:type="dxa"/>
            <w:tcBorders/>
            <w:vAlign w:val="center"/>
          </w:tcPr>
          <w:p>
            <w:pPr>
              <w:pStyle w:val="TableContents"/>
              <w:bidi w:val="0"/>
              <w:spacing w:before="0" w:after="283"/>
              <w:jc w:val="left"/>
              <w:rPr>
                <w:color w:val="000000"/>
              </w:rPr>
            </w:pPr>
            <w:r>
              <w:rPr>
                <w:color w:val="000000"/>
              </w:rPr>
              <w:t> </w:t>
            </w:r>
          </w:p>
        </w:tc>
      </w:tr>
      <w:tr>
        <w:trPr/>
        <w:tc>
          <w:tcPr>
            <w:tcW w:w="2097"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2" w:type="dxa"/>
            <w:tcBorders/>
            <w:vAlign w:val="center"/>
          </w:tcPr>
          <w:p>
            <w:pPr>
              <w:pStyle w:val="TableContents"/>
              <w:bidi w:val="0"/>
              <w:spacing w:before="0" w:after="283"/>
              <w:jc w:val="left"/>
              <w:rPr>
                <w:color w:val="000000"/>
              </w:rPr>
            </w:pPr>
            <w:r>
              <w:rPr>
                <w:color w:val="000000"/>
              </w:rPr>
              <w:t> </w:t>
            </w:r>
          </w:p>
        </w:tc>
        <w:tc>
          <w:tcPr>
            <w:tcW w:w="62"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117" w:type="dxa"/>
            <w:tcBorders/>
            <w:vAlign w:val="center"/>
          </w:tcPr>
          <w:p>
            <w:pPr>
              <w:pStyle w:val="TableContents"/>
              <w:bidi w:val="0"/>
              <w:spacing w:before="0" w:after="283"/>
              <w:jc w:val="left"/>
              <w:rPr>
                <w:color w:val="000000"/>
              </w:rPr>
            </w:pPr>
            <w:r>
              <w:rPr>
                <w:color w:val="000000"/>
              </w:rPr>
              <w:t> </w:t>
            </w:r>
            <w:bookmarkStart w:id="175" w:name="xdx_43C_c20220101__20220630_eus-gaap--St"/>
            <w:bookmarkEnd w:id="175"/>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December 31, 2021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76" w:name="xdx_985_eus-gaap--SharesOutstanding_iS_p"/>
            <w:bookmarkEnd w:id="176"/>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1,874,679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bookmarkStart w:id="177" w:name="xdx_98B_eus-gaap--SharesOutstanding_iS_p"/>
            <w:bookmarkEnd w:id="177"/>
          </w:p>
        </w:tc>
        <w:tc>
          <w:tcPr>
            <w:tcW w:w="59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107,246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(103,137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4,203</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78" w:name="xdx_43B_c20220101__20220630_eus-gaap--St"/>
            <w:bookmarkEnd w:id="178"/>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79" w:name="xdx_98D_eus-gaap--SharesOutstanding_iS_p"/>
            <w:bookmarkEnd w:id="179"/>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1,874,679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bookmarkStart w:id="180" w:name="xdx_986_eus-gaap--SharesOutstanding_iS_p"/>
            <w:bookmarkEnd w:id="180"/>
          </w:p>
        </w:tc>
        <w:tc>
          <w:tcPr>
            <w:tcW w:w="59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107,246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(103,137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4,203</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81" w:name="xdx_40D_ecustom--AdjustmentsToAdditional"/>
            <w:bookmarkEnd w:id="181"/>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8"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shd w:fill="FFFFFF" w:val="clear"/>
            <w:vAlign w:val="center"/>
          </w:tcPr>
          <w:p>
            <w:pPr>
              <w:pStyle w:val="TableContents"/>
              <w:bidi w:val="0"/>
              <w:spacing w:before="0" w:after="283"/>
              <w:jc w:val="left"/>
              <w:rPr>
                <w:color w:val="000000"/>
              </w:rPr>
            </w:pPr>
            <w:r>
              <w:rPr>
                <w:color w:val="000000"/>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shd w:fill="FFFFFF" w:val="clear"/>
            <w:vAlign w:val="center"/>
          </w:tcPr>
          <w:p>
            <w:pPr>
              <w:pStyle w:val="TableContents"/>
              <w:bidi w:val="0"/>
              <w:spacing w:before="0" w:after="283"/>
              <w:jc w:val="left"/>
              <w:rPr>
                <w:color w:val="000000"/>
              </w:rPr>
            </w:pPr>
            <w:r>
              <w:rPr>
                <w:color w:val="000000"/>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263</w:t>
            </w:r>
          </w:p>
        </w:tc>
        <w:tc>
          <w:tcPr>
            <w:tcW w:w="117" w:type="dxa"/>
            <w:tcBorders/>
            <w:shd w:fill="FFFFFF" w:val="clear"/>
            <w:vAlign w:val="center"/>
          </w:tcPr>
          <w:p>
            <w:pPr>
              <w:pStyle w:val="TableContents"/>
              <w:bidi w:val="0"/>
              <w:spacing w:before="0" w:after="283"/>
              <w:jc w:val="left"/>
              <w:rPr>
                <w:color w:val="000000"/>
              </w:rPr>
            </w:pPr>
            <w:r>
              <w:rPr>
                <w:color w:val="000000"/>
              </w:rPr>
              <w:t> </w:t>
            </w:r>
            <w:bookmarkStart w:id="182" w:name="xdx_40D_eus-gaap--StockIssuedDuringPerio"/>
            <w:bookmarkEnd w:id="182"/>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restricted shares granted to officers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83" w:name="xdx_98A_eus-gaap--StockIssuedDuringPerio"/>
            <w:bookmarkEnd w:id="183"/>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4,740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color w:val="000000"/>
              </w:rPr>
            </w:pPr>
            <w:r>
              <w:rPr>
                <w:color w:val="00000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color w:val="000000"/>
              </w:rPr>
            </w:pPr>
            <w:r>
              <w:rPr>
                <w:color w:val="000000"/>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108</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84" w:name="xdx_403_eus-gaap--DividendsPreferredStoc"/>
            <w:bookmarkEnd w:id="184"/>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Issuance of shares for dividends on Series A Convertible Preferred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85" w:name="xdx_984_eus-gaap--PreferredStockDividend"/>
            <w:bookmarkEnd w:id="185"/>
          </w:p>
        </w:tc>
        <w:tc>
          <w:tcPr>
            <w:tcW w:w="98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shd w:fill="FFFFFF" w:val="clear"/>
            <w:vAlign w:val="center"/>
          </w:tcPr>
          <w:p>
            <w:pPr>
              <w:pStyle w:val="TableContents"/>
              <w:bidi w:val="0"/>
              <w:spacing w:before="0" w:after="283"/>
              <w:jc w:val="left"/>
              <w:rPr>
                <w:color w:val="000000"/>
              </w:rPr>
            </w:pPr>
            <w:r>
              <w:rPr>
                <w:color w:val="000000"/>
              </w:rPr>
              <w:t> </w:t>
            </w:r>
          </w:p>
        </w:tc>
        <w:tc>
          <w:tcPr>
            <w:tcW w:w="976"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shd w:fill="FFFFFF" w:val="clear"/>
            <w:vAlign w:val="center"/>
          </w:tcPr>
          <w:p>
            <w:pPr>
              <w:pStyle w:val="TableContents"/>
              <w:bidi w:val="0"/>
              <w:spacing w:before="0" w:after="283"/>
              <w:jc w:val="left"/>
              <w:rPr>
                <w:color w:val="000000"/>
              </w:rPr>
            </w:pPr>
            <w:r>
              <w:rPr>
                <w:color w:val="000000"/>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11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86" w:name="xdx_40A_eus-gaap--StockRepurchasedDuring"/>
            <w:bookmarkEnd w:id="186"/>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Repurchase of common stock</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87" w:name="xdx_984_eus-gaap--StockRepurchasedDuring"/>
            <w:bookmarkEnd w:id="187"/>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color w:val="000000"/>
              </w:rPr>
            </w:pPr>
            <w:r>
              <w:rPr>
                <w:color w:val="00000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color w:val="000000"/>
              </w:rPr>
            </w:pPr>
            <w:r>
              <w:rPr>
                <w:color w:val="000000"/>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w:t>
            </w:r>
          </w:p>
        </w:tc>
        <w:tc>
          <w:tcPr>
            <w:tcW w:w="11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88" w:name="xdx_407_eus-gaap--StockIssuedDuringPerio"/>
            <w:bookmarkEnd w:id="188"/>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shares issued for financing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89" w:name="xdx_981_eus-gaap--StockIssuedDuringPerio"/>
            <w:bookmarkEnd w:id="189"/>
          </w:p>
        </w:tc>
        <w:tc>
          <w:tcPr>
            <w:tcW w:w="98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shd w:fill="FFFFFF" w:val="clear"/>
            <w:vAlign w:val="center"/>
          </w:tcPr>
          <w:p>
            <w:pPr>
              <w:pStyle w:val="TableContents"/>
              <w:bidi w:val="0"/>
              <w:spacing w:before="0" w:after="283"/>
              <w:jc w:val="left"/>
              <w:rPr>
                <w:color w:val="000000"/>
              </w:rPr>
            </w:pPr>
            <w:r>
              <w:rPr>
                <w:color w:val="000000"/>
              </w:rPr>
              <w:t> </w:t>
            </w:r>
          </w:p>
        </w:tc>
        <w:tc>
          <w:tcPr>
            <w:tcW w:w="32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shd w:fill="FFFFFF" w:val="clear"/>
            <w:vAlign w:val="center"/>
          </w:tcPr>
          <w:p>
            <w:pPr>
              <w:pStyle w:val="TableContents"/>
              <w:bidi w:val="0"/>
              <w:spacing w:before="0" w:after="283"/>
              <w:jc w:val="left"/>
              <w:rPr>
                <w:color w:val="000000"/>
              </w:rPr>
            </w:pPr>
            <w:r>
              <w:rPr>
                <w:color w:val="000000"/>
              </w:rPr>
              <w:t> </w:t>
            </w:r>
          </w:p>
        </w:tc>
        <w:tc>
          <w:tcPr>
            <w:tcW w:w="598" w:type="dxa"/>
            <w:tcBorders/>
            <w:shd w:fill="FFFFFF" w:val="cle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shd w:fill="FFFFFF" w:val="clear"/>
            <w:vAlign w:val="center"/>
          </w:tcPr>
          <w:p>
            <w:pPr>
              <w:pStyle w:val="TableContents"/>
              <w:bidi w:val="0"/>
              <w:spacing w:before="0" w:after="283"/>
              <w:jc w:val="left"/>
              <w:rPr>
                <w:color w:val="000000"/>
              </w:rPr>
            </w:pPr>
            <w:r>
              <w:rPr>
                <w:color w:val="000000"/>
              </w:rPr>
              <w:t> </w:t>
            </w:r>
          </w:p>
        </w:tc>
        <w:tc>
          <w:tcPr>
            <w:tcW w:w="52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shd w:fill="FFFFFF" w:val="clear"/>
            <w:vAlign w:val="center"/>
          </w:tcPr>
          <w:p>
            <w:pPr>
              <w:pStyle w:val="TableContents"/>
              <w:bidi w:val="0"/>
              <w:spacing w:before="0" w:after="283"/>
              <w:jc w:val="left"/>
              <w:rPr>
                <w:color w:val="000000"/>
              </w:rPr>
            </w:pPr>
            <w:r>
              <w:rPr>
                <w:color w:val="000000"/>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104"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shd w:fill="FFFFFF" w:val="clear"/>
            <w:vAlign w:val="center"/>
          </w:tcPr>
          <w:p>
            <w:pPr>
              <w:pStyle w:val="TableContents"/>
              <w:bidi w:val="0"/>
              <w:spacing w:before="0" w:after="283"/>
              <w:jc w:val="left"/>
              <w:rPr>
                <w:color w:val="000000"/>
              </w:rPr>
            </w:pPr>
            <w:r>
              <w:rPr>
                <w:color w:val="000000"/>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w:t>
            </w:r>
          </w:p>
        </w:tc>
        <w:tc>
          <w:tcPr>
            <w:tcW w:w="117" w:type="dxa"/>
            <w:tcBorders/>
            <w:shd w:fill="FFFFFF" w:val="clear"/>
            <w:vAlign w:val="center"/>
          </w:tcPr>
          <w:p>
            <w:pPr>
              <w:pStyle w:val="TableContents"/>
              <w:bidi w:val="0"/>
              <w:spacing w:before="0" w:after="283"/>
              <w:jc w:val="left"/>
              <w:rPr>
                <w:color w:val="000000"/>
              </w:rPr>
            </w:pPr>
            <w:r>
              <w:rPr>
                <w:color w:val="000000"/>
              </w:rPr>
              <w:t> </w:t>
            </w:r>
            <w:bookmarkStart w:id="190" w:name="xdx_400_eus-gaap--StockIssuedDuringPerio"/>
            <w:bookmarkEnd w:id="190"/>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shares issued for cash, net of offering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91" w:name="xdx_98D_eus-gaap--StockIssuedDuringPerio"/>
            <w:bookmarkEnd w:id="191"/>
          </w:p>
        </w:tc>
        <w:tc>
          <w:tcPr>
            <w:tcW w:w="98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371,893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shd w:fill="CCEEFF" w:val="clear"/>
            <w:vAlign w:val="center"/>
          </w:tcPr>
          <w:p>
            <w:pPr>
              <w:pStyle w:val="TableContents"/>
              <w:bidi w:val="0"/>
              <w:spacing w:before="0" w:after="283"/>
              <w:jc w:val="left"/>
              <w:rPr>
                <w:color w:val="000000"/>
              </w:rPr>
            </w:pPr>
            <w:r>
              <w:rPr>
                <w:color w:val="000000"/>
              </w:rPr>
              <w:t> </w:t>
            </w:r>
          </w:p>
        </w:tc>
        <w:tc>
          <w:tcPr>
            <w:tcW w:w="598" w:type="dxa"/>
            <w:tcBorders/>
            <w:shd w:fill="CCEEFF" w:val="clear"/>
            <w:vAlign w:val="center"/>
          </w:tcPr>
          <w:p>
            <w:pPr>
              <w:pStyle w:val="TableContents"/>
              <w:bidi w:val="0"/>
              <w:spacing w:before="0" w:after="283"/>
              <w:jc w:val="righ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shd w:fill="CCEEFF" w:val="clear"/>
            <w:vAlign w:val="center"/>
          </w:tcPr>
          <w:p>
            <w:pPr>
              <w:pStyle w:val="TableContents"/>
              <w:bidi w:val="0"/>
              <w:spacing w:before="0" w:after="283"/>
              <w:jc w:val="left"/>
              <w:rPr>
                <w:color w:val="000000"/>
              </w:rPr>
            </w:pPr>
            <w:r>
              <w:rPr>
                <w:color w:val="000000"/>
              </w:rPr>
              <w:t> </w:t>
            </w:r>
          </w:p>
        </w:tc>
        <w:tc>
          <w:tcPr>
            <w:tcW w:w="52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shd w:fill="CCEEFF" w:val="clear"/>
            <w:vAlign w:val="center"/>
          </w:tcPr>
          <w:p>
            <w:pPr>
              <w:pStyle w:val="TableContents"/>
              <w:bidi w:val="0"/>
              <w:spacing w:before="0" w:after="283"/>
              <w:jc w:val="left"/>
              <w:rPr>
                <w:color w:val="000000"/>
              </w:rPr>
            </w:pPr>
            <w:r>
              <w:rPr>
                <w:color w:val="00000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5,034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104"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shd w:fill="CCEEFF" w:val="clear"/>
            <w:vAlign w:val="center"/>
          </w:tcPr>
          <w:p>
            <w:pPr>
              <w:pStyle w:val="TableContents"/>
              <w:bidi w:val="0"/>
              <w:spacing w:before="0" w:after="283"/>
              <w:jc w:val="left"/>
              <w:rPr>
                <w:color w:val="000000"/>
              </w:rPr>
            </w:pPr>
            <w:r>
              <w:rPr>
                <w:color w:val="000000"/>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5,034</w:t>
            </w:r>
          </w:p>
        </w:tc>
        <w:tc>
          <w:tcPr>
            <w:tcW w:w="117" w:type="dxa"/>
            <w:tcBorders/>
            <w:shd w:fill="CCEEFF" w:val="clear"/>
            <w:vAlign w:val="center"/>
          </w:tcPr>
          <w:p>
            <w:pPr>
              <w:pStyle w:val="TableContents"/>
              <w:bidi w:val="0"/>
              <w:spacing w:before="0" w:after="283"/>
              <w:jc w:val="left"/>
              <w:rPr>
                <w:color w:val="000000"/>
              </w:rPr>
            </w:pPr>
            <w:r>
              <w:rPr>
                <w:color w:val="000000"/>
              </w:rPr>
              <w:t> </w:t>
            </w:r>
            <w:bookmarkStart w:id="192" w:name="xdx_400_eus-gaap--NetIncomeLoss_z6Jm00xx"/>
            <w:bookmarkEnd w:id="192"/>
          </w:p>
        </w:tc>
      </w:tr>
      <w:tr>
        <w:trPr/>
        <w:tc>
          <w:tcPr>
            <w:tcW w:w="209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32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rFonts w:ascii="Times New Roman;Times;Serif" w:hAnsi="Times New Roman;Times;Serif"/>
                <w:color w:val="000000"/>
                <w:sz w:val="20"/>
              </w:rPr>
              <w:t>-</w:t>
            </w: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(10,057</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(10,057</w:t>
            </w:r>
          </w:p>
        </w:tc>
        <w:tc>
          <w:tcPr>
            <w:tcW w:w="11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93" w:name="xdx_432_c20220101__20220630_eus-gaap--St"/>
            <w:bookmarkEnd w:id="193"/>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June 30,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94" w:name="xdx_981_eus-gaap--SharesOutstanding_iE_p"/>
            <w:bookmarkEnd w:id="194"/>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2,253,047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95" w:name="xdx_983_eus-gaap--SharesOutstanding_iE_p"/>
            <w:bookmarkEnd w:id="195"/>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112,686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(113,199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(419</w:t>
            </w:r>
          </w:p>
        </w:tc>
        <w:tc>
          <w:tcPr>
            <w:tcW w:w="11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196" w:name="xdx_433_c20220101__20220630_eus-gaap--St"/>
            <w:bookmarkEnd w:id="196"/>
          </w:p>
        </w:tc>
      </w:tr>
      <w:tr>
        <w:trPr/>
        <w:tc>
          <w:tcPr>
            <w:tcW w:w="209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97" w:name="xdx_989_eus-gaap--SharesOutstanding_iE_p"/>
            <w:bookmarkEnd w:id="197"/>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2,253,047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98" w:name="xdx_981_eus-gaap--SharesOutstanding_iE_p"/>
            <w:bookmarkEnd w:id="198"/>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9,411</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112,686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(113,199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(419</w:t>
            </w:r>
          </w:p>
        </w:tc>
        <w:tc>
          <w:tcPr>
            <w:tcW w:w="11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condensed financial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199" w:name="a_006"/>
      <w:bookmarkEnd w:id="199"/>
      <w:r>
        <w:rPr>
          <w:rFonts w:ascii="Times New Roman;Times;Serif" w:hAnsi="Times New Roman;Times;Serif"/>
          <w:b/>
          <w:i w:val="false"/>
          <w:caps w:val="false"/>
          <w:smallCaps w:val="false"/>
          <w:color w:val="000000"/>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Six Months Ended June 30, 2023 and 2022</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(Amounts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200" w:name="xdx_300_112_pn3n3_zOAms3WoPol4"/>
      <w:bookmarkStart w:id="201" w:name="xdx_300_112_pn3n3_zOAms3WoPol4"/>
      <w:bookmarkEnd w:id="201"/>
    </w:p>
    <w:tbl>
      <w:tblPr>
        <w:tblW w:w="10028" w:type="dxa"/>
        <w:jc w:val="left"/>
        <w:tblInd w:w="0" w:type="dxa"/>
        <w:tblLayout w:type="fixed"/>
        <w:tblCellMar>
          <w:top w:w="0" w:type="dxa"/>
          <w:left w:w="0" w:type="dxa"/>
          <w:bottom w:w="0" w:type="dxa"/>
          <w:right w:w="0" w:type="dxa"/>
        </w:tblCellMar>
      </w:tblPr>
      <w:tblGrid>
        <w:gridCol w:w="6875"/>
        <w:gridCol w:w="60"/>
        <w:gridCol w:w="221"/>
        <w:gridCol w:w="1193"/>
        <w:gridCol w:w="95"/>
        <w:gridCol w:w="60"/>
        <w:gridCol w:w="221"/>
        <w:gridCol w:w="1193"/>
        <w:gridCol w:w="110"/>
      </w:tblGrid>
      <w:tr>
        <w:trPr/>
        <w:tc>
          <w:tcPr>
            <w:tcW w:w="687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202" w:name="xdx_490_20230101__20230630_zst2W6LTz1Hi"/>
            <w:bookmarkEnd w:id="202"/>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June 30, 2023</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203" w:name="xdx_49B_20220101__20220630_zC5VdODjk9O3"/>
            <w:bookmarkEnd w:id="203"/>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June 30, 2022</w:t>
            </w:r>
          </w:p>
        </w:tc>
        <w:tc>
          <w:tcPr>
            <w:tcW w:w="110" w:type="dxa"/>
            <w:tcBorders/>
            <w:vAlign w:val="center"/>
          </w:tcPr>
          <w:p>
            <w:pPr>
              <w:pStyle w:val="TableContents"/>
              <w:bidi w:val="0"/>
              <w:spacing w:before="0" w:after="283"/>
              <w:jc w:val="center"/>
              <w:rPr>
                <w:color w:val="000000"/>
              </w:rPr>
            </w:pPr>
            <w:r>
              <w:rPr>
                <w:color w:val="000000"/>
              </w:rPr>
              <w:t> </w:t>
            </w:r>
            <w:bookmarkStart w:id="204" w:name="xdx_40C_eus-gaap--NetCashProvidedByUsedI"/>
            <w:bookmarkEnd w:id="20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Cash flows from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05" w:name="xdx_401_eus-gaap--NetIncomeLoss_i01_maNC"/>
            <w:bookmarkEnd w:id="20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(10,057</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06" w:name="xdx_40C_eus-gaap--AdjustmentsToReconcile"/>
            <w:bookmarkEnd w:id="20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07" w:name="xdx_405_eus-gaap--DepreciationDepletionA"/>
            <w:bookmarkEnd w:id="20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Depreciation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79</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51</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08" w:name="xdx_40E_eus-gaap--GainLossOnDispositionO"/>
            <w:bookmarkEnd w:id="20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Loss on disposal of property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09" w:name="xdx_40E_eus-gaap--AmortizationOfDebtDisc"/>
            <w:bookmarkEnd w:id="20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Amortization of debt discount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712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164</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0" w:name="xdx_40B_eus-gaap--AmortizationOfFinancin"/>
            <w:bookmarkEnd w:id="21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Amortization of prepaid financing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431</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1" w:name="xdx_40C_ecustom--FairValueOfVestedOption"/>
            <w:bookmarkEnd w:id="21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263</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2" w:name="xdx_40D_ecustom--FairValueOfVestedRestri"/>
            <w:bookmarkEnd w:id="21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vested restricted shares granted to officers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108</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3" w:name="xdx_40E_ecustom--FairValueOfCommonShares"/>
            <w:bookmarkEnd w:id="21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 of common shares issued as financing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4" w:name="xdx_40A_eus-gaap--ProvisionForDoubtfulAc"/>
            <w:bookmarkEnd w:id="21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Change in allowance for doubtful accounts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5" w:name="xdx_409_eus-gaap--InventoryWriteDown_i02"/>
            <w:bookmarkEnd w:id="21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Inventory write-downs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(207</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16" w:name="xdx_40A_ecustom--AccrualOfInterestOnConv"/>
            <w:bookmarkEnd w:id="21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interest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1,773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7" w:name="xdx_400_eus-gaap--IncreaseDecreaseInOper"/>
            <w:bookmarkEnd w:id="21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Changes in operating assets and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8" w:name="xdx_40F_eus-gaap--IncreaseDecreaseInAcco"/>
            <w:bookmarkEnd w:id="21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receivable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1,882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(2,532</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19" w:name="xdx_40D_eus-gaap--IncreaseDecreaseInInve"/>
            <w:bookmarkEnd w:id="21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Inventory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2,692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(7,141</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20" w:name="xdx_40E_eus-gaap--IncreaseDecreaseInPrep"/>
            <w:bookmarkEnd w:id="22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expenses and other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(495</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21" w:name="xdx_401_ecustom--IncreaseDecreaseInAmort"/>
            <w:bookmarkEnd w:id="22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Decrease in right of use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56</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2" w:name="xdx_401_eus-gaap--IncreaseDecreaseInAcco"/>
            <w:bookmarkEnd w:id="22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payable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(2,603</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2,249</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3" w:name="xdx_40D_eus-gaap--IncreaseDecreaseInAccr"/>
            <w:bookmarkEnd w:id="22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565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446</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4" w:name="xdx_408_ecustom--IncreaseDecreaseInAccru"/>
            <w:bookmarkEnd w:id="22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dividend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5" w:name="xdx_407_eus-gaap--IncreaseDecreaseInOper"/>
            <w:bookmarkEnd w:id="22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Lease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(90</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(77</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26" w:name="xdx_409_eus-gaap--NetCashProvidedByUsedI"/>
            <w:bookmarkEnd w:id="22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cash used in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(2,288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(16,330</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687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7" w:name="xdx_404_eus-gaap--NetCashProvidedByUsedI"/>
            <w:bookmarkEnd w:id="22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Cash flows from investing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8" w:name="xdx_407_eus-gaap--PaymentsToAcquireIntan"/>
            <w:bookmarkEnd w:id="228"/>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Trademark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9" w:name="xdx_40A_eus-gaap--ProceedsFromSaleOfProp"/>
            <w:bookmarkEnd w:id="229"/>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sale of property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0" w:name="xdx_40A_eus-gaap--NetCashProvidedByUsedI"/>
            <w:bookmarkEnd w:id="230"/>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cash provided by investing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6875" w:type="dxa"/>
            <w:tcBorders/>
            <w:shd w:fill="CCEEFF" w:val="clear"/>
            <w:vAlign w:val="center"/>
          </w:tcPr>
          <w:p>
            <w:pPr>
              <w:pStyle w:val="TableContents"/>
              <w:bidi w:val="0"/>
              <w:spacing w:before="0" w:after="283"/>
              <w:jc w:val="center"/>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1" w:name="xdx_402_eus-gaap--NetCashProvidedByUsedI"/>
            <w:bookmarkEnd w:id="23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i/>
                <w:color w:val="000000"/>
              </w:rPr>
            </w:pPr>
            <w:r>
              <w:rPr>
                <w:rFonts w:ascii="Times New Roman;Times;Serif" w:hAnsi="Times New Roman;Times;Serif"/>
                <w:i/>
                <w:color w:val="000000"/>
              </w:rPr>
              <w:t>Cash flows from financing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2" w:name="xdx_409_eus-gaap--ProceedsFromLinesOfCre"/>
            <w:bookmarkEnd w:id="23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line of credit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19,099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29,292</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3" w:name="xdx_40C_eus-gaap--RepaymentsOfLinesOfCre"/>
            <w:bookmarkEnd w:id="23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Payments on line of credit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(23,594</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(27,934</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34" w:name="xdx_405_eus-gaap--PaymentsOfDebtIssuance"/>
            <w:bookmarkEnd w:id="23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Payments of debt issuance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(483</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35" w:name="xdx_409_eus-gaap--ProceedsFromConvertibl"/>
            <w:bookmarkEnd w:id="23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convertible note payable, net of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3,797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10,008</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6" w:name="xdx_403_eus-gaap--RepaymentsOfNotesPayab"/>
            <w:bookmarkEnd w:id="23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Payment of convertible note payable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7" w:name="xdx_40F_eus-gaap--ProceedsFromIssuanceOf"/>
            <w:bookmarkEnd w:id="23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sale of common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4,016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5,034</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8" w:name="xdx_40F_eus-gaap--PaymentsForRepurchaseO"/>
            <w:bookmarkEnd w:id="23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Repurchase of common stock</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239" w:name="xdx_407_eus-gaap--ProceedsFromRepayments"/>
            <w:bookmarkEnd w:id="23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Amounts from former related party,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(914</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646</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40" w:name="xdx_40D_eus-gaap--NetCashProvidedByUsedI"/>
            <w:bookmarkEnd w:id="24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cash provided by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2,135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16,561</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687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41" w:name="xdx_40B_eus-gaap--CashCashEquivalentsRes"/>
            <w:bookmarkEnd w:id="241"/>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increase (decrease) in cash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(86</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231</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42" w:name="xdx_40A_eus-gaap--CashCashEquivalentsRes"/>
            <w:bookmarkEnd w:id="242"/>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at beginning of period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533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49</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43" w:name="xdx_40A_eus-gaap--CashCashEquivalentsRes"/>
            <w:bookmarkEnd w:id="243"/>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at end of period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687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color w:val="000000"/>
              </w:rPr>
            </w:pPr>
            <w:r>
              <w:rPr>
                <w:color w:val="000000"/>
              </w:rPr>
              <w:t> </w:t>
            </w:r>
          </w:p>
        </w:tc>
        <w:tc>
          <w:tcPr>
            <w:tcW w:w="1193"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44" w:name="xdx_404_eus-gaap--SupplementalCashFlowIn"/>
            <w:bookmarkEnd w:id="24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Supplemental disclosures of cash flow information: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45" w:name="xdx_403_eus-gaap--InterestPaidNet_i01_zt"/>
            <w:bookmarkEnd w:id="24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paid for interest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658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621</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46" w:name="xdx_403_eus-gaap--CashFlowNoncashInvesti"/>
            <w:bookmarkEnd w:id="24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Non -cash investing and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1" w:type="dxa"/>
            <w:tcBorders/>
            <w:shd w:fill="CCEEFF" w:val="clear"/>
            <w:vAlign w:val="center"/>
          </w:tcPr>
          <w:p>
            <w:pPr>
              <w:pStyle w:val="TableContents"/>
              <w:bidi w:val="0"/>
              <w:spacing w:before="0" w:after="283"/>
              <w:jc w:val="left"/>
              <w:rPr>
                <w:color w:val="000000"/>
              </w:rPr>
            </w:pPr>
            <w:r>
              <w:rPr>
                <w:color w:val="000000"/>
              </w:rPr>
              <w:t> </w:t>
            </w:r>
          </w:p>
        </w:tc>
        <w:tc>
          <w:tcPr>
            <w:tcW w:w="119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47" w:name="xdx_40B_ecustom--DividendsOnSeriesConver"/>
            <w:bookmarkEnd w:id="24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Dividends on Series A Convertible Preferred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condensed financial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248" w:name="a_007"/>
      <w:bookmarkEnd w:id="248"/>
      <w:r>
        <w:rPr>
          <w:rFonts w:ascii="Times New Roman;Times;Serif" w:hAnsi="Times New Roman;Times;Serif"/>
          <w:b/>
          <w:i w:val="false"/>
          <w:caps w:val="false"/>
          <w:smallCaps w:val="false"/>
          <w:color w:val="000000"/>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Three and Six Months Ended June 30, 2023 and 2022 (Unaudited)</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 thousands, except share and per share amounts)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49" w:name="xdx_803_eus-gaap--SignificantAccountingP"/>
      <w:bookmarkEnd w:id="249"/>
      <w:r>
        <w:rPr>
          <w:rFonts w:ascii="Times New Roman;Times;Serif" w:hAnsi="Times New Roman;Times;Serif"/>
          <w:b/>
          <w:i w:val="false"/>
          <w:caps w:val="false"/>
          <w:smallCaps w:val="false"/>
          <w:color w:val="000000"/>
          <w:sz w:val="20"/>
        </w:rPr>
        <w:t xml:space="preserve">1. </w:t>
      </w:r>
      <w:bookmarkStart w:id="250" w:name="xdx_821_zoMwFiqTkRa8"/>
      <w:bookmarkEnd w:id="250"/>
      <w:r>
        <w:rPr>
          <w:rFonts w:ascii="Times New Roman;Times;Serif" w:hAnsi="Times New Roman;Times;Serif"/>
          <w:b/>
          <w:i w:val="false"/>
          <w:caps w:val="false"/>
          <w:smallCaps w:val="false"/>
          <w:color w:val="000000"/>
          <w:sz w:val="20"/>
        </w:rPr>
        <w:t>Summary of Significant Accounting Policies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51" w:name="xdx_867_zwb64yj8qaZ1"/>
      <w:bookmarkStart w:id="252" w:name="xdx_84A_eus-gaap--BasisOfAccountingPolic"/>
      <w:bookmarkEnd w:id="251"/>
      <w:bookmarkEnd w:id="252"/>
      <w:r>
        <w:rPr>
          <w:rFonts w:ascii="Times New Roman;Times;Serif" w:hAnsi="Times New Roman;Times;Serif"/>
          <w:b/>
          <w:i w:val="false"/>
          <w:caps w:val="false"/>
          <w:smallCaps w:val="false"/>
          <w:color w:val="000000"/>
          <w:sz w:val="20"/>
        </w:rPr>
        <w:t>Basis of Presentation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2022, filed with the SEC on May 15, 2023. The accompanying condensed financial statements are unaudited, but in the opinion of management contain all adjustments, including normal recurring adjustments, necessary to present fairly the Company’s financial position as of June 30, 2023, and the results of its operations and its cash flows for the six months ended June 30, 2023 and 2022. The balance sheet as of December 31, 2022 is derived from the Company’s audited financial statements.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results of operations for the six months ended June 30, 2023 are not necessarily indicative of the results of operations to be expected for the full fiscal year ending December 31,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53" w:name="xdx_86A_zgkwLuWnJnR4"/>
      <w:bookmarkStart w:id="254" w:name="xdx_841_ecustom--GoingConcernPoliciesTex"/>
      <w:bookmarkEnd w:id="253"/>
      <w:bookmarkEnd w:id="254"/>
      <w:r>
        <w:rPr>
          <w:rFonts w:ascii="Times New Roman;Times;Serif" w:hAnsi="Times New Roman;Times;Serif"/>
          <w:b/>
          <w:i w:val="false"/>
          <w:caps w:val="false"/>
          <w:smallCaps w:val="false"/>
          <w:color w:val="000000"/>
          <w:sz w:val="20"/>
        </w:rPr>
        <w:t>Going Concern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six months ended June 30, 2023, the Company recorded a net loss of $</w:t>
      </w:r>
      <w:bookmarkStart w:id="255" w:name="xdx_905_eus-gaap--NetIncomeLoss_iN_pn3n3"/>
      <w:bookmarkEnd w:id="255"/>
      <w:r>
        <w:rPr>
          <w:rFonts w:ascii="Times New Roman;Times;Serif" w:hAnsi="Times New Roman;Times;Serif"/>
          <w:b w:val="false"/>
          <w:i w:val="false"/>
          <w:caps w:val="false"/>
          <w:smallCaps w:val="false"/>
          <w:color w:val="000000"/>
          <w:sz w:val="20"/>
        </w:rPr>
        <w:t>7,491, and at June 30, 2023, had a stockholders’ deficit of $</w:t>
      </w:r>
      <w:bookmarkStart w:id="256" w:name="xdx_901_eus-gaap--StockholdersEquity_iNI"/>
      <w:bookmarkEnd w:id="256"/>
      <w:r>
        <w:rPr>
          <w:rFonts w:ascii="Times New Roman;Times;Serif" w:hAnsi="Times New Roman;Times;Serif"/>
          <w:b w:val="false"/>
          <w:i w:val="false"/>
          <w:caps w:val="false"/>
          <w:smallCaps w:val="false"/>
          <w:color w:val="000000"/>
          <w:sz w:val="20"/>
        </w:rPr>
        <w:t>11,463. These factors raise substantial doubt about the Company’s ability to continue as a going concern within one year of the date that the financial statements are issued. In addition, the Company’s independent registered public accounting firm, in its report on the Company’s December 31, 2022, financial statements, raised substantial doubt about the Company’s ability to continue as a going concern.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June 30, 2023, we had a cash balance of $</w:t>
      </w:r>
      <w:bookmarkStart w:id="257" w:name="xdx_906_eus-gaap--Cash_iI_pn3n3_c2023063"/>
      <w:bookmarkEnd w:id="257"/>
      <w:r>
        <w:rPr>
          <w:rFonts w:ascii="Times New Roman;Times;Serif" w:hAnsi="Times New Roman;Times;Serif"/>
          <w:b w:val="false"/>
          <w:i w:val="false"/>
          <w:caps w:val="false"/>
          <w:smallCaps w:val="false"/>
          <w:color w:val="000000"/>
          <w:sz w:val="20"/>
        </w:rPr>
        <w:t>447, with $</w:t>
      </w:r>
      <w:bookmarkStart w:id="258" w:name="xdx_909_eus-gaap--LineOfCreditFacilityCu"/>
      <w:bookmarkEnd w:id="258"/>
      <w:r>
        <w:rPr>
          <w:rFonts w:ascii="Times New Roman;Times;Serif" w:hAnsi="Times New Roman;Times;Serif"/>
          <w:b w:val="false"/>
          <w:i w:val="false"/>
          <w:caps w:val="false"/>
          <w:smallCaps w:val="false"/>
          <w:color w:val="000000"/>
          <w:sz w:val="20"/>
        </w:rPr>
        <w:t>0 of current availability on the line of credit, and $</w:t>
      </w:r>
      <w:bookmarkStart w:id="259" w:name="xdx_90E_eus-gaap--LineOfCreditFacilityMa"/>
      <w:bookmarkEnd w:id="259"/>
      <w:r>
        <w:rPr>
          <w:rFonts w:ascii="Times New Roman;Times;Serif" w:hAnsi="Times New Roman;Times;Serif"/>
          <w:b w:val="false"/>
          <w:i w:val="false"/>
          <w:caps w:val="false"/>
          <w:smallCaps w:val="false"/>
          <w:color w:val="000000"/>
          <w:sz w:val="20"/>
        </w:rPr>
        <w:t>6,158 of additional borrowing capacity from the credit facility.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have also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60" w:name="xdx_869_zOvFK7INoBqa"/>
      <w:bookmarkStart w:id="261" w:name="xdx_846_ecustom--CovidNineteenConsiderat"/>
      <w:bookmarkEnd w:id="260"/>
      <w:bookmarkEnd w:id="261"/>
      <w:r>
        <w:rPr>
          <w:rFonts w:ascii="Times New Roman;Times;Serif" w:hAnsi="Times New Roman;Times;Serif"/>
          <w:b/>
          <w:i w:val="false"/>
          <w:caps w:val="false"/>
          <w:smallCaps w:val="false"/>
          <w:color w:val="000000"/>
          <w:sz w:val="20"/>
        </w:rPr>
        <w:t>Recent Trends - Market Conditions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period ended December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affects the consumers who purchase our products. Based on the recent increase in demand for our products, we believe that over the long term, there will continue to be strong demand for our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Although the U.S. economy continued to grow during the second quarter of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six month period ended June 30, 2023, the Company experienced moderation from the elevated freight costs experienced in 2022. The average cost of shipping and handling for the three month period ended June 30, 2023, was $</w:t>
      </w:r>
      <w:bookmarkStart w:id="262" w:name="xdx_907_ecustom--CarryingCostPropertyAnd"/>
      <w:bookmarkEnd w:id="262"/>
      <w:r>
        <w:rPr>
          <w:rFonts w:ascii="Times New Roman;Times;Serif" w:hAnsi="Times New Roman;Times;Serif"/>
          <w:b w:val="false"/>
          <w:i w:val="false"/>
          <w:caps w:val="false"/>
          <w:smallCaps w:val="false"/>
          <w:color w:val="000000"/>
          <w:sz w:val="20"/>
        </w:rPr>
        <w:t>3.04 per case, as compared to $</w:t>
      </w:r>
      <w:bookmarkStart w:id="263" w:name="xdx_90B_ecustom--CarryingCostPropertyAnd"/>
      <w:bookmarkEnd w:id="263"/>
      <w:r>
        <w:rPr>
          <w:rFonts w:ascii="Times New Roman;Times;Serif" w:hAnsi="Times New Roman;Times;Serif"/>
          <w:b w:val="false"/>
          <w:i w:val="false"/>
          <w:caps w:val="false"/>
          <w:smallCaps w:val="false"/>
          <w:color w:val="000000"/>
          <w:sz w:val="20"/>
        </w:rPr>
        <w:t>5.00 per case for the three month period ended June 30, 2022. The average cost of shipping and handling for the six month period ended June 30, 2023, was $</w:t>
      </w:r>
      <w:bookmarkStart w:id="264" w:name="xdx_906_ecustom--CarryingCostPropertyAnd"/>
      <w:bookmarkEnd w:id="264"/>
      <w:r>
        <w:rPr>
          <w:rFonts w:ascii="Times New Roman;Times;Serif" w:hAnsi="Times New Roman;Times;Serif"/>
          <w:b w:val="false"/>
          <w:i w:val="false"/>
          <w:caps w:val="false"/>
          <w:smallCaps w:val="false"/>
          <w:color w:val="000000"/>
          <w:sz w:val="20"/>
        </w:rPr>
        <w:t>3.26 per case, as compared to $</w:t>
      </w:r>
      <w:bookmarkStart w:id="265" w:name="xdx_903_ecustom--CarryingCostPropertyAnd"/>
      <w:bookmarkEnd w:id="265"/>
      <w:r>
        <w:rPr>
          <w:rFonts w:ascii="Times New Roman;Times;Serif" w:hAnsi="Times New Roman;Times;Serif"/>
          <w:b w:val="false"/>
          <w:i w:val="false"/>
          <w:caps w:val="false"/>
          <w:smallCaps w:val="false"/>
          <w:color w:val="000000"/>
          <w:sz w:val="20"/>
        </w:rPr>
        <w:t>4.47 per case for the six month period ended June 30,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June 30, 2023, we maintained the consistency of our operations during the onset of the COVID-19 pandemic. We will continue to innovate in managing our business, coordinating with our employees and suppliers to do our part to be responsible to our employees and business partners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have not observed any material impairments of our assets or a significant change in the fair value of our assets due to the COVID-19 pandemic.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66" w:name="xdx_866_zJ9WC4aX5k8a"/>
      <w:bookmarkStart w:id="267" w:name="xdx_845_ecustom--ReverseStockSplitPolicy"/>
      <w:bookmarkEnd w:id="266"/>
      <w:bookmarkEnd w:id="267"/>
      <w:r>
        <w:rPr>
          <w:rFonts w:ascii="Times New Roman;Times;Serif" w:hAnsi="Times New Roman;Times;Serif"/>
          <w:b/>
          <w:i w:val="false"/>
          <w:caps w:val="false"/>
          <w:smallCaps w:val="false"/>
          <w:color w:val="000000"/>
          <w:sz w:val="20"/>
        </w:rPr>
        <w:t>Reverse Stock Split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At a special meeting of shareholders held on January 24, 2023, the Company’s shareholders granted the Company’s board of directors the discretion to effect a reverse stock split of the common stock through an amendment to the Company’s Certificate of Incorporation, as amended, at a ratio of any ratio not less than </w:t>
      </w:r>
      <w:bookmarkStart w:id="268" w:name="xdx_905_eus-gaap--StockholdersEquityReve"/>
      <w:bookmarkEnd w:id="268"/>
      <w:r>
        <w:rPr>
          <w:rFonts w:ascii="Times New Roman;Times;Serif" w:hAnsi="Times New Roman;Times;Serif"/>
          <w:b w:val="false"/>
          <w:i w:val="false"/>
          <w:caps w:val="false"/>
          <w:smallCaps w:val="false"/>
          <w:color w:val="000000"/>
          <w:sz w:val="20"/>
        </w:rPr>
        <w:t xml:space="preserve">1-for-6 and not more than 1-for-50, at any time on or prior to January 24, 2024, with the exact ratio to be set at a whole number within this range by the board of directors in its sole discretion. On January 25, 2023, the Company announced that its board of directors approved a </w:t>
      </w:r>
      <w:bookmarkStart w:id="269" w:name="xdx_90E_eus-gaap--StockholdersEquityReve"/>
      <w:bookmarkEnd w:id="269"/>
      <w:r>
        <w:rPr>
          <w:rFonts w:ascii="Times New Roman;Times;Serif" w:hAnsi="Times New Roman;Times;Serif"/>
          <w:b w:val="false"/>
          <w:i w:val="false"/>
          <w:caps w:val="false"/>
          <w:smallCaps w:val="false"/>
          <w:color w:val="000000"/>
          <w:sz w:val="20"/>
        </w:rPr>
        <w:t>1-for-50 reverse stock split of the Company’s issued and outstanding shares of common stock, par value $</w:t>
      </w:r>
      <w:bookmarkStart w:id="270" w:name="xdx_90D_eus-gaap--CommonStockParOrStated"/>
      <w:bookmarkEnd w:id="270"/>
      <w:r>
        <w:rPr>
          <w:rFonts w:ascii="Times New Roman;Times;Serif" w:hAnsi="Times New Roman;Times;Serif"/>
          <w:b w:val="false"/>
          <w:i w:val="false"/>
          <w:caps w:val="false"/>
          <w:smallCaps w:val="false"/>
          <w:color w:val="000000"/>
          <w:sz w:val="20"/>
        </w:rPr>
        <w:t>0.0001 per share.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authorized number of shares of common stock were not affected by the reverse stock split. No fractional shares were issued in connection with the reverse stock split, as all fractional shares were rounded up to the next whole share. Accordingly, all share and per share amounts presented herein with respect to common stock have been retroactively adjusted to reflect the above-described reverse stock split for all periods presented.</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71" w:name="xdx_861_z6Uscs5W4wM6"/>
      <w:bookmarkStart w:id="272" w:name="xdx_84F_eus-gaap--UseOfEstimates_zZHPbu9"/>
      <w:bookmarkEnd w:id="271"/>
      <w:bookmarkEnd w:id="272"/>
      <w:r>
        <w:rPr>
          <w:rFonts w:ascii="Times New Roman;Times;Serif" w:hAnsi="Times New Roman;Times;Serif"/>
          <w:b/>
          <w:i w:val="false"/>
          <w:caps w:val="false"/>
          <w:smallCaps w:val="false"/>
          <w:color w:val="000000"/>
          <w:sz w:val="20"/>
        </w:rPr>
        <w:t>Use of Estimates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73" w:name="xdx_865_zGThaDeyFmm9"/>
      <w:bookmarkStart w:id="274" w:name="xdx_845_eus-gaap--RevenueFromContractWit"/>
      <w:bookmarkEnd w:id="273"/>
      <w:bookmarkEnd w:id="274"/>
      <w:r>
        <w:rPr>
          <w:rFonts w:ascii="Times New Roman;Times;Serif" w:hAnsi="Times New Roman;Times;Serif"/>
          <w:b/>
          <w:i w:val="false"/>
          <w:caps w:val="false"/>
          <w:smallCaps w:val="false"/>
          <w:color w:val="000000"/>
          <w:sz w:val="20"/>
        </w:rPr>
        <w:t>Revenue Recognition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recognizes revenue in accordance with Accounting Standards Codification (ASC) 606, </w:t>
      </w:r>
      <w:r>
        <w:rPr>
          <w:rFonts w:ascii="Times New Roman;Times;Serif" w:hAnsi="Times New Roman;Times;Serif"/>
          <w:b w:val="false"/>
          <w:i/>
          <w:caps w:val="false"/>
          <w:smallCaps w:val="false"/>
          <w:color w:val="000000"/>
          <w:sz w:val="20"/>
        </w:rPr>
        <w:t>Revenue from Contracts with Customers</w:t>
      </w:r>
      <w:r>
        <w:rPr>
          <w:rFonts w:ascii="Times New Roman;Times;Serif" w:hAnsi="Times New Roman;Times;Serif"/>
          <w:b w:val="false"/>
          <w:i w:val="false"/>
          <w:caps w:val="false"/>
          <w:smallCaps w:val="false"/>
          <w:color w:val="000000"/>
          <w:sz w:val="20"/>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75" w:name="xdx_86B_z1M4dSCTHCN4"/>
      <w:bookmarkStart w:id="276" w:name="xdx_842_eus-gaap--EarningsPerSharePolicy"/>
      <w:bookmarkEnd w:id="275"/>
      <w:bookmarkEnd w:id="276"/>
      <w:r>
        <w:rPr>
          <w:rFonts w:ascii="Times New Roman;Times;Serif" w:hAnsi="Times New Roman;Times;Serif"/>
          <w:b/>
          <w:i w:val="false"/>
          <w:caps w:val="false"/>
          <w:smallCaps w:val="false"/>
          <w:color w:val="000000"/>
          <w:sz w:val="20"/>
        </w:rPr>
        <w:t>Loss per Common Share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periods ended June 30, 2023 and 2022,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277" w:name="xdx_8B3_z1JgEzNC8Ykc"/>
      <w:bookmarkStart w:id="278" w:name="xdx_892_eus-gaap--ScheduleOfAntidilutive"/>
      <w:bookmarkEnd w:id="277"/>
      <w:bookmarkEnd w:id="278"/>
      <w:r>
        <w:rPr>
          <w:rFonts w:ascii="Times New Roman;Times;Serif" w:hAnsi="Times New Roman;Times;Serif"/>
          <w:b w:val="false"/>
          <w:i w:val="false"/>
          <w:caps w:val="false"/>
          <w:smallCaps w:val="false"/>
          <w:color w:val="000000"/>
          <w:sz w:val="20"/>
        </w:rPr>
        <w:t>Schedule of Potentially Dilutive Securities</w:t>
      </w:r>
    </w:p>
    <w:tbl>
      <w:tblPr>
        <w:tblW w:w="8445" w:type="dxa"/>
        <w:jc w:val="left"/>
        <w:tblInd w:w="0" w:type="dxa"/>
        <w:tblLayout w:type="fixed"/>
        <w:tblCellMar>
          <w:top w:w="0" w:type="dxa"/>
          <w:left w:w="0" w:type="dxa"/>
          <w:bottom w:w="0" w:type="dxa"/>
          <w:right w:w="0" w:type="dxa"/>
        </w:tblCellMar>
      </w:tblPr>
      <w:tblGrid>
        <w:gridCol w:w="6290"/>
        <w:gridCol w:w="60"/>
        <w:gridCol w:w="60"/>
        <w:gridCol w:w="980"/>
        <w:gridCol w:w="60"/>
        <w:gridCol w:w="60"/>
        <w:gridCol w:w="60"/>
        <w:gridCol w:w="800"/>
        <w:gridCol w:w="75"/>
      </w:tblGrid>
      <w:tr>
        <w:trPr/>
        <w:tc>
          <w:tcPr>
            <w:tcW w:w="629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279" w:name="xdx_494_20230101__20230630_zI6zlUlHpsEb"/>
            <w:bookmarkEnd w:id="279"/>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280" w:name="xdx_49B_20220101__20220630_zATBoVcB9wS"/>
            <w:bookmarkEnd w:id="280"/>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75" w:type="dxa"/>
            <w:tcBorders/>
            <w:vAlign w:val="center"/>
          </w:tcPr>
          <w:p>
            <w:pPr>
              <w:pStyle w:val="TableContents"/>
              <w:bidi w:val="0"/>
              <w:spacing w:before="0" w:after="283"/>
              <w:jc w:val="center"/>
              <w:rPr>
                <w:color w:val="000000"/>
              </w:rPr>
            </w:pPr>
            <w:r>
              <w:rPr>
                <w:color w:val="000000"/>
              </w:rPr>
              <w:t> </w:t>
            </w:r>
            <w:bookmarkStart w:id="281" w:name="xdx_403_eus-gaap--AntidilutiveSecurities"/>
            <w:bookmarkEnd w:id="281"/>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549,292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262,149</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282" w:name="xdx_409_eus-gaap--AntidilutiveSecurities"/>
            <w:bookmarkEnd w:id="282"/>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152,035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196,024</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283" w:name="xdx_400_eus-gaap--AntidilutiveSecurities"/>
            <w:bookmarkEnd w:id="283"/>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Convertible note payable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1,415,826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449,156</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284" w:name="xdx_406_eus-gaap--AntidilutiveSecurities"/>
            <w:bookmarkEnd w:id="284"/>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Unvested restricted common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5,517</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285" w:name="xdx_400_eus-gaap--AntidilutiveSecurities"/>
            <w:bookmarkEnd w:id="285"/>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equivalent of Series A Convertible Preferred stock</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753</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286" w:name="xdx_40D_eus-gaap--AntidilutiveSecurities"/>
            <w:bookmarkEnd w:id="286"/>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2,117,906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913,599</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287" w:name="xdx_400_eus-gaap--AntidilutiveSecurities"/>
            <w:bookmarkEnd w:id="287"/>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Antidilutive Securities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2,117,906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913,599</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288" w:name="xdx_8A2_zKKFp85dsVqg"/>
      <w:bookmarkEnd w:id="288"/>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89" w:name="xdx_86B_zhSLxxo9pr8d"/>
      <w:bookmarkStart w:id="290" w:name="xdx_84D_eus-gaap--ShareBasedCompensation"/>
      <w:bookmarkEnd w:id="289"/>
      <w:bookmarkEnd w:id="290"/>
      <w:r>
        <w:rPr>
          <w:rFonts w:ascii="Times New Roman;Times;Serif" w:hAnsi="Times New Roman;Times;Serif"/>
          <w:b/>
          <w:i w:val="false"/>
          <w:caps w:val="false"/>
          <w:smallCaps w:val="false"/>
          <w:color w:val="000000"/>
          <w:sz w:val="20"/>
        </w:rPr>
        <w:t>Stock Compensation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color w:val="000000"/>
          <w:sz w:val="20"/>
        </w:rPr>
        <w:t>Compensation-Stock Compensation</w:t>
      </w:r>
      <w:r>
        <w:rPr>
          <w:rFonts w:ascii="Times New Roman;Times;Serif" w:hAnsi="Times New Roman;Times;Serif"/>
          <w:b w:val="false"/>
          <w:i w:val="false"/>
          <w:caps w:val="false"/>
          <w:smallCaps w:val="false"/>
          <w:color w:val="000000"/>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91" w:name="xdx_867_zapPHi3EePB6"/>
      <w:bookmarkStart w:id="292" w:name="xdx_849_eus-gaap--AdvertisingCostsPolicy"/>
      <w:bookmarkEnd w:id="291"/>
      <w:bookmarkEnd w:id="292"/>
      <w:r>
        <w:rPr>
          <w:rFonts w:ascii="Times New Roman;Times;Serif" w:hAnsi="Times New Roman;Times;Serif"/>
          <w:b/>
          <w:i w:val="false"/>
          <w:caps w:val="false"/>
          <w:smallCaps w:val="false"/>
          <w:color w:val="000000"/>
          <w:sz w:val="20"/>
        </w:rPr>
        <w:t>Advertising Costs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Advertising costs are expensed as incurred and are included in selling and marketing expense. Advertising costs for the three months ended June 30, 2023 and 2022, aggregated $</w:t>
      </w:r>
      <w:bookmarkStart w:id="293" w:name="xdx_903_eus-gaap--AdvertisingExpense_pn3"/>
      <w:bookmarkEnd w:id="293"/>
      <w:r>
        <w:rPr>
          <w:rFonts w:ascii="Times New Roman;Times;Serif" w:hAnsi="Times New Roman;Times;Serif"/>
          <w:b w:val="false"/>
          <w:i w:val="false"/>
          <w:caps w:val="false"/>
          <w:smallCaps w:val="false"/>
          <w:color w:val="000000"/>
          <w:sz w:val="20"/>
        </w:rPr>
        <w:t>27 and $</w:t>
      </w:r>
      <w:bookmarkStart w:id="294" w:name="xdx_903_eus-gaap--AdvertisingExpense_pn3"/>
      <w:bookmarkEnd w:id="294"/>
      <w:r>
        <w:rPr>
          <w:rFonts w:ascii="Times New Roman;Times;Serif" w:hAnsi="Times New Roman;Times;Serif"/>
          <w:b w:val="false"/>
          <w:i w:val="false"/>
          <w:caps w:val="false"/>
          <w:smallCaps w:val="false"/>
          <w:color w:val="000000"/>
          <w:sz w:val="20"/>
        </w:rPr>
        <w:t>111, respectively. Advertising costs for the six months ended June 30, 2023 and 2022, aggregated $</w:t>
      </w:r>
      <w:bookmarkStart w:id="295" w:name="xdx_907_eus-gaap--AdvertisingExpense_pn3"/>
      <w:bookmarkEnd w:id="295"/>
      <w:r>
        <w:rPr>
          <w:rFonts w:ascii="Times New Roman;Times;Serif" w:hAnsi="Times New Roman;Times;Serif"/>
          <w:b w:val="false"/>
          <w:i w:val="false"/>
          <w:caps w:val="false"/>
          <w:smallCaps w:val="false"/>
          <w:color w:val="000000"/>
          <w:sz w:val="20"/>
        </w:rPr>
        <w:t>83 and $</w:t>
      </w:r>
      <w:bookmarkStart w:id="296" w:name="xdx_903_eus-gaap--AdvertisingExpense_pn3"/>
      <w:bookmarkEnd w:id="296"/>
      <w:r>
        <w:rPr>
          <w:rFonts w:ascii="Times New Roman;Times;Serif" w:hAnsi="Times New Roman;Times;Serif"/>
          <w:b w:val="false"/>
          <w:i w:val="false"/>
          <w:caps w:val="false"/>
          <w:smallCaps w:val="false"/>
          <w:color w:val="000000"/>
          <w:sz w:val="20"/>
        </w:rPr>
        <w:t>423,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97" w:name="xdx_86B_zUTYT75qAryh"/>
      <w:bookmarkStart w:id="298" w:name="xdx_84C_eus-gaap--ConcentrationRiskCredi"/>
      <w:bookmarkEnd w:id="297"/>
      <w:bookmarkEnd w:id="298"/>
      <w:r>
        <w:rPr>
          <w:rFonts w:ascii="Times New Roman;Times;Serif" w:hAnsi="Times New Roman;Times;Serif"/>
          <w:b/>
          <w:i w:val="false"/>
          <w:caps w:val="false"/>
          <w:smallCaps w:val="false"/>
          <w:color w:val="000000"/>
          <w:sz w:val="20"/>
        </w:rPr>
        <w:t>Concentrations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Net sales.</w:t>
      </w:r>
      <w:r>
        <w:rPr>
          <w:rFonts w:ascii="Times New Roman;Times;Serif" w:hAnsi="Times New Roman;Times;Serif"/>
          <w:b w:val="false"/>
          <w:i w:val="false"/>
          <w:caps w:val="false"/>
          <w:smallCaps w:val="false"/>
          <w:color w:val="000000"/>
          <w:sz w:val="20"/>
        </w:rPr>
        <w:t xml:space="preserve"> During the three months ended June 30, 2023, three customers accounted for </w:t>
      </w:r>
      <w:bookmarkStart w:id="299" w:name="xdx_90A_eus-gaap--ConcentrationRiskPerce"/>
      <w:bookmarkEnd w:id="299"/>
      <w:r>
        <w:rPr>
          <w:rFonts w:ascii="Times New Roman;Times;Serif" w:hAnsi="Times New Roman;Times;Serif"/>
          <w:b w:val="false"/>
          <w:i w:val="false"/>
          <w:caps w:val="false"/>
          <w:smallCaps w:val="false"/>
          <w:color w:val="000000"/>
          <w:sz w:val="20"/>
        </w:rPr>
        <w:t xml:space="preserve">18%, </w:t>
      </w:r>
      <w:bookmarkStart w:id="300" w:name="xdx_90A_eus-gaap--ConcentrationRiskPerce"/>
      <w:bookmarkEnd w:id="300"/>
      <w:r>
        <w:rPr>
          <w:rFonts w:ascii="Times New Roman;Times;Serif" w:hAnsi="Times New Roman;Times;Serif"/>
          <w:b w:val="false"/>
          <w:i w:val="false"/>
          <w:caps w:val="false"/>
          <w:smallCaps w:val="false"/>
          <w:color w:val="000000"/>
          <w:sz w:val="20"/>
        </w:rPr>
        <w:t xml:space="preserve">12%, and </w:t>
      </w:r>
      <w:bookmarkStart w:id="301" w:name="xdx_902_eus-gaap--ConcentrationRiskPerce"/>
      <w:bookmarkEnd w:id="301"/>
      <w:r>
        <w:rPr>
          <w:rFonts w:ascii="Times New Roman;Times;Serif" w:hAnsi="Times New Roman;Times;Serif"/>
          <w:b w:val="false"/>
          <w:i w:val="false"/>
          <w:caps w:val="false"/>
          <w:smallCaps w:val="false"/>
          <w:color w:val="000000"/>
          <w:sz w:val="20"/>
        </w:rPr>
        <w:t xml:space="preserve">12% of gross billing, respectively, and during the six months ended June 30, 2023, two customers accounted for </w:t>
      </w:r>
      <w:bookmarkStart w:id="302" w:name="xdx_905_eus-gaap--ConcentrationRiskPerce"/>
      <w:bookmarkEnd w:id="302"/>
      <w:r>
        <w:rPr>
          <w:rFonts w:ascii="Times New Roman;Times;Serif" w:hAnsi="Times New Roman;Times;Serif"/>
          <w:b w:val="false"/>
          <w:i w:val="false"/>
          <w:caps w:val="false"/>
          <w:smallCaps w:val="false"/>
          <w:color w:val="000000"/>
          <w:sz w:val="20"/>
        </w:rPr>
        <w:t xml:space="preserve">18% and </w:t>
      </w:r>
      <w:bookmarkStart w:id="303" w:name="xdx_908_eus-gaap--ConcentrationRiskPerce"/>
      <w:bookmarkEnd w:id="303"/>
      <w:r>
        <w:rPr>
          <w:rFonts w:ascii="Times New Roman;Times;Serif" w:hAnsi="Times New Roman;Times;Serif"/>
          <w:b w:val="false"/>
          <w:i w:val="false"/>
          <w:caps w:val="false"/>
          <w:smallCaps w:val="false"/>
          <w:color w:val="000000"/>
          <w:sz w:val="20"/>
        </w:rPr>
        <w:t xml:space="preserve">12% of gross billing, respectively. During the three months ended June 30, 2022, three customers accounted for </w:t>
      </w:r>
      <w:bookmarkStart w:id="304" w:name="xdx_909_eus-gaap--ConcentrationRiskPerce"/>
      <w:bookmarkEnd w:id="304"/>
      <w:r>
        <w:rPr>
          <w:rFonts w:ascii="Times New Roman;Times;Serif" w:hAnsi="Times New Roman;Times;Serif"/>
          <w:b w:val="false"/>
          <w:i w:val="false"/>
          <w:caps w:val="false"/>
          <w:smallCaps w:val="false"/>
          <w:color w:val="000000"/>
          <w:sz w:val="20"/>
        </w:rPr>
        <w:t xml:space="preserve">23%, </w:t>
      </w:r>
      <w:bookmarkStart w:id="305" w:name="xdx_90E_eus-gaap--ConcentrationRiskPerce"/>
      <w:bookmarkEnd w:id="305"/>
      <w:r>
        <w:rPr>
          <w:rFonts w:ascii="Times New Roman;Times;Serif" w:hAnsi="Times New Roman;Times;Serif"/>
          <w:b w:val="false"/>
          <w:i w:val="false"/>
          <w:caps w:val="false"/>
          <w:smallCaps w:val="false"/>
          <w:color w:val="000000"/>
          <w:sz w:val="20"/>
        </w:rPr>
        <w:t xml:space="preserve">11%, and </w:t>
      </w:r>
      <w:bookmarkStart w:id="306" w:name="xdx_90A_eus-gaap--ConcentrationRiskPerce"/>
      <w:bookmarkEnd w:id="306"/>
      <w:r>
        <w:rPr>
          <w:rFonts w:ascii="Times New Roman;Times;Serif" w:hAnsi="Times New Roman;Times;Serif"/>
          <w:b w:val="false"/>
          <w:i w:val="false"/>
          <w:caps w:val="false"/>
          <w:smallCaps w:val="false"/>
          <w:color w:val="000000"/>
          <w:sz w:val="20"/>
        </w:rPr>
        <w:t xml:space="preserve">10% of gross billing, respectively, and during the six months ended June 30, 2022, three customers accounted for </w:t>
      </w:r>
      <w:bookmarkStart w:id="307" w:name="xdx_909_eus-gaap--ConcentrationRiskPerce"/>
      <w:bookmarkEnd w:id="307"/>
      <w:r>
        <w:rPr>
          <w:rFonts w:ascii="Times New Roman;Times;Serif" w:hAnsi="Times New Roman;Times;Serif"/>
          <w:b w:val="false"/>
          <w:i w:val="false"/>
          <w:caps w:val="false"/>
          <w:smallCaps w:val="false"/>
          <w:color w:val="000000"/>
          <w:sz w:val="20"/>
        </w:rPr>
        <w:t xml:space="preserve">21%, </w:t>
      </w:r>
      <w:bookmarkStart w:id="308" w:name="xdx_90B_eus-gaap--ConcentrationRiskPerce"/>
      <w:bookmarkEnd w:id="308"/>
      <w:r>
        <w:rPr>
          <w:rFonts w:ascii="Times New Roman;Times;Serif" w:hAnsi="Times New Roman;Times;Serif"/>
          <w:b w:val="false"/>
          <w:i w:val="false"/>
          <w:caps w:val="false"/>
          <w:smallCaps w:val="false"/>
          <w:color w:val="000000"/>
          <w:sz w:val="20"/>
        </w:rPr>
        <w:t xml:space="preserve">11%, and </w:t>
      </w:r>
      <w:bookmarkStart w:id="309" w:name="xdx_902_eus-gaap--ConcentrationRiskPerce"/>
      <w:bookmarkEnd w:id="309"/>
      <w:r>
        <w:rPr>
          <w:rFonts w:ascii="Times New Roman;Times;Serif" w:hAnsi="Times New Roman;Times;Serif"/>
          <w:b w:val="false"/>
          <w:i w:val="false"/>
          <w:caps w:val="false"/>
          <w:smallCaps w:val="false"/>
          <w:color w:val="000000"/>
          <w:sz w:val="20"/>
        </w:rPr>
        <w:t>10% of gross billing, respectively. No other customers exceeded 10% of sales in either period.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Accounts receivable.</w:t>
      </w:r>
      <w:r>
        <w:rPr>
          <w:rFonts w:ascii="Times New Roman;Times;Serif" w:hAnsi="Times New Roman;Times;Serif"/>
          <w:b w:val="false"/>
          <w:i w:val="false"/>
          <w:caps w:val="false"/>
          <w:smallCaps w:val="false"/>
          <w:color w:val="000000"/>
          <w:sz w:val="20"/>
        </w:rPr>
        <w:t xml:space="preserve"> As of June 30, 2023, the Company had accounts receivable from three customers which comprised </w:t>
      </w:r>
      <w:bookmarkStart w:id="310" w:name="xdx_901_eus-gaap--ConcentrationRiskPerce"/>
      <w:bookmarkEnd w:id="310"/>
      <w:r>
        <w:rPr>
          <w:rFonts w:ascii="Times New Roman;Times;Serif" w:hAnsi="Times New Roman;Times;Serif"/>
          <w:b w:val="false"/>
          <w:i w:val="false"/>
          <w:caps w:val="false"/>
          <w:smallCaps w:val="false"/>
          <w:color w:val="000000"/>
          <w:sz w:val="20"/>
        </w:rPr>
        <w:t xml:space="preserve">17%, </w:t>
      </w:r>
      <w:bookmarkStart w:id="311" w:name="xdx_909_eus-gaap--ConcentrationRiskPerce"/>
      <w:bookmarkEnd w:id="311"/>
      <w:r>
        <w:rPr>
          <w:rFonts w:ascii="Times New Roman;Times;Serif" w:hAnsi="Times New Roman;Times;Serif"/>
          <w:b w:val="false"/>
          <w:i w:val="false"/>
          <w:caps w:val="false"/>
          <w:smallCaps w:val="false"/>
          <w:color w:val="000000"/>
          <w:sz w:val="20"/>
        </w:rPr>
        <w:t xml:space="preserve">16%, and </w:t>
      </w:r>
      <w:bookmarkStart w:id="312" w:name="xdx_901_eus-gaap--ConcentrationRiskPerce"/>
      <w:bookmarkEnd w:id="312"/>
      <w:r>
        <w:rPr>
          <w:rFonts w:ascii="Times New Roman;Times;Serif" w:hAnsi="Times New Roman;Times;Serif"/>
          <w:b w:val="false"/>
          <w:i w:val="false"/>
          <w:caps w:val="false"/>
          <w:smallCaps w:val="false"/>
          <w:color w:val="000000"/>
          <w:sz w:val="20"/>
        </w:rPr>
        <w:t xml:space="preserve">11% of its gross accounts receivable. As of December 31, 2022, the Company had accounts receivable from two customers which comprised </w:t>
      </w:r>
      <w:bookmarkStart w:id="313" w:name="xdx_909_eus-gaap--ConcentrationRiskPerce"/>
      <w:bookmarkEnd w:id="313"/>
      <w:r>
        <w:rPr>
          <w:rFonts w:ascii="Times New Roman;Times;Serif" w:hAnsi="Times New Roman;Times;Serif"/>
          <w:b w:val="false"/>
          <w:i w:val="false"/>
          <w:caps w:val="false"/>
          <w:smallCaps w:val="false"/>
          <w:color w:val="000000"/>
          <w:sz w:val="20"/>
        </w:rPr>
        <w:t xml:space="preserve">19% and </w:t>
      </w:r>
      <w:bookmarkStart w:id="314" w:name="xdx_904_eus-gaap--ConcentrationRiskPerce"/>
      <w:bookmarkEnd w:id="314"/>
      <w:r>
        <w:rPr>
          <w:rFonts w:ascii="Times New Roman;Times;Serif" w:hAnsi="Times New Roman;Times;Serif"/>
          <w:b w:val="false"/>
          <w:i w:val="false"/>
          <w:caps w:val="false"/>
          <w:smallCaps w:val="false"/>
          <w:color w:val="000000"/>
          <w:sz w:val="20"/>
        </w:rPr>
        <w:t>11% of its gross accounts receivable, respectively. No other customers exceeded 10% of gross accounts receivable in either period.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six months ended June 30, 2023 and the year ended December 31, 2022, the Company utilized six separate co-packers for most its production and bottling of beverage products in the United States. The Company has long-standing relationships with two different co-packers, and a third co-packing agreement with California Custom Beverage LLC (“CCB”), a former related party (see Note 11). Although there are other packers, a change in co-packers may cause a delay in the production process, which could ultimately affect operating results.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Purchases from vendors.</w:t>
      </w:r>
      <w:r>
        <w:rPr>
          <w:rFonts w:ascii="Times New Roman;Times;Serif" w:hAnsi="Times New Roman;Times;Serif"/>
          <w:b w:val="false"/>
          <w:i w:val="false"/>
          <w:caps w:val="false"/>
          <w:smallCaps w:val="false"/>
          <w:color w:val="000000"/>
          <w:sz w:val="20"/>
        </w:rPr>
        <w:t xml:space="preserve"> During the three months ended June 30, 2023, one vendor accounted for </w:t>
      </w:r>
      <w:bookmarkStart w:id="315" w:name="xdx_90C_eus-gaap--ConcentrationRiskPerce"/>
      <w:bookmarkEnd w:id="315"/>
      <w:r>
        <w:rPr>
          <w:rFonts w:ascii="Times New Roman;Times;Serif" w:hAnsi="Times New Roman;Times;Serif"/>
          <w:b w:val="false"/>
          <w:i w:val="false"/>
          <w:caps w:val="false"/>
          <w:smallCaps w:val="false"/>
          <w:color w:val="000000"/>
          <w:sz w:val="20"/>
        </w:rPr>
        <w:t xml:space="preserve">11% of all purchases. During the six months ended June 30, 2023, one vendor accounted for </w:t>
      </w:r>
      <w:bookmarkStart w:id="316" w:name="xdx_904_eus-gaap--ConcentrationRiskPerce"/>
      <w:bookmarkEnd w:id="316"/>
      <w:r>
        <w:rPr>
          <w:rFonts w:ascii="Times New Roman;Times;Serif" w:hAnsi="Times New Roman;Times;Serif"/>
          <w:b w:val="false"/>
          <w:i w:val="false"/>
          <w:caps w:val="false"/>
          <w:smallCaps w:val="false"/>
          <w:color w:val="000000"/>
          <w:sz w:val="20"/>
        </w:rPr>
        <w:t xml:space="preserve">10% of all purchases. During the three months ended June 30, 2022, one vendor accounted for </w:t>
      </w:r>
      <w:bookmarkStart w:id="317" w:name="xdx_90B_eus-gaap--ConcentrationRiskPerce"/>
      <w:bookmarkEnd w:id="317"/>
      <w:r>
        <w:rPr>
          <w:rFonts w:ascii="Times New Roman;Times;Serif" w:hAnsi="Times New Roman;Times;Serif"/>
          <w:b w:val="false"/>
          <w:i w:val="false"/>
          <w:caps w:val="false"/>
          <w:smallCaps w:val="false"/>
          <w:color w:val="000000"/>
          <w:sz w:val="20"/>
        </w:rPr>
        <w:t xml:space="preserve">14% of all purchases. During the six months ended June 30, 2022, one vendor accounted for </w:t>
      </w:r>
      <w:bookmarkStart w:id="318" w:name="xdx_907_eus-gaap--ConcentrationRiskPerce"/>
      <w:bookmarkEnd w:id="318"/>
      <w:r>
        <w:rPr>
          <w:rFonts w:ascii="Times New Roman;Times;Serif" w:hAnsi="Times New Roman;Times;Serif"/>
          <w:b w:val="false"/>
          <w:i w:val="false"/>
          <w:caps w:val="false"/>
          <w:smallCaps w:val="false"/>
          <w:color w:val="000000"/>
          <w:sz w:val="20"/>
        </w:rPr>
        <w:t>14% of all purchases. No other vendors exceeded 10% of all purchases in either period.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Accounts payable.</w:t>
      </w:r>
      <w:r>
        <w:rPr>
          <w:rFonts w:ascii="Times New Roman;Times;Serif" w:hAnsi="Times New Roman;Times;Serif"/>
          <w:b w:val="false"/>
          <w:i w:val="false"/>
          <w:caps w:val="false"/>
          <w:smallCaps w:val="false"/>
          <w:color w:val="000000"/>
          <w:sz w:val="20"/>
        </w:rPr>
        <w:t xml:space="preserve"> As of June 30, 2023, the Company’s had one vendor which comprised </w:t>
      </w:r>
      <w:bookmarkStart w:id="319" w:name="xdx_900_eus-gaap--ConcentrationRiskPerce"/>
      <w:bookmarkEnd w:id="319"/>
      <w:r>
        <w:rPr>
          <w:rFonts w:ascii="Times New Roman;Times;Serif" w:hAnsi="Times New Roman;Times;Serif"/>
          <w:b w:val="false"/>
          <w:i w:val="false"/>
          <w:caps w:val="false"/>
          <w:smallCaps w:val="false"/>
          <w:color w:val="000000"/>
          <w:sz w:val="20"/>
        </w:rPr>
        <w:t xml:space="preserve">10% of total accounts payable. As of December 31, 2022, no vendor accounted for more than 10% of the total accounts payable. No other vendors exceeded </w:t>
      </w:r>
      <w:bookmarkStart w:id="320" w:name="xdx_904_eus-gaap--ConcentrationRiskPerce"/>
      <w:bookmarkEnd w:id="320"/>
      <w:r>
        <w:rPr>
          <w:rFonts w:ascii="Times New Roman;Times;Serif" w:hAnsi="Times New Roman;Times;Serif"/>
          <w:b w:val="false"/>
          <w:i w:val="false"/>
          <w:caps w:val="false"/>
          <w:smallCaps w:val="false"/>
          <w:color w:val="000000"/>
          <w:sz w:val="20"/>
        </w:rPr>
        <w:t>10% of gross accounts payable in either period.</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21" w:name="xdx_867_zG1fbylYrPHf"/>
      <w:bookmarkStart w:id="322" w:name="xdx_849_eus-gaap--FairValueOfFinancialIn"/>
      <w:bookmarkEnd w:id="321"/>
      <w:bookmarkEnd w:id="322"/>
      <w:r>
        <w:rPr>
          <w:rFonts w:ascii="Times New Roman;Times;Serif" w:hAnsi="Times New Roman;Times;Serif"/>
          <w:b/>
          <w:i w:val="false"/>
          <w:caps w:val="false"/>
          <w:smallCaps w:val="false"/>
          <w:color w:val="000000"/>
          <w:sz w:val="20"/>
        </w:rPr>
        <w:t>Fair Value of Financial Instruments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Level 3—Unobservable inputs based on the Company’s assumptions.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23" w:name="xdx_864_zfc8A16ULsAi"/>
      <w:bookmarkStart w:id="324" w:name="xdx_84F_eus-gaap--NewAccountingPronounce"/>
      <w:bookmarkEnd w:id="323"/>
      <w:bookmarkEnd w:id="324"/>
      <w:r>
        <w:rPr>
          <w:rFonts w:ascii="Times New Roman;Times;Serif" w:hAnsi="Times New Roman;Times;Serif"/>
          <w:b/>
          <w:i w:val="false"/>
          <w:caps w:val="false"/>
          <w:smallCaps w:val="false"/>
          <w:color w:val="000000"/>
          <w:sz w:val="20"/>
        </w:rPr>
        <w:t>Recent Accounting Pronouncements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September 2016, the FASB issued ASU 2016-13, </w:t>
      </w:r>
      <w:r>
        <w:rPr>
          <w:rFonts w:ascii="Times New Roman;Times;Serif" w:hAnsi="Times New Roman;Times;Serif"/>
          <w:b w:val="false"/>
          <w:i/>
          <w:caps w:val="false"/>
          <w:smallCaps w:val="false"/>
          <w:color w:val="000000"/>
          <w:sz w:val="20"/>
        </w:rPr>
        <w:t>Measurement of Credit Losses on Financial Instruments</w:t>
      </w:r>
      <w:r>
        <w:rPr>
          <w:rFonts w:ascii="Times New Roman;Times;Serif" w:hAnsi="Times New Roman;Times;Serif"/>
          <w:b w:val="false"/>
          <w:i w:val="false"/>
          <w:caps w:val="false"/>
          <w:smallCaps w:val="false"/>
          <w:color w:val="000000"/>
          <w:sz w:val="20"/>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adopted this standard effective January 1, 2023 and there was no material impact of adopting this standard on the Company’s financial statements and related disclosures.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color w:val="000000"/>
        </w:rPr>
      </w:pPr>
      <w:bookmarkStart w:id="325" w:name="xdx_85B_zC9OpHVSeNZ3"/>
      <w:bookmarkEnd w:id="325"/>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26" w:name="xdx_80C_eus-gaap--InventoryDisclosureTex"/>
      <w:bookmarkEnd w:id="326"/>
      <w:r>
        <w:rPr>
          <w:rFonts w:ascii="Times New Roman;Times;Serif" w:hAnsi="Times New Roman;Times;Serif"/>
          <w:b/>
          <w:i w:val="false"/>
          <w:caps w:val="false"/>
          <w:smallCaps w:val="false"/>
          <w:color w:val="000000"/>
          <w:sz w:val="20"/>
        </w:rPr>
        <w:t xml:space="preserve">2. </w:t>
      </w:r>
      <w:bookmarkStart w:id="327" w:name="xdx_825_zDJERJd2Xaee"/>
      <w:bookmarkEnd w:id="327"/>
      <w:r>
        <w:rPr>
          <w:rFonts w:ascii="Times New Roman;Times;Serif" w:hAnsi="Times New Roman;Times;Serif"/>
          <w:b/>
          <w:i w:val="false"/>
          <w:caps w:val="false"/>
          <w:smallCaps w:val="false"/>
          <w:color w:val="000000"/>
          <w:sz w:val="20"/>
        </w:rPr>
        <w:t>Inventory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28" w:name="xdx_89A_eus-gaap--ScheduleOfInventoryCur"/>
      <w:bookmarkEnd w:id="328"/>
      <w:r>
        <w:rPr>
          <w:rFonts w:ascii="Times New Roman;Times;Serif" w:hAnsi="Times New Roman;Times;Serif"/>
          <w:b w:val="false"/>
          <w:i w:val="false"/>
          <w:caps w:val="false"/>
          <w:smallCaps w:val="false"/>
          <w:color w:val="000000"/>
          <w:sz w:val="20"/>
        </w:rPr>
        <w:t>Inventory is valued at the lower of cost (first-in, first-out) or net realizable value, net of write downs, and is comprised of the following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bookmarkStart w:id="329" w:name="xdx_8B8_zoj8RRELm5T1"/>
      <w:bookmarkEnd w:id="329"/>
      <w:r>
        <w:rPr>
          <w:rFonts w:ascii="Times New Roman;Times;Serif" w:hAnsi="Times New Roman;Times;Serif"/>
          <w:b w:val="false"/>
          <w:i w:val="false"/>
          <w:caps w:val="false"/>
          <w:smallCaps w:val="false"/>
          <w:color w:val="000000"/>
          <w:sz w:val="20"/>
        </w:rPr>
        <w:t>Schedule of Inventory</w:t>
      </w:r>
    </w:p>
    <w:tbl>
      <w:tblPr>
        <w:tblW w:w="5074" w:type="dxa"/>
        <w:jc w:val="left"/>
        <w:tblInd w:w="0" w:type="dxa"/>
        <w:tblLayout w:type="fixed"/>
        <w:tblCellMar>
          <w:top w:w="0" w:type="dxa"/>
          <w:left w:w="0" w:type="dxa"/>
          <w:bottom w:w="0" w:type="dxa"/>
          <w:right w:w="0" w:type="dxa"/>
        </w:tblCellMar>
      </w:tblPr>
      <w:tblGrid>
        <w:gridCol w:w="2825"/>
        <w:gridCol w:w="60"/>
        <w:gridCol w:w="140"/>
        <w:gridCol w:w="680"/>
        <w:gridCol w:w="60"/>
        <w:gridCol w:w="60"/>
        <w:gridCol w:w="200"/>
        <w:gridCol w:w="974"/>
        <w:gridCol w:w="75"/>
      </w:tblGrid>
      <w:tr>
        <w:trPr/>
        <w:tc>
          <w:tcPr>
            <w:tcW w:w="282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30" w:name="xdx_49F_20230630_zpG7atn7FHM1"/>
            <w:bookmarkEnd w:id="330"/>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31" w:name="xdx_49E_20221231_zfVcbXnCkhGi"/>
            <w:bookmarkEnd w:id="331"/>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75" w:type="dxa"/>
            <w:tcBorders/>
            <w:vAlign w:val="center"/>
          </w:tcPr>
          <w:p>
            <w:pPr>
              <w:pStyle w:val="TableContents"/>
              <w:bidi w:val="0"/>
              <w:spacing w:before="0" w:after="283"/>
              <w:jc w:val="center"/>
              <w:rPr>
                <w:color w:val="000000"/>
              </w:rPr>
            </w:pPr>
            <w:r>
              <w:rPr>
                <w:color w:val="000000"/>
              </w:rPr>
              <w:t> </w:t>
            </w:r>
            <w:bookmarkStart w:id="332" w:name="xdx_405_eus-gaap--InventoryRawMaterials_"/>
            <w:bookmarkEnd w:id="332"/>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Raw materials and packaging</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8,475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8,526</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333" w:name="xdx_401_eus-gaap--InventoryFinishedGoods"/>
            <w:bookmarkEnd w:id="333"/>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Finished products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5,215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7,649</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334" w:name="xdx_403_eus-gaap--InventoryNet_iTI_pn3n3"/>
            <w:bookmarkEnd w:id="334"/>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13,690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16,175</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335" w:name="xdx_8A5_zogbpXEwGGd3"/>
      <w:bookmarkEnd w:id="335"/>
      <w:r>
        <w:rPr>
          <w:caps w:val="false"/>
          <w:smallCaps w:val="false"/>
          <w:color w:val="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36" w:name="xdx_804_eus-gaap--PropertyPlantAndEquipm"/>
      <w:bookmarkEnd w:id="336"/>
      <w:r>
        <w:rPr>
          <w:rFonts w:ascii="Times New Roman;Times;Serif" w:hAnsi="Times New Roman;Times;Serif"/>
          <w:b/>
          <w:i w:val="false"/>
          <w:caps w:val="false"/>
          <w:smallCaps w:val="false"/>
          <w:color w:val="000000"/>
          <w:sz w:val="20"/>
        </w:rPr>
        <w:t xml:space="preserve">3. </w:t>
      </w:r>
      <w:bookmarkStart w:id="337" w:name="xdx_829_zgtIqIwW2n0k"/>
      <w:bookmarkEnd w:id="337"/>
      <w:r>
        <w:rPr>
          <w:rFonts w:ascii="Times New Roman;Times;Serif" w:hAnsi="Times New Roman;Times;Serif"/>
          <w:b/>
          <w:i w:val="false"/>
          <w:caps w:val="false"/>
          <w:smallCaps w:val="false"/>
          <w:color w:val="000000"/>
          <w:sz w:val="20"/>
        </w:rPr>
        <w:t>Property and Equipment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38" w:name="xdx_89D_eus-gaap--PropertyPlantAndEquipm"/>
      <w:bookmarkEnd w:id="338"/>
      <w:r>
        <w:rPr>
          <w:rFonts w:ascii="Times New Roman;Times;Serif" w:hAnsi="Times New Roman;Times;Serif"/>
          <w:b w:val="false"/>
          <w:i w:val="false"/>
          <w:caps w:val="false"/>
          <w:smallCaps w:val="false"/>
          <w:color w:val="000000"/>
          <w:sz w:val="20"/>
        </w:rPr>
        <w:t>Property and equipment is comprised of the following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39" w:name="xdx_8B8_zthcJD3KhfRk"/>
      <w:bookmarkEnd w:id="339"/>
      <w:r>
        <w:rPr>
          <w:rFonts w:ascii="Times New Roman;Times;Serif" w:hAnsi="Times New Roman;Times;Serif"/>
          <w:b w:val="false"/>
          <w:i w:val="false"/>
          <w:caps w:val="false"/>
          <w:smallCaps w:val="false"/>
          <w:color w:val="000000"/>
          <w:sz w:val="20"/>
        </w:rPr>
        <w:t>Schedule of Property and Equipment</w:t>
      </w:r>
    </w:p>
    <w:tbl>
      <w:tblPr>
        <w:tblW w:w="6415" w:type="dxa"/>
        <w:jc w:val="left"/>
        <w:tblInd w:w="0" w:type="dxa"/>
        <w:tblLayout w:type="fixed"/>
        <w:tblCellMar>
          <w:top w:w="0" w:type="dxa"/>
          <w:left w:w="0" w:type="dxa"/>
          <w:bottom w:w="0" w:type="dxa"/>
          <w:right w:w="0" w:type="dxa"/>
        </w:tblCellMar>
      </w:tblPr>
      <w:tblGrid>
        <w:gridCol w:w="4145"/>
        <w:gridCol w:w="60"/>
        <w:gridCol w:w="154"/>
        <w:gridCol w:w="616"/>
        <w:gridCol w:w="95"/>
        <w:gridCol w:w="60"/>
        <w:gridCol w:w="235"/>
        <w:gridCol w:w="940"/>
        <w:gridCol w:w="110"/>
      </w:tblGrid>
      <w:tr>
        <w:trPr/>
        <w:tc>
          <w:tcPr>
            <w:tcW w:w="414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40" w:name="xdx_490_20230630_zMakwGyCHXi8"/>
            <w:bookmarkEnd w:id="340"/>
          </w:p>
        </w:tc>
        <w:tc>
          <w:tcPr>
            <w:tcW w:w="7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41" w:name="xdx_492_20221231_zxnVieKgK634"/>
            <w:bookmarkEnd w:id="341"/>
          </w:p>
        </w:tc>
        <w:tc>
          <w:tcPr>
            <w:tcW w:w="11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110" w:type="dxa"/>
            <w:tcBorders/>
            <w:vAlign w:val="center"/>
          </w:tcPr>
          <w:p>
            <w:pPr>
              <w:pStyle w:val="TableContents"/>
              <w:bidi w:val="0"/>
              <w:spacing w:before="0" w:after="283"/>
              <w:jc w:val="center"/>
              <w:rPr>
                <w:color w:val="000000"/>
              </w:rPr>
            </w:pPr>
            <w:r>
              <w:rPr>
                <w:color w:val="000000"/>
              </w:rPr>
              <w:t> </w:t>
            </w:r>
            <w:bookmarkStart w:id="342" w:name="xdx_40F_eus-gaap--PropertyPlantAndEquipm"/>
            <w:bookmarkEnd w:id="342"/>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Right-of-use assets under operating leases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724</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343" w:name="xdx_400_eus-gaap--PropertyPlantAndEquipm"/>
            <w:bookmarkEnd w:id="343"/>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Computer hardware and software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5" w:type="dxa"/>
            <w:tcBorders/>
            <w:shd w:fill="FFFFFF" w:val="clear"/>
            <w:vAlign w:val="center"/>
          </w:tcPr>
          <w:p>
            <w:pPr>
              <w:pStyle w:val="TableContents"/>
              <w:bidi w:val="0"/>
              <w:spacing w:before="0" w:after="283"/>
              <w:jc w:val="left"/>
              <w:rPr>
                <w:color w:val="000000"/>
              </w:rPr>
            </w:pPr>
            <w:r>
              <w:rPr>
                <w:color w:val="000000"/>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344" w:name="xdx_407_eus-gaap--PropertyPlantAndEquipm"/>
            <w:bookmarkEnd w:id="344"/>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Machinery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429</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345" w:name="xdx_404_eus-gaap--PropertyPlantAndEquipm"/>
            <w:bookmarkEnd w:id="345"/>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cost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1,476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5" w:type="dxa"/>
            <w:tcBorders/>
            <w:shd w:fill="FFFFFF" w:val="clear"/>
            <w:vAlign w:val="center"/>
          </w:tcPr>
          <w:p>
            <w:pPr>
              <w:pStyle w:val="TableContents"/>
              <w:bidi w:val="0"/>
              <w:spacing w:before="0" w:after="283"/>
              <w:jc w:val="left"/>
              <w:rPr>
                <w:color w:val="000000"/>
              </w:rPr>
            </w:pPr>
            <w:r>
              <w:rPr>
                <w:color w:val="000000"/>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1,553</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346" w:name="xdx_40A_eus-gaap--AccumulatedDepreciatio"/>
            <w:bookmarkEnd w:id="346"/>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Accumulated depreciation and amortization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(933</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(787</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347" w:name="xdx_408_eus-gaap--PropertyPlantAndEquipm"/>
            <w:bookmarkEnd w:id="347"/>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book value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766</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348" w:name="xdx_8A7_zZkXibNQihHe"/>
      <w:bookmarkEnd w:id="348"/>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Depreciation expense for the six months ended June 30, 2023 and 2022 was $</w:t>
      </w:r>
      <w:bookmarkStart w:id="349" w:name="xdx_90E_eus-gaap--Depreciation_pn3n3_c20"/>
      <w:bookmarkEnd w:id="349"/>
      <w:r>
        <w:rPr>
          <w:rFonts w:ascii="Times New Roman;Times;Serif" w:hAnsi="Times New Roman;Times;Serif"/>
          <w:b w:val="false"/>
          <w:i w:val="false"/>
          <w:caps w:val="false"/>
          <w:smallCaps w:val="false"/>
          <w:color w:val="000000"/>
          <w:sz w:val="20"/>
        </w:rPr>
        <w:t>79 and $</w:t>
      </w:r>
      <w:bookmarkStart w:id="350" w:name="xdx_901_eus-gaap--Depreciation_pn3n3_c20"/>
      <w:bookmarkEnd w:id="350"/>
      <w:r>
        <w:rPr>
          <w:rFonts w:ascii="Times New Roman;Times;Serif" w:hAnsi="Times New Roman;Times;Serif"/>
          <w:b w:val="false"/>
          <w:i w:val="false"/>
          <w:caps w:val="false"/>
          <w:smallCaps w:val="false"/>
          <w:color w:val="000000"/>
          <w:sz w:val="20"/>
        </w:rPr>
        <w:t>51, respectively, and amortization of right-of-use assets for the six months ended June 30, 2023 and 2022 was $</w:t>
      </w:r>
      <w:bookmarkStart w:id="351" w:name="xdx_906_eus-gaap--OperatingLeaseRightOfU"/>
      <w:bookmarkEnd w:id="351"/>
      <w:r>
        <w:rPr>
          <w:rFonts w:ascii="Times New Roman;Times;Serif" w:hAnsi="Times New Roman;Times;Serif"/>
          <w:b w:val="false"/>
          <w:i w:val="false"/>
          <w:caps w:val="false"/>
          <w:smallCaps w:val="false"/>
          <w:color w:val="000000"/>
          <w:sz w:val="20"/>
        </w:rPr>
        <w:t>67 and $</w:t>
      </w:r>
      <w:bookmarkStart w:id="352" w:name="xdx_908_eus-gaap--OperatingLeaseRightOfU"/>
      <w:bookmarkEnd w:id="352"/>
      <w:r>
        <w:rPr>
          <w:rFonts w:ascii="Times New Roman;Times;Serif" w:hAnsi="Times New Roman;Times;Serif"/>
          <w:b w:val="false"/>
          <w:i w:val="false"/>
          <w:caps w:val="false"/>
          <w:smallCaps w:val="false"/>
          <w:color w:val="000000"/>
          <w:sz w:val="20"/>
        </w:rPr>
        <w:t>56,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53" w:name="xdx_80A_eus-gaap--IntangibleAssetsDisclo"/>
      <w:bookmarkEnd w:id="353"/>
      <w:r>
        <w:rPr>
          <w:rFonts w:ascii="Times New Roman;Times;Serif" w:hAnsi="Times New Roman;Times;Serif"/>
          <w:b/>
          <w:i w:val="false"/>
          <w:caps w:val="false"/>
          <w:smallCaps w:val="false"/>
          <w:color w:val="000000"/>
          <w:sz w:val="20"/>
        </w:rPr>
        <w:t xml:space="preserve">4. </w:t>
      </w:r>
      <w:bookmarkStart w:id="354" w:name="xdx_82B_zakSgBHcrjBe"/>
      <w:bookmarkEnd w:id="354"/>
      <w:r>
        <w:rPr>
          <w:rFonts w:ascii="Times New Roman;Times;Serif" w:hAnsi="Times New Roman;Times;Serif"/>
          <w:b/>
          <w:i w:val="false"/>
          <w:caps w:val="false"/>
          <w:smallCaps w:val="false"/>
          <w:color w:val="000000"/>
          <w:sz w:val="20"/>
        </w:rPr>
        <w:t>Intangible Assets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55" w:name="xdx_896_eus-gaap--ScheduleOfIndefiniteLi"/>
      <w:bookmarkEnd w:id="355"/>
      <w:r>
        <w:rPr>
          <w:rFonts w:ascii="Times New Roman;Times;Serif" w:hAnsi="Times New Roman;Times;Serif"/>
          <w:b w:val="false"/>
          <w:i w:val="false"/>
          <w:caps w:val="false"/>
          <w:smallCaps w:val="false"/>
          <w:color w:val="000000"/>
          <w:sz w:val="20"/>
        </w:rPr>
        <w:t>Intangible assets consist of the following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56" w:name="xdx_8B7_zsDWOIhHv5Ie"/>
      <w:bookmarkEnd w:id="356"/>
      <w:r>
        <w:rPr>
          <w:rFonts w:ascii="Times New Roman;Times;Serif" w:hAnsi="Times New Roman;Times;Serif"/>
          <w:b w:val="false"/>
          <w:i w:val="false"/>
          <w:caps w:val="false"/>
          <w:smallCaps w:val="false"/>
          <w:color w:val="000000"/>
          <w:sz w:val="20"/>
        </w:rPr>
        <w:t>Summary of Intangible Assets</w:t>
      </w:r>
    </w:p>
    <w:tbl>
      <w:tblPr>
        <w:tblW w:w="3433" w:type="dxa"/>
        <w:jc w:val="left"/>
        <w:tblInd w:w="0" w:type="dxa"/>
        <w:tblLayout w:type="fixed"/>
        <w:tblCellMar>
          <w:top w:w="0" w:type="dxa"/>
          <w:left w:w="0" w:type="dxa"/>
          <w:bottom w:w="0" w:type="dxa"/>
          <w:right w:w="0" w:type="dxa"/>
        </w:tblCellMar>
      </w:tblPr>
      <w:tblGrid>
        <w:gridCol w:w="1280"/>
        <w:gridCol w:w="60"/>
        <w:gridCol w:w="195"/>
        <w:gridCol w:w="529"/>
        <w:gridCol w:w="60"/>
        <w:gridCol w:w="60"/>
        <w:gridCol w:w="315"/>
        <w:gridCol w:w="859"/>
        <w:gridCol w:w="75"/>
      </w:tblGrid>
      <w:tr>
        <w:trPr/>
        <w:tc>
          <w:tcPr>
            <w:tcW w:w="128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57" w:name="xdx_49C_20230630_zGJc365VMRqa"/>
            <w:bookmarkEnd w:id="357"/>
          </w:p>
        </w:tc>
        <w:tc>
          <w:tcPr>
            <w:tcW w:w="72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358" w:name="xdx_497_20221231_z6BW1LGKoWa8"/>
            <w:bookmarkEnd w:id="358"/>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75" w:type="dxa"/>
            <w:tcBorders/>
            <w:vAlign w:val="center"/>
          </w:tcPr>
          <w:p>
            <w:pPr>
              <w:pStyle w:val="TableContents"/>
              <w:bidi w:val="0"/>
              <w:spacing w:before="0" w:after="283"/>
              <w:jc w:val="center"/>
              <w:rPr>
                <w:color w:val="000000"/>
              </w:rPr>
            </w:pPr>
            <w:r>
              <w:rPr>
                <w:color w:val="000000"/>
              </w:rPr>
              <w:t> </w:t>
            </w:r>
            <w:bookmarkStart w:id="359" w:name="xdx_403_eus-gaap--IndefiniteLivedTradeNa"/>
            <w:bookmarkEnd w:id="359"/>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Brand names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576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576</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360" w:name="xdx_407_eus-gaap--IndefiniteLivedTradema"/>
            <w:bookmarkEnd w:id="360"/>
          </w:p>
        </w:tc>
      </w:tr>
      <w:tr>
        <w:trPr/>
        <w:tc>
          <w:tcPr>
            <w:tcW w:w="128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Trademarks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1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361" w:name="xdx_402_eus-gaap--IndefiniteLivedIntangi"/>
            <w:bookmarkEnd w:id="361"/>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626</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362" w:name="xdx_8A4_zQFNQ3T2LSZc"/>
      <w:bookmarkEnd w:id="362"/>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63" w:name="xdx_80A_eus-gaap--ShortTermDebtTextBlock"/>
      <w:bookmarkEnd w:id="363"/>
      <w:r>
        <w:rPr>
          <w:rFonts w:ascii="Times New Roman;Times;Serif" w:hAnsi="Times New Roman;Times;Serif"/>
          <w:b/>
          <w:i w:val="false"/>
          <w:caps w:val="false"/>
          <w:smallCaps w:val="false"/>
          <w:color w:val="000000"/>
          <w:sz w:val="20"/>
        </w:rPr>
        <w:t xml:space="preserve">5. </w:t>
      </w:r>
      <w:bookmarkStart w:id="364" w:name="xdx_82C_z9LkeIFPeUN4"/>
      <w:bookmarkEnd w:id="364"/>
      <w:r>
        <w:rPr>
          <w:rFonts w:ascii="Times New Roman;Times;Serif" w:hAnsi="Times New Roman;Times;Serif"/>
          <w:b/>
          <w:i w:val="false"/>
          <w:caps w:val="false"/>
          <w:smallCaps w:val="false"/>
          <w:color w:val="000000"/>
          <w:sz w:val="20"/>
        </w:rPr>
        <w:t>Line of Credit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65" w:name="xdx_89F_eus-gaap--ScheduleOfLineOfCredit"/>
      <w:bookmarkEnd w:id="365"/>
      <w:r>
        <w:rPr>
          <w:rFonts w:ascii="Times New Roman;Times;Serif" w:hAnsi="Times New Roman;Times;Serif"/>
          <w:b w:val="false"/>
          <w:i w:val="false"/>
          <w:caps w:val="false"/>
          <w:smallCaps w:val="false"/>
          <w:color w:val="000000"/>
          <w:sz w:val="20"/>
        </w:rPr>
        <w:t>Amounts outstanding under the Company’s credit facilities are as follows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66" w:name="xdx_8B4_zs1dUDKK9YEk"/>
      <w:bookmarkEnd w:id="366"/>
      <w:r>
        <w:rPr>
          <w:rFonts w:ascii="Times New Roman;Times;Serif" w:hAnsi="Times New Roman;Times;Serif"/>
          <w:b w:val="false"/>
          <w:i w:val="false"/>
          <w:caps w:val="false"/>
          <w:smallCaps w:val="false"/>
          <w:color w:val="000000"/>
          <w:sz w:val="20"/>
        </w:rPr>
        <w:t>Schedule of Amount Outstanding Under Credit Facilities</w:t>
      </w:r>
    </w:p>
    <w:tbl>
      <w:tblPr>
        <w:tblW w:w="6204" w:type="dxa"/>
        <w:jc w:val="left"/>
        <w:tblInd w:w="0" w:type="dxa"/>
        <w:tblLayout w:type="fixed"/>
        <w:tblCellMar>
          <w:top w:w="0" w:type="dxa"/>
          <w:left w:w="0" w:type="dxa"/>
          <w:bottom w:w="0" w:type="dxa"/>
          <w:right w:w="0" w:type="dxa"/>
        </w:tblCellMar>
      </w:tblPr>
      <w:tblGrid>
        <w:gridCol w:w="3935"/>
        <w:gridCol w:w="60"/>
        <w:gridCol w:w="154"/>
        <w:gridCol w:w="616"/>
        <w:gridCol w:w="95"/>
        <w:gridCol w:w="60"/>
        <w:gridCol w:w="200"/>
        <w:gridCol w:w="974"/>
        <w:gridCol w:w="110"/>
      </w:tblGrid>
      <w:tr>
        <w:trPr/>
        <w:tc>
          <w:tcPr>
            <w:tcW w:w="393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77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Line of credit – Alterna Capital Solutions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367" w:name="xdx_982_eus-gaap--LinesOfCreditCurrent_i"/>
            <w:bookmarkEnd w:id="367"/>
          </w:p>
        </w:tc>
        <w:tc>
          <w:tcPr>
            <w:tcW w:w="61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6,842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368" w:name="xdx_984_eus-gaap--LinesOfCreditCurrent_i"/>
            <w:bookmarkEnd w:id="368"/>
          </w:p>
        </w:tc>
        <w:tc>
          <w:tcPr>
            <w:tcW w:w="97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11,337</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Capitalized financing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69" w:name="xdx_985_eus-gaap--DeferredFinanceCostsCu"/>
            <w:bookmarkEnd w:id="369"/>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(282</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70" w:name="xdx_983_eus-gaap--DeferredFinanceCostsCu"/>
            <w:bookmarkEnd w:id="370"/>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(363</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371" w:name="xdx_981_eus-gaap--LinesOfCreditCurrent_i"/>
            <w:bookmarkEnd w:id="371"/>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6,560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372" w:name="xdx_98F_eus-gaap--LinesOfCreditCurrent_i"/>
            <w:bookmarkEnd w:id="372"/>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10,974</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373" w:name="xdx_8A8_zBHvVOS6NEya"/>
      <w:bookmarkEnd w:id="373"/>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2022, the Company entered into a financing agreement with Alterna Capital Solutions (“ACS”), for a line of credit to replace its former credit facility. The ACS line of credit is for a term of </w:t>
      </w:r>
      <w:bookmarkStart w:id="374" w:name="xdx_90E_eus-gaap--DebtInstrumentTerm_dtY"/>
      <w:bookmarkEnd w:id="374"/>
      <w:r>
        <w:rPr>
          <w:rFonts w:ascii="Times New Roman;Times;Serif" w:hAnsi="Times New Roman;Times;Serif"/>
          <w:b w:val="false"/>
          <w:i w:val="false"/>
          <w:caps w:val="false"/>
          <w:smallCaps w:val="false"/>
          <w:sz w:val="20"/>
        </w:rPr>
        <w:t>3 years, provides for borrowings of up to $</w:t>
      </w:r>
      <w:bookmarkStart w:id="375" w:name="xdx_901_eus-gaap--LineOfCreditFacilityMa"/>
      <w:bookmarkEnd w:id="375"/>
      <w:r>
        <w:rPr>
          <w:rFonts w:ascii="Times New Roman;Times;Serif" w:hAnsi="Times New Roman;Times;Serif"/>
          <w:b w:val="false"/>
          <w:i w:val="false"/>
          <w:caps w:val="false"/>
          <w:smallCaps w:val="false"/>
          <w:sz w:val="20"/>
        </w:rPr>
        <w:t>13,000, and is secured by eligible accounts receivable and inventory. An over advance rider provides for up to $</w:t>
      </w:r>
      <w:bookmarkStart w:id="376" w:name="xdx_903_eus-gaap--LineOfCreditFacilityMa"/>
      <w:bookmarkEnd w:id="376"/>
      <w:r>
        <w:rPr>
          <w:rFonts w:ascii="Times New Roman;Times;Serif" w:hAnsi="Times New Roman;Times;Serif"/>
          <w:b w:val="false"/>
          <w:i w:val="false"/>
          <w:caps w:val="false"/>
          <w:smallCaps w:val="false"/>
          <w:sz w:val="20"/>
        </w:rPr>
        <w:t>400 of additional borrowing above the collateralized base (the “Over Advance”) up to a total borrowing of $</w:t>
      </w:r>
      <w:bookmarkStart w:id="377" w:name="xdx_905_eus-gaap--LineOfCreditFacilityMa"/>
      <w:bookmarkEnd w:id="377"/>
      <w:r>
        <w:rPr>
          <w:rFonts w:ascii="Times New Roman;Times;Serif" w:hAnsi="Times New Roman;Times;Serif"/>
          <w:b w:val="false"/>
          <w:i w:val="false"/>
          <w:caps w:val="false"/>
          <w:smallCaps w:val="false"/>
          <w:sz w:val="20"/>
        </w:rPr>
        <w:t>13,000. At June 30, 2023, $</w:t>
      </w:r>
      <w:bookmarkStart w:id="378" w:name="xdx_90B_eus-gaap--LineOfCreditFacilityCu"/>
      <w:bookmarkEnd w:id="378"/>
      <w:r>
        <w:rPr>
          <w:rFonts w:ascii="Times New Roman;Times;Serif" w:hAnsi="Times New Roman;Times;Serif"/>
          <w:b w:val="false"/>
          <w:i w:val="false"/>
          <w:caps w:val="false"/>
          <w:smallCaps w:val="false"/>
          <w:sz w:val="20"/>
        </w:rPr>
        <w:t>0 of current availability and $</w:t>
      </w:r>
      <w:bookmarkStart w:id="379" w:name="xdx_90C_eus-gaap--LineOfCreditFacilityMa"/>
      <w:bookmarkEnd w:id="379"/>
      <w:r>
        <w:rPr>
          <w:rFonts w:ascii="Times New Roman;Times;Serif" w:hAnsi="Times New Roman;Times;Serif"/>
          <w:b w:val="false"/>
          <w:i w:val="false"/>
          <w:caps w:val="false"/>
          <w:smallCaps w:val="false"/>
          <w:sz w:val="20"/>
        </w:rPr>
        <w:t>6,158 of borrowing capacity was available under the financing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80" w:name="xdx_90C_eus-gaap--LineOfCreditFacilityIn"/>
      <w:bookmarkEnd w:id="380"/>
      <w:r>
        <w:rPr>
          <w:rFonts w:ascii="Times New Roman;Times;Serif" w:hAnsi="Times New Roman;Times;Serif"/>
          <w:b w:val="false"/>
          <w:i w:val="false"/>
          <w:caps w:val="false"/>
          <w:smallCaps w:val="false"/>
          <w:color w:val="000000"/>
          <w:sz w:val="20"/>
        </w:rPr>
        <w:t>Borrowings based on receivables bears an interest of prime plus 4.75% but not less than 8.0% (13.00% at June 30, 2023 and 12.25% at December 31, 2022). Borrowings based on inventory bears an interest of prime plus 5.25% but not less than 8.5% (13.65 % at June 30, 2023 and 12.90% at December 31, 2022). The additional over advance rider bears a rate of prime plus 12.75%, but not less than 16.00% (18.00% at June 30, 2023 and 18.00% at December 31, 2022). Additionally, the line of credit is subject to monthly monitoring fee of $1 with a minimum usage requirement on the credit facility. A loan balance of less than $</w:t>
      </w:r>
      <w:bookmarkStart w:id="381" w:name="xdx_901_eus-gaap--LineOfCredit_iI_pn3n3_"/>
      <w:bookmarkEnd w:id="381"/>
      <w:r>
        <w:rPr>
          <w:rFonts w:ascii="Times New Roman;Times;Serif" w:hAnsi="Times New Roman;Times;Serif"/>
          <w:b w:val="false"/>
          <w:i w:val="false"/>
          <w:caps w:val="false"/>
          <w:smallCaps w:val="false"/>
          <w:color w:val="000000"/>
          <w:sz w:val="20"/>
        </w:rPr>
        <w:t>1,500 will bear interest at a rate in line with account receivables advances plus the monthly monitoring fee of $</w:t>
      </w:r>
      <w:bookmarkStart w:id="382" w:name="xdx_909_ecustom--LineOfCreditMonitoringF"/>
      <w:bookmarkEnd w:id="382"/>
      <w:r>
        <w:rPr>
          <w:rFonts w:ascii="Times New Roman;Times;Serif" w:hAnsi="Times New Roman;Times;Serif"/>
          <w:b w:val="false"/>
          <w:i w:val="false"/>
          <w:caps w:val="false"/>
          <w:smallCaps w:val="false"/>
          <w:color w:val="000000"/>
          <w:sz w:val="20"/>
        </w:rPr>
        <w:t>1.</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incurred $</w:t>
      </w:r>
      <w:bookmarkStart w:id="383" w:name="xdx_90C_eus-gaap--DirectOperatingCosts_p"/>
      <w:bookmarkEnd w:id="383"/>
      <w:r>
        <w:rPr>
          <w:rFonts w:ascii="Times New Roman;Times;Serif" w:hAnsi="Times New Roman;Times;Serif"/>
          <w:b w:val="false"/>
          <w:i w:val="false"/>
          <w:caps w:val="false"/>
          <w:smallCaps w:val="false"/>
          <w:color w:val="000000"/>
          <w:sz w:val="20"/>
        </w:rPr>
        <w:t xml:space="preserve">483 of direct costs of the transaction, consisting primarily of broker, bank and legal fees. These costs have been capitalized and are being amortized over the </w:t>
      </w:r>
      <w:bookmarkStart w:id="384" w:name="xdx_907_ecustom--AmortizationOfLineOfCre"/>
      <w:bookmarkEnd w:id="384"/>
      <w:r>
        <w:rPr>
          <w:rFonts w:ascii="Times New Roman;Times;Serif" w:hAnsi="Times New Roman;Times;Serif"/>
          <w:b w:val="false"/>
          <w:i w:val="false"/>
          <w:caps w:val="false"/>
          <w:smallCaps w:val="false"/>
          <w:color w:val="000000"/>
          <w:sz w:val="20"/>
        </w:rPr>
        <w:t>3-year life of the ACS agreement. The unamortized debt discount balance was $</w:t>
      </w:r>
      <w:bookmarkStart w:id="385" w:name="xdx_901_eus-gaap--AmortizationOfDebtDisc"/>
      <w:bookmarkEnd w:id="385"/>
      <w:r>
        <w:rPr>
          <w:rFonts w:ascii="Times New Roman;Times;Serif" w:hAnsi="Times New Roman;Times;Serif"/>
          <w:b w:val="false"/>
          <w:i w:val="false"/>
          <w:caps w:val="false"/>
          <w:smallCaps w:val="false"/>
          <w:color w:val="000000"/>
          <w:sz w:val="20"/>
        </w:rPr>
        <w:t>363 at December 31, 2022. For the six months ended June 30, 2023, amortization of debt discount was $</w:t>
      </w:r>
      <w:bookmarkStart w:id="386" w:name="xdx_90F_eus-gaap--AmortizationOfDebtDisc"/>
      <w:bookmarkEnd w:id="386"/>
      <w:r>
        <w:rPr>
          <w:rFonts w:ascii="Times New Roman;Times;Serif" w:hAnsi="Times New Roman;Times;Serif"/>
          <w:b w:val="false"/>
          <w:i w:val="false"/>
          <w:caps w:val="false"/>
          <w:smallCaps w:val="false"/>
          <w:color w:val="000000"/>
          <w:sz w:val="20"/>
        </w:rPr>
        <w:t>81, and as of June 30, 2023, the remaining unamortized debt discount balance is $</w:t>
      </w:r>
      <w:bookmarkStart w:id="387" w:name="xdx_905_ecustom--DebtInstrumentRemaining"/>
      <w:bookmarkEnd w:id="387"/>
      <w:r>
        <w:rPr>
          <w:rFonts w:ascii="Times New Roman;Times;Serif" w:hAnsi="Times New Roman;Times;Serif"/>
          <w:b w:val="false"/>
          <w:i w:val="false"/>
          <w:caps w:val="false"/>
          <w:smallCaps w:val="false"/>
          <w:color w:val="000000"/>
          <w:sz w:val="20"/>
        </w:rPr>
        <w:t>282.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88" w:name="xdx_80B_eus-gaap--DebtDisclosureTextBloc"/>
      <w:bookmarkEnd w:id="388"/>
      <w:r>
        <w:rPr>
          <w:rFonts w:ascii="Times New Roman;Times;Serif" w:hAnsi="Times New Roman;Times;Serif"/>
          <w:b/>
          <w:i w:val="false"/>
          <w:caps w:val="false"/>
          <w:smallCaps w:val="false"/>
          <w:color w:val="000000"/>
          <w:sz w:val="20"/>
        </w:rPr>
        <w:t xml:space="preserve">6. </w:t>
      </w:r>
      <w:bookmarkStart w:id="389" w:name="xdx_820_zUKHQsqTQXB7"/>
      <w:bookmarkEnd w:id="389"/>
      <w:r>
        <w:rPr>
          <w:rFonts w:ascii="Times New Roman;Times;Serif" w:hAnsi="Times New Roman;Times;Serif"/>
          <w:b/>
          <w:i w:val="false"/>
          <w:caps w:val="false"/>
          <w:smallCaps w:val="false"/>
          <w:color w:val="000000"/>
          <w:sz w:val="20"/>
        </w:rPr>
        <w:t>Secured Convertible Notes Payable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90" w:name="xdx_89B_eus-gaap--ScheduleOfDebtTableTex"/>
      <w:bookmarkEnd w:id="390"/>
      <w:r>
        <w:rPr>
          <w:rFonts w:ascii="Times New Roman;Times;Serif" w:hAnsi="Times New Roman;Times;Serif"/>
          <w:b w:val="false"/>
          <w:i w:val="false"/>
          <w:caps w:val="false"/>
          <w:smallCaps w:val="false"/>
          <w:color w:val="000000"/>
          <w:sz w:val="20"/>
        </w:rPr>
        <w:t>Amounts outstanding under secured convertible notes payable are as follows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91" w:name="xdx_8B6_zS5fR30o7pFk"/>
      <w:bookmarkEnd w:id="391"/>
      <w:r>
        <w:rPr>
          <w:rFonts w:ascii="Times New Roman;Times;Serif" w:hAnsi="Times New Roman;Times;Serif"/>
          <w:b w:val="false"/>
          <w:i w:val="false"/>
          <w:caps w:val="false"/>
          <w:smallCaps w:val="false"/>
          <w:color w:val="000000"/>
          <w:sz w:val="20"/>
        </w:rPr>
        <w:t>Schedule of Debt</w:t>
      </w:r>
    </w:p>
    <w:tbl>
      <w:tblPr>
        <w:tblW w:w="8474" w:type="dxa"/>
        <w:jc w:val="left"/>
        <w:tblInd w:w="0" w:type="dxa"/>
        <w:tblLayout w:type="fixed"/>
        <w:tblCellMar>
          <w:top w:w="0" w:type="dxa"/>
          <w:left w:w="0" w:type="dxa"/>
          <w:bottom w:w="0" w:type="dxa"/>
          <w:right w:w="0" w:type="dxa"/>
        </w:tblCellMar>
      </w:tblPr>
      <w:tblGrid>
        <w:gridCol w:w="6155"/>
        <w:gridCol w:w="60"/>
        <w:gridCol w:w="140"/>
        <w:gridCol w:w="680"/>
        <w:gridCol w:w="95"/>
        <w:gridCol w:w="60"/>
        <w:gridCol w:w="200"/>
        <w:gridCol w:w="974"/>
        <w:gridCol w:w="110"/>
      </w:tblGrid>
      <w:tr>
        <w:trPr/>
        <w:tc>
          <w:tcPr>
            <w:tcW w:w="615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392" w:name="xdx_492_20230630_z7qWz67IyWBd"/>
            <w:bookmarkEnd w:id="392"/>
          </w:p>
        </w:tc>
        <w:tc>
          <w:tcPr>
            <w:tcW w:w="8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393" w:name="xdx_492_20221231_zaaTfLA54eKl"/>
            <w:bookmarkEnd w:id="393"/>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110" w:type="dxa"/>
            <w:tcBorders/>
            <w:vAlign w:val="center"/>
          </w:tcPr>
          <w:p>
            <w:pPr>
              <w:pStyle w:val="TableContents"/>
              <w:bidi w:val="0"/>
              <w:spacing w:before="0" w:after="283"/>
              <w:jc w:val="left"/>
              <w:rPr>
                <w:color w:val="000000"/>
              </w:rPr>
            </w:pPr>
            <w:r>
              <w:rPr>
                <w:color w:val="000000"/>
              </w:rPr>
              <w:t> </w:t>
            </w:r>
            <w:bookmarkStart w:id="394" w:name="xdx_402_eus-gaap--SecuredDebt_iI_pn3n3_m"/>
            <w:bookmarkEnd w:id="394"/>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Secured Convertible Note Payable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14,500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10,450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395" w:name="xdx_40D_eus-gaap--InterestPayableCurrent"/>
            <w:bookmarkEnd w:id="395"/>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interest (includes excess ABL fees of $</w:t>
            </w:r>
            <w:bookmarkStart w:id="396" w:name="xdx_90F_eus-gaap--DebtInstrumentFaceAmou"/>
            <w:bookmarkEnd w:id="396"/>
            <w:r>
              <w:rPr>
                <w:rFonts w:ascii="Times New Roman;Times;Serif" w:hAnsi="Times New Roman;Times;Serif"/>
                <w:color w:val="000000"/>
              </w:rPr>
              <w:t>1,672 and $</w:t>
            </w:r>
            <w:bookmarkStart w:id="397" w:name="xdx_90C_eus-gaap--DebtInstrumentFaceAmou"/>
            <w:bookmarkEnd w:id="397"/>
            <w:r>
              <w:rPr>
                <w:rFonts w:ascii="Times New Roman;Times;Serif" w:hAnsi="Times New Roman;Times;Serif"/>
                <w:color w:val="000000"/>
              </w:rPr>
              <w:t>648)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2,557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shd w:fill="FFFFFF" w:val="clear"/>
            <w:vAlign w:val="center"/>
          </w:tcPr>
          <w:p>
            <w:pPr>
              <w:pStyle w:val="TableContents"/>
              <w:bidi w:val="0"/>
              <w:spacing w:before="0" w:after="283"/>
              <w:jc w:val="left"/>
              <w:rPr>
                <w:color w:val="000000"/>
              </w:rPr>
            </w:pPr>
            <w:r>
              <w:rPr>
                <w:color w:val="000000"/>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1,052</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398" w:name="xdx_404_eus-gaap--DeferredFinanceCostsNe"/>
            <w:bookmarkEnd w:id="398"/>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Capitalized financing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(871</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(976</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399" w:name="xdx_402_eus-gaap--ConvertibleNotesPayabl"/>
            <w:bookmarkEnd w:id="399"/>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16,186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10,526</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00" w:name="xdx_40E_eus-gaap--ConvertibleNotesPayabl"/>
            <w:bookmarkEnd w:id="400"/>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Current portion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(7,241</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(2,434</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01" w:name="xdx_40E_eus-gaap--ConvertibleLongTermNot"/>
            <w:bookmarkEnd w:id="401"/>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Long term portion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8,945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8,092</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402" w:name="xdx_8AD_zRgCYTg285Yi"/>
      <w:bookmarkEnd w:id="402"/>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Secured Convertible Note Payable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Company issued $</w:t>
      </w:r>
      <w:bookmarkStart w:id="403" w:name="xdx_90E_eus-gaap--NotesPayable_iI_pn3n3_"/>
      <w:bookmarkEnd w:id="403"/>
      <w:r>
        <w:rPr>
          <w:rFonts w:ascii="Times New Roman;Times;Serif" w:hAnsi="Times New Roman;Times;Serif"/>
          <w:b w:val="false"/>
          <w:i w:val="false"/>
          <w:caps w:val="false"/>
          <w:smallCaps w:val="false"/>
          <w:sz w:val="20"/>
        </w:rPr>
        <w:t xml:space="preserve">11,250 of convertible notes payable to entities affiliated with Whitebox Advisors, LLC (collectively, “Whitebox”). </w:t>
      </w:r>
      <w:bookmarkStart w:id="404" w:name="xdx_906_eus-gaap--DebtInstrumentInterest"/>
      <w:bookmarkEnd w:id="404"/>
      <w:r>
        <w:rPr>
          <w:rFonts w:ascii="Times New Roman;Times;Serif" w:hAnsi="Times New Roman;Times;Serif"/>
          <w:b w:val="false"/>
          <w:i w:val="false"/>
          <w:caps w:val="false"/>
          <w:smallCaps w:val="false"/>
          <w:sz w:val="20"/>
        </w:rPr>
        <w:t xml:space="preserve">The notes bear interest at a rate of 10% per annum (with 5% per annum payable in cash and 5% per annum payable in kind (“PIK”) by adding such PIK interest to the principal amount of the notes), are secured by substantially all of the Company’s assets (including all of its intellectual property) and are subject to a collateral sharing agreement with ACS, the Company’s existing secured lender (see Note 5). The notes mature on </w:t>
      </w:r>
      <w:bookmarkStart w:id="405" w:name="xdx_90F_eus-gaap--DebtInstrumentMaturity"/>
      <w:bookmarkEnd w:id="405"/>
      <w:r>
        <w:rPr>
          <w:rFonts w:ascii="Times New Roman;Times;Serif" w:hAnsi="Times New Roman;Times;Serif"/>
          <w:b w:val="false"/>
          <w:i w:val="false"/>
          <w:caps w:val="false"/>
          <w:smallCaps w:val="false"/>
          <w:sz w:val="20"/>
        </w:rPr>
        <w:t>May 9, 2025. In September 2022, the Company issued an additional $</w:t>
      </w:r>
      <w:bookmarkStart w:id="406" w:name="xdx_904_eus-gaap--SecuredDebt_iI_pn3n3_c"/>
      <w:bookmarkEnd w:id="406"/>
      <w:r>
        <w:rPr>
          <w:rFonts w:ascii="Times New Roman;Times;Serif" w:hAnsi="Times New Roman;Times;Serif"/>
          <w:b w:val="false"/>
          <w:i w:val="false"/>
          <w:caps w:val="false"/>
          <w:smallCaps w:val="false"/>
          <w:sz w:val="20"/>
        </w:rPr>
        <w:t>2,500 of convertible notes payable to Whitebox, which were repaid in full in November 2022.</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August 2022, the convertible notes payable have an amortization feature which requires the Company to make monthly payments of principal of $</w:t>
      </w:r>
      <w:bookmarkStart w:id="407" w:name="xdx_909_eus-gaap--DebtInstrumentPeriodic"/>
      <w:bookmarkEnd w:id="407"/>
      <w:r>
        <w:rPr>
          <w:rFonts w:ascii="Times New Roman;Times;Serif" w:hAnsi="Times New Roman;Times;Serif"/>
          <w:b w:val="false"/>
          <w:i w:val="false"/>
          <w:caps w:val="false"/>
          <w:smallCaps w:val="false"/>
          <w:sz w:val="20"/>
        </w:rPr>
        <w:t xml:space="preserve">200 plus accrued interest, payable in cash or in shares of the Company’s common stock at the option of the Company, based on </w:t>
      </w:r>
      <w:bookmarkStart w:id="408" w:name="xdx_909_eus-gaap--DebtInstrumentConverti"/>
      <w:bookmarkEnd w:id="408"/>
      <w:r>
        <w:rPr>
          <w:rFonts w:ascii="Times New Roman;Times;Serif" w:hAnsi="Times New Roman;Times;Serif"/>
          <w:b w:val="false"/>
          <w:i w:val="false"/>
          <w:caps w:val="false"/>
          <w:smallCaps w:val="false"/>
          <w:sz w:val="20"/>
        </w:rPr>
        <w:t>90% of the average prices of the Company’s common stock, as defined. In February 2023, and again in May 2023, Whitebox waived the requirement for the December 2022 to September 2023 monthly amortization payments, and they are to resume October 1, 2023. Remaining amortization payments of principal are scheduled to total approximately $</w:t>
      </w:r>
      <w:bookmarkStart w:id="409" w:name="xdx_90D_eus-gaap--LongTermDebtMaturities"/>
      <w:bookmarkEnd w:id="409"/>
      <w:r>
        <w:rPr>
          <w:rFonts w:ascii="Times New Roman;Times;Serif" w:hAnsi="Times New Roman;Times;Serif"/>
          <w:b w:val="false"/>
          <w:i w:val="false"/>
          <w:caps w:val="false"/>
          <w:smallCaps w:val="false"/>
          <w:sz w:val="20"/>
        </w:rPr>
        <w:t>600 in 2023, $</w:t>
      </w:r>
      <w:bookmarkStart w:id="410" w:name="xdx_905_eus-gaap--LongTermDebtMaturities"/>
      <w:bookmarkEnd w:id="410"/>
      <w:r>
        <w:rPr>
          <w:rFonts w:ascii="Times New Roman;Times;Serif" w:hAnsi="Times New Roman;Times;Serif"/>
          <w:b w:val="false"/>
          <w:i w:val="false"/>
          <w:caps w:val="false"/>
          <w:smallCaps w:val="false"/>
          <w:sz w:val="20"/>
        </w:rPr>
        <w:t>2,400 in 2024, and $</w:t>
      </w:r>
      <w:bookmarkStart w:id="411" w:name="xdx_907_eus-gaap--LongTermDebtMaturities"/>
      <w:bookmarkEnd w:id="411"/>
      <w:r>
        <w:rPr>
          <w:rFonts w:ascii="Times New Roman;Times;Serif" w:hAnsi="Times New Roman;Times;Serif"/>
          <w:b w:val="false"/>
          <w:i w:val="false"/>
          <w:caps w:val="false"/>
          <w:smallCaps w:val="false"/>
          <w:sz w:val="20"/>
        </w:rPr>
        <w:t>1,000 in 2025, leaving a principal balance of the convertible notes of approximately $</w:t>
      </w:r>
      <w:bookmarkStart w:id="412" w:name="xdx_907_eus-gaap--ConvertibleNotesPayabl"/>
      <w:bookmarkEnd w:id="412"/>
      <w:r>
        <w:rPr>
          <w:rFonts w:ascii="Times New Roman;Times;Serif" w:hAnsi="Times New Roman;Times;Serif"/>
          <w:b w:val="false"/>
          <w:i w:val="false"/>
          <w:caps w:val="false"/>
          <w:smallCaps w:val="false"/>
          <w:sz w:val="20"/>
        </w:rPr>
        <w:t>7.7 million due at maturity on May 9, 2025.</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permit indebtedness to ASC (see Note 5) as an asset based loan (“ABL”) up to $</w:t>
      </w:r>
      <w:bookmarkStart w:id="413" w:name="xdx_903_eus-gaap--LoansPayable_iI_c20230"/>
      <w:bookmarkEnd w:id="413"/>
      <w:r>
        <w:rPr>
          <w:rFonts w:ascii="Times New Roman;Times;Serif" w:hAnsi="Times New Roman;Times;Serif"/>
          <w:b w:val="false"/>
          <w:i w:val="false"/>
          <w:caps w:val="false"/>
          <w:smallCaps w:val="false"/>
          <w:sz w:val="20"/>
        </w:rPr>
        <w:t>6,000. In February 2023, and again in May 2023, Whitebox waived the Company’s covenant violation of excess ABL amounts and deferred payment of such ABL fees. At June 30, 2023, the excess ABL fees totaled $</w:t>
      </w:r>
      <w:bookmarkStart w:id="414" w:name="xdx_903_eus-gaap--DebtInstrumentFeeAmoun"/>
      <w:bookmarkEnd w:id="414"/>
      <w:r>
        <w:rPr>
          <w:rFonts w:ascii="Times New Roman;Times;Serif" w:hAnsi="Times New Roman;Times;Serif"/>
          <w:b w:val="false"/>
          <w:i w:val="false"/>
          <w:caps w:val="false"/>
          <w:smallCaps w:val="false"/>
          <w:sz w:val="20"/>
        </w:rPr>
        <w:t>1,672 and are due 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experiences a fundamental change as defined in the convertible notes, the holders of the notes have the right to require the Company to repurchase the notes for cash at a repurchase price equal to </w:t>
      </w:r>
      <w:bookmarkStart w:id="415" w:name="xdx_901_ecustom--RepurchasePricePercenta"/>
      <w:bookmarkEnd w:id="415"/>
      <w:r>
        <w:rPr>
          <w:rFonts w:ascii="Times New Roman;Times;Serif" w:hAnsi="Times New Roman;Times;Serif"/>
          <w:b w:val="false"/>
          <w:i w:val="false"/>
          <w:caps w:val="false"/>
          <w:smallCaps w:val="false"/>
          <w:sz w:val="20"/>
        </w:rPr>
        <w:t>110% (amended from 100%) of the principal amount, plus accrued interest, and among other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principal balance of the Notes was $</w:t>
      </w:r>
      <w:bookmarkStart w:id="416" w:name="xdx_900_eus-gaap--DebtInstrumentFaceAmou"/>
      <w:bookmarkEnd w:id="416"/>
      <w:r>
        <w:rPr>
          <w:rFonts w:ascii="Times New Roman;Times;Serif" w:hAnsi="Times New Roman;Times;Serif"/>
          <w:b w:val="false"/>
          <w:i w:val="false"/>
          <w:caps w:val="false"/>
          <w:smallCaps w:val="false"/>
          <w:sz w:val="20"/>
        </w:rPr>
        <w:t>10,450. In February 2023 and May 2023, the Company issued an aggregate of $</w:t>
      </w:r>
      <w:bookmarkStart w:id="417" w:name="xdx_90E_eus-gaap--ConvertibleNotesPayabl"/>
      <w:bookmarkStart w:id="418" w:name="xdx_90C_eus-gaap--ConvertibleNotesPayabl"/>
      <w:bookmarkEnd w:id="417"/>
      <w:bookmarkEnd w:id="418"/>
      <w:r>
        <w:rPr>
          <w:rFonts w:ascii="Times New Roman;Times;Serif" w:hAnsi="Times New Roman;Times;Serif"/>
          <w:b w:val="false"/>
          <w:i w:val="false"/>
          <w:caps w:val="false"/>
          <w:smallCaps w:val="false"/>
          <w:sz w:val="20"/>
        </w:rPr>
        <w:t>4,050 of additional convertible notes to Whitebox that substantially have the same terms as the notes issued in May 2022, except the $</w:t>
      </w:r>
      <w:bookmarkStart w:id="419" w:name="xdx_907_eus-gaap--ConvertibleNotesPayabl"/>
      <w:bookmarkEnd w:id="419"/>
      <w:r>
        <w:rPr>
          <w:rFonts w:ascii="Times New Roman;Times;Serif" w:hAnsi="Times New Roman;Times;Serif"/>
          <w:b w:val="false"/>
          <w:i w:val="false"/>
          <w:caps w:val="false"/>
          <w:smallCaps w:val="false"/>
          <w:sz w:val="20"/>
        </w:rPr>
        <w:t>4,050 convertible notes do not require any amortization payments, and are due September 29, 2023. At June 30, 2023, the balance of all convertible notes payable to Whitebox was $</w:t>
      </w:r>
      <w:bookmarkStart w:id="420" w:name="xdx_901_eus-gaap--ConvertibleNotesPayabl"/>
      <w:bookmarkEnd w:id="420"/>
      <w:r>
        <w:rPr>
          <w:rFonts w:ascii="Times New Roman;Times;Serif" w:hAnsi="Times New Roman;Times;Serif"/>
          <w:b w:val="false"/>
          <w:i w:val="false"/>
          <w:caps w:val="false"/>
          <w:smallCaps w:val="false"/>
          <w:sz w:val="20"/>
        </w:rPr>
        <w:t>14,500.</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balance of accrued interest was $</w:t>
      </w:r>
      <w:bookmarkStart w:id="421" w:name="xdx_904_eus-gaap--InterestPayableCurrent"/>
      <w:bookmarkEnd w:id="421"/>
      <w:r>
        <w:rPr>
          <w:rFonts w:ascii="Times New Roman;Times;Serif" w:hAnsi="Times New Roman;Times;Serif"/>
          <w:b w:val="false"/>
          <w:i w:val="false"/>
          <w:caps w:val="false"/>
          <w:smallCaps w:val="false"/>
          <w:sz w:val="20"/>
        </w:rPr>
        <w:t>1,052. During the six months ended June 30, 2023, the Company recorded interest of $</w:t>
      </w:r>
      <w:bookmarkStart w:id="422" w:name="xdx_90F_eus-gaap--InterestPayableCurrent"/>
      <w:bookmarkEnd w:id="422"/>
      <w:r>
        <w:rPr>
          <w:rFonts w:ascii="Times New Roman;Times;Serif" w:hAnsi="Times New Roman;Times;Serif"/>
          <w:b w:val="false"/>
          <w:i w:val="false"/>
          <w:caps w:val="false"/>
          <w:smallCaps w:val="false"/>
          <w:sz w:val="20"/>
        </w:rPr>
        <w:t>1,773, made up of $</w:t>
      </w:r>
      <w:bookmarkStart w:id="423" w:name="xdx_90C_ecustom--InterestPayableNonCurre"/>
      <w:bookmarkEnd w:id="423"/>
      <w:r>
        <w:rPr>
          <w:rFonts w:ascii="Times New Roman;Times;Serif" w:hAnsi="Times New Roman;Times;Serif"/>
          <w:b w:val="false"/>
          <w:i w:val="false"/>
          <w:caps w:val="false"/>
          <w:smallCaps w:val="false"/>
          <w:sz w:val="20"/>
        </w:rPr>
        <w:t>749 of interest on the convertible notes, and $</w:t>
      </w:r>
      <w:bookmarkStart w:id="424" w:name="xdx_903_eus-gaap--DebtInstrumentFeeAmoun"/>
      <w:bookmarkEnd w:id="424"/>
      <w:r>
        <w:rPr>
          <w:rFonts w:ascii="Times New Roman;Times;Serif" w:hAnsi="Times New Roman;Times;Serif"/>
          <w:b w:val="false"/>
          <w:i w:val="false"/>
          <w:caps w:val="false"/>
          <w:smallCaps w:val="false"/>
          <w:sz w:val="20"/>
        </w:rPr>
        <w:t>1,024 related to the excess ABL fees. In addition, accrued interest of $</w:t>
      </w:r>
      <w:bookmarkStart w:id="425" w:name="xdx_906_ecustom--AdditionalAccruedIntere"/>
      <w:bookmarkEnd w:id="425"/>
      <w:r>
        <w:rPr>
          <w:rFonts w:ascii="Times New Roman;Times;Serif" w:hAnsi="Times New Roman;Times;Serif"/>
          <w:b w:val="false"/>
          <w:i w:val="false"/>
          <w:caps w:val="false"/>
          <w:smallCaps w:val="false"/>
          <w:sz w:val="20"/>
        </w:rPr>
        <w:t>268 was paid. At June 30, 2023, the balance of accrued interest was $</w:t>
      </w:r>
      <w:bookmarkStart w:id="426" w:name="xdx_906_eus-gaap--InterestPayableCurrent"/>
      <w:bookmarkEnd w:id="426"/>
      <w:r>
        <w:rPr>
          <w:rFonts w:ascii="Times New Roman;Times;Serif" w:hAnsi="Times New Roman;Times;Serif"/>
          <w:b w:val="false"/>
          <w:i w:val="false"/>
          <w:caps w:val="false"/>
          <w:smallCaps w:val="false"/>
          <w:sz w:val="20"/>
        </w:rPr>
        <w:t>2,557.</w:t>
      </w:r>
    </w:p>
    <w:p>
      <w:pPr>
        <w:pStyle w:val="TextBody"/>
        <w:bidi w:val="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unamortized debt discount was $</w:t>
      </w:r>
      <w:bookmarkStart w:id="427" w:name="xdx_90E_eus-gaap--DebtInstrumentUnamorti"/>
      <w:bookmarkEnd w:id="427"/>
      <w:r>
        <w:rPr>
          <w:rFonts w:ascii="Times New Roman;Times;Serif" w:hAnsi="Times New Roman;Times;Serif"/>
          <w:b w:val="false"/>
          <w:i w:val="false"/>
          <w:caps w:val="false"/>
          <w:smallCaps w:val="false"/>
          <w:sz w:val="20"/>
        </w:rPr>
        <w:t>976. During the six months ended June 30, 2023, the Company incurred $</w:t>
      </w:r>
      <w:bookmarkStart w:id="428" w:name="xdx_90E_ecustom--DebtIssuanceCosts_pn3n3"/>
      <w:bookmarkEnd w:id="428"/>
      <w:r>
        <w:rPr>
          <w:rFonts w:ascii="Times New Roman;Times;Serif" w:hAnsi="Times New Roman;Times;Serif"/>
          <w:b w:val="false"/>
          <w:i w:val="false"/>
          <w:caps w:val="false"/>
          <w:smallCaps w:val="false"/>
          <w:sz w:val="20"/>
        </w:rPr>
        <w:t xml:space="preserve">253 of direct costs of issuing loans, and issued </w:t>
      </w:r>
      <w:bookmarkStart w:id="429" w:name="xdx_90F_eus-gaap--DebtConversionConverte"/>
      <w:bookmarkEnd w:id="429"/>
      <w:r>
        <w:rPr>
          <w:rFonts w:ascii="Times New Roman;Times;Serif" w:hAnsi="Times New Roman;Times;Serif"/>
          <w:b w:val="false"/>
          <w:i w:val="false"/>
          <w:caps w:val="false"/>
          <w:smallCaps w:val="false"/>
          <w:sz w:val="20"/>
        </w:rPr>
        <w:t>82,438 shares of the Company’s common stock valued at $</w:t>
      </w:r>
      <w:bookmarkStart w:id="430" w:name="xdx_905_eus-gaap--StockIssued1_pn3n3_c20"/>
      <w:bookmarkEnd w:id="430"/>
      <w:r>
        <w:rPr>
          <w:rFonts w:ascii="Times New Roman;Times;Serif" w:hAnsi="Times New Roman;Times;Serif"/>
          <w:b w:val="false"/>
          <w:i w:val="false"/>
          <w:caps w:val="false"/>
          <w:smallCaps w:val="false"/>
          <w:sz w:val="20"/>
        </w:rPr>
        <w:t>273 as inducement for the aforementioned waivers. These costs have been capitalized and are being amortized over the term of the convertible notes or waiver period. For the six months ended June 30, 2023, amortization of debt discount was $</w:t>
      </w:r>
      <w:bookmarkStart w:id="431" w:name="xdx_90B_eus-gaap--DebtInstrumentUnamorti"/>
      <w:bookmarkEnd w:id="431"/>
      <w:r>
        <w:rPr>
          <w:rFonts w:ascii="Times New Roman;Times;Serif" w:hAnsi="Times New Roman;Times;Serif"/>
          <w:b w:val="false"/>
          <w:i w:val="false"/>
          <w:caps w:val="false"/>
          <w:smallCaps w:val="false"/>
          <w:sz w:val="20"/>
        </w:rPr>
        <w:t>642, and as of June 30, 2023, the remaining unamortized debt discount balance is $</w:t>
      </w:r>
      <w:bookmarkStart w:id="432" w:name="xdx_903_ecustom--RemainingUnamortizedDeb"/>
      <w:bookmarkEnd w:id="432"/>
      <w:r>
        <w:rPr>
          <w:rFonts w:ascii="Times New Roman;Times;Serif" w:hAnsi="Times New Roman;Times;Serif"/>
          <w:b w:val="false"/>
          <w:i w:val="false"/>
          <w:caps w:val="false"/>
          <w:smallCaps w:val="false"/>
          <w:sz w:val="20"/>
        </w:rPr>
        <w:t>860.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3" w:name="xdx_90F_eus-gaap--DebtConversionConverte"/>
      <w:bookmarkEnd w:id="433"/>
      <w:r>
        <w:rPr>
          <w:rFonts w:ascii="Times New Roman;Times;Serif" w:hAnsi="Times New Roman;Times;Serif"/>
          <w:b w:val="false"/>
          <w:i w:val="false"/>
          <w:caps w:val="false"/>
          <w:smallCaps w:val="false"/>
          <w:sz w:val="20"/>
        </w:rPr>
        <w:t>The convertible notes are convertible at an initial conversion rate of 0.08306 shares of the Company’s common stock per one dollar of principal converted, or approximately $12.04 per share, subject to customary anti-dilution adjustments. In addition, if certain corporate events occur that constitute a make-whole fundamental change as defined, then the note holders are, under certain circumstances, are entitled to an increase in the conversion rate, limited to 0.12155 shares of Common Stock per one dollar of principal, or approximately $8.23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holders of the convertible notes are entitled to receive an interest make-whole payment, as defined. The make-whole amount is equal to the sum of the remaining scheduled payments of interest on the convertible notes to be converted that would be due at maturity, payable, at the Company’s option in cash or in shares of common stock. The Company’s ability to settle conversions and make amortization payments and interest make-whole payments using shares of the Company’s common stock is subject to certain limitations set forth in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2023, the Notes, including accrued interest, are convertible into </w:t>
      </w:r>
      <w:bookmarkStart w:id="434" w:name="xdx_909_eus-gaap--DebtConversionConverte"/>
      <w:bookmarkEnd w:id="434"/>
      <w:r>
        <w:rPr>
          <w:rFonts w:ascii="Times New Roman;Times;Serif" w:hAnsi="Times New Roman;Times;Serif"/>
          <w:b w:val="false"/>
          <w:i w:val="false"/>
          <w:caps w:val="false"/>
          <w:smallCaps w:val="false"/>
          <w:sz w:val="20"/>
        </w:rPr>
        <w:t>1,415,826 shares of the Company’s common stock.</w:t>
      </w:r>
    </w:p>
    <w:p>
      <w:pPr>
        <w:pStyle w:val="TextBody"/>
        <w:bidi w:val="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435" w:name="xdx_804_eus-gaap--LesseeOperatingLeasesT"/>
      <w:bookmarkEnd w:id="435"/>
      <w:r>
        <w:rPr>
          <w:rFonts w:ascii="Times New Roman;Times;Serif" w:hAnsi="Times New Roman;Times;Serif"/>
          <w:b/>
          <w:i w:val="false"/>
          <w:caps w:val="false"/>
          <w:smallCaps w:val="false"/>
          <w:color w:val="000000"/>
          <w:sz w:val="20"/>
        </w:rPr>
        <w:t xml:space="preserve">7. </w:t>
      </w:r>
      <w:bookmarkStart w:id="436" w:name="xdx_820_zfcfDkqo54h1"/>
      <w:bookmarkEnd w:id="436"/>
      <w:r>
        <w:rPr>
          <w:rFonts w:ascii="Times New Roman;Times;Serif" w:hAnsi="Times New Roman;Times;Serif"/>
          <w:b/>
          <w:i w:val="false"/>
          <w:caps w:val="false"/>
          <w:smallCaps w:val="false"/>
          <w:color w:val="000000"/>
          <w:sz w:val="20"/>
        </w:rPr>
        <w:t xml:space="preserve">Leases Liabilities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six months ended June 30, 2023 and 2022, lease costs totaled $</w:t>
      </w:r>
      <w:bookmarkStart w:id="437" w:name="xdx_909_eus-gaap--LeaseCost_pn3n3_c20230"/>
      <w:bookmarkEnd w:id="437"/>
      <w:r>
        <w:rPr>
          <w:rFonts w:ascii="Times New Roman;Times;Serif" w:hAnsi="Times New Roman;Times;Serif"/>
          <w:b w:val="false"/>
          <w:i w:val="false"/>
          <w:caps w:val="false"/>
          <w:smallCaps w:val="false"/>
          <w:color w:val="000000"/>
          <w:sz w:val="20"/>
        </w:rPr>
        <w:t>67 and $</w:t>
      </w:r>
      <w:bookmarkStart w:id="438" w:name="xdx_904_eus-gaap--LeaseCost_pn3n3_c20220"/>
      <w:bookmarkEnd w:id="438"/>
      <w:r>
        <w:rPr>
          <w:rFonts w:ascii="Times New Roman;Times;Serif" w:hAnsi="Times New Roman;Times;Serif"/>
          <w:b w:val="false"/>
          <w:i w:val="false"/>
          <w:caps w:val="false"/>
          <w:smallCaps w:val="false"/>
          <w:color w:val="000000"/>
          <w:sz w:val="20"/>
        </w:rPr>
        <w:t>56,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December 31, 2022, the operating lease liability totaled $</w:t>
      </w:r>
      <w:bookmarkStart w:id="439" w:name="xdx_905_eus-gaap--OperatingLeaseLiabilit"/>
      <w:bookmarkEnd w:id="439"/>
      <w:r>
        <w:rPr>
          <w:rFonts w:ascii="Times New Roman;Times;Serif" w:hAnsi="Times New Roman;Times;Serif"/>
          <w:b w:val="false"/>
          <w:i w:val="false"/>
          <w:caps w:val="false"/>
          <w:smallCaps w:val="false"/>
          <w:color w:val="000000"/>
          <w:sz w:val="20"/>
        </w:rPr>
        <w:t>394. During the six months ended June 30, 2023, the Company made payments of $</w:t>
      </w:r>
      <w:bookmarkStart w:id="440" w:name="xdx_90E_eus-gaap--OperatingLeasePayments"/>
      <w:bookmarkEnd w:id="440"/>
      <w:r>
        <w:rPr>
          <w:rFonts w:ascii="Times New Roman;Times;Serif" w:hAnsi="Times New Roman;Times;Serif"/>
          <w:b w:val="false"/>
          <w:i w:val="false"/>
          <w:caps w:val="false"/>
          <w:smallCaps w:val="false"/>
          <w:color w:val="000000"/>
          <w:sz w:val="20"/>
        </w:rPr>
        <w:t>90 towards its operating lease liability. As of June 30, 2023, the operating lease liability totaled $</w:t>
      </w:r>
      <w:bookmarkStart w:id="441" w:name="xdx_906_eus-gaap--OperatingLeaseLiabilit"/>
      <w:bookmarkEnd w:id="441"/>
      <w:r>
        <w:rPr>
          <w:rFonts w:ascii="Times New Roman;Times;Serif" w:hAnsi="Times New Roman;Times;Serif"/>
          <w:b w:val="false"/>
          <w:i w:val="false"/>
          <w:caps w:val="false"/>
          <w:smallCaps w:val="false"/>
          <w:color w:val="000000"/>
          <w:sz w:val="20"/>
        </w:rPr>
        <w:t>304.</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June 30, 2023, the weighted average remaining lease terms for an operating lease are </w:t>
      </w:r>
      <w:bookmarkStart w:id="442" w:name="xdx_904_eus-gaap--OperatingLeaseWeighted"/>
      <w:bookmarkEnd w:id="442"/>
      <w:r>
        <w:rPr>
          <w:rFonts w:ascii="Times New Roman;Times;Serif" w:hAnsi="Times New Roman;Times;Serif"/>
          <w:b w:val="false"/>
          <w:i w:val="false"/>
          <w:caps w:val="false"/>
          <w:smallCaps w:val="false"/>
          <w:color w:val="000000"/>
          <w:sz w:val="20"/>
        </w:rPr>
        <w:t xml:space="preserve">1.51 years. As of June 30, 2023, the weighted average discount rate on the operating lease is </w:t>
      </w:r>
      <w:bookmarkStart w:id="443" w:name="xdx_900_eus-gaap--OperatingLeaseWeighted"/>
      <w:bookmarkEnd w:id="443"/>
      <w:r>
        <w:rPr>
          <w:rFonts w:ascii="Times New Roman;Times;Serif" w:hAnsi="Times New Roman;Times;Serif"/>
          <w:b w:val="false"/>
          <w:i w:val="false"/>
          <w:caps w:val="false"/>
          <w:smallCaps w:val="false"/>
          <w:color w:val="000000"/>
          <w:sz w:val="20"/>
        </w:rPr>
        <w:t>12.60%.</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444" w:name="xdx_80E_eus-gaap--StockholdersEquityNote"/>
      <w:bookmarkEnd w:id="444"/>
      <w:r>
        <w:rPr>
          <w:rFonts w:ascii="Times New Roman;Times;Serif" w:hAnsi="Times New Roman;Times;Serif"/>
          <w:b/>
          <w:i w:val="false"/>
          <w:caps w:val="false"/>
          <w:smallCaps w:val="false"/>
          <w:color w:val="000000"/>
          <w:sz w:val="20"/>
        </w:rPr>
        <w:t xml:space="preserve">8. </w:t>
      </w:r>
      <w:bookmarkStart w:id="445" w:name="xdx_826_zOKcuEmbUIB6"/>
      <w:bookmarkEnd w:id="445"/>
      <w:r>
        <w:rPr>
          <w:rFonts w:ascii="Times New Roman;Times;Serif" w:hAnsi="Times New Roman;Times;Serif"/>
          <w:b/>
          <w:i w:val="false"/>
          <w:caps w:val="false"/>
          <w:smallCaps w:val="false"/>
          <w:color w:val="000000"/>
          <w:sz w:val="20"/>
        </w:rPr>
        <w:t>Stockholder’s Equity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Common stock issuances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25, 2023, the Company entered into a Securities Purchase Agreement with D&amp;D Source of Life Holding Ltd., as the lead investor, and certain of Reed’s affiliates pursuant to which the investors agreed to purchase an aggregate of </w:t>
      </w:r>
      <w:bookmarkStart w:id="446" w:name="xdx_90F_eus-gaap--StockIssuedDuringPerio"/>
      <w:bookmarkEnd w:id="446"/>
      <w:r>
        <w:rPr>
          <w:rFonts w:ascii="Times New Roman;Times;Serif" w:hAnsi="Times New Roman;Times;Serif"/>
          <w:b w:val="false"/>
          <w:i w:val="false"/>
          <w:caps w:val="false"/>
          <w:smallCaps w:val="false"/>
          <w:sz w:val="20"/>
        </w:rPr>
        <w:t xml:space="preserve">1,566,732 shares of Reed’s common stock and warrants to purchase </w:t>
      </w:r>
      <w:bookmarkStart w:id="447" w:name="xdx_905_eus-gaap--ClassOfWarrantOrRightN"/>
      <w:bookmarkEnd w:id="447"/>
      <w:r>
        <w:rPr>
          <w:rFonts w:ascii="Times New Roman;Times;Serif" w:hAnsi="Times New Roman;Times;Serif"/>
          <w:b w:val="false"/>
          <w:i w:val="false"/>
          <w:caps w:val="false"/>
          <w:smallCaps w:val="false"/>
          <w:sz w:val="20"/>
        </w:rPr>
        <w:t>313,346 shares of Common Stock. The purchase price was $</w:t>
      </w:r>
      <w:bookmarkStart w:id="448" w:name="xdx_90D_eus-gaap--SharePrice_iI_pid_c202"/>
      <w:bookmarkEnd w:id="448"/>
      <w:r>
        <w:rPr>
          <w:rFonts w:ascii="Times New Roman;Times;Serif" w:hAnsi="Times New Roman;Times;Serif"/>
          <w:b w:val="false"/>
          <w:i w:val="false"/>
          <w:caps w:val="false"/>
          <w:smallCaps w:val="false"/>
          <w:sz w:val="20"/>
        </w:rPr>
        <w:t>2.585 per share of Common Stock with the associated warrant. The net proceeds to the Company, after deducting offering expenses, was $</w:t>
      </w:r>
      <w:bookmarkStart w:id="449" w:name="xdx_901_eus-gaap--ProceedsFromIssuanceOf"/>
      <w:bookmarkEnd w:id="449"/>
      <w:r>
        <w:rPr>
          <w:rFonts w:ascii="Times New Roman;Times;Serif" w:hAnsi="Times New Roman;Times;Serif"/>
          <w:b w:val="false"/>
          <w:i w:val="false"/>
          <w:caps w:val="false"/>
          <w:smallCaps w:val="false"/>
          <w:sz w:val="20"/>
        </w:rPr>
        <w:t>4,016. </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rPr>
        <w:t xml:space="preserve">The warrants are exercisable for a term of </w:t>
      </w:r>
      <w:bookmarkStart w:id="450" w:name="xdx_90E_eus-gaap--WarrantsAndRightsOutst"/>
      <w:bookmarkEnd w:id="450"/>
      <w:r>
        <w:rPr>
          <w:rFonts w:ascii="Times New Roman;Times;Serif" w:hAnsi="Times New Roman;Times;Serif"/>
          <w:b w:val="false"/>
          <w:i w:val="false"/>
          <w:caps w:val="false"/>
          <w:smallCaps w:val="false"/>
          <w:sz w:val="20"/>
        </w:rPr>
        <w:t>three years at an exercise price of $</w:t>
      </w:r>
      <w:bookmarkStart w:id="451" w:name="xdx_90C_eus-gaap--ClassOfWarrantOrRightE"/>
      <w:bookmarkEnd w:id="451"/>
      <w:r>
        <w:rPr>
          <w:rFonts w:ascii="Times New Roman;Times;Serif" w:hAnsi="Times New Roman;Times;Serif"/>
          <w:b w:val="false"/>
          <w:i w:val="false"/>
          <w:caps w:val="false"/>
          <w:smallCaps w:val="false"/>
          <w:sz w:val="20"/>
        </w:rPr>
        <w:t>2.50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in order to induce the lead investor to subscribe, the Company granted the lead investor certain preemptive rights and agreed to support the lead investor’s nomination of two board designees, one of which shall be an independent director.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Common stock repurchases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six months ended June 30, 2023, the Company repurchased </w:t>
      </w:r>
      <w:bookmarkStart w:id="452" w:name="xdx_90B_eus-gaap--StockRepurchasedDuring"/>
      <w:bookmarkEnd w:id="452"/>
      <w:r>
        <w:rPr>
          <w:rFonts w:ascii="Times New Roman;Times;Serif" w:hAnsi="Times New Roman;Times;Serif"/>
          <w:b w:val="false"/>
          <w:i w:val="false"/>
          <w:caps w:val="false"/>
          <w:smallCaps w:val="false"/>
          <w:color w:val="000000"/>
          <w:sz w:val="20"/>
        </w:rPr>
        <w:t>274 shares of common stock from an officer for $</w:t>
      </w:r>
      <w:bookmarkStart w:id="453" w:name="xdx_908_eus-gaap--StockRepurchasedDuring"/>
      <w:bookmarkEnd w:id="453"/>
      <w:r>
        <w:rPr>
          <w:rFonts w:ascii="Times New Roman;Times;Serif" w:hAnsi="Times New Roman;Times;Serif"/>
          <w:b w:val="false"/>
          <w:i w:val="false"/>
          <w:caps w:val="false"/>
          <w:smallCaps w:val="false"/>
          <w:color w:val="000000"/>
          <w:sz w:val="20"/>
        </w:rPr>
        <w:t>1 based on the market value of share on the date repurchased. The Company retired the shares.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454" w:name="xdx_80F_eus-gaap--DisclosureOfCompensati"/>
      <w:bookmarkEnd w:id="454"/>
      <w:r>
        <w:rPr>
          <w:rFonts w:ascii="Times New Roman;Times;Serif" w:hAnsi="Times New Roman;Times;Serif"/>
          <w:b/>
          <w:i w:val="false"/>
          <w:caps w:val="false"/>
          <w:smallCaps w:val="false"/>
          <w:color w:val="000000"/>
          <w:sz w:val="20"/>
        </w:rPr>
        <w:t xml:space="preserve">9. </w:t>
      </w:r>
      <w:bookmarkStart w:id="455" w:name="xdx_820_zNjP1P0WVhik"/>
      <w:bookmarkEnd w:id="455"/>
      <w:r>
        <w:rPr>
          <w:rFonts w:ascii="Times New Roman;Times;Serif" w:hAnsi="Times New Roman;Times;Serif"/>
          <w:b/>
          <w:i w:val="false"/>
          <w:caps w:val="false"/>
          <w:smallCaps w:val="false"/>
          <w:color w:val="000000"/>
          <w:sz w:val="20"/>
        </w:rPr>
        <w:t>Stock-Based Compensation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Restricted common stock</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56" w:name="xdx_89A_eus-gaap--NonvestedRestrictedSto"/>
      <w:bookmarkEnd w:id="456"/>
      <w:r>
        <w:rPr>
          <w:rFonts w:ascii="Times New Roman;Times;Serif" w:hAnsi="Times New Roman;Times;Serif"/>
          <w:b w:val="false"/>
          <w:i w:val="false"/>
          <w:caps w:val="false"/>
          <w:smallCaps w:val="false"/>
          <w:color w:val="000000"/>
          <w:sz w:val="20"/>
        </w:rPr>
        <w:t>The following table summarizes restricted stock activity during the six months ended June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57" w:name="xdx_8B3_zdmeonjx3C1l"/>
      <w:bookmarkEnd w:id="457"/>
      <w:r>
        <w:rPr>
          <w:rFonts w:ascii="Times New Roman;Times;Serif" w:hAnsi="Times New Roman;Times;Serif"/>
          <w:b w:val="false"/>
          <w:i w:val="false"/>
          <w:caps w:val="false"/>
          <w:smallCaps w:val="false"/>
          <w:color w:val="000000"/>
          <w:sz w:val="20"/>
        </w:rPr>
        <w:t>Summary of Non-vested Restricted Stock Activity</w:t>
      </w:r>
    </w:p>
    <w:tbl>
      <w:tblPr>
        <w:tblW w:w="7060" w:type="dxa"/>
        <w:jc w:val="left"/>
        <w:tblInd w:w="0" w:type="dxa"/>
        <w:tblLayout w:type="fixed"/>
        <w:tblCellMar>
          <w:top w:w="0" w:type="dxa"/>
          <w:left w:w="0" w:type="dxa"/>
          <w:bottom w:w="0" w:type="dxa"/>
          <w:right w:w="0" w:type="dxa"/>
        </w:tblCellMar>
      </w:tblPr>
      <w:tblGrid>
        <w:gridCol w:w="2360"/>
        <w:gridCol w:w="60"/>
        <w:gridCol w:w="93"/>
        <w:gridCol w:w="872"/>
        <w:gridCol w:w="95"/>
        <w:gridCol w:w="60"/>
        <w:gridCol w:w="98"/>
        <w:gridCol w:w="747"/>
        <w:gridCol w:w="95"/>
        <w:gridCol w:w="60"/>
        <w:gridCol w:w="223"/>
        <w:gridCol w:w="892"/>
        <w:gridCol w:w="95"/>
        <w:gridCol w:w="60"/>
        <w:gridCol w:w="235"/>
        <w:gridCol w:w="940"/>
        <w:gridCol w:w="75"/>
      </w:tblGrid>
      <w:tr>
        <w:trPr/>
        <w:tc>
          <w:tcPr>
            <w:tcW w:w="23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Unvested</w:t>
              <w:b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Issuable</w:t>
              <w:b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Fair Value</w:t>
              <w:br/>
              <w:t>at Date of</w:t>
              <w:br/>
              <w:t>Issuance</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Weighted</w:t>
              <w:br/>
              <w:t xml:space="preserve">Average </w:t>
              <w:br/>
              <w:t>Grant Date</w:t>
              <w:br/>
              <w:t>Fair 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Balance, December 31,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shd w:fill="CCEEFF" w:val="clear"/>
            <w:vAlign w:val="center"/>
          </w:tcPr>
          <w:p>
            <w:pPr>
              <w:pStyle w:val="TableContents"/>
              <w:bidi w:val="0"/>
              <w:spacing w:before="0" w:after="283"/>
              <w:jc w:val="left"/>
              <w:rPr>
                <w:color w:val="000000"/>
              </w:rPr>
            </w:pPr>
            <w:r>
              <w:rPr>
                <w:color w:val="000000"/>
              </w:rPr>
              <w:t> </w:t>
            </w:r>
            <w:bookmarkStart w:id="458" w:name="xdx_98C_eus-gaap--SharebasedCompensation"/>
            <w:bookmarkEnd w:id="458"/>
          </w:p>
        </w:tc>
        <w:tc>
          <w:tcPr>
            <w:tcW w:w="87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 w:type="dxa"/>
            <w:tcBorders/>
            <w:shd w:fill="CCEEFF" w:val="clear"/>
            <w:vAlign w:val="center"/>
          </w:tcPr>
          <w:p>
            <w:pPr>
              <w:pStyle w:val="TableContents"/>
              <w:bidi w:val="0"/>
              <w:spacing w:before="0" w:after="283"/>
              <w:jc w:val="left"/>
              <w:rPr>
                <w:color w:val="000000"/>
              </w:rPr>
            </w:pPr>
            <w:r>
              <w:rPr>
                <w:color w:val="000000"/>
              </w:rPr>
              <w:t> </w:t>
            </w:r>
            <w:bookmarkStart w:id="459" w:name="xdx_98C_ecustom--SharebasedCompensationA"/>
            <w:bookmarkEnd w:id="459"/>
          </w:p>
        </w:tc>
        <w:tc>
          <w:tcPr>
            <w:tcW w:w="74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60" w:name="xdx_982_ecustom--SharebasedCompensationA"/>
            <w:bookmarkEnd w:id="460"/>
          </w:p>
        </w:tc>
        <w:tc>
          <w:tcPr>
            <w:tcW w:w="89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5" w:type="dxa"/>
            <w:tcBorders/>
            <w:shd w:fill="CCEEFF" w:val="clear"/>
            <w:vAlign w:val="center"/>
          </w:tcPr>
          <w:p>
            <w:pPr>
              <w:pStyle w:val="TableContents"/>
              <w:bidi w:val="0"/>
              <w:spacing w:before="0" w:after="283"/>
              <w:jc w:val="left"/>
              <w:rPr>
                <w:color w:val="000000"/>
              </w:rPr>
            </w:pPr>
            <w:r>
              <w:rPr>
                <w:color w:val="000000"/>
              </w:rPr>
              <w:t> </w:t>
            </w:r>
            <w:bookmarkStart w:id="461" w:name="xdx_98F_eus-gaap--SharebasedCompensation"/>
            <w:bookmarkEnd w:id="461"/>
          </w:p>
        </w:tc>
        <w:tc>
          <w:tcPr>
            <w:tcW w:w="94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44.75</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3" w:type="dxa"/>
            <w:tcBorders/>
            <w:shd w:fill="FFFFFF" w:val="clear"/>
            <w:vAlign w:val="center"/>
          </w:tcPr>
          <w:p>
            <w:pPr>
              <w:pStyle w:val="TableContents"/>
              <w:bidi w:val="0"/>
              <w:spacing w:before="0" w:after="283"/>
              <w:jc w:val="left"/>
              <w:rPr>
                <w:color w:val="000000"/>
              </w:rPr>
            </w:pPr>
            <w:r>
              <w:rPr>
                <w:color w:val="000000"/>
              </w:rPr>
              <w:t> </w:t>
            </w:r>
            <w:bookmarkStart w:id="462" w:name="xdx_98F_ecustom--ShareBasedCompensationA"/>
            <w:bookmarkEnd w:id="462"/>
          </w:p>
        </w:tc>
        <w:tc>
          <w:tcPr>
            <w:tcW w:w="87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 w:type="dxa"/>
            <w:tcBorders/>
            <w:shd w:fill="FFFFFF" w:val="clear"/>
            <w:vAlign w:val="center"/>
          </w:tcPr>
          <w:p>
            <w:pPr>
              <w:pStyle w:val="TableContents"/>
              <w:bidi w:val="0"/>
              <w:spacing w:before="0" w:after="283"/>
              <w:jc w:val="left"/>
              <w:rPr>
                <w:color w:val="000000"/>
              </w:rPr>
            </w:pPr>
            <w:r>
              <w:rPr>
                <w:color w:val="000000"/>
              </w:rPr>
              <w:t> </w:t>
            </w:r>
            <w:bookmarkStart w:id="463" w:name="xdx_98A_ecustom--ShareBasedCompensationA"/>
            <w:bookmarkEnd w:id="463"/>
          </w:p>
        </w:tc>
        <w:tc>
          <w:tcPr>
            <w:tcW w:w="74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3" w:type="dxa"/>
            <w:tcBorders/>
            <w:shd w:fill="FFFFFF" w:val="clear"/>
            <w:vAlign w:val="center"/>
          </w:tcPr>
          <w:p>
            <w:pPr>
              <w:pStyle w:val="TableContents"/>
              <w:bidi w:val="0"/>
              <w:spacing w:before="0" w:after="283"/>
              <w:jc w:val="left"/>
              <w:rPr>
                <w:color w:val="000000"/>
              </w:rPr>
            </w:pPr>
            <w:r>
              <w:rPr>
                <w:color w:val="000000"/>
              </w:rPr>
              <w:t> </w:t>
            </w:r>
            <w:bookmarkStart w:id="464" w:name="xdx_982_ecustom--SharebasedCompensationA"/>
            <w:bookmarkEnd w:id="464"/>
          </w:p>
        </w:tc>
        <w:tc>
          <w:tcPr>
            <w:tcW w:w="89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5" w:type="dxa"/>
            <w:tcBorders/>
            <w:shd w:fill="FFFFFF" w:val="clear"/>
            <w:vAlign w:val="center"/>
          </w:tcPr>
          <w:p>
            <w:pPr>
              <w:pStyle w:val="TableContents"/>
              <w:bidi w:val="0"/>
              <w:spacing w:before="0" w:after="283"/>
              <w:jc w:val="left"/>
              <w:rPr>
                <w:color w:val="000000"/>
              </w:rPr>
            </w:pPr>
            <w:r>
              <w:rPr>
                <w:color w:val="000000"/>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shd w:fill="CCEEFF" w:val="clear"/>
            <w:vAlign w:val="center"/>
          </w:tcPr>
          <w:p>
            <w:pPr>
              <w:pStyle w:val="TableContents"/>
              <w:bidi w:val="0"/>
              <w:spacing w:before="0" w:after="283"/>
              <w:jc w:val="left"/>
              <w:rPr>
                <w:color w:val="000000"/>
              </w:rPr>
            </w:pPr>
            <w:r>
              <w:rPr>
                <w:color w:val="000000"/>
              </w:rPr>
              <w:t> </w:t>
            </w:r>
            <w:bookmarkStart w:id="465" w:name="xdx_98C_eus-gaap--SharebasedCompensation"/>
            <w:bookmarkEnd w:id="465"/>
          </w:p>
        </w:tc>
        <w:tc>
          <w:tcPr>
            <w:tcW w:w="87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 w:type="dxa"/>
            <w:tcBorders/>
            <w:shd w:fill="CCEEFF" w:val="clear"/>
            <w:vAlign w:val="center"/>
          </w:tcPr>
          <w:p>
            <w:pPr>
              <w:pStyle w:val="TableContents"/>
              <w:bidi w:val="0"/>
              <w:spacing w:before="0" w:after="283"/>
              <w:jc w:val="left"/>
              <w:rPr>
                <w:color w:val="000000"/>
              </w:rPr>
            </w:pPr>
            <w:r>
              <w:rPr>
                <w:color w:val="000000"/>
              </w:rPr>
              <w:t> </w:t>
            </w:r>
            <w:bookmarkStart w:id="466" w:name="xdx_989_ecustom--SharebasedCompensationA"/>
            <w:bookmarkEnd w:id="466"/>
          </w:p>
        </w:tc>
        <w:tc>
          <w:tcPr>
            <w:tcW w:w="74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3" w:type="dxa"/>
            <w:tcBorders/>
            <w:shd w:fill="CCEEFF" w:val="clear"/>
            <w:vAlign w:val="center"/>
          </w:tcPr>
          <w:p>
            <w:pPr>
              <w:pStyle w:val="TableContents"/>
              <w:bidi w:val="0"/>
              <w:spacing w:before="0" w:after="283"/>
              <w:jc w:val="left"/>
              <w:rPr>
                <w:color w:val="000000"/>
              </w:rPr>
            </w:pPr>
            <w:r>
              <w:rPr>
                <w:color w:val="000000"/>
              </w:rPr>
              <w:t> </w:t>
            </w:r>
            <w:bookmarkStart w:id="467" w:name="xdx_987_eus-gaap--SharebasedCompensation"/>
            <w:bookmarkEnd w:id="467"/>
          </w:p>
        </w:tc>
        <w:tc>
          <w:tcPr>
            <w:tcW w:w="89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5" w:type="dxa"/>
            <w:tcBorders/>
            <w:shd w:fill="CCEEFF" w:val="clear"/>
            <w:vAlign w:val="center"/>
          </w:tcPr>
          <w:p>
            <w:pPr>
              <w:pStyle w:val="TableContents"/>
              <w:bidi w:val="0"/>
              <w:spacing w:before="0" w:after="283"/>
              <w:jc w:val="left"/>
              <w:rPr>
                <w:color w:val="000000"/>
              </w:rPr>
            </w:pPr>
            <w:r>
              <w:rPr>
                <w:color w:val="000000"/>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3" w:type="dxa"/>
            <w:tcBorders/>
            <w:shd w:fill="FFFFFF" w:val="clear"/>
            <w:vAlign w:val="center"/>
          </w:tcPr>
          <w:p>
            <w:pPr>
              <w:pStyle w:val="TableContents"/>
              <w:bidi w:val="0"/>
              <w:spacing w:before="0" w:after="283"/>
              <w:jc w:val="left"/>
              <w:rPr>
                <w:color w:val="000000"/>
              </w:rPr>
            </w:pPr>
            <w:r>
              <w:rPr>
                <w:color w:val="000000"/>
              </w:rPr>
              <w:t> </w:t>
            </w:r>
            <w:bookmarkStart w:id="468" w:name="xdx_98E_eus-gaap--SharebasedCompensation"/>
            <w:bookmarkEnd w:id="468"/>
          </w:p>
        </w:tc>
        <w:tc>
          <w:tcPr>
            <w:tcW w:w="87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(710</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 w:type="dxa"/>
            <w:tcBorders/>
            <w:shd w:fill="FFFFFF" w:val="clear"/>
            <w:vAlign w:val="center"/>
          </w:tcPr>
          <w:p>
            <w:pPr>
              <w:pStyle w:val="TableContents"/>
              <w:bidi w:val="0"/>
              <w:spacing w:before="0" w:after="283"/>
              <w:jc w:val="left"/>
              <w:rPr>
                <w:color w:val="000000"/>
              </w:rPr>
            </w:pPr>
            <w:r>
              <w:rPr>
                <w:color w:val="000000"/>
              </w:rPr>
              <w:t> </w:t>
            </w:r>
            <w:bookmarkStart w:id="469" w:name="xdx_981_ecustom--ShareBasedCompensationA"/>
            <w:bookmarkEnd w:id="469"/>
          </w:p>
        </w:tc>
        <w:tc>
          <w:tcPr>
            <w:tcW w:w="747" w:type="dxa"/>
            <w:tcBorders/>
            <w:shd w:fill="FFFFFF" w:val="clear"/>
            <w:vAlign w:val="center"/>
          </w:tcPr>
          <w:p>
            <w:pPr>
              <w:pStyle w:val="TableContents"/>
              <w:bidi w:val="0"/>
              <w:spacing w:before="0" w:after="283"/>
              <w:jc w:val="right"/>
              <w:rPr>
                <w:color w:val="000000"/>
              </w:rPr>
            </w:pPr>
            <w:r>
              <w:rPr>
                <w:rFonts w:ascii="Times New Roman;Times;Serif" w:hAnsi="Times New Roman;Times;Serif"/>
                <w:color w:val="000000"/>
                <w:sz w:val="20"/>
              </w:rPr>
              <w:t>-</w:t>
            </w: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3" w:type="dxa"/>
            <w:tcBorders/>
            <w:shd w:fill="FFFFFF" w:val="clear"/>
            <w:vAlign w:val="center"/>
          </w:tcPr>
          <w:p>
            <w:pPr>
              <w:pStyle w:val="TableContents"/>
              <w:bidi w:val="0"/>
              <w:spacing w:before="0" w:after="283"/>
              <w:jc w:val="left"/>
              <w:rPr>
                <w:color w:val="000000"/>
              </w:rPr>
            </w:pPr>
            <w:r>
              <w:rPr>
                <w:color w:val="000000"/>
              </w:rPr>
              <w:t> </w:t>
            </w:r>
            <w:bookmarkStart w:id="470" w:name="xdx_984_ecustom--SharebasedCompensationA"/>
            <w:bookmarkEnd w:id="470"/>
          </w:p>
        </w:tc>
        <w:tc>
          <w:tcPr>
            <w:tcW w:w="89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5" w:type="dxa"/>
            <w:tcBorders/>
            <w:shd w:fill="FFFFFF" w:val="clear"/>
            <w:vAlign w:val="center"/>
          </w:tcPr>
          <w:p>
            <w:pPr>
              <w:pStyle w:val="TableContents"/>
              <w:bidi w:val="0"/>
              <w:spacing w:before="0" w:after="283"/>
              <w:jc w:val="left"/>
              <w:rPr>
                <w:color w:val="000000"/>
              </w:rPr>
            </w:pPr>
            <w:r>
              <w:rPr>
                <w:color w:val="000000"/>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Issued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471" w:name="xdx_986_eus-gaap--ShareBasedCompensation"/>
            <w:bookmarkEnd w:id="471"/>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472" w:name="xdx_983_ecustom--ShareBasedCompensationA"/>
            <w:bookmarkEnd w:id="472"/>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473" w:name="xdx_98A_ecustom--SharebasedCompensationA"/>
            <w:bookmarkEnd w:id="473"/>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Balance,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474" w:name="xdx_98D_eus-gaap--SharebasedCompensation"/>
            <w:bookmarkEnd w:id="474"/>
          </w:p>
        </w:tc>
        <w:tc>
          <w:tcPr>
            <w:tcW w:w="8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475" w:name="xdx_982_ecustom--SharebasedCompensationA"/>
            <w:bookmarkEnd w:id="475"/>
          </w:p>
        </w:tc>
        <w:tc>
          <w:tcPr>
            <w:tcW w:w="7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76" w:name="xdx_985_ecustom--SharebasedCompensationA"/>
            <w:bookmarkEnd w:id="476"/>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77" w:name="xdx_98F_eus-gaap--SharebasedCompensation"/>
            <w:bookmarkEnd w:id="477"/>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44.75</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478" w:name="xdx_8A3_zeuLd0rh0aR"/>
      <w:bookmarkEnd w:id="478"/>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total fair value of restricted common stock vesting during the six months ended June 30, 2023 and 2022, was $</w:t>
      </w:r>
      <w:bookmarkStart w:id="479" w:name="xdx_906_eus-gaap--StockIssuedDuringPerio"/>
      <w:bookmarkEnd w:id="479"/>
      <w:r>
        <w:rPr>
          <w:rFonts w:ascii="Times New Roman;Times;Serif" w:hAnsi="Times New Roman;Times;Serif"/>
          <w:b w:val="false"/>
          <w:i w:val="false"/>
          <w:caps w:val="false"/>
          <w:smallCaps w:val="false"/>
          <w:color w:val="000000"/>
          <w:sz w:val="20"/>
        </w:rPr>
        <w:t>3 and $</w:t>
      </w:r>
      <w:bookmarkStart w:id="480" w:name="xdx_90A_eus-gaap--StockIssuedDuringPerio"/>
      <w:bookmarkEnd w:id="480"/>
      <w:r>
        <w:rPr>
          <w:rFonts w:ascii="Times New Roman;Times;Serif" w:hAnsi="Times New Roman;Times;Serif"/>
          <w:b w:val="false"/>
          <w:i w:val="false"/>
          <w:caps w:val="false"/>
          <w:smallCaps w:val="false"/>
          <w:color w:val="000000"/>
          <w:sz w:val="20"/>
        </w:rPr>
        <w:t>108, respectively, and is included in general and administrative expenses in the accompanying statements of operations. As of June 30, 2023, the amount of unvested compensation related to issuances of restricted common stock was $</w:t>
      </w:r>
      <w:bookmarkStart w:id="481" w:name="xdx_90E_eus-gaap--EmployeeServiceShareBa"/>
      <w:bookmarkEnd w:id="481"/>
      <w:r>
        <w:rPr>
          <w:rFonts w:ascii="Times New Roman;Times;Serif" w:hAnsi="Times New Roman;Times;Serif"/>
          <w:b w:val="false"/>
          <w:i w:val="false"/>
          <w:caps w:val="false"/>
          <w:smallCaps w:val="false"/>
          <w:color w:val="000000"/>
          <w:sz w:val="20"/>
        </w:rPr>
        <w:t>0.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Stock options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82" w:name="xdx_89E_eus-gaap--ScheduleOfShareBasedCo"/>
      <w:bookmarkEnd w:id="482"/>
      <w:r>
        <w:rPr>
          <w:rFonts w:ascii="Times New Roman;Times;Serif" w:hAnsi="Times New Roman;Times;Serif"/>
          <w:b w:val="false"/>
          <w:i w:val="false"/>
          <w:caps w:val="false"/>
          <w:smallCaps w:val="false"/>
          <w:color w:val="000000"/>
          <w:sz w:val="20"/>
        </w:rPr>
        <w:t>The following table summarizes stock option activity during the six months ended June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83" w:name="xdx_8B6_zYmMxH5GFGJf"/>
      <w:bookmarkEnd w:id="483"/>
      <w:r>
        <w:rPr>
          <w:rFonts w:ascii="Times New Roman;Times;Serif" w:hAnsi="Times New Roman;Times;Serif"/>
          <w:b w:val="false"/>
          <w:i w:val="false"/>
          <w:caps w:val="false"/>
          <w:smallCaps w:val="false"/>
          <w:color w:val="000000"/>
          <w:sz w:val="20"/>
        </w:rPr>
        <w:t>Schedule of Stock Option Activity</w:t>
      </w:r>
    </w:p>
    <w:tbl>
      <w:tblPr>
        <w:tblW w:w="8579" w:type="dxa"/>
        <w:jc w:val="left"/>
        <w:tblInd w:w="0" w:type="dxa"/>
        <w:tblLayout w:type="fixed"/>
        <w:tblCellMar>
          <w:top w:w="0" w:type="dxa"/>
          <w:left w:w="0" w:type="dxa"/>
          <w:bottom w:w="0" w:type="dxa"/>
          <w:right w:w="0" w:type="dxa"/>
        </w:tblCellMar>
      </w:tblPr>
      <w:tblGrid>
        <w:gridCol w:w="3350"/>
        <w:gridCol w:w="60"/>
        <w:gridCol w:w="60"/>
        <w:gridCol w:w="800"/>
        <w:gridCol w:w="95"/>
        <w:gridCol w:w="60"/>
        <w:gridCol w:w="292"/>
        <w:gridCol w:w="1168"/>
        <w:gridCol w:w="60"/>
        <w:gridCol w:w="60"/>
        <w:gridCol w:w="150"/>
        <w:gridCol w:w="1100"/>
        <w:gridCol w:w="60"/>
        <w:gridCol w:w="60"/>
        <w:gridCol w:w="213"/>
        <w:gridCol w:w="916"/>
        <w:gridCol w:w="75"/>
      </w:tblGrid>
      <w:tr>
        <w:trPr/>
        <w:tc>
          <w:tcPr>
            <w:tcW w:w="335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Weighted-</w:t>
              <w:br/>
              <w:t xml:space="preserve">Average </w:t>
              <w:br/>
              <w:t>Exercise Price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Weighted-</w:t>
              <w:br/>
              <w:t>Average</w:t>
              <w:br/>
              <w:t>Remaining</w:t>
              <w:br/>
              <w:t>Contractual</w:t>
              <w:br/>
              <w:t xml:space="preserve">Terms </w:t>
              <w:br/>
              <w:t>(Years)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 xml:space="preserve">Aggregate </w:t>
              <w:br/>
              <w:t xml:space="preserve">Intrinsic </w:t>
              <w:br/>
              <w:t>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Outstanding at December 31,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484" w:name="xdx_98E_eus-gaap--ShareBasedCompensation"/>
            <w:bookmarkEnd w:id="484"/>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164,423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85" w:name="xdx_98E_eus-gaap--ShareBasedCompensation"/>
            <w:bookmarkEnd w:id="485"/>
          </w:p>
        </w:tc>
        <w:tc>
          <w:tcPr>
            <w:tcW w:w="116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bookmarkStart w:id="486" w:name="xdx_900_eus-gaap--SharebasedCompensation"/>
            <w:bookmarkEnd w:id="486"/>
            <w:r>
              <w:rPr>
                <w:rFonts w:ascii="Times New Roman;Times;Serif" w:hAnsi="Times New Roman;Times;Serif"/>
                <w:color w:val="000000"/>
              </w:rPr>
              <w:t>7.58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87" w:name="xdx_984_eus-gaap--ShareBasedCompensation"/>
            <w:bookmarkEnd w:id="487"/>
          </w:p>
        </w:tc>
        <w:tc>
          <w:tcPr>
            <w:tcW w:w="91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488" w:name="xdx_987_eus-gaap--ShareBasedCompensation"/>
            <w:bookmarkEnd w:id="488"/>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10,037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89" w:name="xdx_985_eus-gaap--ShareBasedCompensation"/>
            <w:bookmarkEnd w:id="489"/>
          </w:p>
        </w:tc>
        <w:tc>
          <w:tcPr>
            <w:tcW w:w="116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3" w:type="dxa"/>
            <w:tcBorders/>
            <w:shd w:fill="FFFFFF" w:val="clear"/>
            <w:vAlign w:val="center"/>
          </w:tcPr>
          <w:p>
            <w:pPr>
              <w:pStyle w:val="TableContents"/>
              <w:bidi w:val="0"/>
              <w:spacing w:before="0" w:after="283"/>
              <w:jc w:val="left"/>
              <w:rPr>
                <w:color w:val="000000"/>
              </w:rPr>
            </w:pPr>
            <w:r>
              <w:rPr>
                <w:color w:val="000000"/>
              </w:rPr>
              <w:t> </w:t>
            </w:r>
          </w:p>
        </w:tc>
        <w:tc>
          <w:tcPr>
            <w:tcW w:w="916" w:type="dxa"/>
            <w:tcBorders/>
            <w:shd w:fill="FFFFFF" w:val="clear"/>
            <w:vAlign w:val="center"/>
          </w:tcPr>
          <w:p>
            <w:pPr>
              <w:pStyle w:val="TableContents"/>
              <w:bidi w:val="0"/>
              <w:spacing w:before="0" w:after="283"/>
              <w:jc w:val="right"/>
              <w:rPr>
                <w:color w:val="000000"/>
              </w:rPr>
            </w:pPr>
            <w:r>
              <w:rPr>
                <w:color w:val="000000"/>
              </w:rPr>
              <w:t> </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490" w:name="xdx_98D_eus-gaap--StockIssuedDuringPerio"/>
            <w:bookmarkEnd w:id="490"/>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91" w:name="xdx_98F_eus-gaap--ShareBasedCompensation"/>
            <w:bookmarkEnd w:id="491"/>
          </w:p>
        </w:tc>
        <w:tc>
          <w:tcPr>
            <w:tcW w:w="116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3" w:type="dxa"/>
            <w:tcBorders/>
            <w:shd w:fill="CCEEFF" w:val="clear"/>
            <w:vAlign w:val="center"/>
          </w:tcPr>
          <w:p>
            <w:pPr>
              <w:pStyle w:val="TableContents"/>
              <w:bidi w:val="0"/>
              <w:spacing w:before="0" w:after="283"/>
              <w:jc w:val="left"/>
              <w:rPr>
                <w:color w:val="000000"/>
              </w:rPr>
            </w:pPr>
            <w:r>
              <w:rPr>
                <w:color w:val="000000"/>
              </w:rPr>
              <w:t> </w:t>
            </w:r>
          </w:p>
        </w:tc>
        <w:tc>
          <w:tcPr>
            <w:tcW w:w="916" w:type="dxa"/>
            <w:tcBorders/>
            <w:shd w:fill="CCEEFF" w:val="cle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Unvested forfeited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492" w:name="xdx_98A_eus-gaap--ShareBasedCompensation"/>
            <w:bookmarkEnd w:id="492"/>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(10,497</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93" w:name="xdx_98A_eus-gaap--ShareBasedCompensation"/>
            <w:bookmarkEnd w:id="493"/>
          </w:p>
        </w:tc>
        <w:tc>
          <w:tcPr>
            <w:tcW w:w="116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48.74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3" w:type="dxa"/>
            <w:tcBorders/>
            <w:shd w:fill="FFFFFF" w:val="clear"/>
            <w:vAlign w:val="center"/>
          </w:tcPr>
          <w:p>
            <w:pPr>
              <w:pStyle w:val="TableContents"/>
              <w:bidi w:val="0"/>
              <w:spacing w:before="0" w:after="283"/>
              <w:jc w:val="left"/>
              <w:rPr>
                <w:color w:val="000000"/>
              </w:rPr>
            </w:pPr>
            <w:r>
              <w:rPr>
                <w:color w:val="000000"/>
              </w:rPr>
              <w:t> </w:t>
            </w:r>
          </w:p>
        </w:tc>
        <w:tc>
          <w:tcPr>
            <w:tcW w:w="916" w:type="dxa"/>
            <w:tcBorders/>
            <w:shd w:fill="FFFFFF" w:val="clear"/>
            <w:vAlign w:val="center"/>
          </w:tcPr>
          <w:p>
            <w:pPr>
              <w:pStyle w:val="TableContents"/>
              <w:bidi w:val="0"/>
              <w:spacing w:before="0" w:after="283"/>
              <w:jc w:val="right"/>
              <w:rPr>
                <w:color w:val="000000"/>
              </w:rPr>
            </w:pPr>
            <w:r>
              <w:rPr>
                <w:color w:val="000000"/>
              </w:rPr>
              <w:t> </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Vested forfeited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494" w:name="xdx_98A_ecustom--ShareBasedCompensationA"/>
            <w:bookmarkEnd w:id="494"/>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(11,928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95" w:name="xdx_981_ecustom--ShareBasedCompensationA"/>
            <w:bookmarkEnd w:id="495"/>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46.61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Outstanding at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496" w:name="xdx_988_eus-gaap--ShareBasedCompensation"/>
            <w:bookmarkEnd w:id="496"/>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152,035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97" w:name="xdx_986_eus-gaap--ShareBasedCompensation"/>
            <w:bookmarkEnd w:id="497"/>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46.16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498" w:name="xdx_900_ecustom--SharebasedCompensationA"/>
            <w:bookmarkEnd w:id="498"/>
            <w:r>
              <w:rPr>
                <w:rFonts w:ascii="Times New Roman;Times;Serif" w:hAnsi="Times New Roman;Times;Serif"/>
                <w:color w:val="000000"/>
              </w:rPr>
              <w:t>6.93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499" w:name="xdx_982_eus-gaap--ShareBasedCompensation"/>
            <w:bookmarkEnd w:id="499"/>
          </w:p>
        </w:tc>
        <w:tc>
          <w:tcPr>
            <w:tcW w:w="9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Exercisable at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500" w:name="xdx_98D_eus-gaap--ShareBasedCompensation"/>
            <w:bookmarkEnd w:id="500"/>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94,499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01" w:name="xdx_982_eus-gaap--ShareBasedCompensation"/>
            <w:bookmarkEnd w:id="501"/>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54.31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502" w:name="xdx_904_eus-gaap--SharebasedCompensation"/>
            <w:bookmarkEnd w:id="502"/>
            <w:r>
              <w:rPr>
                <w:rFonts w:ascii="Times New Roman;Times;Serif" w:hAnsi="Times New Roman;Times;Serif"/>
                <w:color w:val="000000"/>
              </w:rPr>
              <w:t>6.13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03" w:name="xdx_988_eus-gaap--SharebasedCompensation"/>
            <w:bookmarkEnd w:id="503"/>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504" w:name="xdx_8A1_zM2sDoZC5QCj"/>
      <w:bookmarkEnd w:id="504"/>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six months ended June 30, 2023, the Company approved options exercisable into </w:t>
      </w:r>
      <w:bookmarkStart w:id="505" w:name="xdx_90E_eus-gaap--StockIssuedDuringPerio"/>
      <w:bookmarkEnd w:id="505"/>
      <w:r>
        <w:rPr>
          <w:rFonts w:ascii="Times New Roman;Times;Serif" w:hAnsi="Times New Roman;Times;Serif"/>
          <w:b w:val="false"/>
          <w:i w:val="false"/>
          <w:caps w:val="false"/>
          <w:smallCaps w:val="false"/>
          <w:color w:val="000000"/>
          <w:sz w:val="20"/>
        </w:rPr>
        <w:t xml:space="preserve">10,037 shares to be issued pursuant to Reed’s 2020 Equity Incentive Plan. </w:t>
      </w:r>
      <w:bookmarkStart w:id="506" w:name="xdx_90B_eus-gaap--StockIssuedDuringPerio"/>
      <w:bookmarkEnd w:id="506"/>
      <w:r>
        <w:rPr>
          <w:rFonts w:ascii="Times New Roman;Times;Serif" w:hAnsi="Times New Roman;Times;Serif"/>
          <w:b w:val="false"/>
          <w:i w:val="false"/>
          <w:caps w:val="false"/>
          <w:smallCaps w:val="false"/>
          <w:color w:val="000000"/>
          <w:sz w:val="20"/>
        </w:rPr>
        <w:t xml:space="preserve">10,037 options were issued to employees, </w:t>
      </w:r>
      <w:bookmarkStart w:id="507" w:name="xdx_909_eus-gaap--SharebasedCompensation"/>
      <w:bookmarkEnd w:id="507"/>
      <w:r>
        <w:rPr>
          <w:rFonts w:ascii="Times New Roman;Times;Serif" w:hAnsi="Times New Roman;Times;Serif"/>
          <w:b w:val="false"/>
          <w:i w:val="false"/>
          <w:caps w:val="false"/>
          <w:smallCaps w:val="false"/>
          <w:color w:val="000000"/>
          <w:sz w:val="20"/>
        </w:rPr>
        <w:t xml:space="preserve">5,016 options vesting annually over a </w:t>
      </w:r>
      <w:bookmarkStart w:id="508" w:name="xdx_902_eus-gaap--ShareBasedCompensation"/>
      <w:bookmarkEnd w:id="508"/>
      <w:r>
        <w:rPr>
          <w:rFonts w:ascii="Times New Roman;Times;Serif" w:hAnsi="Times New Roman;Times;Serif"/>
          <w:b w:val="false"/>
          <w:i w:val="false"/>
          <w:caps w:val="false"/>
          <w:smallCaps w:val="false"/>
          <w:color w:val="000000"/>
          <w:sz w:val="20"/>
        </w:rPr>
        <w:t xml:space="preserve">four-year vesting period, and </w:t>
      </w:r>
      <w:bookmarkStart w:id="509" w:name="xdx_90E_eus-gaap--SharebasedCompensation"/>
      <w:bookmarkEnd w:id="509"/>
      <w:r>
        <w:rPr>
          <w:rFonts w:ascii="Times New Roman;Times;Serif" w:hAnsi="Times New Roman;Times;Serif"/>
          <w:b w:val="false"/>
          <w:i w:val="false"/>
          <w:caps w:val="false"/>
          <w:smallCaps w:val="false"/>
          <w:color w:val="000000"/>
          <w:sz w:val="20"/>
        </w:rPr>
        <w:t>5,021 options vesting based on performance criteria to be established by the board of directors.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stock options are exercisable at a price of $</w:t>
      </w:r>
      <w:bookmarkStart w:id="510" w:name="xdx_905_eus-gaap--ShareBasedCompensation"/>
      <w:bookmarkEnd w:id="510"/>
      <w:r>
        <w:rPr>
          <w:rFonts w:ascii="Times New Roman;Times;Serif" w:hAnsi="Times New Roman;Times;Serif"/>
          <w:b w:val="false"/>
          <w:i w:val="false"/>
          <w:caps w:val="false"/>
          <w:smallCaps w:val="false"/>
          <w:color w:val="000000"/>
          <w:sz w:val="20"/>
        </w:rPr>
        <w:t xml:space="preserve">4.50 per share and expire in </w:t>
      </w:r>
      <w:bookmarkStart w:id="511" w:name="xdx_90D_eus-gaap--SharebasedCompensation"/>
      <w:bookmarkEnd w:id="511"/>
      <w:r>
        <w:rPr>
          <w:rFonts w:ascii="Times New Roman;Times;Serif" w:hAnsi="Times New Roman;Times;Serif"/>
          <w:b w:val="false"/>
          <w:i w:val="false"/>
          <w:caps w:val="false"/>
          <w:smallCaps w:val="false"/>
          <w:color w:val="000000"/>
          <w:sz w:val="20"/>
        </w:rPr>
        <w:t>ten years. The total fair value of these options at grant date was approximately $</w:t>
      </w:r>
      <w:bookmarkStart w:id="512" w:name="xdx_90E_eus-gaap--SharebasedCompensation"/>
      <w:bookmarkEnd w:id="512"/>
      <w:r>
        <w:rPr>
          <w:rFonts w:ascii="Times New Roman;Times;Serif" w:hAnsi="Times New Roman;Times;Serif"/>
          <w:b w:val="false"/>
          <w:i w:val="false"/>
          <w:caps w:val="false"/>
          <w:smallCaps w:val="false"/>
          <w:color w:val="000000"/>
          <w:sz w:val="20"/>
        </w:rPr>
        <w:t>32, which was determined using a Black-Scholes-Merton option pricing model with the following average assumption: stock price of $</w:t>
      </w:r>
      <w:bookmarkStart w:id="513" w:name="xdx_909_eus-gaap--SharePrice_iI_pid_c202"/>
      <w:bookmarkEnd w:id="513"/>
      <w:r>
        <w:rPr>
          <w:rFonts w:ascii="Times New Roman;Times;Serif" w:hAnsi="Times New Roman;Times;Serif"/>
          <w:b w:val="false"/>
          <w:i w:val="false"/>
          <w:caps w:val="false"/>
          <w:smallCaps w:val="false"/>
          <w:color w:val="000000"/>
          <w:sz w:val="20"/>
        </w:rPr>
        <w:t xml:space="preserve">4.50 share, expected term of </w:t>
      </w:r>
      <w:bookmarkStart w:id="514" w:name="xdx_909_eus-gaap--SharebasedCompensation"/>
      <w:bookmarkEnd w:id="514"/>
      <w:r>
        <w:rPr>
          <w:rFonts w:ascii="Times New Roman;Times;Serif" w:hAnsi="Times New Roman;Times;Serif"/>
          <w:b w:val="false"/>
          <w:i w:val="false"/>
          <w:caps w:val="false"/>
          <w:smallCaps w:val="false"/>
          <w:color w:val="000000"/>
          <w:sz w:val="20"/>
        </w:rPr>
        <w:t xml:space="preserve">six years, volatility of </w:t>
      </w:r>
      <w:bookmarkStart w:id="515" w:name="xdx_907_eus-gaap--ShareBasedCompensation"/>
      <w:bookmarkEnd w:id="515"/>
      <w:r>
        <w:rPr>
          <w:rFonts w:ascii="Times New Roman;Times;Serif" w:hAnsi="Times New Roman;Times;Serif"/>
          <w:b w:val="false"/>
          <w:i w:val="false"/>
          <w:caps w:val="false"/>
          <w:smallCaps w:val="false"/>
          <w:color w:val="000000"/>
          <w:sz w:val="20"/>
        </w:rPr>
        <w:t xml:space="preserve">82%, dividend rate of </w:t>
      </w:r>
      <w:bookmarkStart w:id="516" w:name="xdx_901_eus-gaap--ShareBasedCompensation"/>
      <w:bookmarkEnd w:id="516"/>
      <w:r>
        <w:rPr>
          <w:rFonts w:ascii="Times New Roman;Times;Serif" w:hAnsi="Times New Roman;Times;Serif"/>
          <w:b w:val="false"/>
          <w:i w:val="false"/>
          <w:caps w:val="false"/>
          <w:smallCaps w:val="false"/>
          <w:color w:val="000000"/>
          <w:sz w:val="20"/>
        </w:rPr>
        <w:t xml:space="preserve">0%, and weighted average risk-free interest rate of </w:t>
      </w:r>
      <w:bookmarkStart w:id="517" w:name="xdx_90A_eus-gaap--ShareBasedCompensation"/>
      <w:bookmarkEnd w:id="517"/>
      <w:r>
        <w:rPr>
          <w:rFonts w:ascii="Times New Roman;Times;Serif" w:hAnsi="Times New Roman;Times;Serif"/>
          <w:b w:val="false"/>
          <w:i w:val="false"/>
          <w:caps w:val="false"/>
          <w:smallCaps w:val="false"/>
          <w:color w:val="000000"/>
          <w:sz w:val="20"/>
        </w:rPr>
        <w:t>3.59%.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six months ended June 30, 2023 and 2022, the Company recognized $</w:t>
      </w:r>
      <w:bookmarkStart w:id="518" w:name="xdx_90C_ecustom--FairValueOfVestedStockO"/>
      <w:bookmarkEnd w:id="518"/>
      <w:r>
        <w:rPr>
          <w:rFonts w:ascii="Times New Roman;Times;Serif" w:hAnsi="Times New Roman;Times;Serif"/>
          <w:b w:val="false"/>
          <w:i w:val="false"/>
          <w:caps w:val="false"/>
          <w:smallCaps w:val="false"/>
          <w:color w:val="000000"/>
          <w:sz w:val="20"/>
        </w:rPr>
        <w:t>213 and $</w:t>
      </w:r>
      <w:bookmarkStart w:id="519" w:name="xdx_901_ecustom--FairValueOfVestedStockO"/>
      <w:bookmarkEnd w:id="519"/>
      <w:r>
        <w:rPr>
          <w:rFonts w:ascii="Times New Roman;Times;Serif" w:hAnsi="Times New Roman;Times;Serif"/>
          <w:b w:val="false"/>
          <w:i w:val="false"/>
          <w:caps w:val="false"/>
          <w:smallCaps w:val="false"/>
          <w:color w:val="000000"/>
          <w:sz w:val="20"/>
        </w:rPr>
        <w:t>263 of compensation expense relating to vested stock options. As of June 30, 2023, the aggregate amount of unvested compensation related to stock options was approximately $</w:t>
      </w:r>
      <w:bookmarkStart w:id="520" w:name="xdx_902_eus-gaap--EmployeeServiceShareBa"/>
      <w:bookmarkEnd w:id="520"/>
      <w:r>
        <w:rPr>
          <w:rFonts w:ascii="Times New Roman;Times;Serif" w:hAnsi="Times New Roman;Times;Serif"/>
          <w:b w:val="false"/>
          <w:i w:val="false"/>
          <w:caps w:val="false"/>
          <w:smallCaps w:val="false"/>
          <w:color w:val="000000"/>
          <w:sz w:val="20"/>
        </w:rPr>
        <w:t>721 which will be recognized as an expense as the options vest in future periods through March 28, 2027.</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June 30, 2023, the outstanding and exercisable options have no intrinsic value. The aggregate intrinsic value was calculated as the difference between the closing market price as of June 30, 2023, which was $</w:t>
      </w:r>
      <w:bookmarkStart w:id="521" w:name="xdx_90C_eus-gaap--SharePrice_iI_pid_c202"/>
      <w:bookmarkEnd w:id="521"/>
      <w:r>
        <w:rPr>
          <w:rFonts w:ascii="Times New Roman;Times;Serif" w:hAnsi="Times New Roman;Times;Serif"/>
          <w:b w:val="false"/>
          <w:i w:val="false"/>
          <w:caps w:val="false"/>
          <w:smallCaps w:val="false"/>
          <w:color w:val="000000"/>
          <w:sz w:val="20"/>
        </w:rPr>
        <w:t>2.86, and the exercise price of the outstanding stock options.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22" w:name="xdx_805_ecustom--StockWarrantsTextBlock_"/>
      <w:bookmarkEnd w:id="522"/>
      <w:r>
        <w:rPr>
          <w:rFonts w:ascii="Times New Roman;Times;Serif" w:hAnsi="Times New Roman;Times;Serif"/>
          <w:b/>
          <w:i w:val="false"/>
          <w:caps w:val="false"/>
          <w:smallCaps w:val="false"/>
          <w:color w:val="000000"/>
          <w:sz w:val="20"/>
        </w:rPr>
        <w:t xml:space="preserve">10. </w:t>
      </w:r>
      <w:bookmarkStart w:id="523" w:name="xdx_82A_zPvF7vcigDt1"/>
      <w:bookmarkEnd w:id="523"/>
      <w:r>
        <w:rPr>
          <w:rFonts w:ascii="Times New Roman;Times;Serif" w:hAnsi="Times New Roman;Times;Serif"/>
          <w:b/>
          <w:i w:val="false"/>
          <w:caps w:val="false"/>
          <w:smallCaps w:val="false"/>
          <w:color w:val="000000"/>
          <w:sz w:val="20"/>
        </w:rPr>
        <w:t>Stock Warrants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24" w:name="xdx_890_eus-gaap--ScheduleOfStockholders"/>
      <w:bookmarkEnd w:id="524"/>
      <w:r>
        <w:rPr>
          <w:rFonts w:ascii="Times New Roman;Times;Serif" w:hAnsi="Times New Roman;Times;Serif"/>
          <w:b w:val="false"/>
          <w:i w:val="false"/>
          <w:caps w:val="false"/>
          <w:smallCaps w:val="false"/>
          <w:color w:val="000000"/>
          <w:sz w:val="20"/>
        </w:rPr>
        <w:t>The Company’s warrant activity during the six months ended June 30, 2023 is as follows: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25" w:name="xdx_8BA_z4AV2JnxCZYf"/>
      <w:bookmarkEnd w:id="525"/>
      <w:r>
        <w:rPr>
          <w:rFonts w:ascii="Times New Roman;Times;Serif" w:hAnsi="Times New Roman;Times;Serif"/>
          <w:b w:val="false"/>
          <w:i w:val="false"/>
          <w:caps w:val="false"/>
          <w:smallCaps w:val="false"/>
          <w:color w:val="000000"/>
          <w:sz w:val="20"/>
        </w:rPr>
        <w:t>Schedule of Warrant Activity</w:t>
      </w:r>
    </w:p>
    <w:tbl>
      <w:tblPr>
        <w:tblW w:w="10205" w:type="dxa"/>
        <w:jc w:val="left"/>
        <w:tblInd w:w="0" w:type="dxa"/>
        <w:tblLayout w:type="fixed"/>
        <w:tblCellMar>
          <w:top w:w="0" w:type="dxa"/>
          <w:left w:w="0" w:type="dxa"/>
          <w:bottom w:w="0" w:type="dxa"/>
          <w:right w:w="0" w:type="dxa"/>
        </w:tblCellMar>
      </w:tblPr>
      <w:tblGrid>
        <w:gridCol w:w="2207"/>
        <w:gridCol w:w="60"/>
        <w:gridCol w:w="60"/>
        <w:gridCol w:w="800"/>
        <w:gridCol w:w="60"/>
        <w:gridCol w:w="60"/>
        <w:gridCol w:w="318"/>
        <w:gridCol w:w="1273"/>
        <w:gridCol w:w="60"/>
        <w:gridCol w:w="60"/>
        <w:gridCol w:w="353"/>
        <w:gridCol w:w="2615"/>
        <w:gridCol w:w="60"/>
        <w:gridCol w:w="60"/>
        <w:gridCol w:w="560"/>
        <w:gridCol w:w="1522"/>
        <w:gridCol w:w="77"/>
      </w:tblGrid>
      <w:tr>
        <w:trPr/>
        <w:tc>
          <w:tcPr>
            <w:tcW w:w="2207"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9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Average Exercise Price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96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Average Remaining Contractual Terms (Years)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Aggregate Intrinsic Value</w:t>
            </w:r>
          </w:p>
        </w:tc>
        <w:tc>
          <w:tcPr>
            <w:tcW w:w="77" w:type="dxa"/>
            <w:tcBorders/>
            <w:vAlign w:val="center"/>
          </w:tcPr>
          <w:p>
            <w:pPr>
              <w:pStyle w:val="TableContents"/>
              <w:bidi w:val="0"/>
              <w:spacing w:before="0" w:after="283"/>
              <w:jc w:val="left"/>
              <w:rPr>
                <w:color w:val="000000"/>
              </w:rPr>
            </w:pPr>
            <w:r>
              <w:rPr>
                <w:color w:val="000000"/>
              </w:rPr>
              <w:t> </w:t>
            </w:r>
          </w:p>
        </w:tc>
      </w:tr>
      <w:tr>
        <w:trPr/>
        <w:tc>
          <w:tcPr>
            <w:tcW w:w="2207"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6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91"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968"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82" w:type="dxa"/>
            <w:gridSpan w:val="2"/>
            <w:tcBorders/>
            <w:vAlign w:val="center"/>
          </w:tcPr>
          <w:p>
            <w:pPr>
              <w:pStyle w:val="TableContents"/>
              <w:bidi w:val="0"/>
              <w:spacing w:before="0" w:after="283"/>
              <w:jc w:val="left"/>
              <w:rPr>
                <w:color w:val="000000"/>
              </w:rPr>
            </w:pPr>
            <w:r>
              <w:rPr>
                <w:color w:val="000000"/>
              </w:rPr>
              <w:t> </w:t>
            </w:r>
          </w:p>
        </w:tc>
        <w:tc>
          <w:tcPr>
            <w:tcW w:w="77" w:type="dxa"/>
            <w:tcBorders/>
            <w:vAlign w:val="center"/>
          </w:tcPr>
          <w:p>
            <w:pPr>
              <w:pStyle w:val="TableContents"/>
              <w:bidi w:val="0"/>
              <w:spacing w:before="0" w:after="283"/>
              <w:jc w:val="left"/>
              <w:rPr>
                <w:color w:val="000000"/>
              </w:rPr>
            </w:pPr>
            <w:r>
              <w:rPr>
                <w:color w:val="000000"/>
              </w:rPr>
              <w:t> </w:t>
            </w:r>
          </w:p>
        </w:tc>
      </w:tr>
      <w:tr>
        <w:trPr/>
        <w:tc>
          <w:tcPr>
            <w:tcW w:w="2207"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Outstanding at December 31,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526" w:name="xdx_987_eus-gaap--ClassOfWarrantOrRightN"/>
            <w:bookmarkEnd w:id="526"/>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235,946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27" w:name="xdx_981_ecustom--ClassOfWarrantOrRightNu"/>
            <w:bookmarkEnd w:id="527"/>
          </w:p>
        </w:tc>
        <w:tc>
          <w:tcPr>
            <w:tcW w:w="127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16.99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53" w:type="dxa"/>
            <w:tcBorders/>
            <w:shd w:fill="CCEEFF" w:val="clear"/>
            <w:vAlign w:val="center"/>
          </w:tcPr>
          <w:p>
            <w:pPr>
              <w:pStyle w:val="TableContents"/>
              <w:bidi w:val="0"/>
              <w:spacing w:before="0" w:after="283"/>
              <w:jc w:val="left"/>
              <w:rPr>
                <w:color w:val="000000"/>
              </w:rPr>
            </w:pPr>
            <w:r>
              <w:rPr>
                <w:color w:val="000000"/>
              </w:rPr>
              <w:t> </w:t>
            </w:r>
          </w:p>
        </w:tc>
        <w:tc>
          <w:tcPr>
            <w:tcW w:w="2615" w:type="dxa"/>
            <w:tcBorders/>
            <w:shd w:fill="CCEEFF" w:val="clear"/>
            <w:vAlign w:val="center"/>
          </w:tcPr>
          <w:p>
            <w:pPr>
              <w:pStyle w:val="TableContents"/>
              <w:bidi w:val="0"/>
              <w:spacing w:before="0" w:after="283"/>
              <w:jc w:val="right"/>
              <w:rPr>
                <w:rFonts w:ascii="Times New Roman;Times;Serif" w:hAnsi="Times New Roman;Times;Serif"/>
                <w:color w:val="000000"/>
              </w:rPr>
            </w:pPr>
            <w:bookmarkStart w:id="528" w:name="xdx_904_ecustom--ClassOfWarrantOrRightNu"/>
            <w:bookmarkEnd w:id="528"/>
            <w:r>
              <w:rPr>
                <w:rFonts w:ascii="Times New Roman;Times;Serif" w:hAnsi="Times New Roman;Times;Serif"/>
                <w:color w:val="000000"/>
              </w:rPr>
              <w:t>4.20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29" w:name="xdx_982_ecustom--ClassOfWarrantOrRightNu"/>
            <w:bookmarkEnd w:id="529"/>
          </w:p>
        </w:tc>
        <w:tc>
          <w:tcPr>
            <w:tcW w:w="152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color w:val="000000"/>
              </w:rPr>
            </w:pPr>
            <w:r>
              <w:rPr>
                <w:color w:val="000000"/>
              </w:rPr>
              <w:t> </w:t>
            </w:r>
          </w:p>
        </w:tc>
      </w:tr>
      <w:tr>
        <w:trPr/>
        <w:tc>
          <w:tcPr>
            <w:tcW w:w="2207"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530" w:name="xdx_988_ecustom--ClassOfWarrantOrRightNu"/>
            <w:bookmarkEnd w:id="530"/>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313,346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18" w:type="dxa"/>
            <w:tcBorders/>
            <w:shd w:fill="FFFFFF" w:val="clear"/>
            <w:vAlign w:val="center"/>
          </w:tcPr>
          <w:p>
            <w:pPr>
              <w:pStyle w:val="TableContents"/>
              <w:bidi w:val="0"/>
              <w:spacing w:before="0" w:after="283"/>
              <w:jc w:val="left"/>
              <w:rPr>
                <w:color w:val="000000"/>
              </w:rPr>
            </w:pPr>
            <w:r>
              <w:rPr>
                <w:color w:val="000000"/>
              </w:rPr>
              <w:t> </w:t>
            </w:r>
            <w:bookmarkStart w:id="531" w:name="xdx_988_ecustom--ClassOfWarrantOrRightNu"/>
            <w:bookmarkEnd w:id="531"/>
          </w:p>
        </w:tc>
        <w:tc>
          <w:tcPr>
            <w:tcW w:w="127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53" w:type="dxa"/>
            <w:tcBorders/>
            <w:shd w:fill="FFFFFF" w:val="clear"/>
            <w:vAlign w:val="center"/>
          </w:tcPr>
          <w:p>
            <w:pPr>
              <w:pStyle w:val="TableContents"/>
              <w:bidi w:val="0"/>
              <w:spacing w:before="0" w:after="283"/>
              <w:jc w:val="left"/>
              <w:rPr>
                <w:color w:val="000000"/>
              </w:rPr>
            </w:pPr>
            <w:r>
              <w:rPr>
                <w:color w:val="000000"/>
              </w:rPr>
              <w:t> </w:t>
            </w:r>
          </w:p>
        </w:tc>
        <w:tc>
          <w:tcPr>
            <w:tcW w:w="2615" w:type="dxa"/>
            <w:tcBorders/>
            <w:shd w:fill="FFFFFF" w:val="clear"/>
            <w:vAlign w:val="center"/>
          </w:tcPr>
          <w:p>
            <w:pPr>
              <w:pStyle w:val="TableContents"/>
              <w:bidi w:val="0"/>
              <w:spacing w:before="0" w:after="283"/>
              <w:jc w:val="right"/>
              <w:rPr>
                <w:rFonts w:ascii="Times New Roman;Times;Serif" w:hAnsi="Times New Roman;Times;Serif"/>
                <w:color w:val="000000"/>
              </w:rPr>
            </w:pPr>
            <w:bookmarkStart w:id="532" w:name="xdx_902_ecustom--ClassOfWarrantOrRightNu"/>
            <w:bookmarkEnd w:id="532"/>
            <w:r>
              <w:rPr>
                <w:rFonts w:ascii="Times New Roman;Times;Serif" w:hAnsi="Times New Roman;Times;Serif"/>
                <w:color w:val="000000"/>
              </w:rPr>
              <w:t>2.89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560" w:type="dxa"/>
            <w:tcBorders/>
            <w:shd w:fill="FFFFFF" w:val="clear"/>
            <w:vAlign w:val="center"/>
          </w:tcPr>
          <w:p>
            <w:pPr>
              <w:pStyle w:val="TableContents"/>
              <w:bidi w:val="0"/>
              <w:spacing w:before="0" w:after="283"/>
              <w:jc w:val="left"/>
              <w:rPr>
                <w:color w:val="000000"/>
              </w:rPr>
            </w:pPr>
            <w:r>
              <w:rPr>
                <w:color w:val="000000"/>
              </w:rPr>
              <w:t> </w:t>
            </w:r>
          </w:p>
        </w:tc>
        <w:tc>
          <w:tcPr>
            <w:tcW w:w="1522" w:type="dxa"/>
            <w:tcBorders/>
            <w:shd w:fill="FFFFFF" w:val="clear"/>
            <w:vAlign w:val="center"/>
          </w:tcPr>
          <w:p>
            <w:pPr>
              <w:pStyle w:val="TableContents"/>
              <w:bidi w:val="0"/>
              <w:spacing w:before="0" w:after="283"/>
              <w:jc w:val="right"/>
              <w:rPr>
                <w:color w:val="000000"/>
              </w:rPr>
            </w:pPr>
            <w:r>
              <w:rPr>
                <w:color w:val="000000"/>
              </w:rPr>
              <w:t> </w:t>
            </w:r>
          </w:p>
        </w:tc>
        <w:tc>
          <w:tcPr>
            <w:tcW w:w="77" w:type="dxa"/>
            <w:tcBorders/>
            <w:shd w:fill="FFFFFF" w:val="clear"/>
            <w:vAlign w:val="center"/>
          </w:tcPr>
          <w:p>
            <w:pPr>
              <w:pStyle w:val="TableContents"/>
              <w:bidi w:val="0"/>
              <w:spacing w:before="0" w:after="283"/>
              <w:jc w:val="left"/>
              <w:rPr>
                <w:color w:val="000000"/>
              </w:rPr>
            </w:pPr>
            <w:r>
              <w:rPr>
                <w:color w:val="000000"/>
              </w:rPr>
              <w:t> </w:t>
            </w:r>
          </w:p>
        </w:tc>
      </w:tr>
      <w:tr>
        <w:trPr/>
        <w:tc>
          <w:tcPr>
            <w:tcW w:w="2207"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533" w:name="xdx_986_ecustom--ClassOfWarrantOrRightNu"/>
            <w:bookmarkEnd w:id="533"/>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18" w:type="dxa"/>
            <w:tcBorders/>
            <w:shd w:fill="CCEEFF" w:val="clear"/>
            <w:vAlign w:val="center"/>
          </w:tcPr>
          <w:p>
            <w:pPr>
              <w:pStyle w:val="TableContents"/>
              <w:bidi w:val="0"/>
              <w:spacing w:before="0" w:after="283"/>
              <w:jc w:val="left"/>
              <w:rPr>
                <w:color w:val="000000"/>
              </w:rPr>
            </w:pPr>
            <w:r>
              <w:rPr>
                <w:color w:val="000000"/>
              </w:rPr>
              <w:t> </w:t>
            </w:r>
            <w:bookmarkStart w:id="534" w:name="xdx_98B_ecustom--ClassOfWarrantOrRightNu"/>
            <w:bookmarkEnd w:id="534"/>
          </w:p>
        </w:tc>
        <w:tc>
          <w:tcPr>
            <w:tcW w:w="127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53" w:type="dxa"/>
            <w:tcBorders/>
            <w:shd w:fill="CCEEFF" w:val="clear"/>
            <w:vAlign w:val="center"/>
          </w:tcPr>
          <w:p>
            <w:pPr>
              <w:pStyle w:val="TableContents"/>
              <w:bidi w:val="0"/>
              <w:spacing w:before="0" w:after="283"/>
              <w:jc w:val="left"/>
              <w:rPr>
                <w:color w:val="000000"/>
              </w:rPr>
            </w:pPr>
            <w:r>
              <w:rPr>
                <w:color w:val="000000"/>
              </w:rPr>
              <w:t> </w:t>
            </w:r>
          </w:p>
        </w:tc>
        <w:tc>
          <w:tcPr>
            <w:tcW w:w="261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560" w:type="dxa"/>
            <w:tcBorders/>
            <w:shd w:fill="CCEEFF" w:val="clear"/>
            <w:vAlign w:val="center"/>
          </w:tcPr>
          <w:p>
            <w:pPr>
              <w:pStyle w:val="TableContents"/>
              <w:bidi w:val="0"/>
              <w:spacing w:before="0" w:after="283"/>
              <w:jc w:val="left"/>
              <w:rPr>
                <w:color w:val="000000"/>
              </w:rPr>
            </w:pPr>
            <w:r>
              <w:rPr>
                <w:color w:val="000000"/>
              </w:rPr>
              <w:t> </w:t>
            </w:r>
          </w:p>
        </w:tc>
        <w:tc>
          <w:tcPr>
            <w:tcW w:w="1522" w:type="dxa"/>
            <w:tcBorders/>
            <w:shd w:fill="CCEEFF" w:val="clear"/>
            <w:vAlign w:val="center"/>
          </w:tcPr>
          <w:p>
            <w:pPr>
              <w:pStyle w:val="TableContents"/>
              <w:bidi w:val="0"/>
              <w:spacing w:before="0" w:after="283"/>
              <w:jc w:val="right"/>
              <w:rPr>
                <w:color w:val="000000"/>
              </w:rPr>
            </w:pPr>
            <w:r>
              <w:rPr>
                <w:color w:val="000000"/>
              </w:rPr>
              <w:t> </w:t>
            </w:r>
          </w:p>
        </w:tc>
        <w:tc>
          <w:tcPr>
            <w:tcW w:w="77" w:type="dxa"/>
            <w:tcBorders/>
            <w:shd w:fill="CCEEFF" w:val="clear"/>
            <w:vAlign w:val="center"/>
          </w:tcPr>
          <w:p>
            <w:pPr>
              <w:pStyle w:val="TableContents"/>
              <w:bidi w:val="0"/>
              <w:spacing w:before="0" w:after="283"/>
              <w:jc w:val="left"/>
              <w:rPr>
                <w:color w:val="000000"/>
              </w:rPr>
            </w:pPr>
            <w:r>
              <w:rPr>
                <w:color w:val="000000"/>
              </w:rPr>
              <w:t> </w:t>
            </w:r>
          </w:p>
        </w:tc>
      </w:tr>
      <w:tr>
        <w:trPr/>
        <w:tc>
          <w:tcPr>
            <w:tcW w:w="2207"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35" w:name="xdx_986_ecustom--ClassOfWarrantOrRightNu"/>
            <w:bookmarkEnd w:id="535"/>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1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36" w:name="xdx_984_ecustom--ClassOfWarrantOrRightNu"/>
            <w:bookmarkEnd w:id="536"/>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53"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26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77" w:type="dxa"/>
            <w:tcBorders/>
            <w:shd w:fill="FFFFFF" w:val="clear"/>
            <w:vAlign w:val="center"/>
          </w:tcPr>
          <w:p>
            <w:pPr>
              <w:pStyle w:val="TableContents"/>
              <w:bidi w:val="0"/>
              <w:spacing w:before="0" w:after="283"/>
              <w:jc w:val="left"/>
              <w:rPr>
                <w:color w:val="000000"/>
              </w:rPr>
            </w:pPr>
            <w:r>
              <w:rPr>
                <w:color w:val="000000"/>
              </w:rPr>
              <w:t> </w:t>
            </w:r>
          </w:p>
        </w:tc>
      </w:tr>
      <w:tr>
        <w:trPr/>
        <w:tc>
          <w:tcPr>
            <w:tcW w:w="2207"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Outstanding at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537" w:name="xdx_987_eus-gaap--ClassOfWarrantOrRightN"/>
            <w:bookmarkEnd w:id="537"/>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549,292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1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38" w:name="xdx_98B_ecustom--ClassOfWarrantOrRightNu"/>
            <w:bookmarkEnd w:id="538"/>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26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539" w:name="xdx_902_ecustom--ClassOfWarrantOrRightNu"/>
            <w:bookmarkEnd w:id="539"/>
            <w:r>
              <w:rPr>
                <w:rFonts w:ascii="Times New Roman;Times;Serif" w:hAnsi="Times New Roman;Times;Serif"/>
                <w:color w:val="000000"/>
              </w:rPr>
              <w:t>3.35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40" w:name="xdx_98A_ecustom--ClassOfWarrantOrRightNu"/>
            <w:bookmarkEnd w:id="540"/>
          </w:p>
        </w:tc>
        <w:tc>
          <w:tcPr>
            <w:tcW w:w="15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111</w:t>
            </w:r>
          </w:p>
        </w:tc>
        <w:tc>
          <w:tcPr>
            <w:tcW w:w="77" w:type="dxa"/>
            <w:tcBorders/>
            <w:shd w:fill="CCEEFF" w:val="clear"/>
            <w:vAlign w:val="center"/>
          </w:tcPr>
          <w:p>
            <w:pPr>
              <w:pStyle w:val="TableContents"/>
              <w:bidi w:val="0"/>
              <w:spacing w:before="0" w:after="283"/>
              <w:jc w:val="left"/>
              <w:rPr>
                <w:color w:val="000000"/>
              </w:rPr>
            </w:pPr>
            <w:r>
              <w:rPr>
                <w:color w:val="000000"/>
              </w:rPr>
              <w:t> </w:t>
            </w:r>
          </w:p>
        </w:tc>
      </w:tr>
      <w:tr>
        <w:trPr/>
        <w:tc>
          <w:tcPr>
            <w:tcW w:w="2207"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Exercisable at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41" w:name="xdx_986_ecustom--ClassOfWarrantOrRightNu"/>
            <w:bookmarkEnd w:id="541"/>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549,292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18"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42" w:name="xdx_981_ecustom--ClassOfWarrantOrRightNu"/>
            <w:bookmarkEnd w:id="542"/>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53"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26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bookmarkStart w:id="543" w:name="xdx_907_ecustom--ClassOfWarrantOrRightNu"/>
            <w:bookmarkEnd w:id="543"/>
            <w:r>
              <w:rPr>
                <w:rFonts w:ascii="Times New Roman;Times;Serif" w:hAnsi="Times New Roman;Times;Serif"/>
                <w:color w:val="000000"/>
              </w:rPr>
              <w:t>3.35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44" w:name="xdx_983_ecustom--ClassOfWarrantOrRightNu"/>
            <w:bookmarkEnd w:id="544"/>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111</w:t>
            </w:r>
          </w:p>
        </w:tc>
        <w:tc>
          <w:tcPr>
            <w:tcW w:w="77"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545" w:name="xdx_8AB_zXSqyhSDM4yj"/>
      <w:bookmarkEnd w:id="545"/>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June 30, 2023, the outstanding and exercisable warrants have an aggregate intrinsic value of $</w:t>
      </w:r>
      <w:bookmarkStart w:id="546" w:name="xdx_909_ecustom--ClassOfWarrantOrRightNu"/>
      <w:bookmarkStart w:id="547" w:name="xdx_909_ecustom--ClassOfWarrantOrRightNu"/>
      <w:bookmarkEnd w:id="546"/>
      <w:bookmarkEnd w:id="547"/>
      <w:r>
        <w:rPr>
          <w:rFonts w:ascii="Times New Roman;Times;Serif" w:hAnsi="Times New Roman;Times;Serif"/>
          <w:b w:val="false"/>
          <w:i w:val="false"/>
          <w:caps w:val="false"/>
          <w:smallCaps w:val="false"/>
          <w:color w:val="000000"/>
          <w:sz w:val="20"/>
        </w:rPr>
        <w:t>85. The aggregate intrinsic value was calculated as the difference between the closing market price as of June 30, 2023, which was $</w:t>
      </w:r>
      <w:bookmarkStart w:id="548" w:name="xdx_908_eus-gaap--SharePrice_iI_pid_c202"/>
      <w:bookmarkEnd w:id="548"/>
      <w:r>
        <w:rPr>
          <w:rFonts w:ascii="Times New Roman;Times;Serif" w:hAnsi="Times New Roman;Times;Serif"/>
          <w:b w:val="false"/>
          <w:i w:val="false"/>
          <w:caps w:val="false"/>
          <w:smallCaps w:val="false"/>
          <w:color w:val="000000"/>
          <w:sz w:val="20"/>
        </w:rPr>
        <w:t>2.89, and the exercise price of the Company’s warrants to purchase common stock.</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On May 25, 2023, the Company entered into a Securities Purchase Agreement with D&amp;D Source of Life Holding Ltd., as the lead investor, and certain of Reed’s affiliates pursuant to which the investors agreed to purchase an aggregate of </w:t>
      </w:r>
      <w:bookmarkStart w:id="549" w:name="xdx_900_eus-gaap--StockIssuedDuringPerio"/>
      <w:bookmarkEnd w:id="549"/>
      <w:r>
        <w:rPr>
          <w:rFonts w:ascii="Times New Roman;Times;Serif" w:hAnsi="Times New Roman;Times;Serif"/>
          <w:b w:val="false"/>
          <w:i w:val="false"/>
          <w:caps w:val="false"/>
          <w:smallCaps w:val="false"/>
          <w:color w:val="000000"/>
          <w:sz w:val="20"/>
        </w:rPr>
        <w:t xml:space="preserve">1,566,732 shares of Reed’s common stock and warrants to purchase </w:t>
      </w:r>
      <w:bookmarkStart w:id="550" w:name="xdx_900_eus-gaap--ClassOfWarrantOrRightN"/>
      <w:bookmarkEnd w:id="550"/>
      <w:r>
        <w:rPr>
          <w:rFonts w:ascii="Times New Roman;Times;Serif" w:hAnsi="Times New Roman;Times;Serif"/>
          <w:b w:val="false"/>
          <w:i w:val="false"/>
          <w:caps w:val="false"/>
          <w:smallCaps w:val="false"/>
          <w:color w:val="000000"/>
          <w:sz w:val="20"/>
        </w:rPr>
        <w:t>313,346 shares of Common Stock. The purchase price per share of Common Stock and associated warrant was $</w:t>
      </w:r>
      <w:bookmarkStart w:id="551" w:name="xdx_908_eus-gaap--SharePrice_iI_c2023052"/>
      <w:bookmarkEnd w:id="551"/>
      <w:r>
        <w:rPr>
          <w:rFonts w:ascii="Times New Roman;Times;Serif" w:hAnsi="Times New Roman;Times;Serif"/>
          <w:b w:val="false"/>
          <w:i w:val="false"/>
          <w:caps w:val="false"/>
          <w:smallCaps w:val="false"/>
          <w:color w:val="000000"/>
          <w:sz w:val="20"/>
        </w:rPr>
        <w:t>2.585. The warrants are exercisable for a term of three years at a per share exercise price of $</w:t>
      </w:r>
      <w:bookmarkStart w:id="552" w:name="xdx_90A_eus-gaap--ClassOfWarrantOrRightE"/>
      <w:bookmarkEnd w:id="552"/>
      <w:r>
        <w:rPr>
          <w:rFonts w:ascii="Times New Roman;Times;Serif" w:hAnsi="Times New Roman;Times;Serif"/>
          <w:b w:val="false"/>
          <w:i w:val="false"/>
          <w:caps w:val="false"/>
          <w:smallCaps w:val="false"/>
          <w:color w:val="000000"/>
          <w:sz w:val="20"/>
        </w:rPr>
        <w:t>2.50.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53" w:name="xdx_80E_eus-gaap--RelatedPartyTransactio"/>
      <w:bookmarkEnd w:id="553"/>
      <w:r>
        <w:rPr>
          <w:rFonts w:ascii="Times New Roman;Times;Serif" w:hAnsi="Times New Roman;Times;Serif"/>
          <w:b/>
          <w:i w:val="false"/>
          <w:caps w:val="false"/>
          <w:smallCaps w:val="false"/>
          <w:color w:val="000000"/>
          <w:sz w:val="20"/>
        </w:rPr>
        <w:t xml:space="preserve">11. </w:t>
      </w:r>
      <w:bookmarkStart w:id="554" w:name="xdx_82B_zw3uuF8sWeG2"/>
      <w:bookmarkEnd w:id="554"/>
      <w:r>
        <w:rPr>
          <w:rFonts w:ascii="Times New Roman;Times;Serif" w:hAnsi="Times New Roman;Times;Serif"/>
          <w:b/>
          <w:i w:val="false"/>
          <w:caps w:val="false"/>
          <w:smallCaps w:val="false"/>
          <w:color w:val="000000"/>
          <w:sz w:val="20"/>
        </w:rPr>
        <w:t>Transactions with California Custom Beverage, LLC, former related party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555" w:name="xdx_906_ecustom--RoyaltyPercentage_iI_dp"/>
      <w:bookmarkEnd w:id="555"/>
      <w:r>
        <w:rPr>
          <w:rFonts w:ascii="Times New Roman;Times;Serif" w:hAnsi="Times New Roman;Times;Serif"/>
          <w:b w:val="false"/>
          <w:i w:val="false"/>
          <w:caps w:val="false"/>
          <w:smallCaps w:val="false"/>
          <w:color w:val="000000"/>
          <w:sz w:val="20"/>
        </w:rPr>
        <w:t>5% royalty through 2021 on certain private label sales made by CCB.</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six months ended June 30, 2023 and 2022, the Company incurred co-packing fees due to CCB of $</w:t>
      </w:r>
      <w:bookmarkStart w:id="556" w:name="xdx_906_eus-gaap--OtherLiabilities_iI_c2"/>
      <w:bookmarkEnd w:id="556"/>
      <w:r>
        <w:rPr>
          <w:rFonts w:ascii="Times New Roman;Times;Serif" w:hAnsi="Times New Roman;Times;Serif"/>
          <w:b w:val="false"/>
          <w:i w:val="false"/>
          <w:caps w:val="false"/>
          <w:smallCaps w:val="false"/>
          <w:color w:val="000000"/>
          <w:sz w:val="20"/>
        </w:rPr>
        <w:t>740 and $</w:t>
      </w:r>
      <w:bookmarkStart w:id="557" w:name="xdx_909_eus-gaap--OtherLiabilities_iI_pn"/>
      <w:bookmarkEnd w:id="557"/>
      <w:r>
        <w:rPr>
          <w:rFonts w:ascii="Times New Roman;Times;Serif" w:hAnsi="Times New Roman;Times;Serif"/>
          <w:b w:val="false"/>
          <w:i w:val="false"/>
          <w:caps w:val="false"/>
          <w:smallCaps w:val="false"/>
          <w:color w:val="000000"/>
          <w:sz w:val="20"/>
        </w:rPr>
        <w:t>1,685, respectively. As of June 30, 2023 and 2022, the aggregate of co-packing fees payable to CCB were $</w:t>
      </w:r>
      <w:bookmarkStart w:id="558" w:name="xdx_903_eus-gaap--NotesPayable_iI_pn3n3_"/>
      <w:bookmarkEnd w:id="558"/>
      <w:r>
        <w:rPr>
          <w:rFonts w:ascii="Times New Roman;Times;Serif" w:hAnsi="Times New Roman;Times;Serif"/>
          <w:b w:val="false"/>
          <w:i w:val="false"/>
          <w:caps w:val="false"/>
          <w:smallCaps w:val="false"/>
          <w:color w:val="000000"/>
          <w:sz w:val="20"/>
        </w:rPr>
        <w:t>1,111 and $</w:t>
      </w:r>
      <w:bookmarkStart w:id="559" w:name="xdx_902_eus-gaap--NotesPayable_iI_pn3n3_"/>
      <w:bookmarkEnd w:id="559"/>
      <w:r>
        <w:rPr>
          <w:rFonts w:ascii="Times New Roman;Times;Serif" w:hAnsi="Times New Roman;Times;Serif"/>
          <w:b w:val="false"/>
          <w:i w:val="false"/>
          <w:caps w:val="false"/>
          <w:smallCaps w:val="false"/>
          <w:color w:val="000000"/>
          <w:sz w:val="20"/>
        </w:rPr>
        <w:t>2,025, respectively. At June 30, 2023 and December 31, 2022, the Company had also recorded receivables from CCB of $</w:t>
      </w:r>
      <w:bookmarkStart w:id="560" w:name="xdx_90D_eus-gaap--ReceivablesNetCurrent_"/>
      <w:bookmarkEnd w:id="560"/>
      <w:r>
        <w:rPr>
          <w:rFonts w:ascii="Times New Roman;Times;Serif" w:hAnsi="Times New Roman;Times;Serif"/>
          <w:b w:val="false"/>
          <w:i w:val="false"/>
          <w:caps w:val="false"/>
          <w:smallCaps w:val="false"/>
          <w:color w:val="000000"/>
          <w:sz w:val="20"/>
        </w:rPr>
        <w:t>1,315 and $</w:t>
      </w:r>
      <w:bookmarkStart w:id="561" w:name="xdx_90B_eus-gaap--ReceivablesNetCurrent_"/>
      <w:bookmarkEnd w:id="561"/>
      <w:r>
        <w:rPr>
          <w:rFonts w:ascii="Times New Roman;Times;Serif" w:hAnsi="Times New Roman;Times;Serif"/>
          <w:b w:val="false"/>
          <w:i w:val="false"/>
          <w:caps w:val="false"/>
          <w:smallCaps w:val="false"/>
          <w:color w:val="000000"/>
          <w:sz w:val="20"/>
        </w:rPr>
        <w:t>1,315, respectively, including royalty receivable of $</w:t>
      </w:r>
      <w:bookmarkStart w:id="562" w:name="xdx_90F_ecustom--RoyaltyReceivable_pn3n3"/>
      <w:bookmarkEnd w:id="562"/>
      <w:r>
        <w:rPr>
          <w:rFonts w:ascii="Times New Roman;Times;Serif" w:hAnsi="Times New Roman;Times;Serif"/>
          <w:b w:val="false"/>
          <w:i w:val="false"/>
          <w:caps w:val="false"/>
          <w:smallCaps w:val="false"/>
          <w:color w:val="000000"/>
          <w:sz w:val="20"/>
        </w:rPr>
        <w:t>297 and $</w:t>
      </w:r>
      <w:bookmarkStart w:id="563" w:name="xdx_904_ecustom--RoyaltyReceivable_pn3n3"/>
      <w:bookmarkEnd w:id="563"/>
      <w:r>
        <w:rPr>
          <w:rFonts w:ascii="Times New Roman;Times;Serif" w:hAnsi="Times New Roman;Times;Serif"/>
          <w:b w:val="false"/>
          <w:i w:val="false"/>
          <w:caps w:val="false"/>
          <w:smallCaps w:val="false"/>
          <w:color w:val="000000"/>
          <w:sz w:val="20"/>
        </w:rPr>
        <w:t>297, and charge backs of certain costs management determined were permittable under the co-packing agreement of $</w:t>
      </w:r>
      <w:bookmarkStart w:id="564" w:name="xdx_90C_ecustom--CopackingFees_c20230101"/>
      <w:bookmarkEnd w:id="564"/>
      <w:r>
        <w:rPr>
          <w:rFonts w:ascii="Times New Roman;Times;Serif" w:hAnsi="Times New Roman;Times;Serif"/>
          <w:b w:val="false"/>
          <w:i w:val="false"/>
          <w:caps w:val="false"/>
          <w:smallCaps w:val="false"/>
          <w:color w:val="000000"/>
          <w:sz w:val="20"/>
        </w:rPr>
        <w:t>1,018 and $</w:t>
      </w:r>
      <w:bookmarkStart w:id="565" w:name="xdx_90E_ecustom--CopackingFees_c20220101"/>
      <w:bookmarkEnd w:id="565"/>
      <w:r>
        <w:rPr>
          <w:rFonts w:ascii="Times New Roman;Times;Serif" w:hAnsi="Times New Roman;Times;Serif"/>
          <w:b w:val="false"/>
          <w:i w:val="false"/>
          <w:caps w:val="false"/>
          <w:smallCaps w:val="false"/>
          <w:color w:val="000000"/>
          <w:sz w:val="20"/>
        </w:rPr>
        <w:t>1,018,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66" w:name="xdx_89C_eus-gaap--ScheduleOfRelatedParty"/>
      <w:bookmarkEnd w:id="566"/>
      <w:r>
        <w:rPr>
          <w:rFonts w:ascii="Times New Roman;Times;Serif" w:hAnsi="Times New Roman;Times;Serif"/>
          <w:b w:val="false"/>
          <w:i w:val="false"/>
          <w:caps w:val="false"/>
          <w:smallCaps w:val="false"/>
          <w:color w:val="000000"/>
          <w:sz w:val="20"/>
        </w:rPr>
        <w:t>At June 30, 2023 and December 31, 2022, accounts receivable due from and accounts payable due to CCB were as follows: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67" w:name="xdx_8BB_zOoRvPvSS1Fl"/>
      <w:bookmarkEnd w:id="567"/>
      <w:r>
        <w:rPr>
          <w:rFonts w:ascii="Times New Roman;Times;Serif" w:hAnsi="Times New Roman;Times;Serif"/>
          <w:b w:val="false"/>
          <w:i w:val="false"/>
          <w:caps w:val="false"/>
          <w:smallCaps w:val="false"/>
          <w:color w:val="000000"/>
          <w:sz w:val="20"/>
        </w:rPr>
        <w:t>Schedule of Related Parties</w:t>
      </w:r>
    </w:p>
    <w:tbl>
      <w:tblPr>
        <w:tblW w:w="10205" w:type="dxa"/>
        <w:jc w:val="left"/>
        <w:tblInd w:w="0" w:type="dxa"/>
        <w:tblLayout w:type="fixed"/>
        <w:tblCellMar>
          <w:top w:w="0" w:type="dxa"/>
          <w:left w:w="0" w:type="dxa"/>
          <w:bottom w:w="0" w:type="dxa"/>
          <w:right w:w="0" w:type="dxa"/>
        </w:tblCellMar>
      </w:tblPr>
      <w:tblGrid>
        <w:gridCol w:w="8034"/>
        <w:gridCol w:w="60"/>
        <w:gridCol w:w="64"/>
        <w:gridCol w:w="685"/>
        <w:gridCol w:w="95"/>
        <w:gridCol w:w="60"/>
        <w:gridCol w:w="93"/>
        <w:gridCol w:w="1002"/>
        <w:gridCol w:w="112"/>
      </w:tblGrid>
      <w:tr>
        <w:trPr/>
        <w:tc>
          <w:tcPr>
            <w:tcW w:w="8034"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568" w:name="xdx_498_20230630_zrjIUY9yCS58"/>
            <w:bookmarkEnd w:id="568"/>
          </w:p>
        </w:tc>
        <w:tc>
          <w:tcPr>
            <w:tcW w:w="7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2023</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bookmarkStart w:id="569" w:name="xdx_49D_20221231_zdRkXdpIcdq1"/>
            <w:bookmarkEnd w:id="569"/>
          </w:p>
        </w:tc>
        <w:tc>
          <w:tcPr>
            <w:tcW w:w="109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December 31,</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2022</w:t>
            </w:r>
          </w:p>
        </w:tc>
        <w:tc>
          <w:tcPr>
            <w:tcW w:w="112" w:type="dxa"/>
            <w:tcBorders/>
            <w:vAlign w:val="center"/>
          </w:tcPr>
          <w:p>
            <w:pPr>
              <w:pStyle w:val="TableContents"/>
              <w:bidi w:val="0"/>
              <w:spacing w:before="0" w:after="283"/>
              <w:jc w:val="center"/>
              <w:rPr>
                <w:color w:val="000000"/>
              </w:rPr>
            </w:pPr>
            <w:r>
              <w:rPr>
                <w:color w:val="000000"/>
              </w:rPr>
              <w:t> </w:t>
            </w:r>
            <w:bookmarkStart w:id="570" w:name="xdx_400_eus-gaap--OtherReceivablesNetCur"/>
            <w:bookmarkEnd w:id="570"/>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receivable, net of provision of $</w:t>
            </w:r>
            <w:bookmarkStart w:id="571" w:name="xdx_90A_ecustom--ProvisionForReceivableW"/>
            <w:bookmarkEnd w:id="571"/>
            <w:r>
              <w:rPr>
                <w:rFonts w:ascii="Times New Roman;Times;Serif" w:hAnsi="Times New Roman;Times;Serif"/>
                <w:color w:val="000000"/>
              </w:rPr>
              <w:t>538 and $</w:t>
            </w:r>
            <w:bookmarkStart w:id="572" w:name="xdx_904_ecustom--ProvisionForReceivableW"/>
            <w:bookmarkEnd w:id="572"/>
            <w:r>
              <w:rPr>
                <w:rFonts w:ascii="Times New Roman;Times;Serif" w:hAnsi="Times New Roman;Times;Serif"/>
                <w:color w:val="000000"/>
              </w:rPr>
              <w:t>538 at June 30, 2023 and December 31, 2022, respectively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777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shd w:fill="CCEEFF" w:val="clear"/>
            <w:vAlign w:val="center"/>
          </w:tcPr>
          <w:p>
            <w:pPr>
              <w:pStyle w:val="TableContents"/>
              <w:bidi w:val="0"/>
              <w:spacing w:before="0" w:after="283"/>
              <w:jc w:val="left"/>
              <w:rPr>
                <w:color w:val="000000"/>
              </w:rPr>
            </w:pPr>
            <w:r>
              <w:rPr>
                <w:color w:val="000000"/>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777</w:t>
            </w:r>
          </w:p>
        </w:tc>
        <w:tc>
          <w:tcPr>
            <w:tcW w:w="112" w:type="dxa"/>
            <w:tcBorders/>
            <w:shd w:fill="CCEEFF" w:val="clear"/>
            <w:vAlign w:val="center"/>
          </w:tcPr>
          <w:p>
            <w:pPr>
              <w:pStyle w:val="TableContents"/>
              <w:bidi w:val="0"/>
              <w:spacing w:before="0" w:after="283"/>
              <w:jc w:val="left"/>
              <w:rPr>
                <w:color w:val="000000"/>
              </w:rPr>
            </w:pPr>
            <w:r>
              <w:rPr>
                <w:color w:val="000000"/>
              </w:rPr>
              <w:t> </w:t>
            </w:r>
            <w:bookmarkStart w:id="573" w:name="xdx_407_eus-gaap--OtherLiabilitiesCurren"/>
            <w:bookmarkEnd w:id="573"/>
          </w:p>
        </w:tc>
      </w:tr>
      <w:tr>
        <w:trPr/>
        <w:tc>
          <w:tcPr>
            <w:tcW w:w="8034"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Accounts payable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(1,111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(2,025</w:t>
            </w:r>
          </w:p>
        </w:tc>
        <w:tc>
          <w:tcPr>
            <w:tcW w:w="11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bookmarkStart w:id="574" w:name="xdx_408_eus-gaap--OtherReceivables_iNTI_"/>
            <w:bookmarkEnd w:id="574"/>
          </w:p>
        </w:tc>
      </w:tr>
      <w:tr>
        <w:trPr/>
        <w:tc>
          <w:tcPr>
            <w:tcW w:w="8034"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Net (payable) receivable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(334</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(1,248</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both"/>
        <w:rPr>
          <w:caps w:val="false"/>
          <w:smallCaps w:val="false"/>
          <w:color w:val="000000"/>
        </w:rPr>
      </w:pPr>
      <w:bookmarkStart w:id="575" w:name="xdx_8A6_zIBiClVkYEId"/>
      <w:bookmarkEnd w:id="575"/>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 December 31, 2022, CCB disputes that it owes $</w:t>
      </w:r>
      <w:bookmarkStart w:id="576" w:name="xdx_909_eus-gaap--OtherReceivables_iI_pn"/>
      <w:bookmarkEnd w:id="576"/>
      <w:r>
        <w:rPr>
          <w:rFonts w:ascii="Times New Roman;Times;Serif" w:hAnsi="Times New Roman;Times;Serif"/>
          <w:b w:val="false"/>
          <w:i w:val="false"/>
          <w:caps w:val="false"/>
          <w:smallCaps w:val="false"/>
          <w:color w:val="000000"/>
          <w:sz w:val="20"/>
        </w:rPr>
        <w:t>1,043 of the $</w:t>
      </w:r>
      <w:bookmarkStart w:id="577" w:name="xdx_905_eus-gaap--ReceivablesNetCurrent_"/>
      <w:bookmarkEnd w:id="577"/>
      <w:r>
        <w:rPr>
          <w:rFonts w:ascii="Times New Roman;Times;Serif" w:hAnsi="Times New Roman;Times;Serif"/>
          <w:b w:val="false"/>
          <w:i w:val="false"/>
          <w:caps w:val="false"/>
          <w:smallCaps w:val="false"/>
          <w:color w:val="000000"/>
          <w:sz w:val="20"/>
        </w:rPr>
        <w:t>1,315 recorded as receivable by the Company. The Company believes that it will prevail in this dispute, however, as of June 30, 2023 and December 31, 2022, due to the uncertainty about the ultimate amount that will be settled, the Company has provided a reserve for $</w:t>
      </w:r>
      <w:bookmarkStart w:id="578" w:name="xdx_904_ecustom--ProvisionForReceivableW"/>
      <w:bookmarkEnd w:id="578"/>
      <w:r>
        <w:rPr>
          <w:rFonts w:ascii="Times New Roman;Times;Serif" w:hAnsi="Times New Roman;Times;Serif"/>
          <w:b w:val="false"/>
          <w:i w:val="false"/>
          <w:caps w:val="false"/>
          <w:smallCaps w:val="false"/>
          <w:color w:val="000000"/>
          <w:sz w:val="20"/>
        </w:rPr>
        <w:t>538 based on management’s estimate. In addition, on April 19, 2023, the Company received a letter from CCB demanding payment of various amounts, including the $</w:t>
      </w:r>
      <w:bookmarkStart w:id="579" w:name="xdx_906_eus-gaap--OtherLiabilitiesCurren"/>
      <w:bookmarkEnd w:id="579"/>
      <w:r>
        <w:rPr>
          <w:rFonts w:ascii="Times New Roman;Times;Serif" w:hAnsi="Times New Roman;Times;Serif"/>
          <w:b w:val="false"/>
          <w:i w:val="false"/>
          <w:caps w:val="false"/>
          <w:smallCaps w:val="false"/>
          <w:color w:val="000000"/>
          <w:sz w:val="20"/>
        </w:rPr>
        <w:t>1,111 and $</w:t>
      </w:r>
      <w:bookmarkStart w:id="580" w:name="xdx_904_eus-gaap--OtherLiabilitiesCurren"/>
      <w:bookmarkEnd w:id="580"/>
      <w:r>
        <w:rPr>
          <w:rFonts w:ascii="Times New Roman;Times;Serif" w:hAnsi="Times New Roman;Times;Serif"/>
          <w:b w:val="false"/>
          <w:i w:val="false"/>
          <w:caps w:val="false"/>
          <w:smallCaps w:val="false"/>
          <w:color w:val="000000"/>
          <w:sz w:val="20"/>
        </w:rPr>
        <w:t>2,025 outstanding at June 30, 2023 and December 31, 2022, respectively. The Company has determined that the probability of realizing any loss on the demand from CCB is remote and therefore has not recorded any additional accruals related to the demand.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81" w:name="xdx_801_eus-gaap--CommitmentsAndContinge"/>
      <w:bookmarkEnd w:id="581"/>
      <w:r>
        <w:rPr>
          <w:rFonts w:ascii="Times New Roman;Times;Serif" w:hAnsi="Times New Roman;Times;Serif"/>
          <w:b/>
          <w:i w:val="false"/>
          <w:caps w:val="false"/>
          <w:smallCaps w:val="false"/>
          <w:color w:val="000000"/>
          <w:sz w:val="20"/>
        </w:rPr>
        <w:t xml:space="preserve">12. </w:t>
      </w:r>
      <w:bookmarkStart w:id="582" w:name="xdx_821_zsBHiNnxGp3"/>
      <w:bookmarkEnd w:id="582"/>
      <w:r>
        <w:rPr>
          <w:rFonts w:ascii="Times New Roman;Times;Serif" w:hAnsi="Times New Roman;Times;Serif"/>
          <w:b/>
          <w:i w:val="false"/>
          <w:caps w:val="false"/>
          <w:smallCaps w:val="false"/>
          <w:color w:val="000000"/>
          <w:sz w:val="20"/>
        </w:rPr>
        <w:t>Commitments and Contingencies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2018, CCB assumed the monthly payments on our lease obligation for a Los Angeles manufacturing plant, and our release from the obligation by the lessor, however, is dependent upon CCB’s deposit of $</w:t>
      </w:r>
      <w:bookmarkStart w:id="583" w:name="xdx_90C_eus-gaap--SecurityDeposit_iI_pn3"/>
      <w:bookmarkEnd w:id="583"/>
      <w:r>
        <w:rPr>
          <w:rFonts w:ascii="Times New Roman;Times;Serif" w:hAnsi="Times New Roman;Times;Serif"/>
          <w:b w:val="false"/>
          <w:i w:val="false"/>
          <w:caps w:val="false"/>
          <w:smallCaps w:val="false"/>
          <w:color w:val="000000"/>
          <w:sz w:val="20"/>
        </w:rPr>
        <w:t>1,200 of security with the lessor. As of June 30, 2023, $</w:t>
      </w:r>
      <w:bookmarkStart w:id="584" w:name="xdx_90A_eus-gaap--SecurityDeposit_iI_pn3"/>
      <w:bookmarkEnd w:id="584"/>
      <w:r>
        <w:rPr>
          <w:rFonts w:ascii="Times New Roman;Times;Serif" w:hAnsi="Times New Roman;Times;Serif"/>
          <w:b w:val="false"/>
          <w:i w:val="false"/>
          <w:caps w:val="false"/>
          <w:smallCaps w:val="false"/>
          <w:color w:val="000000"/>
          <w:sz w:val="20"/>
        </w:rPr>
        <w:t xml:space="preserve">800 has been deposited with the lessor and Chris J. Reed has placed approximately </w:t>
      </w:r>
      <w:bookmarkStart w:id="585" w:name="xdx_90E_eus-gaap--StockIssuedDuringPerio"/>
      <w:bookmarkEnd w:id="585"/>
      <w:r>
        <w:rPr>
          <w:rFonts w:ascii="Times New Roman;Times;Serif" w:hAnsi="Times New Roman;Times;Serif"/>
          <w:b w:val="false"/>
          <w:i w:val="false"/>
          <w:caps w:val="false"/>
          <w:smallCaps w:val="false"/>
          <w:color w:val="000000"/>
          <w:sz w:val="20"/>
        </w:rPr>
        <w:t>7,260 shares of the Company’s common stock valued at $</w:t>
      </w:r>
      <w:bookmarkStart w:id="586" w:name="xdx_90F_eus-gaap--StockIssuedDuringPerio"/>
      <w:bookmarkEnd w:id="586"/>
      <w:r>
        <w:rPr>
          <w:rFonts w:ascii="Times New Roman;Times;Serif" w:hAnsi="Times New Roman;Times;Serif"/>
          <w:b w:val="false"/>
          <w:i w:val="false"/>
          <w:caps w:val="false"/>
          <w:smallCaps w:val="false"/>
          <w:color w:val="000000"/>
          <w:sz w:val="20"/>
        </w:rPr>
        <w:t>21 that remain in escrow with the lessor.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pStyle w:val="TextBody"/>
        <w:bidi w:val="0"/>
        <w:spacing w:before="0" w:after="0"/>
        <w:ind w:left="0" w:right="0" w:hanging="0"/>
        <w:jc w:val="both"/>
        <w:rPr>
          <w:caps w:val="false"/>
          <w:smallCaps w:val="false"/>
          <w:color w:val="000000"/>
        </w:rPr>
      </w:pPr>
      <w:bookmarkStart w:id="587" w:name="xdx_81F_zR8xCpOW458"/>
      <w:bookmarkEnd w:id="587"/>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88" w:name="a_008"/>
      <w:bookmarkEnd w:id="588"/>
      <w:r>
        <w:rPr>
          <w:rFonts w:ascii="Times New Roman;Times;Serif" w:hAnsi="Times New Roman;Times;Serif"/>
          <w:b/>
          <w:i w:val="false"/>
          <w:caps w:val="false"/>
          <w:smallCaps w:val="false"/>
          <w:color w:val="000000"/>
          <w:sz w:val="20"/>
        </w:rPr>
        <w:t>Item 2. Management’s Discussion and Analysis of Financial Condition and Results of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Cautionary Statement Regarding Forward-Looking Statements and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following discussion and analysis of our financial condition and results of operations should be read in conjunction with our financial statements and the related notes appearing elsewhere in this report.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Overview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period ended June 30, 2023,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COVID-19 Considerations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period ended December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affects the consumers who purchase our products. Based on the recent increase in demand for our products, we believe that over the long term, there will continue to be strong demand for our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Although the U.S. economy continued to grow during the second quarter of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six month period ended June 30, 2023, the Company experienced moderation from the elevated freight costs experienced in 2022. The average cost of shipping and handling for the three month period ended June 30, 2023, was $3.04 per case, as compared to $5.00 per case for the three month period ended June 30, 2022. The average cost of shipping and handling for the six month period ended June 30, 2023, was $3.26 per case, as compared to $4.47 per case for the six month period ended June 30,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2023.</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June 30, 2023, we maintained the consistency of our operations during the onset of the COVID-19 pandemic. We will continue to innovate in managing our business, coordinating with our employees and suppliers to do our part to be responsible to our employees and business partners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Through June 30, 2023, we continued to generate cash flows to meet our short-term liquidity needs, and we expected to maintain access to the capital markets. We did not observe any material impairments of our assets or a significant change in the fair value of our assets due to the COVID-19 pandemic.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Results of Operations – Three Months Ended June 30, 2023, as compared to Three Months Ended June 30, 2022</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sets forth key statistics for the three months ended June 30, 2023 and 2022, respectively,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277" w:type="dxa"/>
        <w:jc w:val="left"/>
        <w:tblInd w:w="0" w:type="dxa"/>
        <w:tblLayout w:type="fixed"/>
        <w:tblCellMar>
          <w:top w:w="0" w:type="dxa"/>
          <w:left w:w="0" w:type="dxa"/>
          <w:bottom w:w="0" w:type="dxa"/>
          <w:right w:w="0" w:type="dxa"/>
        </w:tblCellMar>
      </w:tblPr>
      <w:tblGrid>
        <w:gridCol w:w="5165"/>
        <w:gridCol w:w="60"/>
        <w:gridCol w:w="155"/>
        <w:gridCol w:w="1089"/>
        <w:gridCol w:w="238"/>
        <w:gridCol w:w="66"/>
        <w:gridCol w:w="155"/>
        <w:gridCol w:w="1089"/>
        <w:gridCol w:w="215"/>
        <w:gridCol w:w="60"/>
        <w:gridCol w:w="102"/>
        <w:gridCol w:w="653"/>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92" w:type="dxa"/>
            <w:gridSpan w:val="6"/>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 xml:space="preserve">Three Months Ended </w:t>
            </w:r>
            <w:r>
              <w:rPr>
                <w:rFonts w:ascii="Times New Roman;Times;Serif" w:hAnsi="Times New Roman;Times;Serif"/>
                <w:sz w:val="20"/>
              </w:rPr>
              <w:t> </w:t>
            </w:r>
            <w:r>
              <w:rPr>
                <w:rFonts w:ascii="Times New Roman;Times;Serif" w:hAnsi="Times New Roman;Times;Serif"/>
                <w:b/>
                <w:sz w:val="20"/>
              </w:rPr>
              <w:t>June 30,</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Pct.</w:t>
            </w:r>
          </w:p>
        </w:tc>
        <w:tc>
          <w:tcPr>
            <w:tcW w:w="230" w:type="dxa"/>
            <w:tcBorders/>
            <w:vAlign w:val="center"/>
          </w:tcPr>
          <w:p>
            <w:pPr>
              <w:pStyle w:val="TableContents"/>
              <w:bidi w:val="0"/>
              <w:spacing w:before="0" w:after="283"/>
              <w:jc w:val="center"/>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38"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230" w:type="dxa"/>
            <w:tcBorders/>
            <w:vAlign w:val="center"/>
          </w:tcPr>
          <w:p>
            <w:pPr>
              <w:pStyle w:val="TableContents"/>
              <w:bidi w:val="0"/>
              <w:spacing w:before="0" w:after="283"/>
              <w:jc w:val="center"/>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 (A)</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11,164</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10,005</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7,496</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Gross billing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67</w:t>
            </w:r>
          </w:p>
        </w:tc>
        <w:tc>
          <w:tcPr>
            <w:tcW w:w="238"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69</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75</w:t>
            </w:r>
          </w:p>
        </w:tc>
        <w:tc>
          <w:tcPr>
            <w:tcW w:w="238"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2,509</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25</w:t>
            </w:r>
          </w:p>
        </w:tc>
        <w:tc>
          <w:tcPr>
            <w:tcW w:w="238"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24</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17</w:t>
            </w:r>
          </w:p>
        </w:tc>
        <w:tc>
          <w:tcPr>
            <w:tcW w:w="238"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28</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108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3.04</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108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5.00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13</w:t>
            </w:r>
          </w:p>
        </w:tc>
        <w:tc>
          <w:tcPr>
            <w:tcW w:w="238"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16</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1,311</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13</w:t>
            </w:r>
          </w:p>
        </w:tc>
        <w:tc>
          <w:tcPr>
            <w:tcW w:w="238"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13</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4,256</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(1,387</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(0.99</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3,179,661</w:t>
            </w:r>
          </w:p>
        </w:tc>
        <w:tc>
          <w:tcPr>
            <w:tcW w:w="2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2,252,318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(B) 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Sales, Cost of Sales, and Gross Margins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chart sets forth key statistics for the transition of the Company’s top line activity from the second quarter of 2022 through the second quarter of 2023.</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3230" w:type="dxa"/>
        <w:jc w:val="left"/>
        <w:tblInd w:w="0" w:type="dxa"/>
        <w:tblLayout w:type="fixed"/>
        <w:tblCellMar>
          <w:top w:w="0" w:type="dxa"/>
          <w:left w:w="0" w:type="dxa"/>
          <w:bottom w:w="0" w:type="dxa"/>
          <w:right w:w="0" w:type="dxa"/>
        </w:tblCellMar>
      </w:tblPr>
      <w:tblGrid>
        <w:gridCol w:w="725"/>
        <w:gridCol w:w="60"/>
        <w:gridCol w:w="1200"/>
        <w:gridCol w:w="60"/>
        <w:gridCol w:w="110"/>
        <w:gridCol w:w="515"/>
        <w:gridCol w:w="155"/>
        <w:gridCol w:w="60"/>
        <w:gridCol w:w="110"/>
        <w:gridCol w:w="515"/>
        <w:gridCol w:w="155"/>
        <w:gridCol w:w="60"/>
        <w:gridCol w:w="155"/>
        <w:gridCol w:w="575"/>
        <w:gridCol w:w="155"/>
        <w:gridCol w:w="60"/>
        <w:gridCol w:w="60"/>
        <w:gridCol w:w="560"/>
        <w:gridCol w:w="185"/>
        <w:gridCol w:w="60"/>
        <w:gridCol w:w="60"/>
        <w:gridCol w:w="680"/>
        <w:gridCol w:w="185"/>
        <w:gridCol w:w="60"/>
        <w:gridCol w:w="155"/>
        <w:gridCol w:w="515"/>
        <w:gridCol w:w="155"/>
        <w:gridCol w:w="60"/>
        <w:gridCol w:w="110"/>
        <w:gridCol w:w="575"/>
        <w:gridCol w:w="155"/>
        <w:gridCol w:w="60"/>
        <w:gridCol w:w="110"/>
        <w:gridCol w:w="575"/>
        <w:gridCol w:w="155"/>
        <w:gridCol w:w="60"/>
        <w:gridCol w:w="110"/>
        <w:gridCol w:w="485"/>
        <w:gridCol w:w="80"/>
        <w:gridCol w:w="60"/>
        <w:gridCol w:w="110"/>
        <w:gridCol w:w="485"/>
        <w:gridCol w:w="80"/>
        <w:gridCol w:w="60"/>
        <w:gridCol w:w="60"/>
        <w:gridCol w:w="260"/>
        <w:gridCol w:w="185"/>
        <w:gridCol w:w="60"/>
        <w:gridCol w:w="110"/>
        <w:gridCol w:w="485"/>
        <w:gridCol w:w="80"/>
        <w:gridCol w:w="60"/>
        <w:gridCol w:w="110"/>
        <w:gridCol w:w="485"/>
        <w:gridCol w:w="80"/>
        <w:gridCol w:w="60"/>
        <w:gridCol w:w="60"/>
        <w:gridCol w:w="260"/>
        <w:gridCol w:w="200"/>
      </w:tblGrid>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23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2023</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2022</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Q2 Per Case</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YTD Per Case</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Q1</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Q2</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YTD</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Q2 vs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PY</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YTD vs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PY</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Q1</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Q2</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YTD</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2022</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PY</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2022</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PY</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Reed’s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Virgil’s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552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1,163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717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761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1,478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 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555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1,487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Billing: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12,333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11,095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23,429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13,287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14,972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28,259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 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12,453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11,164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23,618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13,636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15,155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28,791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Discounts: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(1,296</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(1,159</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(2,456</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(1,454</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(1,430</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(2,884</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(7,408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(15,830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(9,150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(19,436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 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(8,459</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(7,496</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(15,956</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(9,250</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(10,426</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(19,676</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(13.51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2,698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5,207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2,932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3,299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Sales, Cost of Sales, and Gross Margins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Core beverage volume for the three months ended June 30, 2023, represents 99% of all beverage volume.</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Core brand gross billing decreased by 26% to $11,095 compared to $14,972 during the same period last year, driven by a Reed’s volume decline of 13% and Virgil’s volume decline of 44%. The result is a decrease in total gross billing of 26%, to $11,164 during the three months ended June 30, 2023, from $15,155 in the same period last year. Price on our core brands increased 2% to $20.10 per case. The decrease was a result of volume declines that have impacted the CSD segment as a result of price increases coupled with the Company’s inability to produce sufficient levels of inventory to meet current demand as a result of tighter credit terms from suppliers.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Discounts as a percentage of gross sales was 10% compared to 9% in the same period last year. As a result, net sales revenue decreased 27% in the three months ended June 30, 2023, to $10,005, compared to $13,725 in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Cost of Goods Sold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Cost of goods sold decreased $2,930 during the three months ended June 30, 2023, as compared to the same period last year. As a percentage of net sales, cost of goods sold for the three months ended June 30, 2023, was 75% as compared to 76% for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total cost of goods per case decreased to $13.51 per case in the three months ended June 30, 2023, from $13.61 per case for the same period last year. The cost of goods sold per case on core brands was $13.35 during the three months ended June 30, 2023, compared to $13.52 for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Gross Margin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Gross margin was 25% for the three months ended June 30, 2023, compared to 24% for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Operating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Delivery and Handling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Delivery and handling expenses consist of delivery costs to customers and warehousing costs incurred for handling our finished goods after production. Delivery and handling expenses decreased by $2,146 in the three months ended June 30, 2023, to $1,686 from $3,832 in the same period last year, driven by our efforts to mitigate inflationary costs. Delivery costs in the three months ended June 30, 2023, were 17% of net sales and $3.04 per case, compared to 28% of net sales and $5.00 per case during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Selling and Marketing Expenses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Marketing expenses consist of direct marketing, marketing labor, and marketing support costs. Selling expenses consist of all other selling-related expenses including personnel and contractor support. Total selling and marketing expenses were $1,259 during the three months ended June 30, 2023, compared to $2,225 during the same period last year. As a percentage of net sales, selling and marketing costs was 13% during the three months ended June 30, 2023, as compared to 16% during the same period last year. The decrease was primarily driven by lower broker commissions, employee related costs, travel and entertainment expenses and marketing expenditures, partially offset by higher stock compensation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General and Administrative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and administrative expenses consist primarily of the cost of executive, administrative, and finance personnel, as well as professional fees. General and administrative expenses decreased in the three months ended June 30, 2023, to $1,311 from $1,778, a decrease of $467 over the same period last year. As a percentage of net sales, general and administrative expense was 13% during the three months ended June 30, 2023, as compared to 13% during the same period last year. The decrease was driven by lower stock compensation, employee related costs, consultant fees, and information technology expenditures.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Loss from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loss from operations was $1,747 for the three months ended June 30, 2023, as compared to a loss of $4,536 in the same period last year driven by decreased gross profit offset by decreases in operating expenses discussed above.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Interest and Other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and other expense for the three months ended June 30, 2023, consisted of $1,387 of interest expense. During the same period last year, interest and other expense consisted of $541 of interest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Modified EBITDA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Set forth below is a reconciliation of net loss to Modified EBITDA for the three months ended June 30, 2023 and 2022 (unaudited; in thousands):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6387" w:type="dxa"/>
        <w:jc w:val="left"/>
        <w:tblInd w:w="0" w:type="dxa"/>
        <w:tblLayout w:type="fixed"/>
        <w:tblCellMar>
          <w:top w:w="0" w:type="dxa"/>
          <w:left w:w="0" w:type="dxa"/>
          <w:bottom w:w="0" w:type="dxa"/>
          <w:right w:w="0" w:type="dxa"/>
        </w:tblCellMar>
      </w:tblPr>
      <w:tblGrid>
        <w:gridCol w:w="4385"/>
        <w:gridCol w:w="60"/>
        <w:gridCol w:w="150"/>
        <w:gridCol w:w="683"/>
        <w:gridCol w:w="102"/>
        <w:gridCol w:w="64"/>
        <w:gridCol w:w="150"/>
        <w:gridCol w:w="683"/>
        <w:gridCol w:w="110"/>
      </w:tblGrid>
      <w:tr>
        <w:trPr/>
        <w:tc>
          <w:tcPr>
            <w:tcW w:w="438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832"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Three Months Ended </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June 30</w:t>
            </w:r>
          </w:p>
        </w:tc>
        <w:tc>
          <w:tcPr>
            <w:tcW w:w="110" w:type="dxa"/>
            <w:tcBorders/>
            <w:vAlign w:val="center"/>
          </w:tcPr>
          <w:p>
            <w:pPr>
              <w:pStyle w:val="TableContents"/>
              <w:bidi w:val="0"/>
              <w:spacing w:before="0" w:after="283"/>
              <w:jc w:val="center"/>
              <w:rPr>
                <w:color w:val="000000"/>
              </w:rPr>
            </w:pPr>
            <w:r>
              <w:rPr>
                <w:color w:val="000000"/>
              </w:rPr>
              <w:t> </w:t>
            </w:r>
          </w:p>
        </w:tc>
      </w:tr>
      <w:tr>
        <w:trPr/>
        <w:tc>
          <w:tcPr>
            <w:tcW w:w="438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2023</w:t>
            </w:r>
          </w:p>
        </w:tc>
        <w:tc>
          <w:tcPr>
            <w:tcW w:w="102" w:type="dxa"/>
            <w:tcBorders/>
            <w:vAlign w:val="center"/>
          </w:tcPr>
          <w:p>
            <w:pPr>
              <w:pStyle w:val="TableContents"/>
              <w:bidi w:val="0"/>
              <w:spacing w:before="0" w:after="283"/>
              <w:jc w:val="center"/>
              <w:rPr>
                <w:color w:val="000000"/>
              </w:rPr>
            </w:pPr>
            <w:r>
              <w:rPr>
                <w:color w:val="000000"/>
              </w:rPr>
              <w:t> </w:t>
            </w:r>
          </w:p>
        </w:tc>
        <w:tc>
          <w:tcPr>
            <w:tcW w:w="64" w:type="dxa"/>
            <w:tcBorders/>
            <w:vAlign w:val="center"/>
          </w:tcPr>
          <w:p>
            <w:pPr>
              <w:pStyle w:val="TableContents"/>
              <w:bidi w:val="0"/>
              <w:spacing w:before="0" w:after="283"/>
              <w:jc w:val="center"/>
              <w:rPr>
                <w:color w:val="000000"/>
              </w:rPr>
            </w:pPr>
            <w:r>
              <w:rPr>
                <w:color w:val="000000"/>
              </w:rPr>
              <w:t> </w:t>
            </w:r>
          </w:p>
        </w:tc>
        <w:tc>
          <w:tcPr>
            <w:tcW w:w="8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2022</w:t>
            </w:r>
          </w:p>
        </w:tc>
        <w:tc>
          <w:tcPr>
            <w:tcW w:w="110" w:type="dxa"/>
            <w:tcBorders/>
            <w:vAlign w:val="center"/>
          </w:tcPr>
          <w:p>
            <w:pPr>
              <w:pStyle w:val="TableContents"/>
              <w:bidi w:val="0"/>
              <w:spacing w:before="0" w:after="283"/>
              <w:jc w:val="center"/>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(3,134</w:t>
            </w:r>
          </w:p>
        </w:tc>
        <w:tc>
          <w:tcPr>
            <w:tcW w:w="10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(5,077</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38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683" w:type="dxa"/>
            <w:tcBorders/>
            <w:shd w:fill="FFFFFF" w:val="clear"/>
            <w:vAlign w:val="center"/>
          </w:tcPr>
          <w:p>
            <w:pPr>
              <w:pStyle w:val="TableContents"/>
              <w:bidi w:val="0"/>
              <w:spacing w:before="0" w:after="283"/>
              <w:jc w:val="right"/>
              <w:rPr>
                <w:color w:val="000000"/>
              </w:rPr>
            </w:pPr>
            <w:r>
              <w:rPr>
                <w:color w:val="000000"/>
              </w:rPr>
              <w:t> </w:t>
            </w:r>
          </w:p>
        </w:tc>
        <w:tc>
          <w:tcPr>
            <w:tcW w:w="102"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683"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Modified EBITDA adjustments: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683" w:type="dxa"/>
            <w:tcBorders/>
            <w:shd w:fill="CCEEFF" w:val="clear"/>
            <w:vAlign w:val="center"/>
          </w:tcPr>
          <w:p>
            <w:pPr>
              <w:pStyle w:val="TableContents"/>
              <w:bidi w:val="0"/>
              <w:spacing w:before="0" w:after="283"/>
              <w:jc w:val="right"/>
              <w:rPr>
                <w:color w:val="000000"/>
              </w:rPr>
            </w:pPr>
            <w:r>
              <w:rPr>
                <w:color w:val="000000"/>
              </w:rPr>
              <w:t> </w:t>
            </w:r>
          </w:p>
        </w:tc>
        <w:tc>
          <w:tcPr>
            <w:tcW w:w="102"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68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Depreciation and amortization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w:t>
            </w:r>
          </w:p>
        </w:tc>
        <w:tc>
          <w:tcPr>
            <w:tcW w:w="102"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55</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Interest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1,387</w:t>
            </w:r>
          </w:p>
        </w:tc>
        <w:tc>
          <w:tcPr>
            <w:tcW w:w="102"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541</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Severance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683" w:type="dxa"/>
            <w:tcBorders/>
            <w:shd w:fill="FFFFFF" w:val="clear"/>
            <w:vAlign w:val="center"/>
          </w:tcPr>
          <w:p>
            <w:pPr>
              <w:pStyle w:val="TableContents"/>
              <w:bidi w:val="0"/>
              <w:spacing w:before="0" w:after="283"/>
              <w:jc w:val="right"/>
              <w:rPr>
                <w:color w:val="000000"/>
              </w:rPr>
            </w:pPr>
            <w:r>
              <w:rPr>
                <w:color w:val="000000"/>
              </w:rPr>
              <w:t>92</w:t>
            </w:r>
          </w:p>
        </w:tc>
        <w:tc>
          <w:tcPr>
            <w:tcW w:w="102"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option and other noncash compensation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w:t>
            </w:r>
          </w:p>
        </w:tc>
        <w:tc>
          <w:tcPr>
            <w:tcW w:w="10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EBITDA adjustments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1,528</w:t>
            </w:r>
          </w:p>
        </w:tc>
        <w:tc>
          <w:tcPr>
            <w:tcW w:w="102"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742</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683" w:type="dxa"/>
            <w:tcBorders/>
            <w:shd w:fill="CCEEFF" w:val="clear"/>
            <w:vAlign w:val="center"/>
          </w:tcPr>
          <w:p>
            <w:pPr>
              <w:pStyle w:val="TableContents"/>
              <w:bidi w:val="0"/>
              <w:spacing w:before="0" w:after="283"/>
              <w:jc w:val="right"/>
              <w:rPr>
                <w:color w:val="000000"/>
              </w:rPr>
            </w:pPr>
            <w:r>
              <w:rPr>
                <w:color w:val="000000"/>
              </w:rPr>
              <w:t> </w:t>
            </w:r>
          </w:p>
        </w:tc>
        <w:tc>
          <w:tcPr>
            <w:tcW w:w="102"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683"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Modified EBITDA</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(1,606</w:t>
            </w:r>
          </w:p>
        </w:tc>
        <w:tc>
          <w:tcPr>
            <w:tcW w:w="10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(4,335</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Results of Operations – Six months ended June 30, 2023, as compared to Six Months Ended June 30, 2022</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sets forth key statistics for the six months ended June 30, 2023 and 2022, respectively, in thousands.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367" w:type="dxa"/>
        <w:jc w:val="left"/>
        <w:tblInd w:w="0" w:type="dxa"/>
        <w:tblLayout w:type="fixed"/>
        <w:tblCellMar>
          <w:top w:w="0" w:type="dxa"/>
          <w:left w:w="0" w:type="dxa"/>
          <w:bottom w:w="0" w:type="dxa"/>
          <w:right w:w="0" w:type="dxa"/>
        </w:tblCellMar>
      </w:tblPr>
      <w:tblGrid>
        <w:gridCol w:w="5165"/>
        <w:gridCol w:w="60"/>
        <w:gridCol w:w="157"/>
        <w:gridCol w:w="1100"/>
        <w:gridCol w:w="241"/>
        <w:gridCol w:w="67"/>
        <w:gridCol w:w="157"/>
        <w:gridCol w:w="1100"/>
        <w:gridCol w:w="215"/>
        <w:gridCol w:w="60"/>
        <w:gridCol w:w="111"/>
        <w:gridCol w:w="704"/>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Pct.</w:t>
            </w:r>
          </w:p>
        </w:tc>
        <w:tc>
          <w:tcPr>
            <w:tcW w:w="230" w:type="dxa"/>
            <w:tcBorders/>
            <w:vAlign w:val="center"/>
          </w:tcPr>
          <w:p>
            <w:pPr>
              <w:pStyle w:val="TableContents"/>
              <w:bidi w:val="0"/>
              <w:spacing w:before="0" w:after="283"/>
              <w:jc w:val="center"/>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41"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center"/>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 (A)</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23,618</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2,456</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21,162</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15,955</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Gross billing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68</w:t>
            </w:r>
          </w:p>
        </w:tc>
        <w:tc>
          <w:tcPr>
            <w:tcW w:w="24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68</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75</w:t>
            </w:r>
          </w:p>
        </w:tc>
        <w:tc>
          <w:tcPr>
            <w:tcW w:w="24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25</w:t>
            </w:r>
          </w:p>
        </w:tc>
        <w:tc>
          <w:tcPr>
            <w:tcW w:w="24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24</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3,806</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18</w:t>
            </w:r>
          </w:p>
        </w:tc>
        <w:tc>
          <w:tcPr>
            <w:tcW w:w="24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26</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3.26</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4.47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13</w:t>
            </w:r>
          </w:p>
        </w:tc>
        <w:tc>
          <w:tcPr>
            <w:tcW w:w="24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17</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14</w:t>
            </w:r>
          </w:p>
        </w:tc>
        <w:tc>
          <w:tcPr>
            <w:tcW w:w="24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15</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9,532</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(4,325</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(3,166</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(7,491</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2,892,860</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2,100,775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have been defined by our internal reporting practices</w:t>
            </w:r>
            <w:r>
              <w:rPr>
                <w:rFonts w:ascii="Times New Roman;Times;Serif" w:hAnsi="Times New Roman;Times;Serif"/>
                <w:b w:val="false"/>
                <w:i w:val="false"/>
                <w:caps w:val="false"/>
                <w:smallCaps w:val="false"/>
                <w:color w:val="000000"/>
                <w:sz w:val="20"/>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2" w:type="dxa"/>
            <w:tcBorders/>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Sales, Cost of Sales, and Gross Margins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Core beverage volume for the six months ended June 30, 2023, represents 99% of all beverage volume.</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Core brand gross billing decreased by 17% to $23,429 compared to $28,259 during the same period last year, driven by Reed’s volume decline of 12% and Virgil’s volume decline of 33%. The result is a decrease in total gross billing of 18%, to $23,618 during the six months ended June 30, 2022, from $28,791 in the same period last year. Price on our core brands increased 5% to $20.15 per case. The decrease was a result of volume declines that have impacted the CSD segment as a result of price increases coupled with the Company’s inability to produce sufficient levels of inventory to meet current demand as a result of tighter credit terms from suppliers.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Discounts as a percentage of gross sales was 10% compared to 10% in the same period last year. As a result, net sales revenue decreased 18% in the six months ended June 30, 2023, to $21,162, compared to $25,907 in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Cost of Goods Sold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Cost of goods sold decreased $3,721 during the six months ended June 30, 2023, as compared to the same period last year. As a percentage of net sales, cost of goods sold for the six months ended June 30, 2022, was 75% as compared to 76% for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total cost of goods per case increased to $13.66 per case in the six months ended June 30, 2023, from $13.23 per case for the same period last year. The cost of goods sold per case on core brands was $13.55 during the six months ended June 30, 2023, compared to $13.15 for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Gross Margin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Gross margin increased to 25% for the six months ended June 30, 2023, compared to 24% for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Operating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Delivery and Handling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Delivery and handling expenses consist of delivery costs to customers and warehousing costs incurred for handling our finished goods after production. Delivery and handling expenses decreased by $2,838 in the six months ended June 30, 2023, to $3,806 from $6,644 in the same period last year, driven by our efforts to mitigate inflationary costs. Delivery costs in the six months ended June 30, 2023, were 18% of net sales and $3.26 per case, compared to 26% of net sales and $4.47 per case during the same period last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Selling and Marketing Expenses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Marketing expenses consist of direct marketing, marketing labor, and marketing support costs. Selling expenses consist of all other selling-related expenses including personnel and contractor support. Total selling and marketing expenses were $2,706 during the six months ended June 30, 2023, compared to $4,403 during the same period last year. As a percentage of net sales, selling and marketing were 13% of net sales during the six months ended June 30, 2023, as compared to 17% of net sales during the same period last year. The decrease was driven by lower headcount, broker commissions, marketing expenditures, information technology charges, travel and entertainment expenses partially offset by stock compensation and trade show expenses.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General and Administrative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and administrative expenses consist primarily of the cost of executive, administrative, and finance personnel, as well as professional fees. General and administrative expenses decreased in the six months ended June 30, 2023, to $3,020 from $3,899, a decrease of $879 over the same period last year. The decrease was driven by lower stock compensation, employee related expenses, information technology charges, consulting fees, downtime charges.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Loss from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loss from operations was $4,325 for the six months ended June 30, 2023, as compared to a loss of $8,715 in the same period last year driven by decreased gross profit partially offset by decreases in operating expenses discussed above.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Interest and Other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and other income for the six months ended June 30, 2023, consisted of $3,166 of interest expense. During the same period last year, interest and other expense consisted of $1,342 of interest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Modified EBITDA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Set forth below is a reconciliation of net loss to Modified EBITDA for the six months ended June 30, 2022 and 2021 (unaudited; in thousands):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7376" w:type="dxa"/>
        <w:jc w:val="left"/>
        <w:tblInd w:w="0" w:type="dxa"/>
        <w:tblLayout w:type="fixed"/>
        <w:tblCellMar>
          <w:top w:w="0" w:type="dxa"/>
          <w:left w:w="0" w:type="dxa"/>
          <w:bottom w:w="0" w:type="dxa"/>
          <w:right w:w="0" w:type="dxa"/>
        </w:tblCellMar>
      </w:tblPr>
      <w:tblGrid>
        <w:gridCol w:w="4385"/>
        <w:gridCol w:w="60"/>
        <w:gridCol w:w="216"/>
        <w:gridCol w:w="982"/>
        <w:gridCol w:w="147"/>
        <w:gridCol w:w="92"/>
        <w:gridCol w:w="216"/>
        <w:gridCol w:w="1168"/>
        <w:gridCol w:w="110"/>
      </w:tblGrid>
      <w:tr>
        <w:trPr/>
        <w:tc>
          <w:tcPr>
            <w:tcW w:w="43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Six Months Ended June 30,</w:t>
            </w:r>
          </w:p>
        </w:tc>
        <w:tc>
          <w:tcPr>
            <w:tcW w:w="110" w:type="dxa"/>
            <w:tcBorders/>
            <w:vAlign w:val="center"/>
          </w:tcPr>
          <w:p>
            <w:pPr>
              <w:pStyle w:val="TableContents"/>
              <w:bidi w:val="0"/>
              <w:spacing w:before="0" w:after="283"/>
              <w:jc w:val="left"/>
              <w:rPr>
                <w:color w:val="000000"/>
              </w:rPr>
            </w:pPr>
            <w:r>
              <w:rPr>
                <w:color w:val="000000"/>
              </w:rPr>
              <w:t> </w:t>
            </w:r>
          </w:p>
        </w:tc>
      </w:tr>
      <w:tr>
        <w:trPr/>
        <w:tc>
          <w:tcPr>
            <w:tcW w:w="438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2023</w:t>
            </w:r>
          </w:p>
        </w:tc>
        <w:tc>
          <w:tcPr>
            <w:tcW w:w="147" w:type="dxa"/>
            <w:tcBorders/>
            <w:vAlign w:val="center"/>
          </w:tcPr>
          <w:p>
            <w:pPr>
              <w:pStyle w:val="TableContents"/>
              <w:bidi w:val="0"/>
              <w:spacing w:before="0" w:after="283"/>
              <w:jc w:val="left"/>
              <w:rPr>
                <w:color w:val="000000"/>
              </w:rPr>
            </w:pPr>
            <w:r>
              <w:rPr>
                <w:color w:val="000000"/>
              </w:rPr>
              <w:t> </w:t>
            </w:r>
          </w:p>
        </w:tc>
        <w:tc>
          <w:tcPr>
            <w:tcW w:w="92" w:type="dxa"/>
            <w:tcBorders/>
            <w:vAlign w:val="center"/>
          </w:tcPr>
          <w:p>
            <w:pPr>
              <w:pStyle w:val="TableContents"/>
              <w:bidi w:val="0"/>
              <w:spacing w:before="0" w:after="283"/>
              <w:jc w:val="left"/>
              <w:rPr>
                <w:color w:val="000000"/>
              </w:rPr>
            </w:pPr>
            <w:r>
              <w:rPr>
                <w:color w:val="000000"/>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(7,491</w:t>
            </w:r>
          </w:p>
        </w:tc>
        <w:tc>
          <w:tcPr>
            <w:tcW w:w="14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2"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(10,057</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38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shd w:fill="FFFFFF" w:val="clear"/>
            <w:vAlign w:val="center"/>
          </w:tcPr>
          <w:p>
            <w:pPr>
              <w:pStyle w:val="TableContents"/>
              <w:bidi w:val="0"/>
              <w:spacing w:before="0" w:after="283"/>
              <w:jc w:val="left"/>
              <w:rPr>
                <w:color w:val="000000"/>
              </w:rPr>
            </w:pPr>
            <w:r>
              <w:rPr>
                <w:color w:val="000000"/>
              </w:rPr>
              <w:t> </w:t>
            </w:r>
          </w:p>
        </w:tc>
        <w:tc>
          <w:tcPr>
            <w:tcW w:w="982" w:type="dxa"/>
            <w:tcBorders/>
            <w:shd w:fill="FFFFFF" w:val="clear"/>
            <w:vAlign w:val="center"/>
          </w:tcPr>
          <w:p>
            <w:pPr>
              <w:pStyle w:val="TableContents"/>
              <w:bidi w:val="0"/>
              <w:spacing w:before="0" w:after="283"/>
              <w:jc w:val="right"/>
              <w:rPr>
                <w:color w:val="000000"/>
              </w:rPr>
            </w:pPr>
            <w:r>
              <w:rPr>
                <w:color w:val="000000"/>
              </w:rPr>
              <w:t> </w:t>
            </w:r>
          </w:p>
        </w:tc>
        <w:tc>
          <w:tcPr>
            <w:tcW w:w="147" w:type="dxa"/>
            <w:tcBorders/>
            <w:shd w:fill="FFFFFF" w:val="clear"/>
            <w:vAlign w:val="center"/>
          </w:tcPr>
          <w:p>
            <w:pPr>
              <w:pStyle w:val="TableContents"/>
              <w:bidi w:val="0"/>
              <w:spacing w:before="0" w:after="283"/>
              <w:jc w:val="left"/>
              <w:rPr>
                <w:color w:val="000000"/>
              </w:rPr>
            </w:pPr>
            <w:r>
              <w:rPr>
                <w:color w:val="000000"/>
              </w:rPr>
              <w:t> </w:t>
            </w:r>
          </w:p>
        </w:tc>
        <w:tc>
          <w:tcPr>
            <w:tcW w:w="92"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shd w:fill="FFFFFF" w:val="clear"/>
            <w:vAlign w:val="center"/>
          </w:tcPr>
          <w:p>
            <w:pPr>
              <w:pStyle w:val="TableContents"/>
              <w:bidi w:val="0"/>
              <w:spacing w:before="0" w:after="283"/>
              <w:jc w:val="left"/>
              <w:rPr>
                <w:color w:val="000000"/>
              </w:rPr>
            </w:pPr>
            <w:r>
              <w:rPr>
                <w:color w:val="000000"/>
              </w:rPr>
              <w:t> </w:t>
            </w:r>
          </w:p>
        </w:tc>
        <w:tc>
          <w:tcPr>
            <w:tcW w:w="1168"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Modified EBITDA adjustments: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color w:val="000000"/>
              </w:rPr>
            </w:pPr>
            <w:r>
              <w:rPr>
                <w:color w:val="000000"/>
              </w:rPr>
              <w:t> </w:t>
            </w:r>
          </w:p>
        </w:tc>
        <w:tc>
          <w:tcPr>
            <w:tcW w:w="982" w:type="dxa"/>
            <w:tcBorders/>
            <w:shd w:fill="CCEEFF" w:val="clear"/>
            <w:vAlign w:val="center"/>
          </w:tcPr>
          <w:p>
            <w:pPr>
              <w:pStyle w:val="TableContents"/>
              <w:bidi w:val="0"/>
              <w:spacing w:before="0" w:after="283"/>
              <w:jc w:val="right"/>
              <w:rPr>
                <w:color w:val="000000"/>
              </w:rPr>
            </w:pPr>
            <w:r>
              <w:rPr>
                <w:color w:val="000000"/>
              </w:rPr>
              <w:t> </w:t>
            </w:r>
          </w:p>
        </w:tc>
        <w:tc>
          <w:tcPr>
            <w:tcW w:w="147" w:type="dxa"/>
            <w:tcBorders/>
            <w:shd w:fill="CCEEFF" w:val="clear"/>
            <w:vAlign w:val="center"/>
          </w:tcPr>
          <w:p>
            <w:pPr>
              <w:pStyle w:val="TableContents"/>
              <w:bidi w:val="0"/>
              <w:spacing w:before="0" w:after="283"/>
              <w:jc w:val="left"/>
              <w:rPr>
                <w:color w:val="000000"/>
              </w:rPr>
            </w:pPr>
            <w:r>
              <w:rPr>
                <w:color w:val="000000"/>
              </w:rPr>
              <w:t> </w:t>
            </w:r>
          </w:p>
        </w:tc>
        <w:tc>
          <w:tcPr>
            <w:tcW w:w="92"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color w:val="000000"/>
              </w:rPr>
            </w:pPr>
            <w:r>
              <w:rPr>
                <w:color w:val="000000"/>
              </w:rPr>
              <w:t> </w:t>
            </w:r>
          </w:p>
        </w:tc>
        <w:tc>
          <w:tcPr>
            <w:tcW w:w="1168"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Depreciation and amortization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shd w:fill="FFFFFF" w:val="clear"/>
            <w:vAlign w:val="center"/>
          </w:tcPr>
          <w:p>
            <w:pPr>
              <w:pStyle w:val="TableContents"/>
              <w:bidi w:val="0"/>
              <w:spacing w:before="0" w:after="283"/>
              <w:jc w:val="left"/>
              <w:rPr>
                <w:color w:val="000000"/>
              </w:rPr>
            </w:pPr>
            <w:r>
              <w:rPr>
                <w:color w:val="000000"/>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w:t>
            </w:r>
          </w:p>
        </w:tc>
        <w:tc>
          <w:tcPr>
            <w:tcW w:w="147" w:type="dxa"/>
            <w:tcBorders/>
            <w:shd w:fill="FFFFFF" w:val="clear"/>
            <w:vAlign w:val="center"/>
          </w:tcPr>
          <w:p>
            <w:pPr>
              <w:pStyle w:val="TableContents"/>
              <w:bidi w:val="0"/>
              <w:spacing w:before="0" w:after="283"/>
              <w:jc w:val="left"/>
              <w:rPr>
                <w:color w:val="000000"/>
              </w:rPr>
            </w:pPr>
            <w:r>
              <w:rPr>
                <w:color w:val="000000"/>
              </w:rPr>
              <w:t> </w:t>
            </w:r>
          </w:p>
        </w:tc>
        <w:tc>
          <w:tcPr>
            <w:tcW w:w="92"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shd w:fill="FFFFFF" w:val="clear"/>
            <w:vAlign w:val="center"/>
          </w:tcPr>
          <w:p>
            <w:pPr>
              <w:pStyle w:val="TableContents"/>
              <w:bidi w:val="0"/>
              <w:spacing w:before="0" w:after="283"/>
              <w:jc w:val="left"/>
              <w:rPr>
                <w:color w:val="000000"/>
              </w:rPr>
            </w:pPr>
            <w:r>
              <w:rPr>
                <w:color w:val="000000"/>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107</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Interest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color w:val="000000"/>
              </w:rPr>
            </w:pPr>
            <w:r>
              <w:rPr>
                <w:color w:val="000000"/>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3,166</w:t>
            </w:r>
          </w:p>
        </w:tc>
        <w:tc>
          <w:tcPr>
            <w:tcW w:w="147" w:type="dxa"/>
            <w:tcBorders/>
            <w:shd w:fill="CCEEFF" w:val="clear"/>
            <w:vAlign w:val="center"/>
          </w:tcPr>
          <w:p>
            <w:pPr>
              <w:pStyle w:val="TableContents"/>
              <w:bidi w:val="0"/>
              <w:spacing w:before="0" w:after="283"/>
              <w:jc w:val="left"/>
              <w:rPr>
                <w:color w:val="000000"/>
              </w:rPr>
            </w:pPr>
            <w:r>
              <w:rPr>
                <w:color w:val="000000"/>
              </w:rPr>
              <w:t> </w:t>
            </w:r>
          </w:p>
        </w:tc>
        <w:tc>
          <w:tcPr>
            <w:tcW w:w="92"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color w:val="000000"/>
              </w:rPr>
            </w:pPr>
            <w:r>
              <w:rPr>
                <w:color w:val="000000"/>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1,342</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Severance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shd w:fill="FFFFFF" w:val="clear"/>
            <w:vAlign w:val="center"/>
          </w:tcPr>
          <w:p>
            <w:pPr>
              <w:pStyle w:val="TableContents"/>
              <w:bidi w:val="0"/>
              <w:spacing w:before="0" w:after="283"/>
              <w:jc w:val="left"/>
              <w:rPr>
                <w:color w:val="000000"/>
              </w:rPr>
            </w:pPr>
            <w:r>
              <w:rPr>
                <w:color w:val="000000"/>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92</w:t>
            </w:r>
          </w:p>
        </w:tc>
        <w:tc>
          <w:tcPr>
            <w:tcW w:w="147" w:type="dxa"/>
            <w:tcBorders/>
            <w:shd w:fill="FFFFFF" w:val="clear"/>
            <w:vAlign w:val="center"/>
          </w:tcPr>
          <w:p>
            <w:pPr>
              <w:pStyle w:val="TableContents"/>
              <w:bidi w:val="0"/>
              <w:spacing w:before="0" w:after="283"/>
              <w:jc w:val="left"/>
              <w:rPr>
                <w:color w:val="000000"/>
              </w:rPr>
            </w:pPr>
            <w:r>
              <w:rPr>
                <w:color w:val="000000"/>
              </w:rPr>
              <w:t> </w:t>
            </w:r>
          </w:p>
        </w:tc>
        <w:tc>
          <w:tcPr>
            <w:tcW w:w="92"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shd w:fill="FFFFFF" w:val="clear"/>
            <w:vAlign w:val="center"/>
          </w:tcPr>
          <w:p>
            <w:pPr>
              <w:pStyle w:val="TableContents"/>
              <w:bidi w:val="0"/>
              <w:spacing w:before="0" w:after="283"/>
              <w:jc w:val="left"/>
              <w:rPr>
                <w:color w:val="000000"/>
              </w:rPr>
            </w:pPr>
            <w:r>
              <w:rPr>
                <w:color w:val="000000"/>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option and other noncash compensation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216</w:t>
            </w:r>
          </w:p>
        </w:tc>
        <w:tc>
          <w:tcPr>
            <w:tcW w:w="147" w:type="dxa"/>
            <w:tcBorders/>
            <w:shd w:fill="CCEEFF" w:val="clear"/>
            <w:vAlign w:val="center"/>
          </w:tcPr>
          <w:p>
            <w:pPr>
              <w:pStyle w:val="TableContents"/>
              <w:bidi w:val="0"/>
              <w:spacing w:before="0" w:after="283"/>
              <w:jc w:val="left"/>
              <w:rPr>
                <w:color w:val="000000"/>
              </w:rPr>
            </w:pPr>
            <w:r>
              <w:rPr>
                <w:color w:val="000000"/>
              </w:rPr>
              <w:t> </w:t>
            </w:r>
          </w:p>
        </w:tc>
        <w:tc>
          <w:tcPr>
            <w:tcW w:w="92"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371</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EBITDA adjustments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3,620</w:t>
            </w:r>
          </w:p>
        </w:tc>
        <w:tc>
          <w:tcPr>
            <w:tcW w:w="147" w:type="dxa"/>
            <w:tcBorders/>
            <w:shd w:fill="FFFFFF" w:val="clear"/>
            <w:vAlign w:val="center"/>
          </w:tcPr>
          <w:p>
            <w:pPr>
              <w:pStyle w:val="TableContents"/>
              <w:bidi w:val="0"/>
              <w:spacing w:before="0" w:after="283"/>
              <w:jc w:val="left"/>
              <w:rPr>
                <w:color w:val="000000"/>
              </w:rPr>
            </w:pPr>
            <w:r>
              <w:rPr>
                <w:color w:val="000000"/>
              </w:rPr>
              <w:t> </w:t>
            </w:r>
          </w:p>
        </w:tc>
        <w:tc>
          <w:tcPr>
            <w:tcW w:w="92"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1,886</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38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color w:val="000000"/>
              </w:rPr>
            </w:pPr>
            <w:r>
              <w:rPr>
                <w:color w:val="000000"/>
              </w:rPr>
              <w:t> </w:t>
            </w:r>
          </w:p>
        </w:tc>
        <w:tc>
          <w:tcPr>
            <w:tcW w:w="982" w:type="dxa"/>
            <w:tcBorders/>
            <w:shd w:fill="CCEEFF" w:val="clear"/>
            <w:vAlign w:val="center"/>
          </w:tcPr>
          <w:p>
            <w:pPr>
              <w:pStyle w:val="TableContents"/>
              <w:bidi w:val="0"/>
              <w:spacing w:before="0" w:after="283"/>
              <w:jc w:val="right"/>
              <w:rPr>
                <w:color w:val="000000"/>
              </w:rPr>
            </w:pPr>
            <w:r>
              <w:rPr>
                <w:color w:val="000000"/>
              </w:rPr>
              <w:t> </w:t>
            </w:r>
          </w:p>
        </w:tc>
        <w:tc>
          <w:tcPr>
            <w:tcW w:w="147" w:type="dxa"/>
            <w:tcBorders/>
            <w:shd w:fill="CCEEFF" w:val="clear"/>
            <w:vAlign w:val="center"/>
          </w:tcPr>
          <w:p>
            <w:pPr>
              <w:pStyle w:val="TableContents"/>
              <w:bidi w:val="0"/>
              <w:spacing w:before="0" w:after="283"/>
              <w:jc w:val="left"/>
              <w:rPr>
                <w:color w:val="000000"/>
              </w:rPr>
            </w:pPr>
            <w:r>
              <w:rPr>
                <w:color w:val="000000"/>
              </w:rPr>
              <w:t> </w:t>
            </w:r>
          </w:p>
        </w:tc>
        <w:tc>
          <w:tcPr>
            <w:tcW w:w="92" w:type="dxa"/>
            <w:tcBorders/>
            <w:shd w:fill="CCEEFF" w:val="clear"/>
            <w:vAlign w:val="center"/>
          </w:tcPr>
          <w:p>
            <w:pPr>
              <w:pStyle w:val="TableContents"/>
              <w:bidi w:val="0"/>
              <w:spacing w:before="0" w:after="283"/>
              <w:jc w:val="left"/>
              <w:rPr>
                <w:color w:val="000000"/>
              </w:rPr>
            </w:pPr>
            <w:r>
              <w:rPr>
                <w:color w:val="000000"/>
              </w:rPr>
              <w:t> </w:t>
            </w:r>
          </w:p>
        </w:tc>
        <w:tc>
          <w:tcPr>
            <w:tcW w:w="216" w:type="dxa"/>
            <w:tcBorders/>
            <w:shd w:fill="CCEEFF" w:val="clear"/>
            <w:vAlign w:val="center"/>
          </w:tcPr>
          <w:p>
            <w:pPr>
              <w:pStyle w:val="TableContents"/>
              <w:bidi w:val="0"/>
              <w:spacing w:before="0" w:after="283"/>
              <w:jc w:val="left"/>
              <w:rPr>
                <w:color w:val="000000"/>
              </w:rPr>
            </w:pPr>
            <w:r>
              <w:rPr>
                <w:color w:val="000000"/>
              </w:rPr>
              <w:t> </w:t>
            </w:r>
          </w:p>
        </w:tc>
        <w:tc>
          <w:tcPr>
            <w:tcW w:w="1168"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Modified EBITDA</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(3,871</w:t>
            </w:r>
          </w:p>
        </w:tc>
        <w:tc>
          <w:tcPr>
            <w:tcW w:w="14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2" w:type="dxa"/>
            <w:tcBorders/>
            <w:shd w:fill="FFFFFF" w:val="clear"/>
            <w:vAlign w:val="center"/>
          </w:tcPr>
          <w:p>
            <w:pPr>
              <w:pStyle w:val="TableContents"/>
              <w:bidi w:val="0"/>
              <w:spacing w:before="0" w:after="283"/>
              <w:jc w:val="left"/>
              <w:rPr>
                <w:color w:val="000000"/>
              </w:rPr>
            </w:pPr>
            <w:r>
              <w:rPr>
                <w:color w:val="000000"/>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(8,171</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Liquidity and Capital Resources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financial statements have been prepared under the assumption that the Company will continue as a going concern. Such assumption contemplates the realization of assets and satisfaction of liabilities in the normal course of business.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six months ended June 30, 2023, we recorded a net loss of $7,491. As of June 30, 2023, we had a cash balance of $447, with $0 of current availability, and $6,158 of additional borrowing capacity, a stockholder’s deficit of $11,463 and negative working capital of $3,585, compared to a cash balance of $533, with $110 of current availability, and $1,633 of additional borrowing capacity, a stockholder’s deficit of $8,470 and negative working capital of $1,563 at December 31,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have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Critical Accounting Policies and Estimates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Annual Report on Form 10-K for the fiscal year ended December 31, 2022, that impacted our condensed financial statements and related notes included herein.</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Recent Accounting Pronouncements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Note 2 of the Notes to Condensed Financial Statements for a discussion of recent accounting pronouncements.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89" w:name="a_009"/>
      <w:bookmarkEnd w:id="589"/>
      <w:r>
        <w:rPr>
          <w:rFonts w:ascii="Times New Roman;Times;Serif" w:hAnsi="Times New Roman;Times;Serif"/>
          <w:b/>
          <w:i w:val="false"/>
          <w:caps w:val="false"/>
          <w:smallCaps w:val="false"/>
          <w:color w:val="000000"/>
          <w:sz w:val="20"/>
        </w:rPr>
        <w:t>Item 3. Quantitative and Qualitative Disclosures About Market Risk.</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smaller reporting company is not required to provide the information required by this Item.</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0" w:name="a_010"/>
      <w:bookmarkEnd w:id="590"/>
      <w:r>
        <w:rPr>
          <w:rFonts w:ascii="Times New Roman;Times;Serif" w:hAnsi="Times New Roman;Times;Serif"/>
          <w:b/>
          <w:i w:val="false"/>
          <w:caps w:val="false"/>
          <w:smallCaps w:val="false"/>
          <w:color w:val="000000"/>
          <w:sz w:val="20"/>
        </w:rPr>
        <w:t>Item 4. Controls and Procedures.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Evaluation of Disclosure Controls and Procedures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June 30, 2023,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Changes in Internal Control Over Financial Reporting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have been no changes in the Company’s internal control over financial reporting during the three months ended June 30, 2023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1" w:name="a_011"/>
      <w:bookmarkEnd w:id="591"/>
      <w:r>
        <w:rPr>
          <w:rFonts w:ascii="Times New Roman;Times;Serif" w:hAnsi="Times New Roman;Times;Serif"/>
          <w:b/>
          <w:i w:val="false"/>
          <w:caps w:val="false"/>
          <w:smallCaps w:val="false"/>
          <w:color w:val="000000"/>
          <w:sz w:val="20"/>
        </w:rPr>
        <w:t>PART II – OTHER INFORMATION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2" w:name="a_018"/>
      <w:bookmarkEnd w:id="592"/>
      <w:r>
        <w:rPr>
          <w:rFonts w:ascii="Times New Roman;Times;Serif" w:hAnsi="Times New Roman;Times;Serif"/>
          <w:b/>
          <w:i w:val="false"/>
          <w:caps w:val="false"/>
          <w:smallCaps w:val="false"/>
          <w:color w:val="000000"/>
          <w:sz w:val="20"/>
        </w:rPr>
        <w:t>Item 1. Legal Proceedings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subject to various legal proceedings from time to time in the ordinary course of business, none of which are required to be disclosed under this Item 1.</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3" w:name="a_012"/>
      <w:bookmarkEnd w:id="593"/>
      <w:r>
        <w:rPr>
          <w:rFonts w:ascii="Times New Roman;Times;Serif" w:hAnsi="Times New Roman;Times;Serif"/>
          <w:b/>
          <w:i w:val="false"/>
          <w:caps w:val="false"/>
          <w:smallCaps w:val="false"/>
          <w:color w:val="000000"/>
          <w:sz w:val="20"/>
        </w:rPr>
        <w:t>Item 1A. Risk Factors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to other information set forth in this Quarterly Report on Form 10-Q, you should carefully consider the risk factors discussed in Part I, Item 1A of our Annual Report on Form 10-K (our Form 10-K) for the year ended December 31, 2022 and any subsequent filings with the Securities and Exchange Commission (SEC) made prior to the date hereof, which could materially affect our business, financial condition, results of operations or future results. These risks and uncertainties discussed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Please also read the Cautionary Notice Regarding Forward-Looking Statements and Information of this Quarterly Report on Form 10-Q.</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4" w:name="a_013"/>
      <w:bookmarkEnd w:id="594"/>
      <w:r>
        <w:rPr>
          <w:rFonts w:ascii="Times New Roman;Times;Serif" w:hAnsi="Times New Roman;Times;Serif"/>
          <w:b/>
          <w:i w:val="false"/>
          <w:caps w:val="false"/>
          <w:smallCaps w:val="false"/>
          <w:color w:val="000000"/>
          <w:sz w:val="20"/>
        </w:rPr>
        <w:t>Item 2. Unregistered Sales of Equity Securities and Use of Proceeds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None that have not been previously disclosed in a Current Report on Form 8-K.</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5" w:name="a_014"/>
      <w:bookmarkEnd w:id="595"/>
      <w:r>
        <w:rPr>
          <w:rFonts w:ascii="Times New Roman;Times;Serif" w:hAnsi="Times New Roman;Times;Serif"/>
          <w:b/>
          <w:i w:val="false"/>
          <w:caps w:val="false"/>
          <w:smallCaps w:val="false"/>
          <w:color w:val="000000"/>
          <w:sz w:val="20"/>
        </w:rPr>
        <w:t>Item 3. Defaults Upon Senior Securities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6" w:name="a_015"/>
      <w:bookmarkEnd w:id="596"/>
      <w:r>
        <w:rPr>
          <w:rFonts w:ascii="Times New Roman;Times;Serif" w:hAnsi="Times New Roman;Times;Serif"/>
          <w:b/>
          <w:i w:val="false"/>
          <w:caps w:val="false"/>
          <w:smallCaps w:val="false"/>
          <w:color w:val="000000"/>
          <w:sz w:val="20"/>
        </w:rPr>
        <w:t>Item 4. Mine Safety Disclosures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applicable.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7" w:name="a_016"/>
      <w:bookmarkEnd w:id="597"/>
      <w:r>
        <w:rPr>
          <w:rFonts w:ascii="Times New Roman;Times;Serif" w:hAnsi="Times New Roman;Times;Serif"/>
          <w:b/>
          <w:i w:val="false"/>
          <w:caps w:val="false"/>
          <w:smallCaps w:val="false"/>
          <w:color w:val="000000"/>
          <w:sz w:val="20"/>
        </w:rPr>
        <w:t>Item 5. Other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598" w:name="a_017"/>
      <w:bookmarkEnd w:id="598"/>
      <w:r>
        <w:rPr>
          <w:rFonts w:ascii="Times New Roman;Times;Serif" w:hAnsi="Times New Roman;Times;Serif"/>
          <w:b/>
          <w:i w:val="false"/>
          <w:caps w:val="false"/>
          <w:smallCaps w:val="false"/>
          <w:color w:val="000000"/>
          <w:sz w:val="20"/>
        </w:rPr>
        <w:t>Item 6. Exhibits</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07"/>
        <w:gridCol w:w="60"/>
        <w:gridCol w:w="5862"/>
        <w:gridCol w:w="60"/>
        <w:gridCol w:w="800"/>
        <w:gridCol w:w="60"/>
        <w:gridCol w:w="521"/>
        <w:gridCol w:w="60"/>
        <w:gridCol w:w="650"/>
        <w:gridCol w:w="60"/>
        <w:gridCol w:w="678"/>
        <w:gridCol w:w="60"/>
        <w:gridCol w:w="627"/>
      </w:tblGrid>
      <w:tr>
        <w:trPr/>
        <w:tc>
          <w:tcPr>
            <w:tcW w:w="70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56"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0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6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Filed</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as amended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Reed’s,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4/08/2020</w:t>
            </w:r>
          </w:p>
        </w:tc>
      </w:tr>
      <w:tr>
        <w:trPr/>
        <w:tc>
          <w:tcPr>
            <w:tcW w:w="7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Option Note issued May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Securities Purchase Agreement dated May 25, 2023 between Reed’s, Inc.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Shareholders Agreement dated May 25, 2023 by and between Reed’s, Inc.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Registration Rights Agreement dated May 25, 2023 between Reed’s, Inc.,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Amended Registration Rights Agreement by Reed’s, Inc. and the holders of 10% secured convertible notes dated May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Partial Option Exercise and Third Amendment Agreement to 10% Secured Convertible Notes by Reed’s, Inc. and Wilmington Savings Fund Society, FSB dated May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Limited Waiver and Deferral Agreement by Reed’s, Inc. and Wilmington Savings Fund Society, FSB dated May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6/01/2023</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62"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+Certain portions of this exhibit have been redacted pursuant to Item 601(b)(10)(iv) of Regulations S-K. The Company will furnish supplementally an unredacted copy of such exhibit to the Securities and Exchange Commission or its staff upon request.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accordance with SEC Release 33-8238, Exhibits 32.1 and 32.2 are being furnished and not filed.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SIGNATURES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4390" w:type="dxa"/>
        <w:jc w:val="left"/>
        <w:tblInd w:w="0" w:type="dxa"/>
        <w:tblLayout w:type="fixed"/>
        <w:tblCellMar>
          <w:top w:w="0" w:type="dxa"/>
          <w:left w:w="0" w:type="dxa"/>
          <w:bottom w:w="0" w:type="dxa"/>
          <w:right w:w="0" w:type="dxa"/>
        </w:tblCellMar>
      </w:tblPr>
      <w:tblGrid>
        <w:gridCol w:w="1865"/>
        <w:gridCol w:w="2525"/>
      </w:tblGrid>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Reed’s, Inc.</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(Registrant)</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 August 10, 2023</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 Norman E. Snyder, Jr.</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Norman E. Snyder, Jr.</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Executive Officer</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(Principal Executive Officer)</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 August 10, 2023</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 Joann Tinnelly</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Joann Tinnelly</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Interim Chief Financial Officer</w:t>
            </w:r>
          </w:p>
        </w:tc>
      </w:tr>
      <w:tr>
        <w:trPr/>
        <w:tc>
          <w:tcPr>
            <w:tcW w:w="18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(Principal Financial Officer)</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jc w:val="left"/>
        <w:rPr>
          <w:caps w:val="false"/>
          <w:smallCaps w:val="false"/>
        </w:rPr>
      </w:pPr>
      <w:bookmarkStart w:id="599" w:name="ex31-1.htm"/>
      <w:bookmarkStart w:id="600" w:name="ksex311"/>
      <w:bookmarkEnd w:id="599"/>
      <w:bookmarkEnd w:id="60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SECTION 302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Norman E. Snyder, Jr., certify that: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Reed’s,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ind w:left="0" w:right="0" w:firstLine="72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Norman E. Snyder, Jr.</w:t>
            </w:r>
          </w:p>
        </w:tc>
      </w:tr>
      <w:tr>
        <w:trPr/>
        <w:tc>
          <w:tcPr>
            <w:tcW w:w="18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 E. Snyder, Jr.</w:t>
            </w:r>
          </w:p>
        </w:tc>
      </w:tr>
      <w:tr>
        <w:trPr/>
        <w:tc>
          <w:tcPr>
            <w:tcW w:w="18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bookmarkStart w:id="601" w:name="ex31-2.htm"/>
      <w:bookmarkStart w:id="602" w:name="ksex312"/>
      <w:bookmarkEnd w:id="601"/>
      <w:bookmarkEnd w:id="60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 SECTION 302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ind w:left="0" w:right="0" w:firstLine="72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Joann Tinnelly, certify that: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Reed’s,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ind w:left="0" w:right="0" w:firstLine="72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865"/>
        <w:gridCol w:w="252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Joann Tinnelly</w:t>
            </w:r>
          </w:p>
        </w:tc>
      </w:tr>
      <w:tr>
        <w:trPr/>
        <w:tc>
          <w:tcPr>
            <w:tcW w:w="18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Joann Tinnelly</w:t>
            </w:r>
          </w:p>
        </w:tc>
      </w:tr>
      <w:tr>
        <w:trPr/>
        <w:tc>
          <w:tcPr>
            <w:tcW w:w="18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8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r>
        <w:rPr>
          <w:caps w:val="false"/>
          <w:smallCaps w:val="false"/>
        </w:rPr>
        <w:t> </w:t>
      </w:r>
    </w:p>
    <w:p>
      <w:pPr>
        <w:pStyle w:val="TextBody"/>
        <w:bidi w:val="0"/>
        <w:jc w:val="left"/>
        <w:rPr>
          <w:caps w:val="false"/>
          <w:smallCaps w:val="false"/>
        </w:rPr>
      </w:pPr>
      <w:bookmarkStart w:id="603" w:name="ex32-1.htm"/>
      <w:bookmarkStart w:id="604" w:name="ksex321"/>
      <w:bookmarkEnd w:id="603"/>
      <w:bookmarkEnd w:id="60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Reed’s, Inc., a Delaware corporation (the “Company”) for the period ending March 31, 2023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865"/>
        <w:gridCol w:w="365"/>
        <w:gridCol w:w="2360"/>
      </w:tblGrid>
      <w:tr>
        <w:trPr/>
        <w:tc>
          <w:tcPr>
            <w:tcW w:w="186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REED’S,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Norman E. Snyder, Jr.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 E. Snyder, Jr.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605" w:name="ex32-2.htm"/>
      <w:bookmarkStart w:id="606" w:name="ksex322"/>
      <w:bookmarkEnd w:id="605"/>
      <w:bookmarkEnd w:id="60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Reed’s, Inc., a Delaware corporation (the “Company”) for the period ending June 30, 2023 as filed with the U.S. Securities and Exchange Commission on the date hereof (the “Report”), Joann Tinnelly, Interim Chief Financial Officer of the Company, hereby certifies, pursuant to 18 U.S.C. § 1350, as adopted pursuant to § 906 of the Sarbanes-Oxley Act of 2002, that, to the best of her knowledge and belief: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65"/>
        <w:gridCol w:w="365"/>
        <w:gridCol w:w="2525"/>
      </w:tblGrid>
      <w:tr>
        <w:trPr/>
        <w:tc>
          <w:tcPr>
            <w:tcW w:w="186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REED’S,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Joann Tinnelly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Joann Tinnelly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49315223017571/ex3i.htm" TargetMode="External"/><Relationship Id="rId3" Type="http://schemas.openxmlformats.org/officeDocument/2006/relationships/hyperlink" Target="https://www.sec.gov/Archives/edgar/data/1140215/000149315220006033/ex3-8.htm" TargetMode="External"/><Relationship Id="rId4" Type="http://schemas.openxmlformats.org/officeDocument/2006/relationships/hyperlink" Target="https://www.sec.gov/Archives/edgar/data/1140215/000149315223019681/ex4-2.htm" TargetMode="External"/><Relationship Id="rId5" Type="http://schemas.openxmlformats.org/officeDocument/2006/relationships/hyperlink" Target="https://www.sec.gov/Archives/edgar/data/1140215/000149315223019681/ex10-1.htm" TargetMode="External"/><Relationship Id="rId6" Type="http://schemas.openxmlformats.org/officeDocument/2006/relationships/hyperlink" Target="https://www.sec.gov/Archives/edgar/data/1140215/000149315223019681/ex10-2.htm" TargetMode="External"/><Relationship Id="rId7" Type="http://schemas.openxmlformats.org/officeDocument/2006/relationships/hyperlink" Target="https://www.sec.gov/Archives/edgar/data/1140215/000149315223019681/ex10-3.htm" TargetMode="External"/><Relationship Id="rId8" Type="http://schemas.openxmlformats.org/officeDocument/2006/relationships/hyperlink" Target="https://www.sec.gov/Archives/edgar/data/1140215/000149315223019681/ex10-4.htm" TargetMode="External"/><Relationship Id="rId9" Type="http://schemas.openxmlformats.org/officeDocument/2006/relationships/hyperlink" Target="https://www.sec.gov/Archives/edgar/data/1140215/000149315223019681/ex10-5.htm" TargetMode="External"/><Relationship Id="rId10" Type="http://schemas.openxmlformats.org/officeDocument/2006/relationships/hyperlink" Target="https://www.sec.gov/Archives/edgar/data/1140215/000149315223019681/ex10-6.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17153</Words>
  <Characters>91115</Characters>
  <CharactersWithSpaces>110564</CharactersWithSpaces>
  <Paragraphs>6741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