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jc w:val="center"/>
        <w:ind w:left="4000" w:right="1480" w:hanging="2511"/>
        <w:spacing w:after="0" w:line="477" w:lineRule="auto"/>
        <w:tabs>
          <w:tab w:leader="none" w:pos="16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June 30, 2025</w:t>
      </w:r>
    </w:p>
    <w:p>
      <w:pPr>
        <w:spacing w:after="0" w:line="41" w:lineRule="exact"/>
        <w:rPr>
          <w:sz w:val="24"/>
          <w:szCs w:val="24"/>
          <w:color w:val="auto"/>
        </w:rPr>
      </w:pPr>
    </w:p>
    <w:p>
      <w:pPr>
        <w:ind w:left="3780" w:right="2000" w:hanging="1768"/>
        <w:spacing w:after="0" w:line="500" w:lineRule="auto"/>
        <w:tabs>
          <w:tab w:leader="none" w:pos="221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001-32501</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32"/>
                <w:szCs w:val="32"/>
                <w:b w:val="1"/>
                <w:bCs w:val="1"/>
                <w:color w:val="auto"/>
              </w:rPr>
              <w:t>REED’S, INC.</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8"/>
              </w:rPr>
              <w:t>Delaware</w:t>
            </w:r>
          </w:p>
        </w:tc>
        <w:tc>
          <w:tcPr>
            <w:tcW w:w="7740" w:type="dxa"/>
            <w:vAlign w:val="bottom"/>
            <w:gridSpan w:val="3"/>
          </w:tcPr>
          <w:p>
            <w:pPr>
              <w:jc w:val="center"/>
              <w:ind w:left="2140"/>
              <w:spacing w:after="0"/>
              <w:rPr>
                <w:sz w:val="20"/>
                <w:szCs w:val="20"/>
                <w:color w:val="auto"/>
              </w:rPr>
            </w:pPr>
            <w:r>
              <w:rPr>
                <w:rFonts w:ascii="Times New Roman" w:cs="Times New Roman" w:eastAsia="Times New Roman" w:hAnsi="Times New Roman"/>
                <w:sz w:val="18"/>
                <w:szCs w:val="18"/>
                <w:color w:val="auto"/>
                <w:w w:val="98"/>
              </w:rPr>
              <w:t>35-2177773</w:t>
            </w:r>
          </w:p>
        </w:tc>
      </w:tr>
      <w:tr>
        <w:trPr>
          <w:trHeight w:val="191"/>
        </w:trPr>
        <w:tc>
          <w:tcPr>
            <w:tcW w:w="3500" w:type="dxa"/>
            <w:vAlign w:val="bottom"/>
            <w:tcBorders>
              <w:top w:val="single" w:sz="8" w:color="auto"/>
            </w:tcBorders>
          </w:tcPr>
          <w:p>
            <w:pPr>
              <w:jc w:val="center"/>
              <w:ind w:left="1930"/>
              <w:spacing w:after="0" w:line="191" w:lineRule="exact"/>
              <w:rPr>
                <w:sz w:val="20"/>
                <w:szCs w:val="20"/>
                <w:color w:val="auto"/>
              </w:rPr>
            </w:pPr>
            <w:r>
              <w:rPr>
                <w:rFonts w:ascii="Times New Roman" w:cs="Times New Roman" w:eastAsia="Times New Roman" w:hAnsi="Times New Roman"/>
                <w:sz w:val="18"/>
                <w:szCs w:val="18"/>
                <w:color w:val="auto"/>
                <w:w w:val="97"/>
              </w:rPr>
              <w:t>(State of</w:t>
            </w:r>
          </w:p>
        </w:tc>
        <w:tc>
          <w:tcPr>
            <w:tcW w:w="2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incorporation)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w w:val="99"/>
              </w:rPr>
              <w:t>501 Merritt 7, Norwalk, CT. 06851</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(800) 997-3337</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1" w:lineRule="exact"/>
        <w:rPr>
          <w:sz w:val="24"/>
          <w:szCs w:val="24"/>
          <w:color w:val="auto"/>
        </w:rPr>
      </w:pPr>
    </w:p>
    <w:p>
      <w:pPr>
        <w:ind w:left="1320"/>
        <w:spacing w:after="0"/>
        <w:tabs>
          <w:tab w:leader="none" w:pos="4660" w:val="left"/>
          <w:tab w:leader="none" w:pos="71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8"/>
          <w:szCs w:val="18"/>
          <w:b w:val="1"/>
          <w:bCs w:val="1"/>
          <w:color w:val="auto"/>
        </w:rPr>
        <w:t>Names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right="38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3">
            <w:col w:w="2660" w:space="720"/>
            <w:col w:w="2660" w:space="720"/>
            <w:col w:w="4480"/>
          </w:cols>
          <w:pgMar w:left="320" w:top="7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are 48,673,722 shares of the Company’s common stock, par value $.0001 per share, outstanding as of August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gridSpan w:val="8"/>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Condensed Financial Statements</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 June 30, 2025 (Unaudited) and December 31, 2024</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and six months ended June 30, 2025 and 2024 (Unaudited)</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01"/>
        </w:trPr>
        <w:tc>
          <w:tcPr>
            <w:tcW w:w="180" w:type="dxa"/>
            <w:vAlign w:val="bottom"/>
            <w:tcBorders>
              <w:bottom w:val="single" w:sz="8" w:color="CCEEFF"/>
            </w:tcBorders>
            <w:shd w:val="clear" w:color="auto" w:fill="CCEEFF"/>
          </w:tcPr>
          <w:p>
            <w:pPr>
              <w:spacing w:after="0"/>
              <w:rPr>
                <w:sz w:val="17"/>
                <w:szCs w:val="17"/>
                <w:color w:val="auto"/>
              </w:rPr>
            </w:pPr>
          </w:p>
        </w:tc>
        <w:tc>
          <w:tcPr>
            <w:tcW w:w="101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Equity (Deficit) for the three and six months ended June 30, 2025 and 2024 (Unaudited)</w:t>
            </w:r>
          </w:p>
        </w:tc>
        <w:tc>
          <w:tcPr>
            <w:tcW w:w="940" w:type="dxa"/>
            <w:vAlign w:val="bottom"/>
            <w:tcBorders>
              <w:bottom w:val="single" w:sz="8" w:color="CCEEFF"/>
            </w:tcBorders>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2025 and 2024 (Unaudited)</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for the three and six months ended June 30, 2025 and 2024 (Unaudited)</w:t>
            </w:r>
          </w:p>
        </w:tc>
        <w:tc>
          <w:tcPr>
            <w:tcW w:w="94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4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103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4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380" w:type="dxa"/>
            <w:vAlign w:val="bottom"/>
            <w:tcBorders>
              <w:top w:val="single" w:sz="8" w:color="CCEEFF"/>
              <w:bottom w:val="single" w:sz="8" w:color="auto"/>
            </w:tcBorders>
            <w:gridSpan w:val="6"/>
          </w:tcPr>
          <w:p>
            <w:pPr>
              <w:jc w:val="center"/>
              <w:ind w:right="3980"/>
              <w:spacing w:after="0"/>
              <w:rPr>
                <w:sz w:val="20"/>
                <w:szCs w:val="20"/>
                <w:color w:val="auto"/>
              </w:rPr>
            </w:pPr>
            <w:r>
              <w:rPr>
                <w:rFonts w:ascii="Times New Roman" w:cs="Times New Roman" w:eastAsia="Times New Roman" w:hAnsi="Times New Roman"/>
                <w:sz w:val="18"/>
                <w:szCs w:val="18"/>
                <w:color w:val="auto"/>
                <w:w w:val="78"/>
              </w:rPr>
              <w:t>i</w:t>
            </w: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2024 (“2024 Form 10-K”) as updated by “Part II, Item 1A” of this report, which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REED’S, INC.,</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amounts)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$1,091 and $859, respectively</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5,002</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13,180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former related party</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$751 and $636, respectively</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r>
      <w:tr>
        <w:trPr>
          <w:trHeight w:val="26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23,705</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7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8,478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loan, net of deferred financing costs of $164 and $329, respectively</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9,736</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former related party</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less current portion</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$10 par value, 500,000 shares authorized, 9,411 shares issued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60,000,000 shares authorized; 48,673,722 and 45,371,247 shares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161,604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158,433</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(159,968)</w:t>
            </w: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(151,884)</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23,705</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8,043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14,225</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write-offs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3,831</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7,244</w:t>
            </w:r>
          </w:p>
        </w:tc>
      </w:tr>
      <w:tr>
        <w:trPr>
          <w:trHeight w:val="209"/>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Delivery and handling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1,980</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investments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(1,393)</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r>
      <w:tr>
        <w:trPr>
          <w:trHeight w:val="209"/>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on Series A Convertible Preferred Stock</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(6,053)</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(8,084)</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 basic and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46,367,047</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4,187,291</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45,871,898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4,187,291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580" w:type="dxa"/>
            <w:vAlign w:val="bottom"/>
          </w:tcPr>
          <w:p>
            <w:pPr>
              <w:spacing w:after="0"/>
              <w:rPr>
                <w:sz w:val="21"/>
                <w:szCs w:val="21"/>
                <w:color w:val="auto"/>
              </w:rPr>
            </w:pPr>
          </w:p>
        </w:tc>
        <w:tc>
          <w:tcPr>
            <w:tcW w:w="16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5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45,371,247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vested restricted shares granted</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officers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A</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conversion of</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76,668</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cash</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3,225,807</w:t>
            </w:r>
          </w:p>
        </w:tc>
        <w:tc>
          <w:tcPr>
            <w:tcW w:w="44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(6,048)</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(6,048)</w:t>
            </w: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48,673,722</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580" w:type="dxa"/>
            <w:vAlign w:val="bottom"/>
          </w:tcPr>
          <w:p>
            <w:pPr>
              <w:spacing w:after="0"/>
              <w:rPr>
                <w:sz w:val="21"/>
                <w:szCs w:val="21"/>
                <w:color w:val="auto"/>
              </w:rPr>
            </w:pPr>
          </w:p>
        </w:tc>
        <w:tc>
          <w:tcPr>
            <w:tcW w:w="16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5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45,371,247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vested restricted shares granted</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 officers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Series A</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conversion of</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76,668</w:t>
            </w:r>
          </w:p>
        </w:tc>
        <w:tc>
          <w:tcPr>
            <w:tcW w:w="44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cash</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3,225,807</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(8,079)</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(8,079)</w:t>
            </w: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48,673,722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660" w:type="dxa"/>
            <w:vAlign w:val="bottom"/>
          </w:tcPr>
          <w:p>
            <w:pPr>
              <w:spacing w:after="0"/>
              <w:rPr>
                <w:sz w:val="21"/>
                <w:szCs w:val="21"/>
                <w:color w:val="auto"/>
              </w:rPr>
            </w:pPr>
          </w:p>
        </w:tc>
        <w:tc>
          <w:tcPr>
            <w:tcW w:w="16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6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Series A Convertible Preferred</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(3,212)</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660" w:type="dxa"/>
            <w:vAlign w:val="bottom"/>
          </w:tcPr>
          <w:p>
            <w:pPr>
              <w:spacing w:after="0"/>
              <w:rPr>
                <w:sz w:val="21"/>
                <w:szCs w:val="21"/>
                <w:color w:val="auto"/>
              </w:rPr>
            </w:pPr>
          </w:p>
        </w:tc>
        <w:tc>
          <w:tcPr>
            <w:tcW w:w="16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6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Series A Convertible Preferred</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(4,885)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8"/>
                <w:szCs w:val="18"/>
                <w:color w:val="auto"/>
              </w:rPr>
            </w:pPr>
          </w:p>
        </w:tc>
        <w:tc>
          <w:tcPr>
            <w:tcW w:w="148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(8,079)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fair value of SAFE investments</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write-offs and change in reserve</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1,661</w:t>
            </w:r>
          </w:p>
        </w:tc>
        <w:tc>
          <w:tcPr>
            <w:tcW w:w="3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(6,728)</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right of use assets</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1,637</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 costs</w:t>
            </w:r>
          </w:p>
        </w:tc>
        <w:tc>
          <w:tcPr>
            <w:tcW w:w="30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19,501</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0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SAFE agreement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cash recorded as debt discount</w:t>
            </w:r>
          </w:p>
        </w:tc>
        <w:tc>
          <w:tcPr>
            <w:tcW w:w="30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from former related party, net</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at beginning of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(7,714)</w:t>
            </w:r>
          </w:p>
        </w:tc>
        <w:tc>
          <w:tcPr>
            <w:tcW w:w="7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4"/>
        </w:trPr>
        <w:tc>
          <w:tcPr>
            <w:tcW w:w="64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10,391</w:t>
            </w: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tcPr>
          <w:p>
            <w:pPr>
              <w:spacing w:after="0"/>
              <w:rPr>
                <w:sz w:val="20"/>
                <w:szCs w:val="20"/>
                <w:color w:val="auto"/>
              </w:rPr>
            </w:pPr>
          </w:p>
        </w:tc>
      </w:tr>
      <w:tr>
        <w:trPr>
          <w:trHeight w:val="223"/>
        </w:trPr>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19"/>
                <w:szCs w:val="19"/>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-325120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8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3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SAFE agreement from accounts payable to equity</w:t>
            </w:r>
          </w:p>
        </w:tc>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3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right="76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2024, filed with the SEC on March 28, 2025. The accompanying condensed financial statements are unaudited, but in the opinion of management, contain all adjustments, including normal recurring adjustments, necessary to present fairly the Company’s financial position as of June 30, 2025, and the results of its operations and its cash flows for the six months ended June 30, 2025 and 2024. The balance sheet as of December 31, 2024 is derived from the Company’s audited financial statements.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six months ended June 30, 2025, are not necessarily indicative of the results of operations to be expected for the full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reflected in the accompanying financial statements, for the six months ended June 30, 2025, the Company recorded a net loss of $8,079 and used cash in operations of $10,410. Cash used in operations was primarily for working capital as the Company invested $6,728 in inventory to more effectively fulfill customer demand. As of June 30, 2025, we had a cash balance of $2,677 and availability under our Senior Secured Loan of $100. Our Senior Secured Loan, which provides a revolving credit commitment in an aggregate amount of $10,000, is due on November 14, 2025 (see Note 5). The Company is evaluating refinancing alternatives for the Senior Secured Loan, which may include existing or new lenders.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operations through existing cash balances, cash generated from operations, public and private issuance of common stock, preferred stock, convertible debt instruments, term loans and credit lines from financial institutions.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completed a private placement (the “Private Placement”) with certain accredited investors (the “Investors”), pursuant to which the Company agreed to issue and sell to the Investors an aggregate of 3,225,807 common shares for total consideration of $3,000. Era Regenerative Medicine Ltd, sole shareholder of D&amp;D Source of Life Holding, Ltd. and the company’s majority stockholder (a related party), served as lead investor, participating in this transaction in the amount of $1,000.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issuance date of the financial statements included in this Quarterly Report on Form 10-Q, management expects that the Company’s existing cash of $2,677, cash generated from operations, and access to committed financing will be sufficient to fund the Company’s operating plan, which was approved by the Board of Directors in January 2025, for at least twelve months from the date of issuance of such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actions by the Federal Reserve to address inflation, fluctuations in energy prices, and the potential impacts of tariffs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the calculations of basic and diluted loss per share are the same because potential dilutive securities would have had an anti-dilutive effect. The potentially dilutive securities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4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324,202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139,869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1,563,309</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equivalent of Series A Convertible Preferred stock</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and marketing expense. Advertising costs for the three months ended June 30, 2025, and 2024, aggregated $14 and $13, respectively. Advertising costs for the six months ended June 30, 2025, and 2024, aggregated $48 and $30,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During the three months ended June 30, 2025, three customers accounted for 26%, 17%, and 11% of gross billing, respectively, and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three customers accounted for 21%, 19%, and 14% of gross billing, respectively. During the three months ended June 30, 2024, three customers accounted for 20%, 15%, and 13% of gross billing, respectively, and during the six months ended June 30, 2024, three customers accounted for 18%, 15%, and 12% of gross billing, respectively. No other customers exceeded 10% of sales in either period.</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June 30, 2025, the Company had accounts receivable from two customers which comprised 48% and 17% of its gross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respectively. As of December 31, 2024, the Company had accounts receivable from two customers which comprised 17% and 14% of its gross accounts receivable, respectively. No other customers exceeded 10% of gross accounts receivable in either period.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utilizes co-packers to produce 100% of its products. </w:t>
      </w:r>
      <w:r>
        <w:rPr>
          <w:rFonts w:ascii="Times New Roman" w:cs="Times New Roman" w:eastAsia="Times New Roman" w:hAnsi="Times New Roman"/>
          <w:sz w:val="18"/>
          <w:szCs w:val="18"/>
          <w:color w:val="auto"/>
        </w:rPr>
        <w:t>During the six months ended June 30, 2025 and the year ended December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utilized seven separate co-packers for most of its production and bottling of beverage products in the United States. The Company has established relationships with these co-packers, including a former related party (see Note 10). Although there are other co-packers available to the Company, a change in co-packers may cause a delay in the production process, which could adversely affect operating results.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Purchases from vendors. </w:t>
      </w:r>
      <w:r>
        <w:rPr>
          <w:rFonts w:ascii="Times New Roman" w:cs="Times New Roman" w:eastAsia="Times New Roman" w:hAnsi="Times New Roman"/>
          <w:sz w:val="18"/>
          <w:szCs w:val="18"/>
          <w:color w:val="auto"/>
        </w:rPr>
        <w:t>During the six months ended June 30, 2025, the Company’s largest vendor accounted for approximately 16% of all 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 months ended June 30, 2024, the Company’s two largest vendors accounted for approximately 11% and 11% of all purchases. No other vendors exceeded 10% of all purchases in either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As of June 30, 2025, one vendor accounted for 24% of total accounts payable. As of December 31, 2024, no vendor accounted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of total accounts payable. No other vendors exceeded 10% of accounts payable in either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Level 3—Unobservable inputs in which there is little or no market data for the asset or liability which requires the Company to develop its own assumptions.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denominated in Japanese Yen (JPY) with an aggregate US Dollar equivalent of $1,024 and $0 at June 30, 2025 and December 31, 2024, respectively, was held by the Company in accounts at a financial institution in Japan. We used the exchange rate in the following table to translate amounts denominated in non-USD currencies as of the periods noted: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JPY:USD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143.80</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Inventory</w:t>
            </w: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1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7,606</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inventory was net of a reserve of $2,245 and $1,296, respectively. During the six months ended June 30, 2025, the Company incurred $1,661 of inventory charges related to changes in product portfolio optimization made by new management.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22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six months ended June 30, 2025 and 2024 was $92 and $58, respectively, and amortization of right-of-use assets for the six months ended June 30, 2025 and 2024 was $23 and $79,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122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Senior Secured Loan Payable</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sets forth amounts in respect of our senior secured loan:</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122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loan payable</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entered into a Senior Secured Loan and Security Agreement (the “Loan Agreement”) with certain funds affiliated with Whitebox Advisors LLC (“Whitebox”), as lenders, and Cantor Fitzgerald Securities, as administrative agent and collateral agent. The Loan Agreement provides a revolving credit commitment in an aggregate amount of $10,000 (the “Senior Secured Loan”). The Senior Secured Loan accrues interest at a per annum rate equal to 8.00% on the principal amount outstanding, payable quarterly in arrears. The Senior Secured Loan also accrues an unused fee at a rate per annum equal to 3.00% on the excess, if any, of the revolving credit commitment over the average principal amount outstanding from time to time during the preceding fiscal quarter, payable quarterly in arrears. The Senior Secured Loan is secured by substantially all of the Company’s assets, including all intellectual property, and is due on November 14, 2025. As of June 30, 2025 and December 31, 2024, the principal amount outstanding on the Senior Secured Loan was $9,900 and the remaining availability was $100.</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financing agreement with Whitebox includes customary restrictions that limit our ability to engage in certain types of transactions. Additionally, the agreement contains a financial covenant that requires us to meet a certain minimum cash balance and liquidity threshold as of the end of each month. We were in compliance with the terms of our agreement with Whitebox as of June 30, 2025 and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$376 of direct costs associated with the Senior Secured Loan transaction, consisting primarily of broker, bank and legal fees. These costs have been deferred and are being amortized over the 1-year life of the agreement. The unamortized debt discount balance was $329 at December 31, 2024. For the six months ended June 30, 2025, the company incurred $34 of additional fees and amortization of debt discount was $199. The unamortized debt discount balance was $164 at June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and 2024, lease costs totaled $46 and $89,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operating lease liabilities totaled $837. During the six months ended June 30, 2025, the Company made no payments towards its operating lease liability as no payments were due. As of June 30, 2025, operating lease liabilities totaled $862, of which $46 was current. The Company’s right of use assets are presented as part of property and equipment (see Note 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weighted average remaining lease term for the operating lease was 10.42 years. As of June 30, 2025, the weighted average discount rate on the operating lease was 8.0%.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Issuance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Company received $115 in gross proceeds from investors pursuant to Simple Agreements for Future Equity (“SAFE”) investments, which remained outstanding as of December 31, 2024. On April 3, 2025, the SAFE investments were converted to 76,668 common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completed a private placement (the “Private Placement”) with certain accredited investors (the “Investors”), pursuant to which the Company agreed to issue and sell to the Investors an aggregate of 3,225,807 common shares for total consideration of $3,000. Era Regenerative Medicine Ltd, sole shareholder of D&amp;D Source of Life Holding, Ltd. and the Company’s majority stockholder (a related party), served as lead investor, participating in this transaction in the amount of $1,000.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16, 2025, the Company’s board of directors appointed Cyril Wallace as Chief Executive Officer and member of the board of directors, pursuant to an executive employment agreement. Subject to the board of directors’ establishment of a new equity incentive plan and Mr. Wallace’s continued employment, Mr. Wallace will be granted a restricted stock award of 280,000 shares of common stock, vesting over a 1-year term, and performance based stock options to purchase up to 1,388,166 shares of common stock. The performance-based stock options will be granted in tranches beginning in 2025 through 2027. Vesting of performance-based stock options will be subject to achievement of annual performance metrics established by the board of directors and agreed between the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9"/>
              </w:rPr>
              <w:t>Stock Options</w:t>
            </w:r>
          </w:p>
        </w:tc>
        <w:tc>
          <w:tcPr>
            <w:tcW w:w="3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2025:</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1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forfeited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forfeited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324,202</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272,238</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recognized $56 and $222 of compensation expense relating to vested stock options, respectively. As of June 30, 2025, the aggregate amount of unvested compensation related to stock options was approximately $49, which will be recognized as an expense as the options vest in future periods through March 28, 2027.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outstanding and exercisable options have no aggregate intrinsic value. The aggregate intrinsic value was calculated as the difference between the closing market price as of June 30, 2025, which was $1.00, and the exercise price of the outstanding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warrant activity during the six months ended June 30,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549,292</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outstanding and exercisable warrants have no aggregate intrinsic value. The aggregate intrinsic value was calculated as the difference between the closing market price as of June 30, 2025, which was $1.00, and the exercise price of the Company’s warrants to purchase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Transactions with California Custom Beverage, LLC, former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signed a co-packing agreement with California Custom Beverage, LLC’s (“CCB”), an entity owned by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5% royalty through 2021 on certain private label sales made by CCB.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At June 30, 2025 and December 31, 2024, accounts receivable due from and accounts payable due to CCB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178"/>
        </w:trPr>
        <w:tc>
          <w:tcPr>
            <w:tcW w:w="74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Accounts receivable, net of provision of $1,238 and $1,238 at June 30, 2025 and December 31,</w:t>
            </w:r>
          </w:p>
        </w:tc>
        <w:tc>
          <w:tcPr>
            <w:tcW w:w="1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30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(payable) receivable</w:t>
            </w:r>
          </w:p>
        </w:tc>
        <w:tc>
          <w:tcPr>
            <w:tcW w:w="130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CCB filed an arbitration demand alleging claims against the Company for various disputed amounts outstanding. Also in January 2024, the Company filed an arbitration demand alleging claims against CCB for various disputed amounts outstanding. The two cases were consolidated, and the arbitration process is expected to continue pending final judgment. The Company has determined that the probability of realizing any loss on the demand from CCB is remote and therefore has not recorded any additional accruals related to the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the Company entered into a settlement and release agreement (the “Settlement”) related to an engagement with an investment bank. Previously, the Company and the investment bank entered into an engagement letter dated May 1, 2023. Pursuant to the engagement letter, the Company agreed to pay the investment bank certain fees for services rendered. Pursuant to the Settlement, the Company agreed to pay the investment bank $1,600 and, effective immediately upon receipt of payment, the Company will be released from any and all liability. The Company has provided for the Settlement in the accompanying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as a manufacturer of carbonated beverages under Reed’s and Virgil’s brand names. The measure of segment assets is reported on the balance sheet as total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the Company’s Chief Executive Officer, reviews financial information presented and decides how to allocate resources based on net income (loss). Net income (loss) is used for evaluating financial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segment expenses include research and development, salaries,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Salaries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2,449</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1,839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Freight and delivery</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2,549</w:t>
            </w:r>
          </w:p>
        </w:tc>
        <w:tc>
          <w:tcPr>
            <w:tcW w:w="5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Warehousing</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3,951</w:t>
            </w:r>
          </w:p>
        </w:tc>
        <w:tc>
          <w:tcPr>
            <w:tcW w:w="54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2,061</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the Company entered into a settlement and release agreement (the “Settlement”) related to an engagement with an investment bank. Previously, the Company and the investment bank entered into an engagement letter dated May 1, 2023. Pursuant to the engagement letter, the Company agreed to pay the investment bank certain fees for services rendered. Pursuant to the Settlement, the Company agreed to pay the investment bank $1,600 and, effective immediately upon receipt of payment, the Company will be released from any and all liability. The Company has provided for the Settlement in the accompanying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96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discussion and analysis is intended to help the reader understand our results of operations and financial condition and is provided as an addition to, and should be read in connection with, our condensed financial statements and the accompanying notes. Some of the information contained in this discussion and analysis, including information with respect to our intentions, plans, objectives and expectations for our business, includes forward-looking statements that involve risks and uncertainties. You should review the sections titled “Cautionary Statements Regarding Forward-Looking Statements and Information” and “Risk Factors” in this Quarterly Report on Form 10-Q and in our 2024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presented in the discussion below are in thousands, except share and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continued its focus on driving sales growth, improving gross margin, and reducing freight costs. The sales growth initiatives include channel expansion, in-store product placements, new product innovation and improved sales execution. The gross margin enhancement initiatives include product portfolio optimization, equitable supplier negotiations, streamlining co-packer processes, and efficient inventory management. Underpinning these initiatives is a focus on strategically reducing operating costs, particularly delivery and handling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began an expansion into new geographic markets in the Asia Pacific region. The Company formed a wholly owned subsidiary Reed’s (Asia) Limited (BVI). Reed’s (Asia) Limited subsequently formed three additional wholly owned subsidiaries, Reed’s (Hong Kong) Limited, Reed’s (Japan) Limited, and Reed’s (Hainan) Limited. These subsidiaries are an early part of the Company’s strategic expansion in the Asia Pacific region. The Company expects continued investment in its Asia Pacific growth initiative. Reed’s (Asia) Limited did not generate sales in the six months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U.S. economy continued to grow in the first half of 2025 and throughout 2024, inflation, actions by the Federal Reserve to address inflation, fluctuations in energy prices, and the potential impacts of tariffs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average cost of shipping and handling was $2.97 per case, as compared to $2.54 per case for the six months ended June 30, 2024. The Company has experienced increases in freight costs and there remains a volatile pricing environment.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2025, as compared to Three Months Ended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months ended June 30, 2025 and 2024, respectively,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3"/>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Pct.</w:t>
            </w:r>
          </w:p>
        </w:tc>
      </w:tr>
      <w:tr>
        <w:trPr>
          <w:trHeight w:val="223"/>
        </w:trPr>
        <w:tc>
          <w:tcPr>
            <w:tcW w:w="53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8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19"/>
                <w:szCs w:val="19"/>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380" w:type="dxa"/>
            <w:vAlign w:val="bottom"/>
          </w:tcPr>
          <w:p>
            <w:pPr>
              <w:spacing w:after="0"/>
              <w:rPr>
                <w:sz w:val="19"/>
                <w:szCs w:val="19"/>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2,046</w:t>
            </w:r>
          </w:p>
        </w:tc>
        <w:tc>
          <w:tcPr>
            <w:tcW w:w="64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8,716</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8,043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75%</w:t>
            </w:r>
          </w:p>
        </w:tc>
        <w:tc>
          <w:tcPr>
            <w:tcW w:w="6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59%</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92%</w:t>
            </w:r>
          </w:p>
        </w:tc>
        <w:tc>
          <w:tcPr>
            <w:tcW w:w="6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68%</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38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32%</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1,572</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17%</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12%</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2.83</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i w:val="1"/>
                <w:iCs w:val="1"/>
                <w:color w:val="auto"/>
                <w:w w:val="70"/>
              </w:rPr>
              <w: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2.18</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1,271</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13%</w:t>
            </w:r>
          </w:p>
        </w:tc>
        <w:tc>
          <w:tcPr>
            <w:tcW w:w="6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9%</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3,757</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1,980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39%</w:t>
            </w:r>
          </w:p>
        </w:tc>
        <w:tc>
          <w:tcPr>
            <w:tcW w:w="6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17%</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(5,793)</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income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9"/>
        </w:trPr>
        <w:tc>
          <w:tcPr>
            <w:tcW w:w="5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(6,048)</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5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46,367,047</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4,187,291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bl>
    <w:p>
      <w:pPr>
        <w:spacing w:after="0" w:line="196" w:lineRule="exact"/>
        <w:rPr>
          <w:sz w:val="20"/>
          <w:szCs w:val="20"/>
          <w:color w:val="auto"/>
        </w:rPr>
      </w:pPr>
    </w:p>
    <w:p>
      <w:pPr>
        <w:jc w:val="both"/>
        <w:ind w:firstLine="8"/>
        <w:spacing w:after="0" w:line="258" w:lineRule="auto"/>
        <w:tabs>
          <w:tab w:leader="none" w:pos="283"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8"/>
        <w:spacing w:after="0" w:line="252" w:lineRule="auto"/>
        <w:tabs>
          <w:tab w:leader="none" w:pos="2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key statistics for the transition of the Company’s top line activity from the second quarter of 2024 through the second quarter of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Q2 Per Case</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H1 Per Case</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Q2</w:t>
            </w:r>
          </w:p>
        </w:tc>
        <w:tc>
          <w:tcPr>
            <w:tcW w:w="40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H1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vs</w:t>
            </w: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vs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vs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vs</w:t>
            </w: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Q1</w:t>
            </w:r>
          </w:p>
        </w:tc>
        <w:tc>
          <w:tcPr>
            <w:tcW w:w="100" w:type="dxa"/>
            <w:vAlign w:val="bottom"/>
          </w:tcPr>
          <w:p>
            <w:pPr>
              <w:spacing w:after="0"/>
              <w:rPr>
                <w:sz w:val="20"/>
                <w:szCs w:val="20"/>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w:t>
            </w:r>
          </w:p>
        </w:tc>
        <w:tc>
          <w:tcPr>
            <w:tcW w:w="10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PY</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PY</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Q1</w:t>
            </w:r>
          </w:p>
        </w:tc>
        <w:tc>
          <w:tcPr>
            <w:tcW w:w="100" w:type="dxa"/>
            <w:vAlign w:val="bottom"/>
          </w:tcPr>
          <w:p>
            <w:pPr>
              <w:spacing w:after="0"/>
              <w:rPr>
                <w:sz w:val="20"/>
                <w:szCs w:val="20"/>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w:t>
            </w:r>
          </w:p>
        </w:tc>
        <w:tc>
          <w:tcPr>
            <w:tcW w:w="100" w:type="dxa"/>
            <w:vAlign w:val="bottom"/>
          </w:tcPr>
          <w:p>
            <w:pPr>
              <w:spacing w:after="0"/>
              <w:rPr>
                <w:sz w:val="20"/>
                <w:szCs w:val="20"/>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16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  PY</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PY</w:t>
            </w:r>
          </w:p>
        </w:tc>
        <w:tc>
          <w:tcPr>
            <w:tcW w:w="0" w:type="dxa"/>
            <w:vAlign w:val="bottom"/>
          </w:tcPr>
          <w:p>
            <w:pPr>
              <w:spacing w:after="0"/>
              <w:rPr>
                <w:sz w:val="1"/>
                <w:szCs w:val="1"/>
                <w:color w:val="auto"/>
              </w:rPr>
            </w:pPr>
          </w:p>
        </w:tc>
      </w:tr>
      <w:tr>
        <w:trPr>
          <w:trHeight w:val="210"/>
        </w:trPr>
        <w:tc>
          <w:tcPr>
            <w:tcW w:w="1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Reed’s</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Virgil’s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460" w:type="dxa"/>
            <w:vAlign w:val="bottom"/>
            <w:vMerge w:val="restart"/>
          </w:tcPr>
          <w:p>
            <w:pPr>
              <w:ind w:left="880"/>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520</w:t>
            </w:r>
          </w:p>
        </w:tc>
        <w:tc>
          <w:tcPr>
            <w:tcW w:w="10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555</w:t>
            </w: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1,075</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499</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220" w:type="dxa"/>
            <w:vAlign w:val="bottom"/>
            <w:vMerge w:val="continue"/>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Billing:</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11,569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22,582</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13,584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tcBorders>
              <w:lef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6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146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11,013</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11,569</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22,582</w:t>
            </w:r>
          </w:p>
        </w:tc>
        <w:tc>
          <w:tcPr>
            <w:tcW w:w="22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10,379</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13,584</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40" w:type="dxa"/>
            <w:vAlign w:val="bottom"/>
            <w:vMerge w:val="continue"/>
            <w:shd w:val="clear" w:color="auto" w:fill="CCEEFF"/>
          </w:tcPr>
          <w:p>
            <w:pPr>
              <w:spacing w:after="0"/>
              <w:rPr>
                <w:sz w:val="18"/>
                <w:szCs w:val="18"/>
                <w:color w:val="auto"/>
              </w:rPr>
            </w:pPr>
          </w:p>
        </w:tc>
        <w:tc>
          <w:tcPr>
            <w:tcW w:w="6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Discounts: 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(984)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(3,030)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20%</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21% $</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(784)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(1,710)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(2,494)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(2.6)</w:t>
            </w:r>
          </w:p>
        </w:tc>
        <w:tc>
          <w:tcPr>
            <w:tcW w:w="6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-41% $</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(2.2)</w:t>
            </w:r>
          </w:p>
        </w:tc>
        <w:tc>
          <w:tcPr>
            <w:tcW w:w="6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(15,343)</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(14,225)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(12.3)</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(12.4)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Core</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6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(6,627)</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(8,716)</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(15,343)</w:t>
            </w:r>
          </w:p>
        </w:tc>
        <w:tc>
          <w:tcPr>
            <w:tcW w:w="220" w:type="dxa"/>
            <w:vAlign w:val="bottom"/>
            <w:vMerge w:val="continue"/>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(6,182)</w:t>
            </w:r>
          </w:p>
        </w:tc>
        <w:tc>
          <w:tcPr>
            <w:tcW w:w="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(8,043)</w:t>
            </w:r>
          </w:p>
        </w:tc>
        <w:tc>
          <w:tcPr>
            <w:tcW w:w="2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(14,225)</w:t>
            </w:r>
          </w:p>
        </w:tc>
        <w:tc>
          <w:tcPr>
            <w:tcW w:w="2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(15.7)</w:t>
            </w: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(12,3)</w:t>
            </w:r>
          </w:p>
        </w:tc>
        <w:tc>
          <w:tcPr>
            <w:tcW w:w="12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(14.2)</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(12.4)</w:t>
            </w:r>
          </w:p>
        </w:tc>
        <w:tc>
          <w:tcPr>
            <w:tcW w:w="14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4,209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 % Net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three months ended June 30, 2025, represents 100% of all beverage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brand gross billing decreased by 15% to $11,569 during the three months ended June 30, 2025, compared to $13,584 during the same period last year, driven by Virgil’s volume decline of 19% and Reed’s volume decline of 10%. Price on our core brands increased 1% to $21.01 per case. The decrease in gross billing was a result of lower volumes with recurring national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Discounts as a percentage of gross sales were 18% during the three months ended June 30, 2025, compared to 13% in the same period last year. As a result, net sales decreased 20% during the three months ended June 30, 2025, to $9,523, compared to $11,874 in the same period last year driven by lower volumes with recurring national customers and higher promotional and other allowances.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increased $673 during the three months ended June 30, 2025, as compared to the same period last year. As a percentage of net sales, cost of goods sold for the three months ended June 30, 2025, was 92% as compared to 68% for the same period last year. The increase in cost of goods sold was primarily driven by inventory write-offs related to changes in product portfolio optimization made by new management, in an amount of $1.606, incurred in June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cost of goods sold per case increased to $15.70 per case in the three months ended June 30, 2025, from $12.34 per case for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8% for the three months ended June 30, 2025, compared to 32%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increased by $149 in the three months ended June 30, 2025, to $1,572 from $1,423 in the same period last year, primarily driven by transportation costs associated with increased finished goods production. Delivery costs in the three months ended June 30, 2025, were 17% of net sales and $2.83 per case, compared to 12% of net sales and $2.18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$1,271 during the three months ended June 30, 2025, compared to $1,097 during the same period last year. As a percentage of net sales, selling and marketing costs were 13% during the three months ended June 30, 2025, as compared to 9% during the same period last year. The increase was primarily driven by higher employee related costs and marketing expenditures.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were $3,757 in the three months ended June 30, 2025, an increase of $1,777 over the same period last year. As a percentage of net sales, general and administrative expenses were 39% during the three months ended June 30, 2025, as compared to 17% during the same period last year. The increase was driven by contract proceedings costs and the Company’s investments in personnel and related services to support growth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from operations was $5,793 for the three months ended June 30, 2025, as compared to a loss of $669 in the same period last year driven by decreased gross profit and increased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for the three months ended June 30, 2025, consisted of $301 of interest expense offset by $46 of other income. During the same period last year, interest and other expense consisted of $1,150 of interest expense and $1,393 of the change in fair value of our SAFE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three months ended June 30, 2025 and 2024 (unaudited;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8"/>
        </w:trPr>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(6,048)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(3,212)</w:t>
            </w: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investments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write-offs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3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3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Contract proceedings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380" w:type="dxa"/>
            <w:vAlign w:val="bottom"/>
          </w:tcPr>
          <w:p>
            <w:pPr>
              <w:spacing w:after="0"/>
              <w:rPr>
                <w:sz w:val="19"/>
                <w:szCs w:val="19"/>
                <w:color w:val="auto"/>
              </w:rPr>
            </w:pP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EBITDA adjustments</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3380" w:type="dxa"/>
            <w:vAlign w:val="bottom"/>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16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(2,945)</w:t>
            </w:r>
          </w:p>
        </w:tc>
        <w:tc>
          <w:tcPr>
            <w:tcW w:w="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380" w:type="dxa"/>
            <w:vAlign w:val="bottom"/>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4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2025, as compared to Six Months Ended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six months ended June 30, 2025 and 2024, respectively,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Pct.</w:t>
            </w:r>
          </w:p>
        </w:tc>
      </w:tr>
      <w:tr>
        <w:trPr>
          <w:trHeight w:val="223"/>
        </w:trPr>
        <w:tc>
          <w:tcPr>
            <w:tcW w:w="53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19"/>
                <w:szCs w:val="19"/>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180" w:type="dxa"/>
            <w:vAlign w:val="bottom"/>
          </w:tcPr>
          <w:p>
            <w:pPr>
              <w:spacing w:after="0"/>
              <w:rPr>
                <w:sz w:val="19"/>
                <w:szCs w:val="19"/>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3,030</w:t>
            </w:r>
          </w:p>
        </w:tc>
        <w:tc>
          <w:tcPr>
            <w:tcW w:w="360" w:type="dxa"/>
            <w:vAlign w:val="bottom"/>
          </w:tcPr>
          <w:p>
            <w:pPr>
              <w:spacing w:after="0"/>
              <w:rPr>
                <w:sz w:val="19"/>
                <w:szCs w:val="19"/>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2,494</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3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15,343</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14,225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68%</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59%</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78%</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66%</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0"/>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3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3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34%</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3,199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2,925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16%</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14%</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180" w:type="dxa"/>
            <w:vAlign w:val="bottom"/>
          </w:tcPr>
          <w:p>
            <w:pPr>
              <w:spacing w:after="0"/>
              <w:rPr>
                <w:sz w:val="18"/>
                <w:szCs w:val="18"/>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2.98</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2.54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2,773</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2,190</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14%</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10%</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5,772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3,448</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8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16%</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3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income (expense)</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(3,566)</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5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(8,079)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5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45,871,898</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4,187,291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r>
      <w:tr>
        <w:trPr>
          <w:trHeight w:val="432"/>
        </w:trPr>
        <w:tc>
          <w:tcPr>
            <w:tcW w:w="5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1" w:name="page22"/>
    <w:bookmarkEnd w:id="21"/>
    <w:p>
      <w:pPr>
        <w:jc w:val="both"/>
        <w:ind w:firstLine="8"/>
        <w:spacing w:after="0" w:line="258" w:lineRule="auto"/>
        <w:tabs>
          <w:tab w:leader="none" w:pos="283"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52" w:lineRule="auto"/>
        <w:tabs>
          <w:tab w:leader="none" w:pos="2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its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six months ended June 30, 2025, represents 100% of all beverage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brand gross billing decreased by 6% to $22,582 during the six months ended June 30, 2025, compared to $23,963 during the same period last year, driven by Reed’s volume decline of 6% and Virgil’s volume decline of 4%. Price on our core brands increased 1% to $21.01 per case. The decrease in gross billing was a result of lower volumes with recurring national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Discounts as a percentage of gross sales were 13% during the six months ended June 30, 2025, compared to 10% in the same period last year. As a result, net sales decreased 9% during the six months ended June 30, 2024, to $19,552, compared to $21,469 in the same period last year driven by lower volumes with recurring national customers and higher promotional and other allowances.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increased $1,118 during the six months ended June 30, 2025, as compared to the same period last year. As a percentage of net sales, cost of goods sold for the six months ended June 30, 2025, was 78% as compared to 66% for the same period last year. The increase in cost of goods sold was primarily driven by inventory write-offs related to changes in product portfolio optimization made by new management, in an amount of $1.661.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cost of goods per case increased to $14.27 per case in the six months ended June 30, 2025, from $12.36 per case for the same period last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22% for the six months ended June 30, 2024, compared to 34%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increased by $274 in the six months ended June 30, 2025, to $3,199 from $2,925 in the same period last year, primarily driven by transportation costs associated with increased finished goods production. Delivery costs in the six months ended June 30, 2025, were 16% of net sales and $2.98 per case, compared to 14% of net sales and $2.54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$2,773 during the six months ended June 30, 2025, compared to $2,190 during the same period last year. As a percentage of net sales, selling and marketing were 14% of net sales during the six months ended June 30, 2025, as compared to 10% of net sales during the same period last year. The increase was primarily driven by higher employee related costs and marketing expenditures.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were $5,772 during the six months ended June 30, 2025, an increase of $2,324 over the same period last year. As a percentage of net sales, general and administrative expenses were 30% during th six months ended June 30, 2025, as compared to 16% during the same period last year. The increase was driven by contract proceedings costs and the Company’s investments in personnel and related services to support growth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from operations was $7,535 for the six months ended June 30, 2025, as compared to a loss of $1,319 in the same period last year driven by decreased gross profit and increased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and other expense for the six months ended June 30, 2025, consisted of $590 of interest expense offset by $46 of other income. During the same period last year, interest and other expense consisted of $2,173 of interest expense and $1,393 of the change in fair value of our SAFE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six months ended June 30, 2025 and 2024 (unaudited;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investments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Product quality hold write-down</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write-offs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1,661</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proceedings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settlements</w:t>
            </w:r>
          </w:p>
        </w:tc>
        <w:tc>
          <w:tcPr>
            <w:tcW w:w="1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EBITDA adjustments</w:t>
            </w:r>
          </w:p>
        </w:tc>
        <w:tc>
          <w:tcPr>
            <w:tcW w:w="112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(4,529)</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reflected in the accompanying financial statements, for the six months ended June 30, 2025, the Company recorded a net loss of $8,079 and used cash in operations of $10,410. Cash used in operations was primarily for working capital as the Company invested $6,728 in inventory to more effectively fulfill customer demand. As of June 30, 2025, we had a cash balance of $2,677 and availability under our Senior Secured Loan of $100. Our Senior Secured Loan, which provides a revolving credit commitment in an aggregate amount of $10,000, is due on November 14, 2025 (see Note 5). The Company is evaluating refinancing alternatives for the Senior Secured Loan, which may include existing or new lenders.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operations through existing cash balances, cash generated from operations, public and private issuance of common stock, preferred stock, convertible debt instruments, term loans and credit lines from financial institutions.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completed a private placement (the “Private Placement”) with certain accredited investors (the “Investors”), pursuant to which the Company agreed to issue and sell to the Investors an aggregate of 3,225,807 common shares for total consideration of $3,000. Era Regenerative Medicine Ltd, sole shareholder of D&amp;D Source of Life Holding, Ltd. and the company’s majority stockholder (a related party), served as lead investor, participating in this transaction in the amount of $1,000.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issuance date of the financial statements included in this Quarterly Report on Form 10-Q, management expects that the Company’s existing cash of $2,677, cash generated from operations, and access to committed financing will be sufficient to fund the Company’s operating plan, which was approved by the Board of Directors in January 2025, for at least twelve months from the date of issuance of such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totaled $10,410 for the six months ended June 30, 2025, compared to $3,307 for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cash used was primarily driven by changes in working capital, particularly an increase in inventory.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$101 for the six months ended June 30, 2025, compared to $34 for the six months ended June 30, 2024. The increase in net cash used was primarily driven by purchases of property and equipment.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totaled $2,797 for the six months ended June 30, 2025, compared to $3,064 net cash provided by financing activities for the six months ended June 30, 2024. The net cash provided by financing activities in the six months ended June 30, 2025 was primarily driven by proceeds from the sale of common stock in the Private Placement. The net cash provided by financing activities in the six months ended June 30, 2024 was primarily driven by proceeds from the issuance of a SAFE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2024 Form 10-K that impacted our condensed financial statements and related notes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2025,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June 30,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party to ordinary, routine litigation incidental to our business, including routine litigations matters tendered to our insurance carriers. Our management evaluates our exposure to these claims and proceedings individually and in the aggregate and provides for potential losses on such litigation if the amount of the loss is estimable and the loss is probable. Although the results of such litigation matters and claims cannot be predicted with certainty, we believe that the final outcome of such ordinary, routine litigation will not have a material adverse impact on our financial position, liquidity, or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legal proceedings see Note 10 “Transactions with California Custom Beverage, LLC, former related party” and Note 11 “Commitments and Contingencies” to our unaudited interim financial statements included elsewhere in this Quarterly Report on Form 10-Q. We believe there are currently no pending legal proceedings to which we or our property are subject that could have a material adverse effect on our financial position, results of operations or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with respect to the risk factors disclosed in our 2024 Form 10-K.</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Senior Secured Loan matures in November 2025 and we may not be able to secure refinancing or additional financing on favorable terms, or at all, to meet our future capital needs, which may in turn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Senior Secured Loan is due on November 14, 2025. The Senior Secured Loan provides a revolving credit commitment in an aggregate amount of $10,000 and, as of June 30, 2025, the principal amount outstanding was $9,900 and the remaining availability was $100. The Senior Secured Loan accrues interest at a per annum rate equal to 8.00% on the principal amount outstanding, payable quarterly in arrears. The Senior Secured Loan also accrues an unused fee at a rate per annum equal to 3.00% on the excess, if any, of the revolving credit commitment over the average principal amount outstanding from time to time during the preceding fiscal quarter, payable quarterly in arrears. The Senior Secured Loan is secured by substantially all of the Company’s assets, including all intellectual property. The Company is evaluating refinancing alternatives for the Senior Secured Loan, which may include existing or new lenders. As we seek refinancing alternatives, there can be no assurance that such refinancing will be available to us on favorable terms or at all. If we are unable to secure refinancing on favorable terms, or at all, our ability to continue to operate our business could be impaired, which would adversely affect our financial position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secure additional financing on favorable terms, or at all, when we require it, our ability to continue to grow our business or react to market conditions could be impaired and in turn adversely affect our financial position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expand, grow and develop our business, which may require additional capital to develop new products, enhance our platform, expand distribution, improve our operating infrastructure, react to market conditions and finance working capital requirements.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which would adversely affect our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as we expand our operations into new markets in which we have no prior operating experience.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work to grow our brand, we intend to enter into new markets, including eventually expanding into countries other than those in which we currently operate, including our recent expansion into new geographic markets in the Asia Pacific region. It may be difficult for us to understand and accurately predict taste preferences and purchasing habits of consumers in these new geographic markets. We will also face increased competition with larger competitors who have stronger established brands in such markets. The political, legal and social systems of certain territories pose difficult challenges related to establishing and maintaining control and ownership of our brand and intellectual property, as well as mitigating the risk of diverted sales to other territories and/or sales diverted into the U.S. It is also costly to establish, develop and maintain international operations and develop and promote our brands in international markets and we may face adverse tax consequences, tariffs, and barriers to trade. As we expand our business into new countries, we may encounter regulatory, legal, personnel, technological and other difficulties that increase our expenses and/or delay our ability to become profitable and compete effectively in such countries, which may have a material adverse effect on our business and brand.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modified or terminated a “Rule 10b5-1 trading arrangement” or a “non-Rule 10b5-1 trading arrangement” as such terms are defined under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exhibits filed as part of this Form 10-Q. The documents incorporated by reference can be viewed on the SEC’s website at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w:t>
      </w:r>
      <w:r>
        <w:rPr>
          <w:sz w:val="20"/>
          <w:szCs w:val="20"/>
          <w:color w:val="auto"/>
        </w:rPr>
        <w:tab/>
      </w:r>
      <w:hyperlink r:id="rId37">
        <w:r>
          <w:rPr>
            <w:rFonts w:ascii="Times New Roman" w:cs="Times New Roman" w:eastAsia="Times New Roman" w:hAnsi="Times New Roman"/>
            <w:sz w:val="18"/>
            <w:szCs w:val="18"/>
            <w:u w:val="single" w:color="auto"/>
            <w:color w:val="0000EE"/>
          </w:rPr>
          <w:t>Certificate of Incorporation of Reeds, Inc. which is incorporated herein by reference to exhibit 3(i) to Form 10-K filed with SEC on March 28,</w:t>
        </w:r>
      </w:hyperlink>
    </w:p>
    <w:p>
      <w:pPr>
        <w:spacing w:after="0" w:line="27"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jc w:val="both"/>
        <w:ind w:left="800" w:hanging="799"/>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3(ii)</w:t>
      </w:r>
      <w:r>
        <w:rPr>
          <w:sz w:val="20"/>
          <w:szCs w:val="20"/>
          <w:color w:val="auto"/>
        </w:rPr>
        <w:tab/>
      </w:r>
      <w:hyperlink r:id="rId38">
        <w:r>
          <w:rPr>
            <w:rFonts w:ascii="Times New Roman" w:cs="Times New Roman" w:eastAsia="Times New Roman" w:hAnsi="Times New Roman"/>
            <w:sz w:val="18"/>
            <w:szCs w:val="18"/>
            <w:u w:val="single" w:color="auto"/>
            <w:color w:val="0000EE"/>
          </w:rPr>
          <w:t>Amended and Restated Bylaws of Reed’s, Inc. which is incorporated by reference to exhibit 3(ii) to Form 10-K filed with SEC on March 28,</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2025.</w:t>
        </w:r>
      </w:hyperlink>
    </w:p>
    <w:p>
      <w:pPr>
        <w:spacing w:after="0" w:line="1" w:lineRule="exact"/>
        <w:rPr>
          <w:sz w:val="20"/>
          <w:szCs w:val="20"/>
          <w:color w:val="auto"/>
        </w:rPr>
      </w:pPr>
    </w:p>
    <w:p>
      <w:pPr>
        <w:jc w:val="both"/>
        <w:ind w:left="80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39">
        <w:r>
          <w:rPr>
            <w:rFonts w:ascii="Times New Roman" w:cs="Times New Roman" w:eastAsia="Times New Roman" w:hAnsi="Times New Roman"/>
            <w:sz w:val="18"/>
            <w:szCs w:val="18"/>
            <w:u w:val="single" w:color="auto"/>
            <w:color w:val="0000EE"/>
          </w:rPr>
          <w:t>Retirement, Transition and Separation Agreement by and between Reed’s, Inc. and Norman E. Snyder, Jr. dated April 14, 2025, incorporated by</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reference to Exhibit 10.1 to Form 8-K filed with the SEC on April 17, 2025.</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40">
        <w:r>
          <w:rPr>
            <w:rFonts w:ascii="Times New Roman" w:cs="Times New Roman" w:eastAsia="Times New Roman" w:hAnsi="Times New Roman"/>
            <w:sz w:val="18"/>
            <w:szCs w:val="18"/>
            <w:u w:val="single" w:color="auto"/>
            <w:color w:val="0000EE"/>
          </w:rPr>
          <w:t>Executive Employment Agreement by and between Reed’s, Inc. and Cyril Wallace dated April 16, 2025, incorporated by reference to Exhibit</w:t>
        </w:r>
      </w:hyperlink>
    </w:p>
    <w:p>
      <w:pPr>
        <w:spacing w:after="0" w:line="9"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10.2 to Form 8-K filed with the SEC on April 17, 2025.</w:t>
        </w:r>
      </w:hyperlink>
    </w:p>
    <w:p>
      <w:pPr>
        <w:spacing w:after="0" w:line="9" w:lineRule="exact"/>
        <w:rPr>
          <w:sz w:val="20"/>
          <w:szCs w:val="20"/>
          <w:color w:val="auto"/>
        </w:rPr>
      </w:pPr>
    </w:p>
    <w:p>
      <w:pPr>
        <w:jc w:val="both"/>
        <w:ind w:left="800" w:right="20" w:hanging="79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41">
        <w:r>
          <w:rPr>
            <w:rFonts w:ascii="Times New Roman" w:cs="Times New Roman" w:eastAsia="Times New Roman" w:hAnsi="Times New Roman"/>
            <w:sz w:val="18"/>
            <w:szCs w:val="18"/>
            <w:u w:val="single" w:color="auto"/>
            <w:color w:val="0000EE"/>
          </w:rPr>
          <w:t>Form of Confidentiality and Proprietary Information Agreement, incorporated by reference to Exhibit 10.4 to Form 8-K filed with the SEC on</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April 17, 2025.</w:t>
        </w:r>
      </w:hyperlink>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by and between Reed’s, Inc. and certain accredited investors dated May 28, 2025.</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 by and between Reed’s, Inc. and certain accredited investors dated May 28, 2025.</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Certification of our Chief Executive Officer and our Chief Financial Officer pursuant to Section 302 of the Sarbanes-Oxley Act of 2002.</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EE"/>
        </w:rPr>
        <w:t>Certification of our Chief Executive Officer and our Chief Financial Officer pursuant to Section 906 of the Sarbanes-Oxley Act of 2002.</w:t>
      </w:r>
    </w:p>
    <w:p>
      <w:pPr>
        <w:spacing w:after="0" w:line="9" w:lineRule="exact"/>
        <w:rPr>
          <w:sz w:val="20"/>
          <w:szCs w:val="20"/>
          <w:color w:val="auto"/>
        </w:rPr>
      </w:pPr>
    </w:p>
    <w:p>
      <w:pPr>
        <w:jc w:val="both"/>
        <w:ind w:left="800" w:hanging="799"/>
        <w:spacing w:after="0" w:line="250" w:lineRule="auto"/>
        <w:tabs>
          <w:tab w:leader="none" w:pos="7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Reed’s, Inc.’s Quarterly Report on Form 10-Q for the quarter ended June 30, 2025 formatted in iXBRL (Inline eXtensible Business Reporting Language): (i) the Condensed Balance Sheets, (ii) the Condensed Statements of Operations, (iii) the Condensed Statements of Changes in Stockholders (Deficit), (iv) the Condensed Statements of Cash Flows, and (v) Notes to Condensed Financial Statements.</w:t>
      </w:r>
    </w:p>
    <w:p>
      <w:pPr>
        <w:spacing w:after="0" w:line="2" w:lineRule="exact"/>
        <w:rPr>
          <w:sz w:val="20"/>
          <w:szCs w:val="20"/>
          <w:color w:val="auto"/>
        </w:rPr>
      </w:pPr>
    </w:p>
    <w:p>
      <w:pPr>
        <w:jc w:val="both"/>
        <w:ind w:left="800" w:hanging="799"/>
        <w:spacing w:after="0" w:line="260" w:lineRule="auto"/>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the Reed’s, Inc. Quarterly Report on Form 10-Q for the quarter ended June 30, 2025, formatted in Inline XBRL and contained in Exhibit 101.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both"/>
        <w:ind w:firstLine="8"/>
        <w:spacing w:after="0" w:line="250"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contracts and compensatory plans or arrangements required to be filed as exhibits pursuant to Item 15(a)(3) of this report.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because they are not material and are the type that the registrant treats as private or confidential.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Reed’s, Inc.</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Cyril A. Wallace, Jr.</w:t>
            </w:r>
          </w:p>
        </w:tc>
      </w:tr>
      <w:tr>
        <w:trPr>
          <w:trHeight w:val="191"/>
        </w:trPr>
        <w:tc>
          <w:tcPr>
            <w:tcW w:w="35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Cyril A. Wallace, Jr.</w:t>
            </w:r>
          </w:p>
        </w:tc>
      </w:t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2025</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Douglas W. McCurdy</w:t>
            </w:r>
          </w:p>
        </w:tc>
      </w:tr>
      <w:tr>
        <w:trPr>
          <w:trHeight w:val="191"/>
        </w:trPr>
        <w:tc>
          <w:tcPr>
            <w:tcW w:w="35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W. McCurdy</w:t>
            </w:r>
          </w:p>
        </w:tc>
      </w:t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65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herein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is dated May 28, 2025. Purchasers are participating in the Company’s Public Investment in Private Equity (“PIPE”) of up to $3,000,000.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Recitals set forth in the preamble of this Agreement are incorporated into this Agreement by reference.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or before December 31, 2025, on which all of the Transaction Documents have been executed and delivered by the applicable parties thereto, and all conditions precedent to (i) the Purchasers’ obligations to pay the Subscription Amount and</w:t>
      </w:r>
    </w:p>
    <w:p>
      <w:pPr>
        <w:ind w:left="5580" w:right="3640" w:hanging="4924"/>
        <w:spacing w:after="0" w:line="511" w:lineRule="auto"/>
        <w:tabs>
          <w:tab w:leader="none" w:pos="9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deliver the Shares, in each case, have been satisfied or waived.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Procopio Cory, Hargreaves &amp; Savitch LLP., with offices located at 12544 High Bluff Drive, Suite 400, San Diego, CA 92130.</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has been declared effective by the Commission,</w:t>
      </w:r>
    </w:p>
    <w:p>
      <w:pPr>
        <w:spacing w:after="0" w:line="27" w:lineRule="exact"/>
        <w:rPr>
          <w:sz w:val="20"/>
          <w:szCs w:val="20"/>
          <w:color w:val="auto"/>
        </w:rPr>
      </w:pPr>
    </w:p>
    <w:p>
      <w:pPr>
        <w:jc w:val="both"/>
        <w:ind w:left="4" w:hanging="4"/>
        <w:spacing w:after="0" w:line="252"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is not at the time an Affiliate of the Company, or (d) all of the Shares may be sold pursuant to an exemption from registration under Section 4(a)(1) of the Securities Act without volume or manner-of- sale restrictions and Company Counsel has delivered to such holders a standing written unqualified opinion that resales may then be made by such holders of the Shares pursuant to such exemption which opinion shall be in form and substance reasonably acceptable to such holders.</w:t>
      </w:r>
    </w:p>
    <w:p>
      <w:pPr>
        <w:spacing w:after="0" w:line="19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as amended, and the rules and regulations promulgated thereunder.</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3.1(h).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Stockholder</w:t>
      </w:r>
      <w:r>
        <w:rPr>
          <w:rFonts w:ascii="Times New Roman" w:cs="Times New Roman" w:eastAsia="Times New Roman" w:hAnsi="Times New Roman"/>
          <w:sz w:val="18"/>
          <w:szCs w:val="18"/>
          <w:color w:val="auto"/>
        </w:rPr>
        <w:t>” means D&amp;D Source of Life Holding, Ltd.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$0.93,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Signature Page</w:t>
      </w:r>
      <w:r>
        <w:rPr>
          <w:rFonts w:ascii="Times New Roman" w:cs="Times New Roman" w:eastAsia="Times New Roman" w:hAnsi="Times New Roman"/>
          <w:sz w:val="18"/>
          <w:szCs w:val="18"/>
          <w:color w:val="auto"/>
        </w:rPr>
        <w:t>” means a Purchaser’s signature page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and next to the heading “Subscription Amount”.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all schedules and exhibits thereto and hereto and any other documents or agreements executed in connection with the transactions contemplated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Transfer Online, Inc. the current transfer agent of the Company, with a mailing address of 512 SE Salmon 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 97214 and a facsimile number of (503) 227-6874, and any successor transfer agent of the Company.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(i) the Company agrees to sell, and each of the Purchaser, severally and not jointly, agrees to subscribe for and purchase, the number of Shares as set forth on each Purchaser’s Signature Page for the Subscription Amount also set forth on such Purchaser’s Signature Page, (ii) Each Purchaser will deliver to the Company’s bank account listed below, via wire transfer or ACH, immediately available funds equal to such Purchaser’s Subscription Amount payable in cash as set forth on such Purchaser’s Signature Page, (iii) the Company will deliver to each Purchaser the number of Shares set forth on each Purchaser’s respective Signature Page, and (iv) the Company and each Purchaser will deliver the other items set forth in Section 2.2 deliverable at the Closing. Upon satisfaction of the covenants and conditions set forth in Sections 2.2 and 2.3, the Closing shall occur remotely by electronic means or other means as the parties may mutually agree.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Name: Reed’s,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City National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Routing Number: 122016066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 017 309 722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p>
    <w:p>
      <w:pPr>
        <w:spacing w:after="0" w:line="225" w:lineRule="exact"/>
        <w:rPr>
          <w:sz w:val="20"/>
          <w:szCs w:val="20"/>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a certificate evidencing a number of Shares subscribed by Purchaser;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waiver by the Majority Stockholder of its preemptive rights solely with regard to this Offering.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900" w:hanging="25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6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and duly executed Selling Stockholder Questionnaire in the form attached as Annex C to the Registration Rights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6" w:lineRule="auto"/>
        <w:tabs>
          <w:tab w:leader="none" w:pos="15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jc w:val="both"/>
        <w:ind w:left="640" w:firstLine="652"/>
        <w:spacing w:after="0" w:line="261" w:lineRule="auto"/>
        <w:tabs>
          <w:tab w:leader="none" w:pos="15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a banking moratorium shall not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w:t>
      </w:r>
    </w:p>
    <w:p>
      <w:pPr>
        <w:spacing w:after="0" w:line="225" w:lineRule="exact"/>
        <w:rPr>
          <w:sz w:val="20"/>
          <w:szCs w:val="20"/>
          <w:color w:val="auto"/>
        </w:rPr>
      </w:pPr>
    </w:p>
    <w:p>
      <w:pPr>
        <w:ind w:left="880" w:hanging="236"/>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9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9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6" w:name="page37"/>
    <w:bookmarkEnd w:id="36"/>
    <w:p>
      <w:pPr>
        <w:jc w:val="both"/>
        <w:ind w:left="-460" w:firstLine="644"/>
        <w:spacing w:after="0" w:line="253"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filing with the Commission of a Registration Statement, (ii) the notice and/or application(s) to each applicable Trading Market for the issuance and sale of the Shares and the listing of the Shares, (iii) the waiver by the Majority Stockholder of its preemptive rights solely with regard to this Offering,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7" w:name="page38"/>
    <w:bookmarkEnd w:id="37"/>
    <w:p>
      <w:pPr>
        <w:jc w:val="both"/>
        <w:ind w:left="-460" w:firstLine="644"/>
        <w:spacing w:after="0" w:line="252"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set forth in the Company’s Quarterly Report on Form 10-Q for the period ended March 31, 2024, filed on May 14, 2025. Subject to obtaining the Required Approvals, the issuance and sale of the Shares pursuant to the terms set forth in this Agreement will not obligate the Company or any Subsidiary to issue shares of Common Stock or other securities to any Person (other than the Purchasers) or violate the right of first refusal, preemptive right, right of participation, or any similar right of any Person to participate in the transactions contemplated by the Transaction Documents.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outstanding.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with any stockholder (other than the Shareholders Agreement dated May 25, 2023, as amended January 24, 2025, by and between the Company and its Majority Stockholder), or, to the knowledge of the Company, between or among any of the Company’s stockholders.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With the exception of the Company’s Quarterly Report on Form 10-Q for the period ended March 31, 2023, which was filed late on June 1, 2023,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8" w:name="page39"/>
    <w:bookmarkEnd w:id="38"/>
    <w:p>
      <w:pPr>
        <w:jc w:val="both"/>
        <w:ind w:left="-460" w:firstLine="644"/>
        <w:spacing w:after="0" w:line="253" w:lineRule="auto"/>
        <w:tabs>
          <w:tab w:leader="none" w:pos="4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and (iii) the Company has not altered its method of accounting (iv) the Company has not declared or made any dividend or distribution of cash or other property to its stockholders or purchased, redeemed or made any agreements to purchase or redeem any shares of its capital stock. The Company has not issued and does not have any plans to issue any equity securities to any officer, director or Affiliate, except pursuant to Company stock option plans (existing or future), \ as reflected in the SEC Reports.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and claims tendered to insurance carriers,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9" w:name="page40"/>
    <w:bookmarkEnd w:id="39"/>
    <w:p>
      <w:pPr>
        <w:jc w:val="both"/>
        <w:ind w:left="-460" w:firstLine="644"/>
        <w:spacing w:after="0" w:line="253" w:lineRule="auto"/>
        <w:tabs>
          <w:tab w:leader="none" w:pos="4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0" w:name="page41"/>
    <w:bookmarkEnd w:id="40"/>
    <w:p>
      <w:pPr>
        <w:jc w:val="both"/>
        <w:ind w:left="-460" w:firstLine="644"/>
        <w:spacing w:after="0" w:line="261"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does not own any real property. Certain funds affiliated by Whitebox Advisors, LLC hold a senior security interest in all of the Company’s assets and intellectual property securing a $10,000,000 revolving term loan that matures on November 14, 2025, as disclosed in the Company’s Current Report on Form 8-K filed with the SEC on November 19, 2024. Any real property and facilities held under lease by the Company and the Subsidiaries are held by them under valid, subsisting and enforceable leases with which the Company and the Subsidiaries are in compliance.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1" w:name="page42"/>
    <w:bookmarkEnd w:id="41"/>
    <w:p>
      <w:pPr>
        <w:jc w:val="both"/>
        <w:ind w:left="-460" w:firstLine="644"/>
        <w:spacing w:after="0" w:line="254" w:lineRule="auto"/>
        <w:tabs>
          <w:tab w:leader="none" w:pos="4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 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13a-15(c)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2" w:name="page43"/>
    <w:bookmarkEnd w:id="42"/>
    <w:p>
      <w:pPr>
        <w:jc w:val="both"/>
        <w:ind w:left="-460" w:firstLine="644"/>
        <w:spacing w:after="0" w:line="266" w:lineRule="auto"/>
        <w:tabs>
          <w:tab w:leader="none" w:pos="4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The Purchasers shall have no obligation with respect to any brokerage or finder fees or with respect to any claims made by or on behalf of other Persons for fees of a type contemplated in this Section that may be due in connection with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under 12(g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Maintenance Requirements</w:t>
      </w:r>
      <w:r>
        <w:rPr>
          <w:rFonts w:ascii="Times New Roman" w:cs="Times New Roman" w:eastAsia="Times New Roman" w:hAnsi="Times New Roman"/>
          <w:sz w:val="18"/>
          <w:szCs w:val="18"/>
          <w:color w:val="auto"/>
        </w:rPr>
        <w:t>. The Common Stock is registered pursuant to Section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3" w:name="page44"/>
    <w:bookmarkEnd w:id="43"/>
    <w:p>
      <w:pPr>
        <w:jc w:val="both"/>
        <w:ind w:left="-460" w:firstLine="644"/>
        <w:spacing w:after="0" w:line="258" w:lineRule="auto"/>
        <w:tabs>
          <w:tab w:leader="none" w:pos="4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8"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Neither the Company nor any Subsidiary is in default with respect to any Indebtedness.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$150,000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Weinberg &amp; Co., PA.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4" w:name="page45"/>
    <w:bookmarkEnd w:id="44"/>
    <w:p>
      <w:pPr>
        <w:jc w:val="both"/>
        <w:ind w:left="-460" w:firstLine="644"/>
        <w:spacing w:after="0" w:line="261" w:lineRule="auto"/>
        <w:tabs>
          <w:tab w:leader="none" w:pos="5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5" w:name="page46"/>
    <w:bookmarkEnd w:id="45"/>
    <w:p>
      <w:pPr>
        <w:ind w:left="-460" w:right="20" w:firstLine="644"/>
        <w:spacing w:after="0" w:line="282" w:lineRule="auto"/>
        <w:tabs>
          <w:tab w:leader="none" w:pos="4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 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left="-460" w:firstLine="644"/>
        <w:spacing w:after="0" w:line="282" w:lineRule="auto"/>
        <w:tabs>
          <w:tab w:leader="none" w:pos="5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Shares.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6" w:name="page47"/>
    <w:bookmarkEnd w:id="46"/>
    <w:p>
      <w:pPr>
        <w:jc w:val="both"/>
        <w:ind w:left="660" w:firstLine="644"/>
        <w:spacing w:after="0" w:line="266" w:lineRule="auto"/>
        <w:tabs>
          <w:tab w:leader="none" w:pos="16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 (i) an “accredited investor” as defined in Rule 501(a)(1), (a)(2), (a)(3), (a)(7) or (a)(8) under the Securities Act or (ii) a “qualified institutional buyer” as defined in Rule 144A(a) under the Securities Act. Further, Purchaser acknowledges, by virtue of Purchaser’s position with the Company, Purchaser is in possession of and continues to have access to, certain confidential information and material non-public information of the Company typically reserved for the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left="-460" w:firstLine="644"/>
        <w:spacing w:after="0" w:line="261"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notification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8" w:name="page49"/>
    <w:bookmarkEnd w:id="48"/>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a Purchaser under this Agreement.</w:t>
      </w:r>
    </w:p>
    <w:p>
      <w:pPr>
        <w:spacing w:after="0" w:line="188"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Shares in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9" w:name="page50"/>
    <w:bookmarkEnd w:id="49"/>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4" w:hanging="4"/>
        <w:spacing w:after="0" w:line="260"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set forth (as defined in the Registration Rights Agreement) thereunder.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shall not contain any legend (including the legend set forth in Section 4.1(b) hereof), (i) while a registration statement (including the Registration Statement) covering the resale of such security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 legend is not otherwise required under applicable requirements of the Securities Act (including judicial interpretations and pronouncements issued by the staff of the Commission) then such Shares shall be issued free of all legends. If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representing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as the case may be, issued with a restrictive legend.</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0" w:name="page51"/>
    <w:bookmarkEnd w:id="50"/>
    <w:p>
      <w:pPr>
        <w:jc w:val="both"/>
        <w:ind w:left="-460" w:firstLine="644"/>
        <w:spacing w:after="0" w:line="252" w:lineRule="auto"/>
        <w:tabs>
          <w:tab w:leader="none" w:pos="4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(as the case may be) and ending on the date of such delivery and payment under this clause (ii).</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 Each Purchaser, severally and not jointly with the other Purchasers, agrees that if it is notified by the Company in writing at any time that the registration statement registering the resale of the Shares is not effective or that the prospectus included in such registration statement no longer complies with the requirements of Section 10 of the Securities Act, the Purchaser will refrain from selling such Shares until such time as the Purchaser is notified by the Company that such registration statement is effective or such prospectus is compliant with Section 10 of the Exchange Act, unless such Purchaser is able to, and does, sell such Shares pursuant to an available exemption from the registration requirements of Section 5 of the Securities Act. Both the Company and its Transfer Agent, and their respective directors, officers, employees and agents, may rely on this subsection (e) and each Purchaser hereunder will indemnify and hold harmless each of such persons from any breaches or violations of this paragraph.</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Information</w:t>
      </w:r>
      <w:r>
        <w:rPr>
          <w:rFonts w:ascii="Times New Roman" w:cs="Times New Roman" w:eastAsia="Times New Roman" w:hAnsi="Times New Roman"/>
          <w:sz w:val="18"/>
          <w:szCs w:val="18"/>
          <w:color w:val="auto"/>
        </w:rPr>
        <w:t>. In order to enable the Purchasers to sell the Shares under Rule 144 of the Securities Act, for a period of two years from the Closing, the Company shall use its commercially reasonable efforts to timely file (or obtain extensions in respect thereof and file within the applicable grace period) all reports required to be filed by the Company after the date hereof pursuant to the Exchange Act. During such two-year period, if the Company is not required to file reports pursuant to such laws, it will prepare and furnish to the Purchasers and make publicly available in accordance with Rule 144(c) such information as is required for the Purchasers to sell the Shares under Rule 144.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material terms and conditions of the transactions contemplated by the Transaction Documents shall be disclosed on a Current Report on Form 8-K no later than the fourth business day following execution of this Agreement, Each Purchaser, severally and not jointly with the other Purchasers, covenants that until such time as the transactions contemplated by this Agreement are publicly disclosed by the Company, such Purchaser will maintain the confidentiality of the existence and terms of this transaction. Each Purchaser acknowledges that by virtue of its relationship with the Company, such Purchaser may be deemed to be in possession of material non-public information from time to time. Each Purchaser acknowledges and agrees to comply with applicable securities laws and the Company’s policies applicable to Purchaser from time to time.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and general corporate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a sufficient number of shares of Common Stock for the purpose of enabling the Company to issue Shares pursuant to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quotation of the Common Stock on the Trading Market on which it is currently quoted.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The Company expressly acknowledges and agrees that the Transaction documents (i) do not restrict or prohibit Purchaser from effecting any transactions in any securities of the Company in accordance with applicable securities laws from and after the time that the transaction contemplated by this Agreement is first publicly announced.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The Company shall take such action as the Company shall reasonably determine is necessary in order to obtain an exemption for, or to qualify the Shares for, sale to the Purchasers at the Closing under applicable securities law of the United States and “Blue Sky” laws of the states of the United States.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due to Company’s non-performance;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annexes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(Eastern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(Eastern time)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4.7.</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 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firstLine="97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effective as of May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REED’S, INC.</w:t>
            </w:r>
          </w:p>
        </w:tc>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501 Merritt 7</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Cyril A. Wallace, Jr.</w:t>
            </w:r>
          </w:p>
        </w:tc>
        <w:tc>
          <w:tcPr>
            <w:tcW w:w="24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Corporate Park</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Norwalk, CT 06851</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Email: cwallace@reedsinc.com</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480" w:type="dxa"/>
            <w:vAlign w:val="bottom"/>
          </w:tcPr>
          <w:p>
            <w:pPr>
              <w:spacing w:after="0"/>
              <w:rPr>
                <w:sz w:val="24"/>
                <w:szCs w:val="24"/>
                <w:color w:val="auto"/>
              </w:rPr>
            </w:pPr>
          </w:p>
        </w:tc>
      </w:tr>
      <w:tr>
        <w:trPr>
          <w:trHeight w:val="4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Ruba Qashu</w:t>
            </w:r>
          </w:p>
        </w:tc>
        <w:tc>
          <w:tcPr>
            <w:tcW w:w="2480" w:type="dxa"/>
            <w:vAlign w:val="bottom"/>
          </w:tcPr>
          <w:p>
            <w:pPr>
              <w:spacing w:after="0"/>
              <w:rPr>
                <w:sz w:val="24"/>
                <w:szCs w:val="24"/>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Procopio Cory, Hargreaves &amp; Savitch LLP</w:t>
            </w:r>
          </w:p>
        </w:tc>
        <w:tc>
          <w:tcPr>
            <w:tcW w:w="2480" w:type="dxa"/>
            <w:vAlign w:val="bottom"/>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Ruba.Qashu@procopio.com</w:t>
            </w:r>
          </w:p>
        </w:tc>
        <w:tc>
          <w:tcPr>
            <w:tcW w:w="24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 SIGNATURE PAGE FOR PURCHASER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PURCHASER SIGNATURE PAGES TO REED’S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Purchased (U.S. $0.93 per Share):__________________________________________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Price (Number of Shares Purchased x US$0.93): US$________________________________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(for U.S. Persons only):______________________________________________________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May 28, 2025, by and between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the Agreement.</w:t>
      </w:r>
    </w:p>
    <w:p>
      <w:pPr>
        <w:spacing w:after="0" w:line="229" w:lineRule="exact"/>
        <w:rPr>
          <w:sz w:val="20"/>
          <w:szCs w:val="20"/>
          <w:color w:val="auto"/>
        </w:rPr>
      </w:pPr>
    </w:p>
    <w:p>
      <w:pPr>
        <w:jc w:val="both"/>
        <w:ind w:left="660" w:firstLine="648"/>
        <w:spacing w:after="0" w:line="19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70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and with</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respect to any additional Registration Statements which may be required pursuant to Section 2(c) or Section 3(c),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 “full review” by the Commission, the</w:t>
      </w: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both"/>
        <w:ind w:left="4" w:firstLine="648"/>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9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Shares and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w:t>
      </w:r>
    </w:p>
    <w:p>
      <w:pPr>
        <w:spacing w:after="0" w:line="5" w:lineRule="exact"/>
        <w:rPr>
          <w:sz w:val="20"/>
          <w:szCs w:val="20"/>
          <w:color w:val="auto"/>
        </w:rPr>
      </w:pPr>
    </w:p>
    <w:p>
      <w:pPr>
        <w:jc w:val="both"/>
        <w:ind w:left="4" w:hanging="4"/>
        <w:spacing w:after="0" w:line="253" w:lineRule="auto"/>
        <w:tabs>
          <w:tab w:leader="none" w:pos="3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62" w:name="page63"/>
    <w:bookmarkEnd w:id="6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(except if the Company is then eligible to register for resale the Registrable Securities on Form S-3, in which case such registration shall be on Form S-3 in accordance herewith) subject to the provisions of Section 2(e)) and shall contain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(Eastern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(Eastern time) on the Trading Day after the effective date of such Registration Statement, file a final Prospectus with the Commission as required by Rule 424.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left="-460" w:firstLine="644"/>
        <w:spacing w:after="0" w:line="254" w:lineRule="auto"/>
        <w:tabs>
          <w:tab w:leader="none" w:pos="4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77" w:lineRule="auto"/>
        <w:tabs>
          <w:tab w:leader="none" w:pos="43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and is subordinate in priority of registration rights held by prior investors that are not current Affiliates of the Company.</w:t>
      </w:r>
    </w:p>
    <w:p>
      <w:pPr>
        <w:spacing w:after="0" w:line="1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4" w:name="page65"/>
    <w:bookmarkEnd w:id="64"/>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left="660" w:firstLine="644"/>
        <w:spacing w:after="0" w:line="261" w:lineRule="auto"/>
        <w:tabs>
          <w:tab w:leader="none" w:pos="15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S-1 is not available for the registration of the resale of Registrable Securities hereunder, the Company shall (i) register the resale of the Registrable Securities on another appropriate form and (ii) undertake to register the Registrable Securities on Form S-1 as soon as such form is available, provided that the Company shall maintain the effectiveness of the Registration Statement then in effect until such time as a Registration Statement on Form S-1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660" w:firstLine="644"/>
        <w:spacing w:after="0" w:line="252" w:lineRule="auto"/>
        <w:tabs>
          <w:tab w:leader="none" w:pos="15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more than five (5) Trading Days following the date of this Agreement. At least ten (10) Trading Days prior to the first anticipated Filing Date of a Registration Statement for any registration under this Agreement, the Company will notify each Holder of the information the Company requires from that Holder other than the information contained in the Selling Stockholder Questionnaire, if any, which shall be completed and delivered to the Company promptly upon request and, in any event, within five (5)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returned to the Company a completed and signed Selling Stockholder Questionnaire and a response to any requests for further information as described in the previous sentence. Each Holder acknowledges and agrees that the information in the Selling Stockholder Questionnaire or request for further information as described in this Section 3.(a) will be used by the Company in the preparation of the Registration Statement and hereby consents to the inclusion of such information in the Registration Statement.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left="4" w:firstLine="644"/>
        <w:spacing w:after="0" w:line="269" w:lineRule="auto"/>
        <w:tabs>
          <w:tab w:leader="none" w:pos="922"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4" w:right="20" w:firstLine="644"/>
        <w:spacing w:after="0" w:line="261" w:lineRule="auto"/>
        <w:tabs>
          <w:tab w:leader="none" w:pos="9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66" w:name="page67"/>
    <w:bookmarkEnd w:id="66"/>
    <w:p>
      <w:pPr>
        <w:jc w:val="both"/>
        <w:ind w:left="-460" w:firstLine="644"/>
        <w:spacing w:after="0" w:line="251" w:lineRule="auto"/>
        <w:tabs>
          <w:tab w:leader="none" w:pos="4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7" w:name="page68"/>
    <w:bookmarkEnd w:id="67"/>
    <w:p>
      <w:pPr>
        <w:jc w:val="both"/>
        <w:ind w:left="-460" w:firstLine="644"/>
        <w:spacing w:after="0" w:line="258" w:lineRule="auto"/>
        <w:tabs>
          <w:tab w:leader="none" w:pos="4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 and (ii) cooperate with the Holders in connection with any filings required to be made with the Financial Industry Regulatory Authority (or any successor agency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8" w:name="page69"/>
    <w:bookmarkEnd w:id="68"/>
    <w:p>
      <w:pPr>
        <w:jc w:val="both"/>
        <w:ind w:left="-460" w:firstLine="644"/>
        <w:spacing w:after="0" w:line="253" w:lineRule="auto"/>
        <w:tabs>
          <w:tab w:leader="none" w:pos="4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60 calendar days (which need not be consecutive days) in any 12-month period.</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applicable rules and regulations of the Commission, and shall make generally available to its security holders an earnings statement (which need not be audited) satisfying the provisions of Section 11(a) of the Securities Act as soon as practicable after the effective date of any Registration Statement and in any event no later than forty five (45) days after the end of the twelve (12) month period (or ninety (90) days, if such period is a fiscal year) beginning with the first month of the Company’s first fiscal quarter commencing after the effective date of any Registration Statement.</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9" w:name="page70"/>
    <w:bookmarkEnd w:id="69"/>
    <w:p>
      <w:pPr>
        <w:jc w:val="both"/>
        <w:ind w:firstLine="8"/>
        <w:spacing w:after="0" w:line="25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alleged untrue statements ,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or (iii) any such Losses arise out of the Purchaser’s (or any other indemnified Person’s) failure to send or give a copy of the Prospectus or supplement (as then amended or supplemented), if required,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both"/>
        <w:ind w:firstLine="644"/>
        <w:spacing w:after="0" w:line="252" w:lineRule="auto"/>
        <w:tabs>
          <w:tab w:leader="none" w:pos="9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(iii) in the case of an occurrence of an event of the type specified in Section 3.(d)(iii)-(vi), to the extent, but only to the extent, related to the use by such Holder of an outdated or defective Prospectus after the Company has notified such Holder in writing that the Prospectus is outdated or defective and prior to the receipt by such Holder of the Advice contemplated in Section 6.(e). In no event shall the liability of a selling Holder be greater in amount than the dollar amount of the proceeds (net of all reasonable expenses paid by such Holder in connection with any claim relating to this Section 5) received by such Holder upon the sale of the Registrable Securities included in the Registration Statement giving rise to such indemnification obligation.</w:t>
      </w:r>
    </w:p>
    <w:p>
      <w:pPr>
        <w:spacing w:after="0" w:line="191" w:lineRule="exact"/>
        <w:rPr>
          <w:rFonts w:ascii="Times New Roman" w:cs="Times New Roman" w:eastAsia="Times New Roman" w:hAnsi="Times New Roman"/>
          <w:sz w:val="18"/>
          <w:szCs w:val="18"/>
          <w:color w:val="auto"/>
        </w:rPr>
      </w:pPr>
    </w:p>
    <w:p>
      <w:pPr>
        <w:jc w:val="both"/>
        <w:ind w:firstLine="644"/>
        <w:spacing w:after="0" w:line="255" w:lineRule="auto"/>
        <w:tabs>
          <w:tab w:leader="none" w:pos="9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1" w:name="page72"/>
    <w:bookmarkEnd w:id="7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4"/>
        <w:spacing w:after="0" w:line="253" w:lineRule="auto"/>
        <w:tabs>
          <w:tab w:leader="none" w:pos="9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reasonable expenses paid by such Holder in connection with any claim relating to this Section 5) received by it upon the sale of the Registrable Securities giving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2" w:name="page73"/>
    <w:bookmarkEnd w:id="72"/>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w:t>
      </w:r>
      <w:r>
        <w:rPr>
          <w:rFonts w:ascii="Times New Roman" w:cs="Times New Roman" w:eastAsia="Times New Roman" w:hAnsi="Times New Roman"/>
          <w:sz w:val="18"/>
          <w:szCs w:val="18"/>
          <w:color w:val="auto"/>
        </w:rPr>
        <w:t>. Neither the Company nor any of its security holders (other than the Holders in such capacity pursuant hereto and Note Holders) may include securities of the Company in any Registration Statements other than the Registrable Securities. For the avoidance of doubt nothing in this Agreement shall prohibit the Company, at any time, from preparing and filing with the Commission a registration statement relating to an offering for its own account under the Securities Act, a registration statement and/ or amendments thereto, including post-effective amendments, relating to an offering of Common Stock by existing stockholders of the Company under the Securities Act pursuant to the terms of registration rights held by such stockholders or from filing amendments to registration statements filed prior to the date of this Agreement, a registration statement on Form S-8 or, in connection with an acquisition, on Form S-4.</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1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56"/>
        <w:spacing w:after="0" w:line="253" w:lineRule="auto"/>
        <w:tabs>
          <w:tab w:leader="none" w:pos="9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So long as any Registrable Securities remain outstanding, the Company shall (i) make and keep public information available, as those terms are understood and defined in Rule 144 of the Securities Act, and, if at any time the Company is not required to file such reports, it will, upon the written request of any Holder of Registrable Securities, make publicly available other information so long as necessary to permit sales of such Holder’s Registrable Securities pursuant to Rule 144 of the Securities Act, and (ii) file in a timely manner all reports and other documents with the Commission required under the Exchange Act, as long as the Company remains subject to such requirements. The Company covenants that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Rule 144. Upon the written request of any Holder of Registrable Securities, the Company shall deliver to such Holder a written statement as to whether it has complied with such requirements. Notwithstanding the foregoing, nothing in this Section 6(e) shall be deemed to require the Company to register any of its securities pursuant to the Exchange Act.</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6(f).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656"/>
        <w:spacing w:after="0" w:line="261"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effective as of May 28, 2025.</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Cyril A. Wallace, Jr.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76" w:name="page77"/>
    <w:bookmarkEnd w:id="76"/>
    <w:p>
      <w:pPr>
        <w:ind w:right="1059" w:firstLine="2162"/>
        <w:spacing w:after="0" w:line="499" w:lineRule="auto"/>
        <w:rPr>
          <w:sz w:val="20"/>
          <w:szCs w:val="20"/>
          <w:color w:val="auto"/>
        </w:rPr>
      </w:pPr>
      <w:r>
        <w:rPr>
          <w:rFonts w:ascii="Times New Roman" w:cs="Times New Roman" w:eastAsia="Times New Roman" w:hAnsi="Times New Roman"/>
          <w:sz w:val="18"/>
          <w:szCs w:val="18"/>
          <w:color w:val="auto"/>
        </w:rPr>
        <w:t>[SIGNATURE PAGE OF HOLDERS TO REED’S REGISTRATION RIGHTS AGREEMENT] Name of Holder: 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previously issued to the Selling Stockholders. For additional information regarding the issuances of those shares of common stock, see “Private Placement of Shares of Common Stock” above. We are registering the shares of common stock in order to permit the Selling Stockholders to offer the shares for resale from time to time. Except for the ownership of the shares of common stock, the Selling Stockholders have not had any material relationship with us within the past three years.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 ________,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the number of shares of common stock issued to the Selling Stockholders in the “Private Placement of Shares of Common Stock” described above.. The fourth column assumes the sale of all of the shares offered by the Selling Stockholders pursuant to this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Sold Pursuant to this</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4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 Offering</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After Offering</w:t>
            </w:r>
          </w:p>
        </w:tc>
      </w:tr>
      <w:tr>
        <w:trPr>
          <w:trHeight w:val="210"/>
        </w:trPr>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holder of shares of common stock, par value $0.0001 per share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pursuant to a certain Securities Purchase Agreement by and among the Company and the Purchasers named therein, dated as of May 23,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sell or otherwise dispose of any Registrable Securities pursuant to the Registration Statement, a holder of Registrable Securities generally will be required to be named as a selling stockholder in the related prospectus or a supplement thereto (as so supplemented,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deliver the Prospectus to purchasers of Registrable Securities (including pursuant to Rule 172 under the Securities Act) and be bound by the provisions of the Agreement (including certain indemnification provisions, as described below). Holders must complete and deliver this Notice and Questionnaire in order to be named as selling stockholders in the Prospectus. Holders of Registrable Securities who do not complete, execute and return this Notice and Questionnaire within five (5)Trading Days following the date of the Agreement (1) will not be named as selling stockholders in the Resale Registration Statement or the Prospectus and (2) may not use the Prospectus for resales of Registrable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holder (the “Selling Stockholder”) of Registrable Securities hereby gives notice to the Company of its intention to sell or otherwise dispose of Registrable Securities owned by it and listed below in Item (3.), unless otherwise specified in Item (3.), pursuant to the Registration Statement. The undersigned, by signing and returning this Notice and Questionnaire, understands and agrees that it will be bound by the terms and conditions of this Notice and Questionnaire and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QUESTIONNAIRE</w:t>
      </w:r>
    </w:p>
    <w:p>
      <w:pPr>
        <w:spacing w:after="0" w:line="221"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Selling Stockholder:</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0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Registered Holder (if not the same as (a) above) through which Registrable Securities Listed in Item 3 below are held:</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06" w:lineRule="exact"/>
        <w:rPr>
          <w:rFonts w:ascii="Times New Roman" w:cs="Times New Roman" w:eastAsia="Times New Roman" w:hAnsi="Times New Roman"/>
          <w:sz w:val="18"/>
          <w:szCs w:val="18"/>
          <w:b w:val="1"/>
          <w:bCs w:val="1"/>
          <w:color w:val="auto"/>
        </w:rPr>
      </w:pPr>
    </w:p>
    <w:p>
      <w:pPr>
        <w:ind w:left="660" w:hanging="328"/>
        <w:spacing w:after="0" w:line="261" w:lineRule="auto"/>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the questionnaire):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0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Telephone: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Fax: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Contact Person: 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Email address of Contact Person____________________</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Registrable Securities Issuable Pursuant to the Purchase Agreement.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and Number of Registrable Securities beneficially owned and issued pursuant to the Agreement: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of Common Stock to be registered pursuant to this Notice for resale:</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660" w:right="8780" w:hanging="328"/>
        <w:spacing w:after="0" w:line="527" w:lineRule="auto"/>
        <w:tabs>
          <w:tab w:leader="none" w:pos="660" w:val="left"/>
        </w:tabs>
        <w:numPr>
          <w:ilvl w:val="1"/>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Are you a broker-dealer? Yes _____ No _____</w:t>
      </w:r>
    </w:p>
    <w:p>
      <w:pPr>
        <w:spacing w:after="0" w:line="5" w:lineRule="exact"/>
        <w:rPr>
          <w:rFonts w:ascii="Times New Roman" w:cs="Times New Roman" w:eastAsia="Times New Roman" w:hAnsi="Times New Roman"/>
          <w:sz w:val="17"/>
          <w:szCs w:val="17"/>
          <w:b w:val="1"/>
          <w:bCs w:val="1"/>
          <w:color w:val="auto"/>
        </w:rPr>
      </w:pPr>
    </w:p>
    <w:p>
      <w:pPr>
        <w:ind w:left="660" w:right="880" w:hanging="328"/>
        <w:spacing w:after="0" w:line="500" w:lineRule="auto"/>
        <w:tabs>
          <w:tab w:leader="none" w:pos="66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“yes” to Section 4(a), did you receive your Registrable Securities as compensation for investment banking services to the Company? Yes _____ No _____</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no, the Commission’s staff has indicated that you should be identified as an underwriter in the Registration Statement.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Are you an affiliate of a broker-dealer? Yes _____ No 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yes, provide a narrative explanation below:</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_____ No _____</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 If no, the Commission’s staff has indicated that you should be identified as an underwriter in the Registration Statement.</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Beneficial Ownership of Other Securities of the Company Owned by the Selling Stockholder. </w:t>
      </w:r>
      <w:r>
        <w:rPr>
          <w:rFonts w:ascii="Times New Roman" w:cs="Times New Roman" w:eastAsia="Times New Roman" w:hAnsi="Times New Roman"/>
          <w:sz w:val="18"/>
          <w:szCs w:val="18"/>
          <w:i w:val="1"/>
          <w:iCs w:val="1"/>
          <w:color w:val="auto"/>
        </w:rPr>
        <w:t>Except as set forth below in this Item 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undersigned is not the beneficial or registered owner of any securities of the Company other than the Registrable Securities listed above in Item 3.</w:t>
      </w:r>
    </w:p>
    <w:p>
      <w:pPr>
        <w:spacing w:after="0" w:line="15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and amount of other securities beneficially owned: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ind w:left="340" w:hanging="332"/>
        <w:spacing w:after="0" w:line="268"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Relationships with the Company. </w:t>
      </w: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holders (owners of 5% of more of the equity securities of the undersigned) has held any position or office or has had any other material relationship with the Company (or its predecessors or affiliates) during the past three years.</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___________________________________________________________</w:t>
      </w:r>
    </w:p>
    <w:p>
      <w:pPr>
        <w:spacing w:after="0" w:line="221"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i w:val="1"/>
          <w:iCs w:val="1"/>
          <w:color w:val="auto"/>
        </w:rPr>
        <w:t>The undersigned has reviewed the form of Plan of Distribution attached as Annex A to the Registration Rights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hereby confirms that, except as set forth below, the information contained therein regarding the undersigned and its plan of distribution is correct and complete.</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Commission pursuant to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and is advised of the following Interpretation A.65 of the July 1997 SEC Manual of Publicly Available Telephone Interpretations regarding short selling:</w:t>
      </w:r>
    </w:p>
    <w:p>
      <w:pPr>
        <w:spacing w:after="0" w:line="16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By returning this Questionnaire, the undersigned will be deemed to be aware of the foregoing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confirm that, to the best of my knowledge and belief, the foregoing statements (including without limitation the answers to this Questionnaire) are correct.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Questionnaire to be executed and delivered either in person or by its duly authorized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5" w:lineRule="exact"/>
        <w:rPr>
          <w:sz w:val="20"/>
          <w:szCs w:val="20"/>
          <w:color w:val="auto"/>
        </w:rPr>
      </w:pPr>
    </w:p>
    <w:p>
      <w:pPr>
        <w:ind w:right="4120"/>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 RUBA.QASHU@PROCOPIO.COM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Cyril A. Wallace, Jr. certify that:</w:t>
      </w:r>
    </w:p>
    <w:p>
      <w:pPr>
        <w:spacing w:after="0" w:line="225" w:lineRule="exact"/>
        <w:rPr>
          <w:sz w:val="20"/>
          <w:szCs w:val="20"/>
          <w:color w:val="auto"/>
        </w:rPr>
      </w:pPr>
    </w:p>
    <w:p>
      <w:pPr>
        <w:ind w:left="840" w:hanging="184"/>
        <w:spacing w:after="0"/>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Cyril A. Wallace,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Cyril A. Wallace, Jr.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W. McCurdy, certify that:</w:t>
      </w:r>
    </w:p>
    <w:p>
      <w:pPr>
        <w:spacing w:after="0" w:line="225" w:lineRule="exact"/>
        <w:rPr>
          <w:sz w:val="20"/>
          <w:szCs w:val="20"/>
          <w:color w:val="auto"/>
        </w:rPr>
      </w:pPr>
    </w:p>
    <w:p>
      <w:pPr>
        <w:ind w:left="840" w:hanging="184"/>
        <w:spacing w:after="0"/>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Douglas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W. McCurdy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ind w:left="102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I, Cyril A. Wallace, Jr., the Chief Executive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72" w:lineRule="exact"/>
        <w:rPr>
          <w:sz w:val="20"/>
          <w:szCs w:val="20"/>
          <w:color w:val="auto"/>
        </w:rPr>
      </w:pPr>
    </w:p>
    <w:p>
      <w:pPr>
        <w:ind w:firstLine="656"/>
        <w:spacing w:after="0" w:line="286" w:lineRule="auto"/>
        <w:tabs>
          <w:tab w:leader="none" w:pos="8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30, 2025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or Section 15(d) of the Exchange Act; and</w:t>
      </w:r>
    </w:p>
    <w:p>
      <w:pPr>
        <w:spacing w:after="0" w:line="158"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Cyril A. Wallace,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Cyril A. Wallace, Jr.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I, Douglas W. McCurdy, the Chief Financial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72" w:lineRule="exact"/>
        <w:rPr>
          <w:sz w:val="20"/>
          <w:szCs w:val="20"/>
          <w:color w:val="auto"/>
        </w:rPr>
      </w:pPr>
    </w:p>
    <w:p>
      <w:pPr>
        <w:ind w:firstLine="656"/>
        <w:spacing w:after="0" w:line="286" w:lineRule="auto"/>
        <w:tabs>
          <w:tab w:leader="none" w:pos="8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30, 2025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or Section 15(d) of the Exchange Act; and</w:t>
      </w:r>
    </w:p>
    <w:p>
      <w:pPr>
        <w:spacing w:after="0" w:line="158"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Douglas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W. McCurdy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upperLetter"/>
      <w:start w:val="1"/>
    </w:lvl>
  </w:abstractNum>
  <w:abstractNum w:abstractNumId="4">
    <w:nsid w:val="4516DDE9"/>
    <w:multiLevelType w:val="hybridMultilevel"/>
    <w:lvl w:ilvl="0">
      <w:lvlJc w:val="left"/>
      <w:lvlText w:val="(%1)"/>
      <w:numFmt w:val="upperLetter"/>
      <w:start w:val="2"/>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upperLetter"/>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lowerRoman"/>
      <w:start w:val="2"/>
    </w:lvl>
  </w:abstractNum>
  <w:abstractNum w:abstractNumId="10">
    <w:nsid w:val="5072367"/>
    <w:multiLevelType w:val="hybridMultilevel"/>
    <w:lvl w:ilvl="0">
      <w:lvlJc w:val="left"/>
      <w:lvlText w:val="(%1)"/>
      <w:numFmt w:val="lowerLetter"/>
      <w:start w:val="2"/>
    </w:lvl>
  </w:abstractNum>
  <w:abstractNum w:abstractNumId="11">
    <w:nsid w:val="3804823E"/>
    <w:multiLevelType w:val="hybridMultilevel"/>
    <w:lvl w:ilvl="0">
      <w:lvlJc w:val="left"/>
      <w:lvlText w:val="(%1)"/>
      <w:numFmt w:val="lowerLetter"/>
      <w:start w:val="1"/>
    </w:lvl>
    <w:lvl w:ilvl="1">
      <w:lvlJc w:val="left"/>
      <w:lvlText w:val="(%2)"/>
      <w:numFmt w:val="lowerRoman"/>
      <w:start w:val="1"/>
    </w:lvl>
  </w:abstractNum>
  <w:abstractNum w:abstractNumId="12">
    <w:nsid w:val="77465F01"/>
    <w:multiLevelType w:val="hybridMultilevel"/>
    <w:lvl w:ilvl="0">
      <w:lvlJc w:val="left"/>
      <w:lvlText w:val="(%1)"/>
      <w:numFmt w:val="lowerLetter"/>
      <w:start w:val="2"/>
    </w:lvl>
    <w:lvl w:ilvl="1">
      <w:lvlJc w:val="left"/>
      <w:lvlText w:val="(%2)"/>
      <w:numFmt w:val="lowerRoman"/>
      <w:start w:val="1"/>
    </w:lvl>
  </w:abstractNum>
  <w:abstractNum w:abstractNumId="13">
    <w:nsid w:val="7724C67E"/>
    <w:multiLevelType w:val="hybridMultilevel"/>
    <w:lvl w:ilvl="0">
      <w:lvlJc w:val="left"/>
      <w:lvlText w:val="(%1)"/>
      <w:numFmt w:val="lowerLetter"/>
      <w:start w:val="1"/>
    </w:lvl>
    <w:lvl w:ilvl="1">
      <w:lvlJc w:val="left"/>
      <w:lvlText w:val="(%2)"/>
      <w:numFmt w:val="lowerRoman"/>
      <w:start w:val="1"/>
    </w:lvl>
  </w:abstractNum>
  <w:abstractNum w:abstractNumId="14">
    <w:nsid w:val="5C482A97"/>
    <w:multiLevelType w:val="hybridMultilevel"/>
    <w:lvl w:ilvl="0">
      <w:lvlJc w:val="left"/>
      <w:lvlText w:val="(%1)"/>
      <w:numFmt w:val="lowerRoman"/>
      <w:start w:val="1"/>
    </w:lvl>
  </w:abstractNum>
  <w:abstractNum w:abstractNumId="15">
    <w:nsid w:val="2463B9EA"/>
    <w:multiLevelType w:val="hybridMultilevel"/>
    <w:lvl w:ilvl="0">
      <w:lvlJc w:val="left"/>
      <w:lvlText w:val="(%1)"/>
      <w:numFmt w:val="lowerRoman"/>
      <w:start w:val="5"/>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4"/>
    </w:lvl>
  </w:abstractNum>
  <w:abstractNum w:abstractNumId="18">
    <w:nsid w:val="2D517796"/>
    <w:multiLevelType w:val="hybridMultilevel"/>
    <w:lvl w:ilvl="0">
      <w:lvlJc w:val="left"/>
      <w:lvlText w:val="(%1)"/>
      <w:numFmt w:val="lowerLetter"/>
      <w:start w:val="7"/>
    </w:lvl>
  </w:abstractNum>
  <w:abstractNum w:abstractNumId="19">
    <w:nsid w:val="580BD78F"/>
    <w:multiLevelType w:val="hybridMultilevel"/>
    <w:lvl w:ilvl="0">
      <w:lvlJc w:val="left"/>
      <w:lvlText w:val="(%1)"/>
      <w:numFmt w:val="lowerLetter"/>
      <w:start w:val="9"/>
    </w:lvl>
  </w:abstractNum>
  <w:abstractNum w:abstractNumId="20">
    <w:nsid w:val="153EA438"/>
    <w:multiLevelType w:val="hybridMultilevel"/>
    <w:lvl w:ilvl="0">
      <w:lvlJc w:val="left"/>
      <w:lvlText w:val="(%1)"/>
      <w:numFmt w:val="lowerLetter"/>
      <w:start w:val="11"/>
    </w:lvl>
  </w:abstractNum>
  <w:abstractNum w:abstractNumId="21">
    <w:nsid w:val="3855585C"/>
    <w:multiLevelType w:val="hybridMultilevel"/>
    <w:lvl w:ilvl="0">
      <w:lvlJc w:val="left"/>
      <w:lvlText w:val="(%1)"/>
      <w:numFmt w:val="lowerLetter"/>
      <w:start w:val="14"/>
    </w:lvl>
  </w:abstractNum>
  <w:abstractNum w:abstractNumId="22">
    <w:nsid w:val="70A64E2A"/>
    <w:multiLevelType w:val="hybridMultilevel"/>
    <w:lvl w:ilvl="0">
      <w:lvlJc w:val="left"/>
      <w:lvlText w:val="(%1)"/>
      <w:numFmt w:val="lowerLetter"/>
      <w:start w:val="18"/>
    </w:lvl>
  </w:abstractNum>
  <w:abstractNum w:abstractNumId="23">
    <w:nsid w:val="6A2342EC"/>
    <w:multiLevelType w:val="hybridMultilevel"/>
    <w:lvl w:ilvl="0">
      <w:lvlJc w:val="left"/>
      <w:lvlText w:val="(%1)"/>
      <w:numFmt w:val="lowerLetter"/>
      <w:start w:val="20"/>
    </w:lvl>
  </w:abstractNum>
  <w:abstractNum w:abstractNumId="24">
    <w:nsid w:val="2A487CB0"/>
    <w:multiLevelType w:val="hybridMultilevel"/>
    <w:lvl w:ilvl="0">
      <w:lvlJc w:val="left"/>
      <w:lvlText w:val="(%1)"/>
      <w:numFmt w:val="lowerLetter"/>
      <w:start w:val="26"/>
    </w:lvl>
  </w:abstractNum>
  <w:abstractNum w:abstractNumId="25">
    <w:nsid w:val="1D4ED43B"/>
    <w:multiLevelType w:val="hybridMultilevel"/>
    <w:lvl w:ilvl="0">
      <w:lvlJc w:val="left"/>
      <w:lvlText w:val="(%1)"/>
      <w:numFmt w:val="lowerLetter"/>
      <w:start w:val="27"/>
    </w:lvl>
  </w:abstractNum>
  <w:abstractNum w:abstractNumId="26">
    <w:nsid w:val="725A06FB"/>
    <w:multiLevelType w:val="hybridMultilevel"/>
    <w:lvl w:ilvl="0">
      <w:lvlJc w:val="left"/>
      <w:lvlText w:val="(%1)"/>
      <w:numFmt w:val="lowerLetter"/>
      <w:start w:val="31"/>
    </w:lvl>
  </w:abstractNum>
  <w:abstractNum w:abstractNumId="27">
    <w:nsid w:val="2CD89A32"/>
    <w:multiLevelType w:val="hybridMultilevel"/>
    <w:lvl w:ilvl="0">
      <w:lvlJc w:val="left"/>
      <w:lvlText w:val="(%1)"/>
      <w:numFmt w:val="lowerLetter"/>
      <w:start w:val="36"/>
    </w:lvl>
  </w:abstractNum>
  <w:abstractNum w:abstractNumId="28">
    <w:nsid w:val="57E4CCAF"/>
    <w:multiLevelType w:val="hybridMultilevel"/>
    <w:lvl w:ilvl="0">
      <w:lvlJc w:val="left"/>
      <w:lvlText w:val="(%1)"/>
      <w:numFmt w:val="lowerLetter"/>
      <w:start w:val="4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4"/>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decimal"/>
      <w:start w:val="3"/>
    </w:lvl>
    <w:lvl w:ilvl="1">
      <w:lvlJc w:val="left"/>
      <w:lvlText w:val="(%2)"/>
      <w:numFmt w:val="lowerLetter"/>
      <w:start w:val="3"/>
    </w:lvl>
  </w:abstractNum>
  <w:abstractNum w:abstractNumId="33">
    <w:nsid w:val="38437FDB"/>
    <w:multiLevelType w:val="hybridMultilevel"/>
    <w:lvl w:ilvl="0">
      <w:lvlJc w:val="left"/>
      <w:lvlText w:val="(%1)"/>
      <w:numFmt w:val="lowerLetter"/>
      <w:start w:val="4"/>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lowerRoman"/>
      <w:start w:val="3"/>
    </w:lvl>
  </w:abstractNum>
  <w:abstractNum w:abstractNumId="36">
    <w:nsid w:val="684A481A"/>
    <w:multiLevelType w:val="hybridMultilevel"/>
    <w:lvl w:ilvl="0">
      <w:lvlJc w:val="left"/>
      <w:lvlText w:val="%1."/>
      <w:numFmt w:val="decimal"/>
      <w:start w:val="2"/>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2"/>
    </w:lvl>
  </w:abstractNum>
  <w:abstractNum w:abstractNumId="39">
    <w:nsid w:val="3DC240FB"/>
    <w:multiLevelType w:val="hybridMultilevel"/>
    <w:lvl w:ilvl="0">
      <w:lvlJc w:val="left"/>
      <w:lvlText w:val="%1"/>
      <w:numFmt w:val="decimal"/>
      <w:start w:val="1"/>
    </w:lvl>
    <w:lvl w:ilvl="1">
      <w:lvlJc w:val="left"/>
      <w:lvlText w:val="(%2)"/>
      <w:numFmt w:val="lowerLetter"/>
      <w:start w:val="4"/>
    </w:lvl>
  </w:abstractNum>
  <w:abstractNum w:abstractNumId="40">
    <w:nsid w:val="1BA026FA"/>
    <w:multiLevelType w:val="hybridMultilevel"/>
    <w:lvl w:ilvl="0">
      <w:lvlJc w:val="left"/>
      <w:lvlText w:val="%1."/>
      <w:numFmt w:val="decimal"/>
      <w:start w:val="3"/>
    </w:lvl>
    <w:lvl w:ilvl="1">
      <w:lvlJc w:val="left"/>
      <w:lvlText w:val="%2"/>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lvl w:ilvl="1">
      <w:lvlJc w:val="left"/>
      <w:lvlText w:val="(%2)"/>
      <w:numFmt w:val="lowerLetter"/>
      <w:start w:val="2"/>
    </w:lvl>
  </w:abstractNum>
  <w:abstractNum w:abstractNumId="43">
    <w:nsid w:val="12E685FB"/>
    <w:multiLevelType w:val="hybridMultilevel"/>
    <w:lvl w:ilvl="0">
      <w:lvlJc w:val="left"/>
      <w:lvlText w:val="(%1)"/>
      <w:numFmt w:val="lowerLetter"/>
      <w:start w:val="61"/>
    </w:lvl>
    <w:lvl w:ilvl="1">
      <w:lvlJc w:val="left"/>
      <w:lvlText w:val="(%2)"/>
      <w:numFmt w:val="lowerLetter"/>
      <w:start w:val="3"/>
    </w:lvl>
  </w:abstractNum>
  <w:abstractNum w:abstractNumId="44">
    <w:nsid w:val="70C6A529"/>
    <w:multiLevelType w:val="hybridMultilevel"/>
    <w:lvl w:ilvl="0">
      <w:lvlJc w:val="left"/>
      <w:lvlText w:val="(%1)"/>
      <w:numFmt w:val="lowerLetter"/>
      <w:start w:val="4"/>
    </w:lvl>
  </w:abstractNum>
  <w:abstractNum w:abstractNumId="45">
    <w:nsid w:val="520EEDD1"/>
    <w:multiLevelType w:val="hybridMultilevel"/>
    <w:lvl w:ilvl="0">
      <w:lvlJc w:val="left"/>
      <w:lvlText w:val="(%1)"/>
      <w:numFmt w:val="lowerLetter"/>
      <w:start w:val="6"/>
    </w:lvl>
  </w:abstractNum>
  <w:abstractNum w:abstractNumId="46">
    <w:nsid w:val="374A3FE6"/>
    <w:multiLevelType w:val="hybridMultilevel"/>
    <w:lvl w:ilvl="0">
      <w:lvlJc w:val="left"/>
      <w:lvlText w:val="(%1)"/>
      <w:numFmt w:val="lowerLetter"/>
      <w:start w:val="10"/>
    </w:lvl>
  </w:abstractNum>
  <w:abstractNum w:abstractNumId="47">
    <w:nsid w:val="4F4EF005"/>
    <w:multiLevelType w:val="hybridMultilevel"/>
    <w:lvl w:ilvl="0">
      <w:lvlJc w:val="left"/>
      <w:lvlText w:val="%1."/>
      <w:numFmt w:val="decimal"/>
      <w:start w:val="4"/>
    </w:lvl>
    <w:lvl w:ilvl="1">
      <w:lvlJc w:val="left"/>
      <w:lvlText w:val="(%2)"/>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lowerLetter"/>
      <w:start w:val="4"/>
    </w:lvl>
  </w:abstractNum>
  <w:abstractNum w:abstractNumId="50">
    <w:nsid w:val="275AC794"/>
    <w:multiLevelType w:val="hybridMultilevel"/>
    <w:lvl w:ilvl="0">
      <w:lvlJc w:val="left"/>
      <w:lvlText w:val="%1."/>
      <w:numFmt w:val="decimal"/>
      <w:start w:val="6"/>
    </w:lvl>
    <w:lvl w:ilvl="1">
      <w:lvlJc w:val="left"/>
      <w:lvlText w:val="(%2)"/>
      <w:numFmt w:val="lowerLetter"/>
      <w:start w:val="1"/>
    </w:lvl>
  </w:abstractNum>
  <w:abstractNum w:abstractNumId="51">
    <w:nsid w:val="39386575"/>
    <w:multiLevelType w:val="hybridMultilevel"/>
    <w:lvl w:ilvl="0">
      <w:lvlJc w:val="left"/>
      <w:lvlText w:val="(%1)"/>
      <w:numFmt w:val="lowerLetter"/>
      <w:start w:val="5"/>
    </w:lvl>
  </w:abstractNum>
  <w:abstractNum w:abstractNumId="52">
    <w:nsid w:val="1CF10FD8"/>
    <w:multiLevelType w:val="hybridMultilevel"/>
    <w:lvl w:ilvl="0">
      <w:lvlJc w:val="left"/>
      <w:lvlText w:val="(%1)"/>
      <w:numFmt w:val="lowerLetter"/>
      <w:start w:val="8"/>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4"/>
    </w:lvl>
    <w:lvl w:ilvl="1">
      <w:lvlJc w:val="left"/>
      <w:lvlText w:val="(%2)"/>
      <w:numFmt w:val="lowerLetter"/>
      <w:start w:val="1"/>
    </w:lvl>
  </w:abstractNum>
  <w:abstractNum w:abstractNumId="56">
    <w:nsid w:val="354FE9F9"/>
    <w:multiLevelType w:val="hybridMultilevel"/>
    <w:lvl w:ilvl="0">
      <w:lvlJc w:val="left"/>
      <w:lvlText w:val="%1."/>
      <w:numFmt w:val="decimal"/>
      <w:start w:val="6"/>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37" Type="http://schemas.openxmlformats.org/officeDocument/2006/relationships/hyperlink" Target="https://www.sec.gov/Archives/edgar/data/1140215/000164117225001344/ex3-i.htm" TargetMode="External"/><Relationship Id="rId38" Type="http://schemas.openxmlformats.org/officeDocument/2006/relationships/hyperlink" Target="https://www.sec.gov/Archives/edgar/data/1140215/000164117225001344/ex3-ii.htm" TargetMode="External"/><Relationship Id="rId39" Type="http://schemas.openxmlformats.org/officeDocument/2006/relationships/hyperlink" Target="http://www.sec.gov/Archives/edgar/data/1140215/000164117225005164/ex10-1.htm" TargetMode="External"/><Relationship Id="rId40" Type="http://schemas.openxmlformats.org/officeDocument/2006/relationships/hyperlink" Target="http://www.sec.gov/Archives/edgar/data/1140215/000164117225005164/ex10-2.htm" TargetMode="External"/><Relationship Id="rId41" Type="http://schemas.openxmlformats.org/officeDocument/2006/relationships/hyperlink" Target="https://www.sec.gov/Archives/edgar/data/1140215/000164117225005164/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2025-08-13T15:25:36Z</dcterms:created>
  <dcterms:modified xsi:type="dcterms:W3CDTF">2025-08-13T15:25:36Z</dcterms:modified>
</cp:coreProperties>
</file>