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caps w:val="false"/>
          <w:smallCaps w:val="false"/>
        </w:rPr>
      </w:pPr>
      <w:bookmarkStart w:id="0" w:name="form10-q.htm"/>
      <w:bookmarkStart w:id="1" w:name="ksform10q"/>
      <w:bookmarkEnd w:id="0"/>
      <w:bookmarkEnd w:id="1"/>
      <w:r>
        <w:rPr>
          <w:caps w:val="false"/>
          <w:smallCaps w:val="false"/>
        </w:rPr>
        <w:t> </w:t>
      </w:r>
    </w:p>
    <w:p>
      <w:pPr>
        <w:pStyle w:val="TextBody"/>
        <w:rPr>
          <w:bdr w:val="single" w:sz="32" w:space="1" w:color="000000"/>
        </w:rPr>
      </w:pPr>
      <w:r>
        <w:rPr>
          <w:bdr w:val="single" w:sz="3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10101__20"/>
      <w:bookmarkEnd w:id="2"/>
      <w:r>
        <w:rPr>
          <w:rFonts w:ascii="Times New Roman;Times;Serif" w:hAnsi="Times New Roman;Times;Serif"/>
          <w:b/>
          <w:i w:val="false"/>
          <w:caps w:val="false"/>
          <w:smallCaps w:val="false"/>
          <w:sz w:val="36"/>
        </w:rPr>
        <w:t>10-Q</w:t>
      </w:r>
    </w:p>
    <w:p>
      <w:pPr>
        <w:pStyle w:val="TextBody"/>
        <w:jc w:val="center"/>
        <w:rPr>
          <w:caps w:val="false"/>
          <w:smallCaps w:val="false"/>
        </w:rPr>
      </w:pPr>
      <w:r>
        <w:rPr>
          <w:caps w:val="false"/>
          <w:smallCaps w:val="false"/>
        </w:rPr>
        <w:t> </w:t>
      </w:r>
    </w:p>
    <w:p>
      <w:pPr>
        <w:pStyle w:val="TextBody"/>
        <w:jc w:val="center"/>
        <w:rPr>
          <w:caps w:val="false"/>
          <w:smallCaps w:val="false"/>
        </w:rPr>
      </w:pPr>
      <w:bookmarkStart w:id="3" w:name="xdx_90B_edei--DocumentQuarterlyReport_c2"/>
      <w:bookmarkEnd w:id="3"/>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1_edei--DocumentPeriodEndDate_c202"/>
      <w:bookmarkEnd w:id="4"/>
      <w:r>
        <w:rPr>
          <w:rFonts w:ascii="Times New Roman;Times;Serif" w:hAnsi="Times New Roman;Times;Serif"/>
          <w:b w:val="false"/>
          <w:i w:val="false"/>
          <w:caps w:val="false"/>
          <w:smallCaps w:val="false"/>
          <w:sz w:val="20"/>
        </w:rPr>
        <w:t xml:space="preserve">June 30, </w:t>
      </w:r>
      <w:bookmarkStart w:id="5" w:name="xdx_905_edei--DocumentFiscalYearFocus_c2"/>
      <w:bookmarkEnd w:id="5"/>
      <w:r>
        <w:rPr>
          <w:rFonts w:ascii="Times New Roman;Times;Serif" w:hAnsi="Times New Roman;Times;Serif"/>
          <w:b w:val="false"/>
          <w:i w:val="false"/>
          <w:caps w:val="false"/>
          <w:smallCaps w:val="false"/>
          <w:sz w:val="20"/>
        </w:rPr>
        <w:t>2021</w:t>
      </w:r>
    </w:p>
    <w:p>
      <w:pPr>
        <w:pStyle w:val="TextBody"/>
        <w:jc w:val="center"/>
        <w:rPr>
          <w:caps w:val="false"/>
          <w:smallCaps w:val="false"/>
        </w:rPr>
      </w:pPr>
      <w:r>
        <w:rPr>
          <w:caps w:val="false"/>
          <w:smallCaps w:val="false"/>
        </w:rPr>
        <w:t> </w:t>
      </w:r>
    </w:p>
    <w:p>
      <w:pPr>
        <w:pStyle w:val="TextBody"/>
        <w:jc w:val="center"/>
        <w:rPr>
          <w:caps w:val="false"/>
          <w:smallCaps w:val="false"/>
        </w:rPr>
      </w:pPr>
      <w:bookmarkStart w:id="6" w:name="xdx_900_edei--DocumentTransitionReport_c"/>
      <w:bookmarkEnd w:id="6"/>
      <w:r>
        <w:rPr>
          <w:caps w:val="false"/>
          <w:smallCaps w:val="false"/>
        </w:rPr>
        <w:t xml:space="preserve">☐ </w:t>
      </w:r>
      <w:r>
        <w:rPr>
          <w:rFonts w:ascii="Times New Roman;Times;Serif" w:hAnsi="Times New Roman;Times;Serif"/>
          <w:b w:val="false"/>
          <w:i w:val="false"/>
          <w:caps w:val="false"/>
          <w:smallCaps w:val="false"/>
          <w:sz w:val="20"/>
        </w:rPr>
        <w:t>TRANSITION REPORT UNDER SECTION 13 OR 15(d) OF THE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 _______</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7" w:name="xdx_90D_edei--EntityFileNumber_c20210101"/>
      <w:bookmarkEnd w:id="7"/>
      <w:r>
        <w:rPr>
          <w:rFonts w:ascii="Times New Roman;Times;Serif" w:hAnsi="Times New Roman;Times;Serif"/>
          <w:b w:val="false"/>
          <w:i w:val="false"/>
          <w:caps w:val="false"/>
          <w:smallCaps w:val="false"/>
          <w:sz w:val="20"/>
        </w:rPr>
        <w:t>001-32501</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bookmarkStart w:id="8" w:name="xdx_909_edei--EntityRegistrantName_c2021"/>
      <w:bookmarkEnd w:id="8"/>
      <w:r>
        <w:rPr>
          <w:rFonts w:ascii="Times New Roman;Times;Serif" w:hAnsi="Times New Roman;Times;Serif"/>
          <w:b/>
          <w:i w:val="false"/>
          <w:caps w:val="false"/>
          <w:smallCaps w:val="false"/>
          <w:sz w:val="36"/>
        </w:rPr>
        <w:t>REED’S,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2800" w:type="dxa"/>
        <w:jc w:val="left"/>
        <w:tblInd w:w="0" w:type="dxa"/>
        <w:tblCellMar>
          <w:top w:w="0" w:type="dxa"/>
          <w:left w:w="0" w:type="dxa"/>
          <w:bottom w:w="28" w:type="dxa"/>
          <w:right w:w="0" w:type="dxa"/>
        </w:tblCellMar>
      </w:tblPr>
      <w:tblGrid>
        <w:gridCol w:w="1205"/>
        <w:gridCol w:w="60"/>
        <w:gridCol w:w="1535"/>
      </w:tblGrid>
      <w:tr>
        <w:trPr/>
        <w:tc>
          <w:tcPr>
            <w:tcW w:w="120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9" w:name="xdx_902_edei--EntityIncorporationStateCo"/>
            <w:bookmarkEnd w:id="9"/>
            <w:r>
              <w:rPr>
                <w:rFonts w:ascii="Times New Roman;Times;Serif" w:hAnsi="Times New Roman;Times;Serif"/>
                <w:b w:val="false"/>
                <w:i w:val="false"/>
                <w:caps w:val="false"/>
                <w:smallCaps w:val="false"/>
                <w:sz w:val="20"/>
              </w:rPr>
              <w:t xml:space="preserve">Delaware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0" w:name="xdx_907_edei--EntityTaxIdentificationNum"/>
            <w:bookmarkEnd w:id="10"/>
            <w:r>
              <w:rPr>
                <w:rFonts w:ascii="Times New Roman;Times;Serif" w:hAnsi="Times New Roman;Times;Serif"/>
                <w:b w:val="false"/>
                <w:i w:val="false"/>
                <w:caps w:val="false"/>
                <w:smallCaps w:val="false"/>
                <w:sz w:val="20"/>
              </w:rPr>
              <w:t>35-2177773</w:t>
            </w:r>
          </w:p>
        </w:tc>
      </w:tr>
      <w:tr>
        <w:trPr/>
        <w:tc>
          <w:tcPr>
            <w:tcW w:w="120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tcMar>
              <w:bottom w:w="0"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bookmarkStart w:id="11" w:name="xdx_902_edei--EntityAddressAddressLine1_"/>
      <w:bookmarkEnd w:id="11"/>
      <w:r>
        <w:rPr>
          <w:rFonts w:ascii="Times New Roman;Times;Serif" w:hAnsi="Times New Roman;Times;Serif"/>
          <w:b w:val="false"/>
          <w:i w:val="false"/>
          <w:caps w:val="false"/>
          <w:smallCaps w:val="false"/>
          <w:sz w:val="20"/>
        </w:rPr>
        <w:t xml:space="preserve">201 Merritt 7, </w:t>
      </w:r>
      <w:bookmarkStart w:id="12" w:name="xdx_906_edei--EntityAddressCityOrTown_c2"/>
      <w:bookmarkEnd w:id="12"/>
      <w:r>
        <w:rPr>
          <w:rFonts w:ascii="Times New Roman;Times;Serif" w:hAnsi="Times New Roman;Times;Serif"/>
          <w:b w:val="false"/>
          <w:i w:val="false"/>
          <w:caps w:val="false"/>
          <w:smallCaps w:val="false"/>
          <w:sz w:val="20"/>
        </w:rPr>
        <w:t xml:space="preserve">Norwalk, </w:t>
      </w:r>
      <w:bookmarkStart w:id="13" w:name="xdx_905_edei--EntityAddressStateOrProvin"/>
      <w:bookmarkEnd w:id="13"/>
      <w:r>
        <w:rPr>
          <w:rFonts w:ascii="Times New Roman;Times;Serif" w:hAnsi="Times New Roman;Times;Serif"/>
          <w:b w:val="false"/>
          <w:i w:val="false"/>
          <w:caps w:val="false"/>
          <w:smallCaps w:val="false"/>
          <w:sz w:val="20"/>
        </w:rPr>
        <w:t xml:space="preserve">CT. </w:t>
      </w:r>
      <w:bookmarkStart w:id="14" w:name="xdx_902_edei--EntityAddressPostalZipCode"/>
      <w:bookmarkEnd w:id="14"/>
      <w:r>
        <w:rPr>
          <w:rFonts w:ascii="Times New Roman;Times;Serif" w:hAnsi="Times New Roman;Times;Serif"/>
          <w:b w:val="false"/>
          <w:i w:val="false"/>
          <w:caps w:val="false"/>
          <w:smallCaps w:val="false"/>
          <w:sz w:val="20"/>
        </w:rPr>
        <w:t>06851</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bookmarkStart w:id="15" w:name="xdx_90E_edei--CityAreaCode_c20210101__20"/>
      <w:bookmarkEnd w:id="15"/>
      <w:r>
        <w:rPr>
          <w:rFonts w:ascii="Times New Roman;Times;Serif" w:hAnsi="Times New Roman;Times;Serif"/>
          <w:b w:val="false"/>
          <w:i w:val="false"/>
          <w:caps w:val="false"/>
          <w:smallCaps w:val="false"/>
          <w:sz w:val="20"/>
        </w:rPr>
        <w:t xml:space="preserve">(800) </w:t>
      </w:r>
      <w:bookmarkStart w:id="16" w:name="xdx_908_edei--LocalPhoneNumber_c20210101"/>
      <w:bookmarkEnd w:id="16"/>
      <w:r>
        <w:rPr>
          <w:rFonts w:ascii="Times New Roman;Times;Serif" w:hAnsi="Times New Roman;Times;Serif"/>
          <w:b w:val="false"/>
          <w:i w:val="false"/>
          <w:caps w:val="false"/>
          <w:smallCaps w:val="false"/>
          <w:sz w:val="20"/>
        </w:rPr>
        <w:t>997-3337</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jc w:val="center"/>
        <w:rPr>
          <w:caps w:val="false"/>
          <w:smallCaps w:val="false"/>
        </w:rPr>
      </w:pPr>
      <w:r>
        <w:rPr>
          <w:caps w:val="false"/>
          <w:smallCaps w:val="false"/>
        </w:rPr>
        <w:t> </w:t>
      </w:r>
    </w:p>
    <w:tbl>
      <w:tblPr>
        <w:tblW w:w="6945" w:type="dxa"/>
        <w:jc w:val="left"/>
        <w:tblInd w:w="0" w:type="dxa"/>
        <w:tblCellMar>
          <w:top w:w="0" w:type="dxa"/>
          <w:left w:w="0" w:type="dxa"/>
          <w:bottom w:w="28" w:type="dxa"/>
          <w:right w:w="0" w:type="dxa"/>
        </w:tblCellMar>
      </w:tblPr>
      <w:tblGrid>
        <w:gridCol w:w="1625"/>
        <w:gridCol w:w="60"/>
        <w:gridCol w:w="1415"/>
        <w:gridCol w:w="60"/>
        <w:gridCol w:w="3785"/>
      </w:tblGrid>
      <w:tr>
        <w:trPr/>
        <w:tc>
          <w:tcPr>
            <w:tcW w:w="162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4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8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Names of each exchange on which registered</w:t>
            </w:r>
          </w:p>
        </w:tc>
      </w:tr>
      <w:tr>
        <w:trPr/>
        <w:tc>
          <w:tcPr>
            <w:tcW w:w="16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7" w:name="xdx_90F_edei--Security12bTitle_c20210101"/>
            <w:bookmarkEnd w:id="17"/>
            <w:r>
              <w:rPr>
                <w:rFonts w:ascii="Times New Roman;Times;Serif" w:hAnsi="Times New Roman;Times;Serif"/>
                <w:b w:val="false"/>
                <w:i w:val="false"/>
                <w:caps w:val="false"/>
                <w:smallCaps w:val="false"/>
                <w:sz w:val="20"/>
              </w:rPr>
              <w:t>Common Stock</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4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8" w:name="xdx_901_edei--TradingSymbol_c20210101__2"/>
            <w:bookmarkEnd w:id="18"/>
            <w:r>
              <w:rPr>
                <w:rFonts w:ascii="Times New Roman;Times;Serif" w:hAnsi="Times New Roman;Times;Serif"/>
                <w:b w:val="false"/>
                <w:i w:val="false"/>
                <w:caps w:val="false"/>
                <w:smallCaps w:val="false"/>
                <w:sz w:val="20"/>
              </w:rPr>
              <w:t>REED</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8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5_edei--SecurityExchangeName_c2021"/>
            <w:bookmarkEnd w:id="19"/>
            <w:r>
              <w:rPr>
                <w:rFonts w:ascii="Times New Roman;Times;Serif" w:hAnsi="Times New Roman;Times;Serif"/>
                <w:b w:val="false"/>
                <w:i w:val="false"/>
                <w:caps w:val="false"/>
                <w:smallCaps w:val="false"/>
                <w:sz w:val="20"/>
              </w:rPr>
              <w:t>NASDAQ</w:t>
            </w:r>
          </w:p>
        </w:tc>
      </w:tr>
    </w:tbl>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the number of shares outstanding of each of the issuer’s classes of common stock, as of the latest practicable date: There were a total of </w:t>
      </w:r>
      <w:bookmarkStart w:id="20" w:name="xdx_904_edei--EntityCommonStockSharesOut"/>
      <w:bookmarkEnd w:id="20"/>
      <w:r>
        <w:rPr>
          <w:rFonts w:ascii="Times New Roman;Times;Serif" w:hAnsi="Times New Roman;Times;Serif"/>
          <w:b w:val="false"/>
          <w:i w:val="false"/>
          <w:caps w:val="false"/>
          <w:smallCaps w:val="false"/>
          <w:sz w:val="20"/>
        </w:rPr>
        <w:t>93,667,855 shares of Common Stock outstanding as of August 10,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jc w:val="both"/>
        <w:rPr>
          <w:rFonts w:ascii="Times New Roman;Times;Serif" w:hAnsi="Times New Roman;Times;Serif"/>
          <w:b w:val="false"/>
          <w:i w:val="false"/>
          <w:caps w:val="false"/>
          <w:smallCaps w:val="false"/>
          <w:sz w:val="20"/>
        </w:rPr>
      </w:pPr>
      <w:bookmarkStart w:id="21" w:name="xdx_902_edei--EntityCurrentReportingStat"/>
      <w:bookmarkEnd w:id="21"/>
      <w:r>
        <w:rPr>
          <w:rFonts w:ascii="Times New Roman;Times;Serif" w:hAnsi="Times New Roman;Times;Serif"/>
          <w:b w:val="false"/>
          <w:i w:val="false"/>
          <w:caps w:val="false"/>
          <w:smallCaps w:val="false"/>
          <w:sz w:val="20"/>
        </w:rPr>
        <w:t>Yes ☒ 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E_edei--EntityInteractiveDataCurre"/>
      <w:bookmarkEnd w:id="22"/>
      <w:r>
        <w:rPr>
          <w:rFonts w:ascii="Times New Roman;Times;Serif" w:hAnsi="Times New Roman;Times;Serif"/>
          <w:b w:val="false"/>
          <w:i w:val="false"/>
          <w:caps w:val="false"/>
          <w:smallCaps w:val="false"/>
          <w:sz w:val="20"/>
        </w:rPr>
        <w:t>Yes ☒ No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37"/>
        <w:gridCol w:w="2381"/>
        <w:gridCol w:w="5387"/>
      </w:tblGrid>
      <w:tr>
        <w:trPr/>
        <w:tc>
          <w:tcPr>
            <w:tcW w:w="243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3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53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bookmarkStart w:id="23" w:name="xdx_90E_edei--EntityFilerCategory_c20210"/>
            <w:bookmarkEnd w:id="23"/>
            <w:r>
              <w:rPr>
                <w:rFonts w:ascii="Times New Roman;Times;Serif" w:hAnsi="Times New Roman;Times;Serif"/>
                <w:b w:val="false"/>
                <w:i w:val="false"/>
                <w:caps w:val="false"/>
                <w:smallCaps w:val="false"/>
                <w:sz w:val="20"/>
              </w:rPr>
              <w:t>Non-Accelerated Filer (do not check if Smaller Reporting Company) ☐</w:t>
            </w:r>
          </w:p>
        </w:tc>
      </w:tr>
      <w:tr>
        <w:trPr/>
        <w:tc>
          <w:tcPr>
            <w:tcW w:w="243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4" w:name="xdx_904_edei--EntitySmallBusiness_c20210"/>
            <w:bookmarkEnd w:id="24"/>
            <w:r>
              <w:rPr>
                <w:rFonts w:ascii="Times New Roman;Times;Serif" w:hAnsi="Times New Roman;Times;Serif"/>
                <w:b w:val="false"/>
                <w:i w:val="false"/>
                <w:caps w:val="false"/>
                <w:smallCaps w:val="false"/>
                <w:sz w:val="20"/>
              </w:rPr>
              <w:t>☒</w:t>
            </w:r>
          </w:p>
        </w:tc>
        <w:tc>
          <w:tcPr>
            <w:tcW w:w="238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3_edei--EntityEmergingGrowthCompan"/>
            <w:bookmarkEnd w:id="25"/>
            <w:r>
              <w:rPr>
                <w:rFonts w:ascii="Times New Roman;Times;Serif" w:hAnsi="Times New Roman;Times;Serif"/>
                <w:b w:val="false"/>
                <w:i w:val="false"/>
                <w:caps w:val="false"/>
                <w:smallCaps w:val="false"/>
                <w:sz w:val="20"/>
              </w:rPr>
              <w:t>☐</w:t>
            </w:r>
          </w:p>
        </w:tc>
        <w:tc>
          <w:tcPr>
            <w:tcW w:w="5387"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issuer is a shell company (as defined in Rule 12b-2 of the Exchange Act). Yes ☐ </w:t>
      </w:r>
      <w:bookmarkStart w:id="26" w:name="xdx_902_edei--EntityShellCompany_c202101"/>
      <w:bookmarkEnd w:id="26"/>
      <w:r>
        <w:rPr>
          <w:rFonts w:ascii="Times New Roman;Times;Serif" w:hAnsi="Times New Roman;Times;Serif"/>
          <w:b w:val="false"/>
          <w:i w:val="false"/>
          <w:caps w:val="false"/>
          <w:smallCaps w:val="false"/>
          <w:sz w:val="20"/>
        </w:rPr>
        <w:t>No ☒</w:t>
      </w:r>
    </w:p>
    <w:p>
      <w:pPr>
        <w:pStyle w:val="TextBody"/>
        <w:jc w:val="both"/>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903"/>
        <w:gridCol w:w="302"/>
      </w:tblGrid>
      <w:tr>
        <w:trPr/>
        <w:tc>
          <w:tcPr>
            <w:tcW w:w="9903" w:type="dxa"/>
            <w:tcBorders/>
            <w:shd w:fill="CCEEFF" w:val="clear"/>
            <w:vAlign w:val="center"/>
          </w:tcPr>
          <w:p>
            <w:pPr>
              <w:pStyle w:val="TableContents"/>
              <w:spacing w:before="0" w:after="283"/>
              <w:rPr/>
            </w:pPr>
            <w:hyperlink w:anchor="ar_001">
              <w:r>
                <w:rPr>
                  <w:rStyle w:val="InternetLink"/>
                  <w:rFonts w:ascii="Times New Roman;Times;Serif" w:hAnsi="Times New Roman;Times;Serif"/>
                  <w:b w:val="false"/>
                  <w:i w:val="false"/>
                  <w:caps w:val="false"/>
                  <w:smallCaps w:val="false"/>
                  <w:sz w:val="20"/>
                </w:rPr>
                <w:t>PART I - FINANCIAL INFORMATION</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02">
              <w:r>
                <w:rPr>
                  <w:rStyle w:val="InternetLink"/>
                  <w:rFonts w:ascii="Times New Roman;Times;Serif" w:hAnsi="Times New Roman;Times;Serif"/>
                  <w:b w:val="false"/>
                  <w:i w:val="false"/>
                  <w:caps w:val="false"/>
                  <w:smallCaps w:val="false"/>
                  <w:sz w:val="20"/>
                </w:rPr>
                <w:t>Item 1. Condensed Financial Statements</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03">
              <w:r>
                <w:rPr>
                  <w:rStyle w:val="InternetLink"/>
                  <w:rFonts w:ascii="Times New Roman;Times;Serif" w:hAnsi="Times New Roman;Times;Serif"/>
                  <w:b w:val="false"/>
                  <w:i w:val="false"/>
                  <w:caps w:val="false"/>
                  <w:smallCaps w:val="false"/>
                  <w:sz w:val="20"/>
                </w:rPr>
                <w:t>Condensed Balance Sheets – June 30, 2021 and December 31, 2020</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04">
              <w:r>
                <w:rPr>
                  <w:rStyle w:val="InternetLink"/>
                  <w:rFonts w:ascii="Times New Roman;Times;Serif" w:hAnsi="Times New Roman;Times;Serif"/>
                  <w:b w:val="false"/>
                  <w:i w:val="false"/>
                  <w:caps w:val="false"/>
                  <w:smallCaps w:val="false"/>
                  <w:sz w:val="20"/>
                </w:rPr>
                <w:t>Condensed Statements of Operations for the three and six months ended June 30, 2021 and 2020</w:t>
              </w:r>
            </w:hyperlink>
            <w:r>
              <w:rPr>
                <w:rFonts w:ascii="Times New Roman;Times;Serif" w:hAnsi="Times New Roman;Times;Serif"/>
                <w:b w:val="false"/>
                <w:i w:val="false"/>
                <w:caps w:val="false"/>
                <w:smallCaps w:val="false"/>
                <w:sz w:val="20"/>
              </w:rPr>
              <w:t xml:space="preserve"> </w:t>
            </w:r>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05">
              <w:r>
                <w:rPr>
                  <w:rStyle w:val="InternetLink"/>
                  <w:rFonts w:ascii="Times New Roman;Times;Serif" w:hAnsi="Times New Roman;Times;Serif"/>
                  <w:b w:val="false"/>
                  <w:i w:val="false"/>
                  <w:caps w:val="false"/>
                  <w:smallCaps w:val="false"/>
                  <w:sz w:val="20"/>
                </w:rPr>
                <w:t>Condensed Statements of Changes in Stockholders’ Equity (Deficit) for the three and six months ended June 30, 2021 and 2020</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06">
              <w:r>
                <w:rPr>
                  <w:rStyle w:val="InternetLink"/>
                  <w:rFonts w:ascii="Times New Roman;Times;Serif" w:hAnsi="Times New Roman;Times;Serif"/>
                  <w:b w:val="false"/>
                  <w:i w:val="false"/>
                  <w:caps w:val="false"/>
                  <w:smallCaps w:val="false"/>
                  <w:sz w:val="20"/>
                </w:rPr>
                <w:t>Condensed Statements of Cash Flows for the six months ended June 30, 2021 and 2020</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07">
              <w:r>
                <w:rPr>
                  <w:rStyle w:val="InternetLink"/>
                  <w:rFonts w:ascii="Times New Roman;Times;Serif" w:hAnsi="Times New Roman;Times;Serif"/>
                  <w:b w:val="false"/>
                  <w:i w:val="false"/>
                  <w:caps w:val="false"/>
                  <w:smallCaps w:val="false"/>
                  <w:sz w:val="20"/>
                </w:rPr>
                <w:t>Notes to Condensed Financial Statements</w:t>
              </w:r>
            </w:hyperlink>
            <w:r>
              <w:rPr>
                <w:rFonts w:ascii="Times New Roman;Times;Serif" w:hAnsi="Times New Roman;Times;Serif"/>
                <w:b w:val="false"/>
                <w:i w:val="false"/>
                <w:caps w:val="false"/>
                <w:smallCaps w:val="false"/>
                <w:sz w:val="20"/>
              </w:rPr>
              <w:t xml:space="preserve"> </w:t>
            </w:r>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10">
              <w:r>
                <w:rPr>
                  <w:rStyle w:val="InternetLink"/>
                  <w:rFonts w:ascii="Times New Roman;Times;Serif" w:hAnsi="Times New Roman;Times;Serif"/>
                  <w:b w:val="false"/>
                  <w:i w:val="false"/>
                  <w:caps w:val="false"/>
                  <w:smallCaps w:val="false"/>
                  <w:sz w:val="20"/>
                </w:rPr>
                <w:t>Item 4. Controls and Procedures</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11">
              <w:r>
                <w:rPr>
                  <w:rStyle w:val="InternetLink"/>
                  <w:rFonts w:ascii="Times New Roman;Times;Serif" w:hAnsi="Times New Roman;Times;Serif"/>
                  <w:b w:val="false"/>
                  <w:i w:val="false"/>
                  <w:caps w:val="false"/>
                  <w:smallCaps w:val="false"/>
                  <w:sz w:val="20"/>
                </w:rPr>
                <w:t>PART II - OTHER INFORMATION</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12">
              <w:r>
                <w:rPr>
                  <w:rStyle w:val="InternetLink"/>
                  <w:rFonts w:ascii="Times New Roman;Times;Serif" w:hAnsi="Times New Roman;Times;Serif"/>
                  <w:b w:val="false"/>
                  <w:i w:val="false"/>
                  <w:caps w:val="false"/>
                  <w:smallCaps w:val="false"/>
                  <w:sz w:val="20"/>
                </w:rPr>
                <w:t>Item 1. Legal Proceedings</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13">
              <w:r>
                <w:rPr>
                  <w:rStyle w:val="InternetLink"/>
                  <w:rFonts w:ascii="Times New Roman;Times;Serif" w:hAnsi="Times New Roman;Times;Serif"/>
                  <w:b w:val="false"/>
                  <w:i w:val="false"/>
                  <w:caps w:val="false"/>
                  <w:smallCaps w:val="false"/>
                  <w:sz w:val="20"/>
                </w:rPr>
                <w:t>Item 1A. Risk Factors</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15">
              <w:r>
                <w:rPr>
                  <w:rStyle w:val="InternetLink"/>
                  <w:rFonts w:ascii="Times New Roman;Times;Serif" w:hAnsi="Times New Roman;Times;Serif"/>
                  <w:b w:val="false"/>
                  <w:i w:val="false"/>
                  <w:caps w:val="false"/>
                  <w:smallCaps w:val="false"/>
                  <w:sz w:val="20"/>
                </w:rPr>
                <w:t>Item 3. Defaults Upon Senior Securities</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16">
              <w:r>
                <w:rPr>
                  <w:rStyle w:val="InternetLink"/>
                  <w:rFonts w:ascii="Times New Roman;Times;Serif" w:hAnsi="Times New Roman;Times;Serif"/>
                  <w:b w:val="false"/>
                  <w:i w:val="false"/>
                  <w:caps w:val="false"/>
                  <w:smallCaps w:val="false"/>
                  <w:sz w:val="20"/>
                </w:rPr>
                <w:t>Item 4. Mine Safety Disclosures</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17">
              <w:r>
                <w:rPr>
                  <w:rStyle w:val="InternetLink"/>
                  <w:rFonts w:ascii="Times New Roman;Times;Serif" w:hAnsi="Times New Roman;Times;Serif"/>
                  <w:b w:val="false"/>
                  <w:i w:val="false"/>
                  <w:caps w:val="false"/>
                  <w:smallCaps w:val="false"/>
                  <w:sz w:val="20"/>
                </w:rPr>
                <w:t>Item 5. Other Information</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903" w:type="dxa"/>
            <w:tcBorders/>
            <w:shd w:fill="FFFFFF" w:val="clear"/>
            <w:vAlign w:val="center"/>
          </w:tcPr>
          <w:p>
            <w:pPr>
              <w:pStyle w:val="TableContents"/>
              <w:spacing w:before="0" w:after="283"/>
              <w:rPr>
                <w:caps w:val="false"/>
                <w:smallCaps w:val="false"/>
              </w:rPr>
            </w:pPr>
            <w:r>
              <w:rPr>
                <w:caps w:val="false"/>
                <w:smallCaps w:val="false"/>
              </w:rPr>
              <w:t> </w:t>
            </w:r>
          </w:p>
        </w:tc>
        <w:tc>
          <w:tcPr>
            <w:tcW w:w="302"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9903" w:type="dxa"/>
            <w:tcBorders/>
            <w:shd w:fill="CCEEFF" w:val="clear"/>
            <w:vAlign w:val="center"/>
          </w:tcPr>
          <w:p>
            <w:pPr>
              <w:pStyle w:val="TableContents"/>
              <w:spacing w:before="0" w:after="283"/>
              <w:rPr/>
            </w:pPr>
            <w:hyperlink w:anchor="ar_018">
              <w:r>
                <w:rPr>
                  <w:rStyle w:val="InternetLink"/>
                  <w:rFonts w:ascii="Times New Roman;Times;Serif" w:hAnsi="Times New Roman;Times;Serif"/>
                  <w:b w:val="false"/>
                  <w:i w:val="false"/>
                  <w:caps w:val="false"/>
                  <w:smallCaps w:val="false"/>
                  <w:sz w:val="20"/>
                </w:rPr>
                <w:t>Item 6. Exhibits</w:t>
              </w:r>
            </w:hyperlink>
          </w:p>
        </w:tc>
        <w:tc>
          <w:tcPr>
            <w:tcW w:w="30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bl>
    <w:p>
      <w:pPr>
        <w:pStyle w:val="TextBody"/>
        <w:jc w:val="center"/>
        <w:rPr>
          <w:caps w:val="false"/>
          <w:smallCaps w:val="false"/>
        </w:rPr>
      </w:pPr>
      <w:r>
        <w:rPr>
          <w:caps w:val="false"/>
          <w:smallCaps w:val="false"/>
        </w:rPr>
        <w:t> </w:t>
      </w:r>
    </w:p>
    <w:tbl>
      <w:tblPr>
        <w:tblW w:w="110" w:type="dxa"/>
        <w:jc w:val="left"/>
        <w:tblInd w:w="0" w:type="dxa"/>
        <w:tblCellMar>
          <w:top w:w="0" w:type="dxa"/>
          <w:left w:w="0" w:type="dxa"/>
          <w:bottom w:w="0" w:type="dxa"/>
          <w:right w:w="0" w:type="dxa"/>
        </w:tblCellMar>
      </w:tblPr>
      <w:tblGrid>
        <w:gridCol w:w="110"/>
      </w:tblGrid>
      <w:tr>
        <w:trPr/>
        <w:tc>
          <w:tcPr>
            <w:tcW w:w="110" w:type="dxa"/>
            <w:tcBorders/>
            <w:shd w:fill="auto" w:val="clear"/>
            <w:vAlign w:val="center"/>
          </w:tcPr>
          <w:p>
            <w:pPr>
              <w:pStyle w:val="TableContents"/>
              <w:spacing w:before="0" w:after="283"/>
              <w:jc w:val="center"/>
              <w:rPr/>
            </w:pPr>
            <w:r>
              <w:rPr/>
              <w:t>i</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Regarding Forward 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on Form 10-Q as well as our other public filings or public statements include forward-looking statements within the meaning of the Private Securities Litigation Reform Act of 1995. Forward-looking statements are identified by terms and phrases such as “anticipate,” “believe,” “continue,” “could,” “estimate,” “expect,” “intend,” “may,” “plan,” “predict,” “project,” “should,” and “will” and similar expressions and include references to assumptions and relate to our future prospects, developments and business strategies.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involve known and unknown risks, assumptions and uncertainties and other factors that may cause our actual results, levels of activity, performance or achievements to be materially different from any future results, levels of activity, performance, or achievements expressed or implied by forward-looking statements. These risks, assumptions and uncertainties include difficulty in marketing Reed’s products and services, maintaining and protecting brand recognition, the need for significant capital, dependence on third party distributors, dependence on third party brewers, increasing costs of fuel and freight, protection of intellectual property, competition and other factors, any of which could have an adverse effect on the business plans of Reed’s, its reputation in the industry or its expected financial return from operations and results of operations. These risks, assumptions and uncertainties are not necessarily all of the important factors that could cause actual results to differ materially from those expressed in any of our 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undertake no obligation to update or revise the forward-looking statements included in this report, whether as a result of new information, future events or otherwise, after the date of this report. Our actual results, performance or achievements could differ materially from the results expressed in, or implied by, these forward-looking statements.</w:t>
      </w:r>
    </w:p>
    <w:p>
      <w:pPr>
        <w:pStyle w:val="TextBody"/>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ii</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7" w:name="ar_001"/>
      <w:bookmarkEnd w:id="27"/>
      <w:r>
        <w:rPr>
          <w:rFonts w:ascii="Times New Roman;Times;Serif" w:hAnsi="Times New Roman;Times;Serif"/>
          <w:b/>
          <w:i w:val="false"/>
          <w:caps w:val="false"/>
          <w:smallCaps w:val="false"/>
          <w:sz w:val="20"/>
        </w:rPr>
        <w:t>Part I – FINANCIAL INFORMATION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8" w:name="ar_002"/>
      <w:bookmarkEnd w:id="28"/>
      <w:r>
        <w:rPr>
          <w:rFonts w:ascii="Times New Roman;Times;Serif" w:hAnsi="Times New Roman;Times;Serif"/>
          <w:b/>
          <w:i w:val="false"/>
          <w:caps w:val="false"/>
          <w:smallCaps w:val="false"/>
          <w:sz w:val="20"/>
        </w:rPr>
        <w:t>Item 1. Financial Statements</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29" w:name="ar_003"/>
      <w:bookmarkEnd w:id="29"/>
      <w:r>
        <w:rPr>
          <w:rFonts w:ascii="Times New Roman;Times;Serif" w:hAnsi="Times New Roman;Times;Serif"/>
          <w:b/>
          <w:i w:val="false"/>
          <w:caps w:val="false"/>
          <w:smallCaps w:val="false"/>
          <w:sz w:val="20"/>
        </w:rPr>
        <w:t>REED’S INC.</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BALANCE SHEETS</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jc w:val="center"/>
        <w:rPr>
          <w:caps w:val="false"/>
          <w:smallCaps w:val="false"/>
        </w:rPr>
      </w:pPr>
      <w:r>
        <w:rPr>
          <w:caps w:val="false"/>
          <w:smallCaps w:val="false"/>
        </w:rPr>
        <w:t> </w:t>
      </w:r>
    </w:p>
    <w:p>
      <w:pPr>
        <w:pStyle w:val="Normal"/>
        <w:spacing w:before="0" w:after="0"/>
        <w:rPr>
          <w:sz w:val="4"/>
          <w:szCs w:val="4"/>
        </w:rPr>
      </w:pPr>
      <w:r>
        <w:rPr>
          <w:sz w:val="4"/>
          <w:szCs w:val="4"/>
        </w:rPr>
      </w:r>
      <w:bookmarkStart w:id="30" w:name="xdx_301_111_pn3n3_zpeXRYXBv65f"/>
      <w:bookmarkStart w:id="31" w:name="xdx_301_111_pn3n3_zpeXRYXBv65f"/>
      <w:bookmarkEnd w:id="31"/>
    </w:p>
    <w:tbl>
      <w:tblPr>
        <w:tblW w:w="10205" w:type="dxa"/>
        <w:jc w:val="left"/>
        <w:tblInd w:w="0" w:type="dxa"/>
        <w:tblCellMar>
          <w:top w:w="0" w:type="dxa"/>
          <w:left w:w="0" w:type="dxa"/>
          <w:bottom w:w="0" w:type="dxa"/>
          <w:right w:w="0" w:type="dxa"/>
        </w:tblCellMar>
      </w:tblPr>
      <w:tblGrid>
        <w:gridCol w:w="7198"/>
        <w:gridCol w:w="60"/>
        <w:gridCol w:w="180"/>
        <w:gridCol w:w="1029"/>
        <w:gridCol w:w="95"/>
        <w:gridCol w:w="60"/>
        <w:gridCol w:w="230"/>
        <w:gridCol w:w="1242"/>
        <w:gridCol w:w="111"/>
      </w:tblGrid>
      <w:tr>
        <w:trPr/>
        <w:tc>
          <w:tcPr>
            <w:tcW w:w="719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2" w:name="xdx_49D_20210630_z9scXLJ921wd"/>
            <w:bookmarkEnd w:id="32"/>
          </w:p>
        </w:tc>
        <w:tc>
          <w:tcPr>
            <w:tcW w:w="1209"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3" w:name="xdx_499_20201231_zNJWLLGlmiz7"/>
            <w:bookmarkEnd w:id="33"/>
          </w:p>
        </w:tc>
        <w:tc>
          <w:tcPr>
            <w:tcW w:w="1472"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 2020</w:t>
            </w:r>
          </w:p>
        </w:tc>
        <w:tc>
          <w:tcPr>
            <w:tcW w:w="111" w:type="dxa"/>
            <w:tcBorders/>
            <w:shd w:fill="auto" w:val="clear"/>
            <w:vAlign w:val="center"/>
          </w:tcPr>
          <w:p>
            <w:pPr>
              <w:pStyle w:val="TableContents"/>
              <w:spacing w:before="0" w:after="283"/>
              <w:rPr/>
            </w:pPr>
            <w:r>
              <w:rPr/>
              <w:t> </w:t>
            </w:r>
          </w:p>
        </w:tc>
      </w:tr>
      <w:tr>
        <w:trPr/>
        <w:tc>
          <w:tcPr>
            <w:tcW w:w="719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9" w:type="dxa"/>
            <w:gridSpan w:val="2"/>
            <w:tcBorders/>
            <w:shd w:fill="auto" w:val="clear"/>
            <w:vAlign w:val="center"/>
          </w:tcPr>
          <w:p>
            <w:pPr>
              <w:pStyle w:val="TableContents"/>
              <w:spacing w:before="0" w:after="283"/>
              <w:jc w:val="center"/>
              <w:rPr>
                <w:b/>
              </w:rPr>
            </w:pPr>
            <w:r>
              <w:rPr>
                <w:b/>
              </w:rPr>
              <w:t>(Unaudited)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72" w:type="dxa"/>
            <w:gridSpan w:val="2"/>
            <w:tcBorders/>
            <w:shd w:fill="auto" w:val="cle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bookmarkStart w:id="34" w:name="xdx_408_eus-gaap--AssetsAbstract_iB_zMG5"/>
            <w:bookmarkEnd w:id="34"/>
          </w:p>
        </w:tc>
      </w:tr>
      <w:tr>
        <w:trPr/>
        <w:tc>
          <w:tcPr>
            <w:tcW w:w="7198" w:type="dxa"/>
            <w:tcBorders/>
            <w:shd w:fill="CCEEFF" w:val="clear"/>
            <w:vAlign w:val="center"/>
          </w:tcPr>
          <w:p>
            <w:pPr>
              <w:pStyle w:val="TableContents"/>
              <w:spacing w:before="0" w:after="283"/>
              <w:rPr>
                <w:b/>
              </w:rPr>
            </w:pPr>
            <w:r>
              <w:rPr>
                <w:b/>
              </w:rPr>
              <w:t>ASSETS</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 </w:t>
            </w:r>
          </w:p>
        </w:tc>
        <w:tc>
          <w:tcPr>
            <w:tcW w:w="111" w:type="dxa"/>
            <w:tcBorders/>
            <w:shd w:fill="CCEEFF" w:val="clear"/>
            <w:vAlign w:val="center"/>
          </w:tcPr>
          <w:p>
            <w:pPr>
              <w:pStyle w:val="TableContents"/>
              <w:spacing w:before="0" w:after="283"/>
              <w:jc w:val="left"/>
              <w:rPr/>
            </w:pPr>
            <w:r>
              <w:rPr/>
              <w:t> </w:t>
            </w:r>
            <w:bookmarkStart w:id="35" w:name="xdx_40F_eus-gaap--AssetsCurrentAbstract_"/>
            <w:bookmarkEnd w:id="35"/>
          </w:p>
        </w:tc>
      </w:tr>
      <w:tr>
        <w:trPr/>
        <w:tc>
          <w:tcPr>
            <w:tcW w:w="7198" w:type="dxa"/>
            <w:tcBorders/>
            <w:shd w:fill="FFFFFF" w:val="clear"/>
            <w:vAlign w:val="center"/>
          </w:tcPr>
          <w:p>
            <w:pPr>
              <w:pStyle w:val="TableContents"/>
              <w:spacing w:before="0" w:after="283"/>
              <w:jc w:val="left"/>
              <w:rPr/>
            </w:pPr>
            <w:r>
              <w:rPr/>
              <w:t>Current assets:</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 </w:t>
            </w:r>
          </w:p>
        </w:tc>
        <w:tc>
          <w:tcPr>
            <w:tcW w:w="111" w:type="dxa"/>
            <w:tcBorders/>
            <w:shd w:fill="FFFFFF" w:val="clear"/>
            <w:vAlign w:val="center"/>
          </w:tcPr>
          <w:p>
            <w:pPr>
              <w:pStyle w:val="TableContents"/>
              <w:spacing w:before="0" w:after="283"/>
              <w:jc w:val="left"/>
              <w:rPr/>
            </w:pPr>
            <w:r>
              <w:rPr/>
              <w:t> </w:t>
            </w:r>
            <w:bookmarkStart w:id="36" w:name="xdx_40D_eus-gaap--Cash_i02I_maACzocq_zAD"/>
            <w:bookmarkEnd w:id="36"/>
          </w:p>
        </w:tc>
      </w:tr>
      <w:tr>
        <w:trPr/>
        <w:tc>
          <w:tcPr>
            <w:tcW w:w="7198" w:type="dxa"/>
            <w:tcBorders/>
            <w:shd w:fill="CCEEFF" w:val="clear"/>
            <w:vAlign w:val="center"/>
          </w:tcPr>
          <w:p>
            <w:pPr>
              <w:pStyle w:val="TableContents"/>
              <w:spacing w:before="0" w:after="283"/>
              <w:rPr/>
            </w:pPr>
            <w:r>
              <w:rPr/>
              <w:t>Cash</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w:t>
            </w:r>
          </w:p>
        </w:tc>
        <w:tc>
          <w:tcPr>
            <w:tcW w:w="1029" w:type="dxa"/>
            <w:tcBorders/>
            <w:shd w:fill="CCEEFF" w:val="clear"/>
            <w:vAlign w:val="center"/>
          </w:tcPr>
          <w:p>
            <w:pPr>
              <w:pStyle w:val="TableContents"/>
              <w:spacing w:before="0" w:after="283"/>
              <w:jc w:val="right"/>
              <w:rPr/>
            </w:pPr>
            <w:r>
              <w:rPr/>
              <w:t>654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w:t>
            </w:r>
          </w:p>
        </w:tc>
        <w:tc>
          <w:tcPr>
            <w:tcW w:w="1242" w:type="dxa"/>
            <w:tcBorders/>
            <w:shd w:fill="CCEEFF" w:val="clear"/>
            <w:vAlign w:val="center"/>
          </w:tcPr>
          <w:p>
            <w:pPr>
              <w:pStyle w:val="TableContents"/>
              <w:spacing w:before="0" w:after="283"/>
              <w:jc w:val="right"/>
              <w:rPr/>
            </w:pPr>
            <w:r>
              <w:rPr/>
              <w:t>595</w:t>
            </w:r>
          </w:p>
        </w:tc>
        <w:tc>
          <w:tcPr>
            <w:tcW w:w="111" w:type="dxa"/>
            <w:tcBorders/>
            <w:shd w:fill="CCEEFF" w:val="clear"/>
            <w:vAlign w:val="center"/>
          </w:tcPr>
          <w:p>
            <w:pPr>
              <w:pStyle w:val="TableContents"/>
              <w:spacing w:before="0" w:after="283"/>
              <w:jc w:val="left"/>
              <w:rPr/>
            </w:pPr>
            <w:r>
              <w:rPr/>
              <w:t> </w:t>
            </w:r>
            <w:bookmarkStart w:id="37" w:name="xdx_406_eus-gaap--AccountsReceivableNetC"/>
            <w:bookmarkEnd w:id="37"/>
          </w:p>
        </w:tc>
      </w:tr>
      <w:tr>
        <w:trPr/>
        <w:tc>
          <w:tcPr>
            <w:tcW w:w="7198" w:type="dxa"/>
            <w:tcBorders/>
            <w:shd w:fill="FFFFFF" w:val="clear"/>
            <w:vAlign w:val="center"/>
          </w:tcPr>
          <w:p>
            <w:pPr>
              <w:pStyle w:val="TableContents"/>
              <w:spacing w:before="0" w:after="283"/>
              <w:jc w:val="left"/>
              <w:rPr/>
            </w:pPr>
            <w:r>
              <w:rPr/>
              <w:t>Accounts receivable, net of allowance of $</w:t>
            </w:r>
            <w:bookmarkStart w:id="38" w:name="xdx_908_eus-gaap--AllowanceForDoubtfulAc"/>
            <w:bookmarkEnd w:id="38"/>
            <w:r>
              <w:rPr/>
              <w:t>152 and $</w:t>
            </w:r>
            <w:bookmarkStart w:id="39" w:name="xdx_90F_eus-gaap--AllowanceForDoubtfulAc"/>
            <w:bookmarkEnd w:id="39"/>
            <w:r>
              <w:rPr/>
              <w:t>234, respectively</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4,543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4,718</w:t>
            </w:r>
          </w:p>
        </w:tc>
        <w:tc>
          <w:tcPr>
            <w:tcW w:w="111" w:type="dxa"/>
            <w:tcBorders/>
            <w:shd w:fill="FFFFFF" w:val="clear"/>
            <w:vAlign w:val="center"/>
          </w:tcPr>
          <w:p>
            <w:pPr>
              <w:pStyle w:val="TableContents"/>
              <w:spacing w:before="0" w:after="283"/>
              <w:jc w:val="left"/>
              <w:rPr/>
            </w:pPr>
            <w:r>
              <w:rPr/>
              <w:t> </w:t>
            </w:r>
            <w:bookmarkStart w:id="40" w:name="xdx_403_eus-gaap--DueFromRelatedPartiesC"/>
            <w:bookmarkEnd w:id="40"/>
          </w:p>
        </w:tc>
      </w:tr>
      <w:tr>
        <w:trPr/>
        <w:tc>
          <w:tcPr>
            <w:tcW w:w="7198" w:type="dxa"/>
            <w:tcBorders/>
            <w:shd w:fill="CCEEFF" w:val="clear"/>
            <w:vAlign w:val="center"/>
          </w:tcPr>
          <w:p>
            <w:pPr>
              <w:pStyle w:val="TableContents"/>
              <w:spacing w:before="0" w:after="283"/>
              <w:jc w:val="left"/>
              <w:rPr/>
            </w:pPr>
            <w:r>
              <w:rPr/>
              <w:t>Receivable from related party</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740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682</w:t>
            </w:r>
          </w:p>
        </w:tc>
        <w:tc>
          <w:tcPr>
            <w:tcW w:w="111" w:type="dxa"/>
            <w:tcBorders/>
            <w:shd w:fill="CCEEFF" w:val="clear"/>
            <w:vAlign w:val="center"/>
          </w:tcPr>
          <w:p>
            <w:pPr>
              <w:pStyle w:val="TableContents"/>
              <w:spacing w:before="0" w:after="283"/>
              <w:jc w:val="left"/>
              <w:rPr/>
            </w:pPr>
            <w:r>
              <w:rPr/>
              <w:t> </w:t>
            </w:r>
            <w:bookmarkStart w:id="41" w:name="xdx_40C_eus-gaap--InventoryNet_i02I_maAC"/>
            <w:bookmarkEnd w:id="41"/>
          </w:p>
        </w:tc>
      </w:tr>
      <w:tr>
        <w:trPr/>
        <w:tc>
          <w:tcPr>
            <w:tcW w:w="7198" w:type="dxa"/>
            <w:tcBorders/>
            <w:shd w:fill="FFFFFF" w:val="clear"/>
            <w:vAlign w:val="center"/>
          </w:tcPr>
          <w:p>
            <w:pPr>
              <w:pStyle w:val="TableContents"/>
              <w:spacing w:before="0" w:after="283"/>
              <w:jc w:val="left"/>
              <w:rPr/>
            </w:pPr>
            <w:r>
              <w:rPr/>
              <w:t>Inventory, net of reserve of $</w:t>
            </w:r>
            <w:bookmarkStart w:id="42" w:name="xdx_90A_eus-gaap--InventoryValuationRese"/>
            <w:bookmarkEnd w:id="42"/>
            <w:r>
              <w:rPr/>
              <w:t>164 and $</w:t>
            </w:r>
            <w:bookmarkStart w:id="43" w:name="xdx_909_eus-gaap--InventoryValuationRese"/>
            <w:bookmarkEnd w:id="43"/>
            <w:r>
              <w:rPr/>
              <w:t>194, respectively</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13,701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11,119</w:t>
            </w:r>
          </w:p>
        </w:tc>
        <w:tc>
          <w:tcPr>
            <w:tcW w:w="111" w:type="dxa"/>
            <w:tcBorders/>
            <w:shd w:fill="FFFFFF" w:val="clear"/>
            <w:vAlign w:val="center"/>
          </w:tcPr>
          <w:p>
            <w:pPr>
              <w:pStyle w:val="TableContents"/>
              <w:spacing w:before="0" w:after="283"/>
              <w:jc w:val="left"/>
              <w:rPr/>
            </w:pPr>
            <w:r>
              <w:rPr/>
              <w:t> </w:t>
            </w:r>
            <w:bookmarkStart w:id="44" w:name="xdx_40F_eus-gaap--PrepaidExpenseAndOther"/>
            <w:bookmarkEnd w:id="44"/>
          </w:p>
        </w:tc>
      </w:tr>
      <w:tr>
        <w:trPr/>
        <w:tc>
          <w:tcPr>
            <w:tcW w:w="7198" w:type="dxa"/>
            <w:tcBorders/>
            <w:shd w:fill="CCEEFF" w:val="clear"/>
            <w:vAlign w:val="center"/>
          </w:tcPr>
          <w:p>
            <w:pPr>
              <w:pStyle w:val="TableContents"/>
              <w:spacing w:before="0" w:after="283"/>
              <w:jc w:val="left"/>
              <w:rPr/>
            </w:pPr>
            <w:r>
              <w:rPr/>
              <w:t>Prepaid expenses and other current assets</w:t>
            </w:r>
          </w:p>
        </w:tc>
        <w:tc>
          <w:tcPr>
            <w:tcW w:w="60" w:type="dxa"/>
            <w:tcBorders/>
            <w:shd w:fill="CCEEFF" w:val="clear"/>
            <w:vAlign w:val="center"/>
          </w:tcPr>
          <w:p>
            <w:pPr>
              <w:pStyle w:val="TableContents"/>
              <w:spacing w:before="0" w:after="283"/>
              <w:rPr/>
            </w:pPr>
            <w:r>
              <w:rPr/>
              <w:t> </w:t>
            </w:r>
          </w:p>
        </w:tc>
        <w:tc>
          <w:tcPr>
            <w:tcW w:w="18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center"/>
          </w:tcPr>
          <w:p>
            <w:pPr>
              <w:pStyle w:val="TableContents"/>
              <w:spacing w:before="0" w:after="283"/>
              <w:jc w:val="right"/>
              <w:rPr/>
            </w:pPr>
            <w:r>
              <w:rPr/>
              <w:t>1,987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spacing w:before="0" w:after="283"/>
              <w:jc w:val="right"/>
              <w:rPr/>
            </w:pPr>
            <w:r>
              <w:rPr/>
              <w:t>1,341</w:t>
            </w:r>
          </w:p>
        </w:tc>
        <w:tc>
          <w:tcPr>
            <w:tcW w:w="111" w:type="dxa"/>
            <w:tcBorders/>
            <w:shd w:fill="CCEEFF" w:val="clear"/>
            <w:vAlign w:val="center"/>
          </w:tcPr>
          <w:p>
            <w:pPr>
              <w:pStyle w:val="TableContents"/>
              <w:spacing w:before="0" w:after="283"/>
              <w:jc w:val="left"/>
              <w:rPr/>
            </w:pPr>
            <w:r>
              <w:rPr/>
              <w:t> </w:t>
            </w:r>
            <w:bookmarkStart w:id="45" w:name="xdx_40D_eus-gaap--AssetsCurrent_i02TI_mt"/>
            <w:bookmarkEnd w:id="45"/>
          </w:p>
        </w:tc>
      </w:tr>
      <w:tr>
        <w:trPr/>
        <w:tc>
          <w:tcPr>
            <w:tcW w:w="7198" w:type="dxa"/>
            <w:tcBorders/>
            <w:shd w:fill="FFFFFF" w:val="clear"/>
            <w:vAlign w:val="center"/>
          </w:tcPr>
          <w:p>
            <w:pPr>
              <w:pStyle w:val="TableContents"/>
              <w:spacing w:before="0" w:after="283"/>
              <w:jc w:val="left"/>
              <w:rPr>
                <w:i/>
              </w:rPr>
            </w:pPr>
            <w:r>
              <w:rPr>
                <w:i/>
              </w:rPr>
              <w:t>Total current assets</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21,625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18,455</w:t>
            </w:r>
          </w:p>
        </w:tc>
        <w:tc>
          <w:tcPr>
            <w:tcW w:w="111" w:type="dxa"/>
            <w:tcBorders/>
            <w:shd w:fill="FFFFFF" w:val="clear"/>
            <w:vAlign w:val="center"/>
          </w:tcPr>
          <w:p>
            <w:pPr>
              <w:pStyle w:val="TableContents"/>
              <w:spacing w:before="0" w:after="283"/>
              <w:jc w:val="left"/>
              <w:rPr/>
            </w:pPr>
            <w:r>
              <w:rPr/>
              <w:t> </w:t>
            </w:r>
          </w:p>
        </w:tc>
      </w:tr>
      <w:tr>
        <w:trPr/>
        <w:tc>
          <w:tcPr>
            <w:tcW w:w="719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 </w:t>
            </w:r>
          </w:p>
        </w:tc>
        <w:tc>
          <w:tcPr>
            <w:tcW w:w="111" w:type="dxa"/>
            <w:tcBorders/>
            <w:shd w:fill="CCEEFF" w:val="clear"/>
            <w:vAlign w:val="center"/>
          </w:tcPr>
          <w:p>
            <w:pPr>
              <w:pStyle w:val="TableContents"/>
              <w:spacing w:before="0" w:after="283"/>
              <w:jc w:val="left"/>
              <w:rPr/>
            </w:pPr>
            <w:r>
              <w:rPr/>
              <w:t> </w:t>
            </w:r>
            <w:bookmarkStart w:id="46" w:name="xdx_409_eus-gaap--PropertyPlantAndEquipm"/>
            <w:bookmarkEnd w:id="46"/>
          </w:p>
        </w:tc>
      </w:tr>
      <w:tr>
        <w:trPr/>
        <w:tc>
          <w:tcPr>
            <w:tcW w:w="7198" w:type="dxa"/>
            <w:tcBorders/>
            <w:shd w:fill="FFFFFF" w:val="clear"/>
            <w:vAlign w:val="center"/>
          </w:tcPr>
          <w:p>
            <w:pPr>
              <w:pStyle w:val="TableContents"/>
              <w:spacing w:before="0" w:after="283"/>
              <w:jc w:val="left"/>
              <w:rPr/>
            </w:pPr>
            <w:r>
              <w:rPr/>
              <w:t>Property and equipment, net of accumulated depreciation of $</w:t>
            </w:r>
            <w:bookmarkStart w:id="47" w:name="xdx_906_eus-gaap--AccumulatedDepreciatio"/>
            <w:bookmarkEnd w:id="47"/>
            <w:r>
              <w:rPr/>
              <w:t>435 and $</w:t>
            </w:r>
            <w:bookmarkStart w:id="48" w:name="xdx_901_eus-gaap--AccumulatedDepreciatio"/>
            <w:bookmarkEnd w:id="48"/>
            <w:r>
              <w:rPr/>
              <w:t>361, respectively</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886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920</w:t>
            </w:r>
          </w:p>
        </w:tc>
        <w:tc>
          <w:tcPr>
            <w:tcW w:w="111" w:type="dxa"/>
            <w:tcBorders/>
            <w:shd w:fill="FFFFFF" w:val="clear"/>
            <w:vAlign w:val="center"/>
          </w:tcPr>
          <w:p>
            <w:pPr>
              <w:pStyle w:val="TableContents"/>
              <w:spacing w:before="0" w:after="283"/>
              <w:jc w:val="left"/>
              <w:rPr/>
            </w:pPr>
            <w:r>
              <w:rPr/>
              <w:t> </w:t>
            </w:r>
            <w:bookmarkStart w:id="49" w:name="xdx_40C_eus-gaap--AssetsHeldForSaleNotPa"/>
            <w:bookmarkEnd w:id="49"/>
          </w:p>
        </w:tc>
      </w:tr>
      <w:tr>
        <w:trPr/>
        <w:tc>
          <w:tcPr>
            <w:tcW w:w="7198" w:type="dxa"/>
            <w:tcBorders/>
            <w:shd w:fill="CCEEFF" w:val="clear"/>
            <w:vAlign w:val="center"/>
          </w:tcPr>
          <w:p>
            <w:pPr>
              <w:pStyle w:val="TableContents"/>
              <w:spacing w:before="0" w:after="283"/>
              <w:jc w:val="left"/>
              <w:rPr/>
            </w:pPr>
            <w:r>
              <w:rPr/>
              <w:t>Equipment held for sale, net of impairment reserves of $</w:t>
            </w:r>
            <w:bookmarkStart w:id="50" w:name="xdx_908_ecustom--EquipmentImpairmentRese"/>
            <w:bookmarkEnd w:id="50"/>
            <w:r>
              <w:rPr/>
              <w:t>96 and $</w:t>
            </w:r>
            <w:bookmarkStart w:id="51" w:name="xdx_906_ecustom--EquipmentImpairmentRese"/>
            <w:bookmarkEnd w:id="51"/>
            <w:r>
              <w:rPr/>
              <w:t>96, respectively</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67</w:t>
            </w:r>
          </w:p>
        </w:tc>
        <w:tc>
          <w:tcPr>
            <w:tcW w:w="111" w:type="dxa"/>
            <w:tcBorders/>
            <w:shd w:fill="CCEEFF" w:val="clear"/>
            <w:vAlign w:val="center"/>
          </w:tcPr>
          <w:p>
            <w:pPr>
              <w:pStyle w:val="TableContents"/>
              <w:spacing w:before="0" w:after="283"/>
              <w:jc w:val="left"/>
              <w:rPr/>
            </w:pPr>
            <w:r>
              <w:rPr/>
              <w:t> </w:t>
            </w:r>
            <w:bookmarkStart w:id="52" w:name="xdx_40E_eus-gaap--IntangibleAssetsNetExc"/>
            <w:bookmarkEnd w:id="52"/>
          </w:p>
        </w:tc>
      </w:tr>
      <w:tr>
        <w:trPr/>
        <w:tc>
          <w:tcPr>
            <w:tcW w:w="7198" w:type="dxa"/>
            <w:tcBorders/>
            <w:shd w:fill="FFFFFF" w:val="clear"/>
            <w:vAlign w:val="center"/>
          </w:tcPr>
          <w:p>
            <w:pPr>
              <w:pStyle w:val="TableContents"/>
              <w:spacing w:before="0" w:after="283"/>
              <w:jc w:val="left"/>
              <w:rPr/>
            </w:pPr>
            <w:r>
              <w:rPr/>
              <w:t>Intangible assets</w:t>
            </w:r>
          </w:p>
        </w:tc>
        <w:tc>
          <w:tcPr>
            <w:tcW w:w="60" w:type="dxa"/>
            <w:tcBorders/>
            <w:shd w:fill="FFFFFF" w:val="clear"/>
            <w:vAlign w:val="center"/>
          </w:tcPr>
          <w:p>
            <w:pPr>
              <w:pStyle w:val="TableContents"/>
              <w:spacing w:before="0" w:after="283"/>
              <w:rPr/>
            </w:pPr>
            <w:r>
              <w:rPr/>
              <w:t> </w:t>
            </w:r>
          </w:p>
        </w:tc>
        <w:tc>
          <w:tcPr>
            <w:tcW w:w="1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center"/>
          </w:tcPr>
          <w:p>
            <w:pPr>
              <w:pStyle w:val="TableContents"/>
              <w:spacing w:before="0" w:after="283"/>
              <w:jc w:val="right"/>
              <w:rPr/>
            </w:pPr>
            <w:r>
              <w:rPr/>
              <w:t>621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spacing w:before="0" w:after="283"/>
              <w:jc w:val="right"/>
              <w:rPr/>
            </w:pPr>
            <w:r>
              <w:rPr/>
              <w:t>615</w:t>
            </w:r>
          </w:p>
        </w:tc>
        <w:tc>
          <w:tcPr>
            <w:tcW w:w="111" w:type="dxa"/>
            <w:tcBorders/>
            <w:shd w:fill="FFFFFF" w:val="clear"/>
            <w:vAlign w:val="center"/>
          </w:tcPr>
          <w:p>
            <w:pPr>
              <w:pStyle w:val="TableContents"/>
              <w:spacing w:before="0" w:after="283"/>
              <w:jc w:val="left"/>
              <w:rPr/>
            </w:pPr>
            <w:r>
              <w:rPr/>
              <w:t> </w:t>
            </w:r>
            <w:bookmarkStart w:id="53" w:name="xdx_401_eus-gaap--Assets_i01TI_mtAzeV5_z"/>
            <w:bookmarkEnd w:id="53"/>
          </w:p>
        </w:tc>
      </w:tr>
      <w:tr>
        <w:trPr/>
        <w:tc>
          <w:tcPr>
            <w:tcW w:w="7198" w:type="dxa"/>
            <w:tcBorders/>
            <w:shd w:fill="CCEEFF" w:val="clear"/>
            <w:vAlign w:val="center"/>
          </w:tcPr>
          <w:p>
            <w:pPr>
              <w:pStyle w:val="TableContents"/>
              <w:spacing w:before="0" w:after="283"/>
              <w:jc w:val="left"/>
              <w:rPr>
                <w:b/>
              </w:rPr>
            </w:pPr>
            <w:r>
              <w:rPr>
                <w:b/>
              </w:rPr>
              <w:t>Total assets</w:t>
            </w:r>
          </w:p>
        </w:tc>
        <w:tc>
          <w:tcPr>
            <w:tcW w:w="60" w:type="dxa"/>
            <w:tcBorders/>
            <w:shd w:fill="CCEEFF" w:val="clear"/>
            <w:vAlign w:val="center"/>
          </w:tcPr>
          <w:p>
            <w:pPr>
              <w:pStyle w:val="TableContents"/>
              <w:spacing w:before="0" w:after="283"/>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029" w:type="dxa"/>
            <w:tcBorders>
              <w:bottom w:val="double" w:sz="6" w:space="0" w:color="000000"/>
            </w:tcBorders>
            <w:shd w:fill="CCEEFF" w:val="clear"/>
            <w:tcMar>
              <w:bottom w:w="28" w:type="dxa"/>
            </w:tcMar>
            <w:vAlign w:val="center"/>
          </w:tcPr>
          <w:p>
            <w:pPr>
              <w:pStyle w:val="TableContents"/>
              <w:spacing w:before="0" w:after="283"/>
              <w:jc w:val="right"/>
              <w:rPr/>
            </w:pPr>
            <w:r>
              <w:rPr/>
              <w:t>23,199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42" w:type="dxa"/>
            <w:tcBorders>
              <w:bottom w:val="double" w:sz="6" w:space="0" w:color="000000"/>
            </w:tcBorders>
            <w:shd w:fill="CCEEFF" w:val="clear"/>
            <w:tcMar>
              <w:bottom w:w="28" w:type="dxa"/>
            </w:tcMar>
            <w:vAlign w:val="center"/>
          </w:tcPr>
          <w:p>
            <w:pPr>
              <w:pStyle w:val="TableContents"/>
              <w:spacing w:before="0" w:after="283"/>
              <w:jc w:val="right"/>
              <w:rPr/>
            </w:pPr>
            <w:r>
              <w:rPr/>
              <w:t>20,057</w:t>
            </w:r>
          </w:p>
        </w:tc>
        <w:tc>
          <w:tcPr>
            <w:tcW w:w="111" w:type="dxa"/>
            <w:tcBorders/>
            <w:shd w:fill="CCEEFF" w:val="clear"/>
            <w:vAlign w:val="center"/>
          </w:tcPr>
          <w:p>
            <w:pPr>
              <w:pStyle w:val="TableContents"/>
              <w:spacing w:before="0" w:after="283"/>
              <w:jc w:val="left"/>
              <w:rPr/>
            </w:pPr>
            <w:r>
              <w:rPr/>
              <w:t> </w:t>
            </w:r>
          </w:p>
        </w:tc>
      </w:tr>
      <w:tr>
        <w:trPr/>
        <w:tc>
          <w:tcPr>
            <w:tcW w:w="719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 </w:t>
            </w:r>
          </w:p>
        </w:tc>
        <w:tc>
          <w:tcPr>
            <w:tcW w:w="111" w:type="dxa"/>
            <w:tcBorders/>
            <w:shd w:fill="FFFFFF" w:val="clear"/>
            <w:vAlign w:val="center"/>
          </w:tcPr>
          <w:p>
            <w:pPr>
              <w:pStyle w:val="TableContents"/>
              <w:spacing w:before="0" w:after="283"/>
              <w:jc w:val="left"/>
              <w:rPr/>
            </w:pPr>
            <w:r>
              <w:rPr/>
              <w:t> </w:t>
            </w:r>
            <w:bookmarkStart w:id="54" w:name="xdx_40C_eus-gaap--LiabilitiesAndStockhol"/>
            <w:bookmarkEnd w:id="54"/>
          </w:p>
        </w:tc>
      </w:tr>
      <w:tr>
        <w:trPr/>
        <w:tc>
          <w:tcPr>
            <w:tcW w:w="7198" w:type="dxa"/>
            <w:tcBorders/>
            <w:shd w:fill="CCEEFF" w:val="clear"/>
            <w:vAlign w:val="center"/>
          </w:tcPr>
          <w:p>
            <w:pPr>
              <w:pStyle w:val="TableContents"/>
              <w:spacing w:before="0" w:after="283"/>
              <w:jc w:val="left"/>
              <w:rPr>
                <w:b/>
              </w:rPr>
            </w:pPr>
            <w:r>
              <w:rPr>
                <w:b/>
              </w:rPr>
              <w:t>LIABILITIES AND STOCKHOLDERS’ EQUITY</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 </w:t>
            </w:r>
          </w:p>
        </w:tc>
        <w:tc>
          <w:tcPr>
            <w:tcW w:w="111" w:type="dxa"/>
            <w:tcBorders/>
            <w:shd w:fill="CCEEFF" w:val="clear"/>
            <w:vAlign w:val="center"/>
          </w:tcPr>
          <w:p>
            <w:pPr>
              <w:pStyle w:val="TableContents"/>
              <w:spacing w:before="0" w:after="283"/>
              <w:jc w:val="left"/>
              <w:rPr/>
            </w:pPr>
            <w:r>
              <w:rPr/>
              <w:t> </w:t>
            </w:r>
            <w:bookmarkStart w:id="55" w:name="xdx_40A_eus-gaap--LiabilitiesCurrentAbst"/>
            <w:bookmarkEnd w:id="55"/>
          </w:p>
        </w:tc>
      </w:tr>
      <w:tr>
        <w:trPr/>
        <w:tc>
          <w:tcPr>
            <w:tcW w:w="7198" w:type="dxa"/>
            <w:tcBorders/>
            <w:shd w:fill="FFFFFF" w:val="clear"/>
            <w:vAlign w:val="center"/>
          </w:tcPr>
          <w:p>
            <w:pPr>
              <w:pStyle w:val="TableContents"/>
              <w:spacing w:before="0" w:after="283"/>
              <w:jc w:val="left"/>
              <w:rPr/>
            </w:pPr>
            <w:r>
              <w:rPr/>
              <w:t>Current liabilities:</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 </w:t>
            </w:r>
          </w:p>
        </w:tc>
        <w:tc>
          <w:tcPr>
            <w:tcW w:w="111" w:type="dxa"/>
            <w:tcBorders/>
            <w:shd w:fill="FFFFFF" w:val="clear"/>
            <w:vAlign w:val="center"/>
          </w:tcPr>
          <w:p>
            <w:pPr>
              <w:pStyle w:val="TableContents"/>
              <w:spacing w:before="0" w:after="283"/>
              <w:jc w:val="left"/>
              <w:rPr/>
            </w:pPr>
            <w:r>
              <w:rPr/>
              <w:t> </w:t>
            </w:r>
            <w:bookmarkStart w:id="56" w:name="xdx_401_eus-gaap--AccountsPayableCurrent"/>
            <w:bookmarkEnd w:id="56"/>
          </w:p>
        </w:tc>
      </w:tr>
      <w:tr>
        <w:trPr/>
        <w:tc>
          <w:tcPr>
            <w:tcW w:w="7198" w:type="dxa"/>
            <w:tcBorders/>
            <w:shd w:fill="CCEEFF" w:val="clear"/>
            <w:vAlign w:val="center"/>
          </w:tcPr>
          <w:p>
            <w:pPr>
              <w:pStyle w:val="TableContents"/>
              <w:spacing w:before="0" w:after="283"/>
              <w:jc w:val="left"/>
              <w:rPr/>
            </w:pPr>
            <w:r>
              <w:rPr/>
              <w:t>Accounts payable</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w:t>
            </w:r>
          </w:p>
        </w:tc>
        <w:tc>
          <w:tcPr>
            <w:tcW w:w="1029" w:type="dxa"/>
            <w:tcBorders/>
            <w:shd w:fill="CCEEFF" w:val="clear"/>
            <w:vAlign w:val="center"/>
          </w:tcPr>
          <w:p>
            <w:pPr>
              <w:pStyle w:val="TableContents"/>
              <w:spacing w:before="0" w:after="283"/>
              <w:jc w:val="right"/>
              <w:rPr/>
            </w:pPr>
            <w:r>
              <w:rPr/>
              <w:t>6,545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w:t>
            </w:r>
          </w:p>
        </w:tc>
        <w:tc>
          <w:tcPr>
            <w:tcW w:w="1242" w:type="dxa"/>
            <w:tcBorders/>
            <w:shd w:fill="CCEEFF" w:val="clear"/>
            <w:vAlign w:val="center"/>
          </w:tcPr>
          <w:p>
            <w:pPr>
              <w:pStyle w:val="TableContents"/>
              <w:spacing w:before="0" w:after="283"/>
              <w:jc w:val="right"/>
              <w:rPr/>
            </w:pPr>
            <w:r>
              <w:rPr/>
              <w:t>6,746</w:t>
            </w:r>
          </w:p>
        </w:tc>
        <w:tc>
          <w:tcPr>
            <w:tcW w:w="111" w:type="dxa"/>
            <w:tcBorders/>
            <w:shd w:fill="CCEEFF" w:val="clear"/>
            <w:vAlign w:val="center"/>
          </w:tcPr>
          <w:p>
            <w:pPr>
              <w:pStyle w:val="TableContents"/>
              <w:spacing w:before="0" w:after="283"/>
              <w:jc w:val="left"/>
              <w:rPr/>
            </w:pPr>
            <w:r>
              <w:rPr/>
              <w:t> </w:t>
            </w:r>
            <w:bookmarkStart w:id="57" w:name="xdx_401_eus-gaap--DueToRelatedPartiesCur"/>
            <w:bookmarkEnd w:id="57"/>
          </w:p>
        </w:tc>
      </w:tr>
      <w:tr>
        <w:trPr/>
        <w:tc>
          <w:tcPr>
            <w:tcW w:w="7198" w:type="dxa"/>
            <w:tcBorders/>
            <w:shd w:fill="FFFFFF" w:val="clear"/>
            <w:vAlign w:val="center"/>
          </w:tcPr>
          <w:p>
            <w:pPr>
              <w:pStyle w:val="TableContents"/>
              <w:spacing w:before="0" w:after="283"/>
              <w:jc w:val="left"/>
              <w:rPr/>
            </w:pPr>
            <w:r>
              <w:rPr/>
              <w:t>Payable to related party</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799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557</w:t>
            </w:r>
          </w:p>
        </w:tc>
        <w:tc>
          <w:tcPr>
            <w:tcW w:w="111" w:type="dxa"/>
            <w:tcBorders/>
            <w:shd w:fill="FFFFFF" w:val="clear"/>
            <w:vAlign w:val="center"/>
          </w:tcPr>
          <w:p>
            <w:pPr>
              <w:pStyle w:val="TableContents"/>
              <w:spacing w:before="0" w:after="283"/>
              <w:jc w:val="left"/>
              <w:rPr/>
            </w:pPr>
            <w:r>
              <w:rPr/>
              <w:t> </w:t>
            </w:r>
            <w:bookmarkStart w:id="58" w:name="xdx_407_eus-gaap--AccruedLiabilitiesCurr"/>
            <w:bookmarkEnd w:id="58"/>
          </w:p>
        </w:tc>
      </w:tr>
      <w:tr>
        <w:trPr/>
        <w:tc>
          <w:tcPr>
            <w:tcW w:w="7198" w:type="dxa"/>
            <w:tcBorders/>
            <w:shd w:fill="CCEEFF" w:val="clear"/>
            <w:vAlign w:val="center"/>
          </w:tcPr>
          <w:p>
            <w:pPr>
              <w:pStyle w:val="TableContents"/>
              <w:spacing w:before="0" w:after="283"/>
              <w:jc w:val="left"/>
              <w:rPr/>
            </w:pPr>
            <w:r>
              <w:rPr/>
              <w:t>Accrued expenses</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723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895</w:t>
            </w:r>
          </w:p>
        </w:tc>
        <w:tc>
          <w:tcPr>
            <w:tcW w:w="111" w:type="dxa"/>
            <w:tcBorders/>
            <w:shd w:fill="CCEEFF" w:val="clear"/>
            <w:vAlign w:val="center"/>
          </w:tcPr>
          <w:p>
            <w:pPr>
              <w:pStyle w:val="TableContents"/>
              <w:spacing w:before="0" w:after="283"/>
              <w:jc w:val="left"/>
              <w:rPr/>
            </w:pPr>
            <w:r>
              <w:rPr/>
              <w:t> </w:t>
            </w:r>
            <w:bookmarkStart w:id="59" w:name="xdx_406_eus-gaap--LinesOfCreditCurrent_i"/>
            <w:bookmarkEnd w:id="59"/>
          </w:p>
        </w:tc>
      </w:tr>
      <w:tr>
        <w:trPr/>
        <w:tc>
          <w:tcPr>
            <w:tcW w:w="7198" w:type="dxa"/>
            <w:tcBorders/>
            <w:shd w:fill="FFFFFF" w:val="clear"/>
            <w:vAlign w:val="center"/>
          </w:tcPr>
          <w:p>
            <w:pPr>
              <w:pStyle w:val="TableContents"/>
              <w:spacing w:before="0" w:after="283"/>
              <w:jc w:val="left"/>
              <w:rPr/>
            </w:pPr>
            <w:r>
              <w:rPr/>
              <w:t>Revolving line of credit</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2,939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w:t>
            </w:r>
          </w:p>
        </w:tc>
        <w:tc>
          <w:tcPr>
            <w:tcW w:w="111" w:type="dxa"/>
            <w:tcBorders/>
            <w:shd w:fill="FFFFFF" w:val="clear"/>
            <w:vAlign w:val="center"/>
          </w:tcPr>
          <w:p>
            <w:pPr>
              <w:pStyle w:val="TableContents"/>
              <w:spacing w:before="0" w:after="283"/>
              <w:jc w:val="left"/>
              <w:rPr/>
            </w:pPr>
            <w:r>
              <w:rPr/>
              <w:t> </w:t>
            </w:r>
            <w:bookmarkStart w:id="60" w:name="xdx_403_eus-gaap--NotesPayableCurrent_i0"/>
            <w:bookmarkEnd w:id="60"/>
          </w:p>
        </w:tc>
      </w:tr>
      <w:tr>
        <w:trPr/>
        <w:tc>
          <w:tcPr>
            <w:tcW w:w="7198" w:type="dxa"/>
            <w:tcBorders/>
            <w:shd w:fill="CCEEFF" w:val="clear"/>
            <w:vAlign w:val="center"/>
          </w:tcPr>
          <w:p>
            <w:pPr>
              <w:pStyle w:val="TableContents"/>
              <w:spacing w:before="0" w:after="283"/>
              <w:jc w:val="left"/>
              <w:rPr/>
            </w:pPr>
            <w:r>
              <w:rPr/>
              <w:t>Current portion of note payable</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599</w:t>
            </w:r>
          </w:p>
        </w:tc>
        <w:tc>
          <w:tcPr>
            <w:tcW w:w="111" w:type="dxa"/>
            <w:tcBorders/>
            <w:shd w:fill="CCEEFF" w:val="clear"/>
            <w:vAlign w:val="center"/>
          </w:tcPr>
          <w:p>
            <w:pPr>
              <w:pStyle w:val="TableContents"/>
              <w:spacing w:before="0" w:after="283"/>
              <w:jc w:val="left"/>
              <w:rPr/>
            </w:pPr>
            <w:r>
              <w:rPr/>
              <w:t> </w:t>
            </w:r>
            <w:bookmarkStart w:id="61" w:name="xdx_409_eus-gaap--OperatingLeaseLiabilit"/>
            <w:bookmarkEnd w:id="61"/>
          </w:p>
        </w:tc>
      </w:tr>
      <w:tr>
        <w:trPr/>
        <w:tc>
          <w:tcPr>
            <w:tcW w:w="7198" w:type="dxa"/>
            <w:tcBorders/>
            <w:shd w:fill="FFFFFF" w:val="clear"/>
            <w:vAlign w:val="center"/>
          </w:tcPr>
          <w:p>
            <w:pPr>
              <w:pStyle w:val="TableContents"/>
              <w:spacing w:before="0" w:after="283"/>
              <w:jc w:val="left"/>
              <w:rPr/>
            </w:pPr>
            <w:r>
              <w:rPr/>
              <w:t>Current portion of leases liabilities</w:t>
            </w:r>
          </w:p>
        </w:tc>
        <w:tc>
          <w:tcPr>
            <w:tcW w:w="60" w:type="dxa"/>
            <w:tcBorders/>
            <w:shd w:fill="FFFFFF" w:val="clear"/>
            <w:vAlign w:val="center"/>
          </w:tcPr>
          <w:p>
            <w:pPr>
              <w:pStyle w:val="TableContents"/>
              <w:spacing w:before="0" w:after="283"/>
              <w:rPr/>
            </w:pPr>
            <w:r>
              <w:rPr/>
              <w:t> </w:t>
            </w:r>
          </w:p>
        </w:tc>
        <w:tc>
          <w:tcPr>
            <w:tcW w:w="1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center"/>
          </w:tcPr>
          <w:p>
            <w:pPr>
              <w:pStyle w:val="TableContents"/>
              <w:spacing w:before="0" w:after="283"/>
              <w:jc w:val="right"/>
              <w:rPr/>
            </w:pPr>
            <w:r>
              <w:rPr/>
              <w:t>149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spacing w:before="0" w:after="283"/>
              <w:jc w:val="right"/>
              <w:rPr/>
            </w:pPr>
            <w:r>
              <w:rPr/>
              <w:t>130</w:t>
            </w:r>
          </w:p>
        </w:tc>
        <w:tc>
          <w:tcPr>
            <w:tcW w:w="111" w:type="dxa"/>
            <w:tcBorders/>
            <w:shd w:fill="FFFFFF" w:val="clear"/>
            <w:vAlign w:val="center"/>
          </w:tcPr>
          <w:p>
            <w:pPr>
              <w:pStyle w:val="TableContents"/>
              <w:spacing w:before="0" w:after="283"/>
              <w:jc w:val="left"/>
              <w:rPr/>
            </w:pPr>
            <w:r>
              <w:rPr/>
              <w:t> </w:t>
            </w:r>
            <w:bookmarkStart w:id="62" w:name="xdx_402_eus-gaap--LiabilitiesCurrent_i02"/>
            <w:bookmarkEnd w:id="62"/>
          </w:p>
        </w:tc>
      </w:tr>
      <w:tr>
        <w:trPr/>
        <w:tc>
          <w:tcPr>
            <w:tcW w:w="7198" w:type="dxa"/>
            <w:tcBorders/>
            <w:shd w:fill="CCEEFF" w:val="clear"/>
            <w:vAlign w:val="center"/>
          </w:tcPr>
          <w:p>
            <w:pPr>
              <w:pStyle w:val="TableContents"/>
              <w:spacing w:before="0" w:after="283"/>
              <w:jc w:val="left"/>
              <w:rPr>
                <w:i/>
              </w:rPr>
            </w:pPr>
            <w:r>
              <w:rPr>
                <w:i/>
              </w:rPr>
              <w:t>Total current liabilities</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11,155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8,927</w:t>
            </w:r>
          </w:p>
        </w:tc>
        <w:tc>
          <w:tcPr>
            <w:tcW w:w="111" w:type="dxa"/>
            <w:tcBorders/>
            <w:shd w:fill="CCEEFF" w:val="clear"/>
            <w:vAlign w:val="center"/>
          </w:tcPr>
          <w:p>
            <w:pPr>
              <w:pStyle w:val="TableContents"/>
              <w:spacing w:before="0" w:after="283"/>
              <w:jc w:val="left"/>
              <w:rPr/>
            </w:pPr>
            <w:r>
              <w:rPr/>
              <w:t> </w:t>
            </w:r>
          </w:p>
        </w:tc>
      </w:tr>
      <w:tr>
        <w:trPr/>
        <w:tc>
          <w:tcPr>
            <w:tcW w:w="719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 </w:t>
            </w:r>
          </w:p>
        </w:tc>
        <w:tc>
          <w:tcPr>
            <w:tcW w:w="111" w:type="dxa"/>
            <w:tcBorders/>
            <w:shd w:fill="FFFFFF" w:val="clear"/>
            <w:vAlign w:val="center"/>
          </w:tcPr>
          <w:p>
            <w:pPr>
              <w:pStyle w:val="TableContents"/>
              <w:spacing w:before="0" w:after="283"/>
              <w:jc w:val="left"/>
              <w:rPr/>
            </w:pPr>
            <w:r>
              <w:rPr/>
              <w:t> </w:t>
            </w:r>
            <w:bookmarkStart w:id="63" w:name="xdx_40F_eus-gaap--OperatingLeaseLiabilit"/>
            <w:bookmarkEnd w:id="63"/>
          </w:p>
        </w:tc>
      </w:tr>
      <w:tr>
        <w:trPr/>
        <w:tc>
          <w:tcPr>
            <w:tcW w:w="7198" w:type="dxa"/>
            <w:tcBorders/>
            <w:shd w:fill="CCEEFF" w:val="clear"/>
            <w:vAlign w:val="center"/>
          </w:tcPr>
          <w:p>
            <w:pPr>
              <w:pStyle w:val="TableContents"/>
              <w:spacing w:before="0" w:after="283"/>
              <w:jc w:val="left"/>
              <w:rPr/>
            </w:pPr>
            <w:r>
              <w:rPr/>
              <w:t>Leases liabilities, less current portion</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478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555</w:t>
            </w:r>
          </w:p>
        </w:tc>
        <w:tc>
          <w:tcPr>
            <w:tcW w:w="111" w:type="dxa"/>
            <w:tcBorders/>
            <w:shd w:fill="CCEEFF" w:val="clear"/>
            <w:vAlign w:val="center"/>
          </w:tcPr>
          <w:p>
            <w:pPr>
              <w:pStyle w:val="TableContents"/>
              <w:spacing w:before="0" w:after="283"/>
              <w:jc w:val="left"/>
              <w:rPr/>
            </w:pPr>
            <w:r>
              <w:rPr/>
              <w:t> </w:t>
            </w:r>
            <w:bookmarkStart w:id="64" w:name="xdx_40D_eus-gaap--LongTermNotesPayable_i"/>
            <w:bookmarkEnd w:id="64"/>
          </w:p>
        </w:tc>
      </w:tr>
      <w:tr>
        <w:trPr/>
        <w:tc>
          <w:tcPr>
            <w:tcW w:w="7198" w:type="dxa"/>
            <w:tcBorders/>
            <w:shd w:fill="FFFFFF" w:val="clear"/>
            <w:vAlign w:val="center"/>
          </w:tcPr>
          <w:p>
            <w:pPr>
              <w:pStyle w:val="TableContents"/>
              <w:spacing w:before="0" w:after="283"/>
              <w:jc w:val="left"/>
              <w:rPr/>
            </w:pPr>
            <w:r>
              <w:rPr/>
              <w:t>Note payable, less current portion</w:t>
            </w:r>
          </w:p>
        </w:tc>
        <w:tc>
          <w:tcPr>
            <w:tcW w:w="60" w:type="dxa"/>
            <w:tcBorders/>
            <w:shd w:fill="FFFFFF" w:val="clear"/>
            <w:vAlign w:val="center"/>
          </w:tcPr>
          <w:p>
            <w:pPr>
              <w:pStyle w:val="TableContents"/>
              <w:spacing w:before="0" w:after="283"/>
              <w:rPr/>
            </w:pPr>
            <w:r>
              <w:rPr/>
              <w:t> </w:t>
            </w:r>
          </w:p>
        </w:tc>
        <w:tc>
          <w:tcPr>
            <w:tcW w:w="1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spacing w:before="0" w:after="283"/>
              <w:jc w:val="right"/>
              <w:rPr/>
            </w:pPr>
            <w:r>
              <w:rPr/>
              <w:t>171</w:t>
            </w:r>
          </w:p>
        </w:tc>
        <w:tc>
          <w:tcPr>
            <w:tcW w:w="111" w:type="dxa"/>
            <w:tcBorders/>
            <w:shd w:fill="FFFFFF" w:val="clear"/>
            <w:vAlign w:val="center"/>
          </w:tcPr>
          <w:p>
            <w:pPr>
              <w:pStyle w:val="TableContents"/>
              <w:spacing w:before="0" w:after="283"/>
              <w:jc w:val="left"/>
              <w:rPr/>
            </w:pPr>
            <w:r>
              <w:rPr/>
              <w:t> </w:t>
            </w:r>
            <w:bookmarkStart w:id="65" w:name="xdx_40E_eus-gaap--Liabilities_i01TI_mtLz"/>
            <w:bookmarkEnd w:id="65"/>
          </w:p>
        </w:tc>
      </w:tr>
      <w:tr>
        <w:trPr/>
        <w:tc>
          <w:tcPr>
            <w:tcW w:w="7198" w:type="dxa"/>
            <w:tcBorders/>
            <w:shd w:fill="CCEEFF" w:val="clear"/>
            <w:vAlign w:val="center"/>
          </w:tcPr>
          <w:p>
            <w:pPr>
              <w:pStyle w:val="TableContents"/>
              <w:spacing w:before="0" w:after="283"/>
              <w:jc w:val="left"/>
              <w:rPr>
                <w:b/>
              </w:rPr>
            </w:pPr>
            <w:r>
              <w:rPr>
                <w:b/>
              </w:rPr>
              <w:t>Total liabilities</w:t>
            </w:r>
          </w:p>
        </w:tc>
        <w:tc>
          <w:tcPr>
            <w:tcW w:w="60" w:type="dxa"/>
            <w:tcBorders/>
            <w:shd w:fill="CCEEFF" w:val="clear"/>
            <w:vAlign w:val="center"/>
          </w:tcPr>
          <w:p>
            <w:pPr>
              <w:pStyle w:val="TableContents"/>
              <w:spacing w:before="0" w:after="283"/>
              <w:rPr/>
            </w:pPr>
            <w:r>
              <w:rPr/>
              <w:t> </w:t>
            </w:r>
          </w:p>
        </w:tc>
        <w:tc>
          <w:tcPr>
            <w:tcW w:w="18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center"/>
          </w:tcPr>
          <w:p>
            <w:pPr>
              <w:pStyle w:val="TableContents"/>
              <w:spacing w:before="0" w:after="283"/>
              <w:jc w:val="right"/>
              <w:rPr/>
            </w:pPr>
            <w:r>
              <w:rPr/>
              <w:t>11,633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spacing w:before="0" w:after="283"/>
              <w:jc w:val="right"/>
              <w:rPr/>
            </w:pPr>
            <w:r>
              <w:rPr/>
              <w:t>9,653</w:t>
            </w:r>
          </w:p>
        </w:tc>
        <w:tc>
          <w:tcPr>
            <w:tcW w:w="111" w:type="dxa"/>
            <w:tcBorders/>
            <w:shd w:fill="CCEEFF" w:val="clear"/>
            <w:vAlign w:val="center"/>
          </w:tcPr>
          <w:p>
            <w:pPr>
              <w:pStyle w:val="TableContents"/>
              <w:spacing w:before="0" w:after="283"/>
              <w:jc w:val="left"/>
              <w:rPr/>
            </w:pPr>
            <w:r>
              <w:rPr/>
              <w:t> </w:t>
            </w:r>
          </w:p>
        </w:tc>
      </w:tr>
      <w:tr>
        <w:trPr/>
        <w:tc>
          <w:tcPr>
            <w:tcW w:w="719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 </w:t>
            </w:r>
          </w:p>
        </w:tc>
        <w:tc>
          <w:tcPr>
            <w:tcW w:w="111" w:type="dxa"/>
            <w:tcBorders/>
            <w:shd w:fill="FFFFFF" w:val="clear"/>
            <w:vAlign w:val="center"/>
          </w:tcPr>
          <w:p>
            <w:pPr>
              <w:pStyle w:val="TableContents"/>
              <w:spacing w:before="0" w:after="283"/>
              <w:jc w:val="left"/>
              <w:rPr/>
            </w:pPr>
            <w:r>
              <w:rPr/>
              <w:t> </w:t>
            </w:r>
            <w:bookmarkStart w:id="66" w:name="xdx_402_eus-gaap--StockholdersEquityAbst"/>
            <w:bookmarkEnd w:id="66"/>
          </w:p>
        </w:tc>
      </w:tr>
      <w:tr>
        <w:trPr/>
        <w:tc>
          <w:tcPr>
            <w:tcW w:w="7198" w:type="dxa"/>
            <w:tcBorders/>
            <w:shd w:fill="CCEEFF" w:val="clear"/>
            <w:vAlign w:val="center"/>
          </w:tcPr>
          <w:p>
            <w:pPr>
              <w:pStyle w:val="TableContents"/>
              <w:spacing w:before="0" w:after="283"/>
              <w:jc w:val="left"/>
              <w:rPr>
                <w:b/>
              </w:rPr>
            </w:pPr>
            <w:r>
              <w:rPr>
                <w:b/>
              </w:rPr>
              <w:t>Stockholders’ equity:</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 </w:t>
            </w:r>
          </w:p>
        </w:tc>
        <w:tc>
          <w:tcPr>
            <w:tcW w:w="111" w:type="dxa"/>
            <w:tcBorders/>
            <w:shd w:fill="CCEEFF" w:val="clear"/>
            <w:vAlign w:val="center"/>
          </w:tcPr>
          <w:p>
            <w:pPr>
              <w:pStyle w:val="TableContents"/>
              <w:spacing w:before="0" w:after="283"/>
              <w:jc w:val="left"/>
              <w:rPr/>
            </w:pPr>
            <w:r>
              <w:rPr/>
              <w:t> </w:t>
            </w:r>
            <w:bookmarkStart w:id="67" w:name="xdx_40A_eus-gaap--PreferredStockValue_i0"/>
            <w:bookmarkEnd w:id="67"/>
          </w:p>
        </w:tc>
      </w:tr>
      <w:tr>
        <w:trPr/>
        <w:tc>
          <w:tcPr>
            <w:tcW w:w="7198" w:type="dxa"/>
            <w:tcBorders/>
            <w:shd w:fill="FFFFFF" w:val="clear"/>
            <w:vAlign w:val="center"/>
          </w:tcPr>
          <w:p>
            <w:pPr>
              <w:pStyle w:val="TableContents"/>
              <w:spacing w:before="0" w:after="283"/>
              <w:jc w:val="left"/>
              <w:rPr/>
            </w:pPr>
            <w:r>
              <w:rPr/>
              <w:t>Series A Convertible Preferred stock, $</w:t>
            </w:r>
            <w:bookmarkStart w:id="68" w:name="xdx_908_eus-gaap--PreferredStockParOrSta"/>
            <w:bookmarkStart w:id="69" w:name="xdx_907_eus-gaap--PreferredStockParOrSta"/>
            <w:bookmarkEnd w:id="68"/>
            <w:bookmarkEnd w:id="69"/>
            <w:r>
              <w:rPr/>
              <w:t xml:space="preserve">10 par value, </w:t>
            </w:r>
            <w:bookmarkStart w:id="70" w:name="xdx_90F_eus-gaap--PreferredStockSharesAu"/>
            <w:bookmarkStart w:id="71" w:name="xdx_904_eus-gaap--PreferredStockSharesAu"/>
            <w:bookmarkEnd w:id="70"/>
            <w:bookmarkEnd w:id="71"/>
            <w:r>
              <w:rPr/>
              <w:t xml:space="preserve">500,000 shares authorized, </w:t>
            </w:r>
            <w:bookmarkStart w:id="72" w:name="xdx_90A_eus-gaap--PreferredStockSharesOu"/>
            <w:bookmarkStart w:id="73" w:name="xdx_90C_eus-gaap--PreferredStockSharesOu"/>
            <w:bookmarkStart w:id="74" w:name="xdx_900_eus-gaap--PreferredStockSharesIs"/>
            <w:bookmarkStart w:id="75" w:name="xdx_90E_eus-gaap--PreferredStockSharesIs"/>
            <w:bookmarkEnd w:id="72"/>
            <w:bookmarkEnd w:id="73"/>
            <w:bookmarkEnd w:id="74"/>
            <w:bookmarkEnd w:id="75"/>
            <w:r>
              <w:rPr/>
              <w:t>9,411 shares issued and outstanding</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94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94</w:t>
            </w:r>
          </w:p>
        </w:tc>
        <w:tc>
          <w:tcPr>
            <w:tcW w:w="111" w:type="dxa"/>
            <w:tcBorders/>
            <w:shd w:fill="FFFFFF" w:val="clear"/>
            <w:vAlign w:val="center"/>
          </w:tcPr>
          <w:p>
            <w:pPr>
              <w:pStyle w:val="TableContents"/>
              <w:spacing w:before="0" w:after="283"/>
              <w:jc w:val="left"/>
              <w:rPr/>
            </w:pPr>
            <w:r>
              <w:rPr/>
              <w:t> </w:t>
            </w:r>
            <w:bookmarkStart w:id="76" w:name="xdx_406_eus-gaap--CommonStockValue_i02I_"/>
            <w:bookmarkEnd w:id="76"/>
          </w:p>
        </w:tc>
      </w:tr>
      <w:tr>
        <w:trPr/>
        <w:tc>
          <w:tcPr>
            <w:tcW w:w="7198" w:type="dxa"/>
            <w:tcBorders/>
            <w:shd w:fill="CCEEFF" w:val="clear"/>
            <w:vAlign w:val="center"/>
          </w:tcPr>
          <w:p>
            <w:pPr>
              <w:pStyle w:val="TableContents"/>
              <w:spacing w:before="0" w:after="283"/>
              <w:jc w:val="left"/>
              <w:rPr/>
            </w:pPr>
            <w:r>
              <w:rPr/>
              <w:t>Common stock, $</w:t>
            </w:r>
            <w:bookmarkStart w:id="77" w:name="xdx_90A_eus-gaap--CommonStockParOrStated"/>
            <w:bookmarkStart w:id="78" w:name="xdx_906_eus-gaap--CommonStockParOrStated"/>
            <w:bookmarkEnd w:id="77"/>
            <w:bookmarkEnd w:id="78"/>
            <w:r>
              <w:rPr/>
              <w:t xml:space="preserve">.0001 par value, </w:t>
            </w:r>
            <w:bookmarkStart w:id="79" w:name="xdx_90F_eus-gaap--CommonStockSharesAutho"/>
            <w:bookmarkStart w:id="80" w:name="xdx_90B_eus-gaap--CommonStockSharesAutho"/>
            <w:bookmarkEnd w:id="79"/>
            <w:bookmarkEnd w:id="80"/>
            <w:r>
              <w:rPr/>
              <w:t xml:space="preserve">120,000,000 shares authorized, </w:t>
            </w:r>
            <w:bookmarkStart w:id="81" w:name="xdx_905_eus-gaap--CommonStockSharesOutst"/>
            <w:bookmarkStart w:id="82" w:name="xdx_90F_eus-gaap--CommonStockSharesIssue"/>
            <w:bookmarkEnd w:id="81"/>
            <w:bookmarkEnd w:id="82"/>
            <w:r>
              <w:rPr/>
              <w:t xml:space="preserve">93,601,380 and </w:t>
            </w:r>
            <w:bookmarkStart w:id="83" w:name="xdx_90A_eus-gaap--CommonStockSharesOutst"/>
            <w:bookmarkStart w:id="84" w:name="xdx_908_eus-gaap--CommonStockSharesIssue"/>
            <w:bookmarkEnd w:id="83"/>
            <w:bookmarkEnd w:id="84"/>
            <w:r>
              <w:rPr/>
              <w:t>86,317,096 shares issued and outstanding, respectively</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 </w:t>
            </w:r>
          </w:p>
        </w:tc>
        <w:tc>
          <w:tcPr>
            <w:tcW w:w="1029" w:type="dxa"/>
            <w:tcBorders/>
            <w:shd w:fill="CCEEFF" w:val="clear"/>
            <w:vAlign w:val="center"/>
          </w:tcPr>
          <w:p>
            <w:pPr>
              <w:pStyle w:val="TableContents"/>
              <w:spacing w:before="0" w:after="283"/>
              <w:jc w:val="right"/>
              <w:rPr/>
            </w:pPr>
            <w:r>
              <w:rPr/>
              <w:t>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shd w:fill="CCEEFF" w:val="clear"/>
            <w:vAlign w:val="center"/>
          </w:tcPr>
          <w:p>
            <w:pPr>
              <w:pStyle w:val="TableContents"/>
              <w:spacing w:before="0" w:after="283"/>
              <w:jc w:val="left"/>
              <w:rPr/>
            </w:pPr>
            <w:r>
              <w:rPr/>
              <w:t> </w:t>
            </w:r>
          </w:p>
        </w:tc>
        <w:tc>
          <w:tcPr>
            <w:tcW w:w="1242" w:type="dxa"/>
            <w:tcBorders/>
            <w:shd w:fill="CCEEFF" w:val="clear"/>
            <w:vAlign w:val="center"/>
          </w:tcPr>
          <w:p>
            <w:pPr>
              <w:pStyle w:val="TableContents"/>
              <w:spacing w:before="0" w:after="283"/>
              <w:jc w:val="right"/>
              <w:rPr/>
            </w:pPr>
            <w:r>
              <w:rPr/>
              <w:t>9</w:t>
            </w:r>
          </w:p>
        </w:tc>
        <w:tc>
          <w:tcPr>
            <w:tcW w:w="111" w:type="dxa"/>
            <w:tcBorders/>
            <w:shd w:fill="CCEEFF" w:val="clear"/>
            <w:vAlign w:val="center"/>
          </w:tcPr>
          <w:p>
            <w:pPr>
              <w:pStyle w:val="TableContents"/>
              <w:spacing w:before="0" w:after="283"/>
              <w:jc w:val="left"/>
              <w:rPr/>
            </w:pPr>
            <w:r>
              <w:rPr/>
              <w:t> </w:t>
            </w:r>
            <w:bookmarkStart w:id="85" w:name="xdx_404_eus-gaap--AdditionalPaidInCapita"/>
            <w:bookmarkEnd w:id="85"/>
          </w:p>
        </w:tc>
      </w:tr>
      <w:tr>
        <w:trPr/>
        <w:tc>
          <w:tcPr>
            <w:tcW w:w="7198" w:type="dxa"/>
            <w:tcBorders/>
            <w:shd w:fill="FFFFFF" w:val="clear"/>
            <w:vAlign w:val="center"/>
          </w:tcPr>
          <w:p>
            <w:pPr>
              <w:pStyle w:val="TableContents"/>
              <w:spacing w:before="0" w:after="283"/>
              <w:jc w:val="left"/>
              <w:rPr/>
            </w:pPr>
            <w:r>
              <w:rPr/>
              <w:t>Additional paid in capital</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jc w:val="left"/>
              <w:rPr/>
            </w:pPr>
            <w:r>
              <w:rPr/>
              <w:t> </w:t>
            </w:r>
          </w:p>
        </w:tc>
        <w:tc>
          <w:tcPr>
            <w:tcW w:w="1029" w:type="dxa"/>
            <w:tcBorders/>
            <w:shd w:fill="FFFFFF" w:val="clear"/>
            <w:vAlign w:val="center"/>
          </w:tcPr>
          <w:p>
            <w:pPr>
              <w:pStyle w:val="TableContents"/>
              <w:spacing w:before="0" w:after="283"/>
              <w:jc w:val="right"/>
              <w:rPr/>
            </w:pPr>
            <w:r>
              <w:rPr/>
              <w:t>105,847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shd w:fill="FFFFFF" w:val="clear"/>
            <w:vAlign w:val="center"/>
          </w:tcPr>
          <w:p>
            <w:pPr>
              <w:pStyle w:val="TableContents"/>
              <w:spacing w:before="0" w:after="283"/>
              <w:jc w:val="left"/>
              <w:rPr/>
            </w:pPr>
            <w:r>
              <w:rPr/>
              <w:t> </w:t>
            </w:r>
          </w:p>
        </w:tc>
        <w:tc>
          <w:tcPr>
            <w:tcW w:w="1242" w:type="dxa"/>
            <w:tcBorders/>
            <w:shd w:fill="FFFFFF" w:val="clear"/>
            <w:vAlign w:val="center"/>
          </w:tcPr>
          <w:p>
            <w:pPr>
              <w:pStyle w:val="TableContents"/>
              <w:spacing w:before="0" w:after="283"/>
              <w:jc w:val="right"/>
              <w:rPr/>
            </w:pPr>
            <w:r>
              <w:rPr/>
              <w:t>97,031</w:t>
            </w:r>
          </w:p>
        </w:tc>
        <w:tc>
          <w:tcPr>
            <w:tcW w:w="111" w:type="dxa"/>
            <w:tcBorders/>
            <w:shd w:fill="FFFFFF" w:val="clear"/>
            <w:vAlign w:val="center"/>
          </w:tcPr>
          <w:p>
            <w:pPr>
              <w:pStyle w:val="TableContents"/>
              <w:spacing w:before="0" w:after="283"/>
              <w:jc w:val="left"/>
              <w:rPr/>
            </w:pPr>
            <w:r>
              <w:rPr/>
              <w:t> </w:t>
            </w:r>
            <w:bookmarkStart w:id="86" w:name="xdx_40E_eus-gaap--RetainedEarningsAccumu"/>
            <w:bookmarkEnd w:id="86"/>
          </w:p>
        </w:tc>
      </w:tr>
      <w:tr>
        <w:trPr/>
        <w:tc>
          <w:tcPr>
            <w:tcW w:w="7198" w:type="dxa"/>
            <w:tcBorders/>
            <w:shd w:fill="CCEEFF" w:val="clear"/>
            <w:vAlign w:val="center"/>
          </w:tcPr>
          <w:p>
            <w:pPr>
              <w:pStyle w:val="TableContents"/>
              <w:spacing w:before="0" w:after="283"/>
              <w:jc w:val="left"/>
              <w:rPr/>
            </w:pPr>
            <w:r>
              <w:rPr/>
              <w:t>Accumulated deficit</w:t>
            </w:r>
          </w:p>
        </w:tc>
        <w:tc>
          <w:tcPr>
            <w:tcW w:w="60" w:type="dxa"/>
            <w:tcBorders/>
            <w:shd w:fill="CCEEFF" w:val="clear"/>
            <w:vAlign w:val="center"/>
          </w:tcPr>
          <w:p>
            <w:pPr>
              <w:pStyle w:val="TableContents"/>
              <w:spacing w:before="0" w:after="283"/>
              <w:rPr/>
            </w:pPr>
            <w:r>
              <w:rPr/>
              <w:t> </w:t>
            </w:r>
          </w:p>
        </w:tc>
        <w:tc>
          <w:tcPr>
            <w:tcW w:w="18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29" w:type="dxa"/>
            <w:tcBorders>
              <w:bottom w:val="single" w:sz="12" w:space="0" w:color="000000"/>
            </w:tcBorders>
            <w:shd w:fill="CCEEFF" w:val="clear"/>
            <w:tcMar>
              <w:bottom w:w="28" w:type="dxa"/>
            </w:tcMar>
            <w:vAlign w:val="center"/>
          </w:tcPr>
          <w:p>
            <w:pPr>
              <w:pStyle w:val="TableContents"/>
              <w:spacing w:before="0" w:after="283"/>
              <w:jc w:val="right"/>
              <w:rPr/>
            </w:pPr>
            <w:r>
              <w:rPr/>
              <w:t>(94,384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3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center"/>
          </w:tcPr>
          <w:p>
            <w:pPr>
              <w:pStyle w:val="TableContents"/>
              <w:spacing w:before="0" w:after="283"/>
              <w:jc w:val="right"/>
              <w:rPr/>
            </w:pPr>
            <w:r>
              <w:rPr/>
              <w:t>(86,730</w:t>
            </w:r>
          </w:p>
        </w:tc>
        <w:tc>
          <w:tcPr>
            <w:tcW w:w="111" w:type="dxa"/>
            <w:tcBorders/>
            <w:shd w:fill="CCEEFF" w:val="clear"/>
            <w:vAlign w:val="center"/>
          </w:tcPr>
          <w:p>
            <w:pPr>
              <w:pStyle w:val="TableContents"/>
              <w:spacing w:before="0" w:after="283"/>
              <w:jc w:val="left"/>
              <w:rPr/>
            </w:pPr>
            <w:r>
              <w:rPr/>
              <w:t>)</w:t>
            </w:r>
            <w:bookmarkStart w:id="87" w:name="xdx_40D_eus-gaap--StockholdersEquity_i02"/>
            <w:bookmarkEnd w:id="87"/>
          </w:p>
        </w:tc>
      </w:tr>
      <w:tr>
        <w:trPr/>
        <w:tc>
          <w:tcPr>
            <w:tcW w:w="7198" w:type="dxa"/>
            <w:tcBorders/>
            <w:shd w:fill="FFFFFF" w:val="clear"/>
            <w:vAlign w:val="center"/>
          </w:tcPr>
          <w:p>
            <w:pPr>
              <w:pStyle w:val="TableContents"/>
              <w:spacing w:before="0" w:after="283"/>
              <w:jc w:val="left"/>
              <w:rPr>
                <w:b/>
              </w:rPr>
            </w:pPr>
            <w:r>
              <w:rPr>
                <w:b/>
              </w:rPr>
              <w:t>Total stockholders’ equity</w:t>
            </w:r>
          </w:p>
        </w:tc>
        <w:tc>
          <w:tcPr>
            <w:tcW w:w="60" w:type="dxa"/>
            <w:tcBorders/>
            <w:shd w:fill="FFFFFF" w:val="clear"/>
            <w:vAlign w:val="center"/>
          </w:tcPr>
          <w:p>
            <w:pPr>
              <w:pStyle w:val="TableContents"/>
              <w:spacing w:before="0" w:after="283"/>
              <w:rPr/>
            </w:pPr>
            <w:r>
              <w:rPr/>
              <w:t> </w:t>
            </w:r>
          </w:p>
        </w:tc>
        <w:tc>
          <w:tcPr>
            <w:tcW w:w="1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29" w:type="dxa"/>
            <w:tcBorders>
              <w:bottom w:val="single" w:sz="12" w:space="0" w:color="000000"/>
            </w:tcBorders>
            <w:shd w:fill="FFFFFF" w:val="clear"/>
            <w:tcMar>
              <w:bottom w:w="28" w:type="dxa"/>
            </w:tcMar>
            <w:vAlign w:val="center"/>
          </w:tcPr>
          <w:p>
            <w:pPr>
              <w:pStyle w:val="TableContents"/>
              <w:spacing w:before="0" w:after="283"/>
              <w:jc w:val="right"/>
              <w:rPr/>
            </w:pPr>
            <w:r>
              <w:rPr/>
              <w:t>11,566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spacing w:before="0" w:after="283"/>
              <w:jc w:val="right"/>
              <w:rPr/>
            </w:pPr>
            <w:r>
              <w:rPr/>
              <w:t>10,404</w:t>
            </w:r>
          </w:p>
        </w:tc>
        <w:tc>
          <w:tcPr>
            <w:tcW w:w="111" w:type="dxa"/>
            <w:tcBorders/>
            <w:shd w:fill="FFFFFF" w:val="clear"/>
            <w:vAlign w:val="center"/>
          </w:tcPr>
          <w:p>
            <w:pPr>
              <w:pStyle w:val="TableContents"/>
              <w:spacing w:before="0" w:after="283"/>
              <w:jc w:val="left"/>
              <w:rPr/>
            </w:pPr>
            <w:r>
              <w:rPr/>
              <w:t> </w:t>
            </w:r>
            <w:bookmarkStart w:id="88" w:name="xdx_40F_eus-gaap--LiabilitiesAndStockhol"/>
            <w:bookmarkEnd w:id="88"/>
          </w:p>
        </w:tc>
      </w:tr>
      <w:tr>
        <w:trPr/>
        <w:tc>
          <w:tcPr>
            <w:tcW w:w="7198" w:type="dxa"/>
            <w:tcBorders/>
            <w:shd w:fill="CCEEFF" w:val="clear"/>
            <w:vAlign w:val="center"/>
          </w:tcPr>
          <w:p>
            <w:pPr>
              <w:pStyle w:val="TableContents"/>
              <w:spacing w:before="0" w:after="283"/>
              <w:jc w:val="left"/>
              <w:rPr>
                <w:b/>
              </w:rPr>
            </w:pPr>
            <w:r>
              <w:rPr>
                <w:b/>
              </w:rPr>
              <w:t>Total liabilities and stockholders’ equity</w:t>
            </w:r>
          </w:p>
        </w:tc>
        <w:tc>
          <w:tcPr>
            <w:tcW w:w="60" w:type="dxa"/>
            <w:tcBorders/>
            <w:shd w:fill="CCEEFF" w:val="clear"/>
            <w:vAlign w:val="center"/>
          </w:tcPr>
          <w:p>
            <w:pPr>
              <w:pStyle w:val="TableContents"/>
              <w:spacing w:before="0" w:after="283"/>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029" w:type="dxa"/>
            <w:tcBorders>
              <w:bottom w:val="double" w:sz="6" w:space="0" w:color="000000"/>
            </w:tcBorders>
            <w:shd w:fill="CCEEFF" w:val="clear"/>
            <w:tcMar>
              <w:bottom w:w="28" w:type="dxa"/>
            </w:tcMar>
            <w:vAlign w:val="center"/>
          </w:tcPr>
          <w:p>
            <w:pPr>
              <w:pStyle w:val="TableContents"/>
              <w:spacing w:before="0" w:after="283"/>
              <w:jc w:val="right"/>
              <w:rPr/>
            </w:pPr>
            <w:r>
              <w:rPr/>
              <w:t>23,199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42" w:type="dxa"/>
            <w:tcBorders>
              <w:bottom w:val="double" w:sz="6" w:space="0" w:color="000000"/>
            </w:tcBorders>
            <w:shd w:fill="CCEEFF" w:val="clear"/>
            <w:tcMar>
              <w:bottom w:w="28" w:type="dxa"/>
            </w:tcMar>
            <w:vAlign w:val="center"/>
          </w:tcPr>
          <w:p>
            <w:pPr>
              <w:pStyle w:val="TableContents"/>
              <w:spacing w:before="0" w:after="283"/>
              <w:jc w:val="right"/>
              <w:rPr/>
            </w:pPr>
            <w:r>
              <w:rPr/>
              <w:t>20,057</w:t>
            </w:r>
          </w:p>
        </w:tc>
        <w:tc>
          <w:tcPr>
            <w:tcW w:w="111" w:type="dxa"/>
            <w:tcBorders/>
            <w:shd w:fill="CCEEFF" w:val="clear"/>
            <w:vAlign w:val="center"/>
          </w:tcPr>
          <w:p>
            <w:pPr>
              <w:pStyle w:val="TableContents"/>
              <w:spacing w:before="0" w:after="283"/>
              <w:jc w:val="left"/>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F-1</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89" w:name="ar_004"/>
      <w:bookmarkEnd w:id="89"/>
      <w:r>
        <w:rPr>
          <w:rFonts w:ascii="Times New Roman;Times;Serif" w:hAnsi="Times New Roman;Times;Serif"/>
          <w:b/>
          <w:i w:val="false"/>
          <w:caps w:val="false"/>
          <w:smallCaps w:val="false"/>
          <w:sz w:val="20"/>
        </w:rPr>
        <w:t>REED’S, INC.</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OPERATIONS</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2021 and 2020</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jc w:val="center"/>
        <w:rPr>
          <w:caps w:val="false"/>
          <w:smallCaps w:val="false"/>
        </w:rPr>
      </w:pPr>
      <w:r>
        <w:rPr>
          <w:caps w:val="false"/>
          <w:smallCaps w:val="false"/>
        </w:rPr>
        <w:t> </w:t>
      </w:r>
    </w:p>
    <w:p>
      <w:pPr>
        <w:pStyle w:val="Normal"/>
        <w:spacing w:before="0" w:after="0"/>
        <w:rPr>
          <w:sz w:val="4"/>
          <w:szCs w:val="4"/>
        </w:rPr>
      </w:pPr>
      <w:r>
        <w:rPr>
          <w:sz w:val="4"/>
          <w:szCs w:val="4"/>
        </w:rPr>
      </w:r>
      <w:bookmarkStart w:id="90" w:name="xdx_30C_113_pn3n3_zL0GJjgbv7jl"/>
      <w:bookmarkStart w:id="91" w:name="xdx_30C_113_pn3n3_zL0GJjgbv7jl"/>
      <w:bookmarkEnd w:id="91"/>
    </w:p>
    <w:tbl>
      <w:tblPr>
        <w:tblW w:w="10205" w:type="dxa"/>
        <w:jc w:val="left"/>
        <w:tblInd w:w="0" w:type="dxa"/>
        <w:tblCellMar>
          <w:top w:w="0" w:type="dxa"/>
          <w:left w:w="0" w:type="dxa"/>
          <w:bottom w:w="0" w:type="dxa"/>
          <w:right w:w="0" w:type="dxa"/>
        </w:tblCellMar>
      </w:tblPr>
      <w:tblGrid>
        <w:gridCol w:w="4232"/>
        <w:gridCol w:w="60"/>
        <w:gridCol w:w="154"/>
        <w:gridCol w:w="1213"/>
        <w:gridCol w:w="104"/>
        <w:gridCol w:w="66"/>
        <w:gridCol w:w="154"/>
        <w:gridCol w:w="1213"/>
        <w:gridCol w:w="95"/>
        <w:gridCol w:w="60"/>
        <w:gridCol w:w="145"/>
        <w:gridCol w:w="1144"/>
        <w:gridCol w:w="98"/>
        <w:gridCol w:w="62"/>
        <w:gridCol w:w="145"/>
        <w:gridCol w:w="1144"/>
        <w:gridCol w:w="116"/>
      </w:tblGrid>
      <w:tr>
        <w:trPr/>
        <w:tc>
          <w:tcPr>
            <w:tcW w:w="4232"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bookmarkStart w:id="92" w:name="xdx_493_20210401__20210630_zcBKTImTj7x9"/>
            <w:bookmarkEnd w:id="92"/>
          </w:p>
        </w:tc>
        <w:tc>
          <w:tcPr>
            <w:tcW w:w="136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04"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bookmarkStart w:id="93" w:name="xdx_49C_20200401__20200630_z0nj654iH3Xl"/>
            <w:bookmarkEnd w:id="93"/>
          </w:p>
        </w:tc>
        <w:tc>
          <w:tcPr>
            <w:tcW w:w="136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94" w:name="xdx_492_20210101__20210630_zdNFU4YSf06g"/>
            <w:bookmarkEnd w:id="94"/>
          </w:p>
        </w:tc>
        <w:tc>
          <w:tcPr>
            <w:tcW w:w="128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8"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bookmarkStart w:id="95" w:name="xdx_49D_20200101__20200630_zsoRmolWhOB9"/>
            <w:bookmarkEnd w:id="95"/>
          </w:p>
        </w:tc>
        <w:tc>
          <w:tcPr>
            <w:tcW w:w="128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6" w:type="dxa"/>
            <w:tcBorders/>
            <w:shd w:fill="auto" w:val="clear"/>
            <w:vAlign w:val="center"/>
          </w:tcPr>
          <w:p>
            <w:pPr>
              <w:pStyle w:val="TableContents"/>
              <w:spacing w:before="0" w:after="283"/>
              <w:rPr/>
            </w:pPr>
            <w:r>
              <w:rPr/>
              <w:t> </w:t>
            </w:r>
          </w:p>
        </w:tc>
      </w:tr>
      <w:tr>
        <w:trPr/>
        <w:tc>
          <w:tcPr>
            <w:tcW w:w="4232"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904"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Three Months Ended June 30,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38"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Six Months Ended June 30,</w:t>
            </w:r>
          </w:p>
        </w:tc>
        <w:tc>
          <w:tcPr>
            <w:tcW w:w="116" w:type="dxa"/>
            <w:tcBorders/>
            <w:shd w:fill="auto" w:val="clear"/>
            <w:vAlign w:val="center"/>
          </w:tcPr>
          <w:p>
            <w:pPr>
              <w:pStyle w:val="TableContents"/>
              <w:spacing w:before="0" w:after="283"/>
              <w:rPr/>
            </w:pPr>
            <w:r>
              <w:rPr/>
              <w:t> </w:t>
            </w:r>
          </w:p>
        </w:tc>
      </w:tr>
      <w:tr>
        <w:trPr/>
        <w:tc>
          <w:tcPr>
            <w:tcW w:w="4232"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36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04"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36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98"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8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6" w:type="dxa"/>
            <w:tcBorders/>
            <w:shd w:fill="auto" w:val="clear"/>
            <w:vAlign w:val="center"/>
          </w:tcPr>
          <w:p>
            <w:pPr>
              <w:pStyle w:val="TableContents"/>
              <w:spacing w:before="0" w:after="283"/>
              <w:rPr/>
            </w:pPr>
            <w:r>
              <w:rPr/>
              <w:t> </w:t>
            </w:r>
            <w:bookmarkStart w:id="96" w:name="xdx_404_eus-gaap--RevenueFromContractWit"/>
            <w:bookmarkEnd w:id="96"/>
          </w:p>
        </w:tc>
      </w:tr>
      <w:tr>
        <w:trPr/>
        <w:tc>
          <w:tcPr>
            <w:tcW w:w="4232" w:type="dxa"/>
            <w:tcBorders/>
            <w:shd w:fill="CCEEFF" w:val="clear"/>
            <w:vAlign w:val="center"/>
          </w:tcPr>
          <w:p>
            <w:pPr>
              <w:pStyle w:val="TableContents"/>
              <w:spacing w:before="0" w:after="283"/>
              <w:jc w:val="left"/>
              <w:rPr>
                <w:b/>
              </w:rPr>
            </w:pPr>
            <w:r>
              <w:rPr>
                <w:b/>
              </w:rPr>
              <w:t>Net Sales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w:t>
            </w:r>
          </w:p>
        </w:tc>
        <w:tc>
          <w:tcPr>
            <w:tcW w:w="1213" w:type="dxa"/>
            <w:tcBorders/>
            <w:shd w:fill="CCEEFF" w:val="clear"/>
            <w:vAlign w:val="center"/>
          </w:tcPr>
          <w:p>
            <w:pPr>
              <w:pStyle w:val="TableContents"/>
              <w:spacing w:before="0" w:after="283"/>
              <w:jc w:val="right"/>
              <w:rPr/>
            </w:pPr>
            <w:r>
              <w:rPr/>
              <w:t>11,270</w:t>
            </w:r>
          </w:p>
        </w:tc>
        <w:tc>
          <w:tcPr>
            <w:tcW w:w="104"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w:t>
            </w:r>
          </w:p>
        </w:tc>
        <w:tc>
          <w:tcPr>
            <w:tcW w:w="1213" w:type="dxa"/>
            <w:tcBorders/>
            <w:shd w:fill="CCEEFF" w:val="clear"/>
            <w:vAlign w:val="center"/>
          </w:tcPr>
          <w:p>
            <w:pPr>
              <w:pStyle w:val="TableContents"/>
              <w:spacing w:before="0" w:after="283"/>
              <w:jc w:val="right"/>
              <w:rPr/>
            </w:pPr>
            <w:r>
              <w:rPr/>
              <w:t>10,853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w:t>
            </w:r>
          </w:p>
        </w:tc>
        <w:tc>
          <w:tcPr>
            <w:tcW w:w="1144" w:type="dxa"/>
            <w:tcBorders/>
            <w:shd w:fill="CCEEFF" w:val="clear"/>
            <w:vAlign w:val="center"/>
          </w:tcPr>
          <w:p>
            <w:pPr>
              <w:pStyle w:val="TableContents"/>
              <w:spacing w:before="0" w:after="283"/>
              <w:jc w:val="right"/>
              <w:rPr/>
            </w:pPr>
            <w:r>
              <w:rPr/>
              <w:t>23,416</w:t>
            </w:r>
          </w:p>
        </w:tc>
        <w:tc>
          <w:tcPr>
            <w:tcW w:w="98"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w:t>
            </w:r>
          </w:p>
        </w:tc>
        <w:tc>
          <w:tcPr>
            <w:tcW w:w="1144" w:type="dxa"/>
            <w:tcBorders/>
            <w:shd w:fill="CCEEFF" w:val="clear"/>
            <w:vAlign w:val="center"/>
          </w:tcPr>
          <w:p>
            <w:pPr>
              <w:pStyle w:val="TableContents"/>
              <w:spacing w:before="0" w:after="283"/>
              <w:jc w:val="right"/>
              <w:rPr/>
            </w:pPr>
            <w:r>
              <w:rPr/>
              <w:t>20,376</w:t>
            </w:r>
          </w:p>
        </w:tc>
        <w:tc>
          <w:tcPr>
            <w:tcW w:w="116" w:type="dxa"/>
            <w:tcBorders/>
            <w:shd w:fill="CCEEFF" w:val="clear"/>
            <w:vAlign w:val="center"/>
          </w:tcPr>
          <w:p>
            <w:pPr>
              <w:pStyle w:val="TableContents"/>
              <w:spacing w:before="0" w:after="283"/>
              <w:jc w:val="left"/>
              <w:rPr/>
            </w:pPr>
            <w:r>
              <w:rPr/>
              <w:t> </w:t>
            </w:r>
            <w:bookmarkStart w:id="97" w:name="xdx_40C_eus-gaap--CostOfGoodsAndServices"/>
            <w:bookmarkEnd w:id="97"/>
          </w:p>
        </w:tc>
      </w:tr>
      <w:tr>
        <w:trPr/>
        <w:tc>
          <w:tcPr>
            <w:tcW w:w="4232" w:type="dxa"/>
            <w:tcBorders/>
            <w:shd w:fill="FFFFFF" w:val="clear"/>
            <w:vAlign w:val="center"/>
          </w:tcPr>
          <w:p>
            <w:pPr>
              <w:pStyle w:val="TableContents"/>
              <w:spacing w:before="0" w:after="283"/>
              <w:jc w:val="left"/>
              <w:rPr/>
            </w:pPr>
            <w:r>
              <w:rPr/>
              <w:t>Cost of goods sold</w:t>
            </w:r>
          </w:p>
        </w:tc>
        <w:tc>
          <w:tcPr>
            <w:tcW w:w="60" w:type="dxa"/>
            <w:tcBorders/>
            <w:shd w:fill="FFFFFF" w:val="clear"/>
            <w:vAlign w:val="center"/>
          </w:tcPr>
          <w:p>
            <w:pPr>
              <w:pStyle w:val="TableContents"/>
              <w:spacing w:before="0" w:after="283"/>
              <w:rPr/>
            </w:pPr>
            <w:r>
              <w:rPr/>
              <w:t> </w:t>
            </w:r>
          </w:p>
        </w:tc>
        <w:tc>
          <w:tcPr>
            <w:tcW w:w="15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spacing w:before="0" w:after="283"/>
              <w:jc w:val="right"/>
              <w:rPr/>
            </w:pPr>
            <w:r>
              <w:rPr/>
              <w:t>8,001</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spacing w:before="0" w:after="283"/>
              <w:jc w:val="right"/>
              <w:rPr/>
            </w:pPr>
            <w:r>
              <w:rPr/>
              <w:t>7,865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spacing w:before="0" w:after="283"/>
              <w:jc w:val="right"/>
              <w:rPr/>
            </w:pPr>
            <w:r>
              <w:rPr/>
              <w:t>16,294</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spacing w:before="0" w:after="283"/>
              <w:jc w:val="right"/>
              <w:rPr/>
            </w:pPr>
            <w:r>
              <w:rPr/>
              <w:t>14,518</w:t>
            </w:r>
          </w:p>
        </w:tc>
        <w:tc>
          <w:tcPr>
            <w:tcW w:w="116" w:type="dxa"/>
            <w:tcBorders/>
            <w:shd w:fill="FFFFFF" w:val="clear"/>
            <w:vAlign w:val="center"/>
          </w:tcPr>
          <w:p>
            <w:pPr>
              <w:pStyle w:val="TableContents"/>
              <w:spacing w:before="0" w:after="283"/>
              <w:jc w:val="left"/>
              <w:rPr/>
            </w:pPr>
            <w:r>
              <w:rPr/>
              <w:t> </w:t>
            </w:r>
            <w:bookmarkStart w:id="98" w:name="xdx_40D_eus-gaap--GrossProfit_iT_mtGPznh"/>
            <w:bookmarkEnd w:id="98"/>
          </w:p>
        </w:tc>
      </w:tr>
      <w:tr>
        <w:trPr/>
        <w:tc>
          <w:tcPr>
            <w:tcW w:w="4232" w:type="dxa"/>
            <w:tcBorders/>
            <w:shd w:fill="CCEEFF" w:val="clear"/>
            <w:vAlign w:val="center"/>
          </w:tcPr>
          <w:p>
            <w:pPr>
              <w:pStyle w:val="TableContents"/>
              <w:spacing w:before="0" w:after="283"/>
              <w:jc w:val="left"/>
              <w:rPr>
                <w:b/>
              </w:rPr>
            </w:pPr>
            <w:r>
              <w:rPr>
                <w:b/>
              </w:rPr>
              <w:t>Gross profit</w:t>
            </w:r>
          </w:p>
        </w:tc>
        <w:tc>
          <w:tcPr>
            <w:tcW w:w="60"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spacing w:before="0" w:after="283"/>
              <w:jc w:val="right"/>
              <w:rPr/>
            </w:pPr>
            <w:r>
              <w:rPr/>
              <w:t>3,269</w:t>
            </w:r>
          </w:p>
        </w:tc>
        <w:tc>
          <w:tcPr>
            <w:tcW w:w="104"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spacing w:before="0" w:after="283"/>
              <w:jc w:val="right"/>
              <w:rPr/>
            </w:pPr>
            <w:r>
              <w:rPr/>
              <w:t>2,988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spacing w:before="0" w:after="283"/>
              <w:jc w:val="right"/>
              <w:rPr/>
            </w:pPr>
            <w:r>
              <w:rPr/>
              <w:t>7,122</w:t>
            </w:r>
          </w:p>
        </w:tc>
        <w:tc>
          <w:tcPr>
            <w:tcW w:w="98"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spacing w:before="0" w:after="283"/>
              <w:jc w:val="right"/>
              <w:rPr/>
            </w:pPr>
            <w:r>
              <w:rPr/>
              <w:t>5,858</w:t>
            </w:r>
          </w:p>
        </w:tc>
        <w:tc>
          <w:tcPr>
            <w:tcW w:w="116" w:type="dxa"/>
            <w:tcBorders/>
            <w:shd w:fill="CCEEFF" w:val="clear"/>
            <w:vAlign w:val="center"/>
          </w:tcPr>
          <w:p>
            <w:pPr>
              <w:pStyle w:val="TableContents"/>
              <w:spacing w:before="0" w:after="283"/>
              <w:jc w:val="left"/>
              <w:rPr/>
            </w:pPr>
            <w:r>
              <w:rPr/>
              <w:t> </w:t>
            </w:r>
          </w:p>
        </w:tc>
      </w:tr>
      <w:tr>
        <w:trPr/>
        <w:tc>
          <w:tcPr>
            <w:tcW w:w="42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bookmarkStart w:id="99" w:name="xdx_404_eus-gaap--OperatingExpensesAbstr"/>
            <w:bookmarkEnd w:id="99"/>
          </w:p>
        </w:tc>
      </w:tr>
      <w:tr>
        <w:trPr/>
        <w:tc>
          <w:tcPr>
            <w:tcW w:w="4232" w:type="dxa"/>
            <w:tcBorders/>
            <w:shd w:fill="CCEEFF" w:val="clear"/>
            <w:vAlign w:val="center"/>
          </w:tcPr>
          <w:p>
            <w:pPr>
              <w:pStyle w:val="TableContents"/>
              <w:spacing w:before="0" w:after="283"/>
              <w:jc w:val="left"/>
              <w:rPr>
                <w:b/>
              </w:rPr>
            </w:pPr>
            <w:r>
              <w:rPr>
                <w:b/>
              </w:rPr>
              <w:t>Operating expenses: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 </w:t>
            </w:r>
          </w:p>
        </w:tc>
        <w:tc>
          <w:tcPr>
            <w:tcW w:w="104"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 </w:t>
            </w:r>
          </w:p>
        </w:tc>
        <w:tc>
          <w:tcPr>
            <w:tcW w:w="98"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 </w:t>
            </w:r>
          </w:p>
        </w:tc>
        <w:tc>
          <w:tcPr>
            <w:tcW w:w="116" w:type="dxa"/>
            <w:tcBorders/>
            <w:shd w:fill="CCEEFF" w:val="clear"/>
            <w:vAlign w:val="center"/>
          </w:tcPr>
          <w:p>
            <w:pPr>
              <w:pStyle w:val="TableContents"/>
              <w:spacing w:before="0" w:after="283"/>
              <w:jc w:val="left"/>
              <w:rPr/>
            </w:pPr>
            <w:r>
              <w:rPr/>
              <w:t> </w:t>
            </w:r>
            <w:bookmarkStart w:id="100" w:name="xdx_40D_ecustom--DeliveryAndHandlingExpe"/>
            <w:bookmarkEnd w:id="100"/>
          </w:p>
        </w:tc>
      </w:tr>
      <w:tr>
        <w:trPr/>
        <w:tc>
          <w:tcPr>
            <w:tcW w:w="4232" w:type="dxa"/>
            <w:tcBorders/>
            <w:shd w:fill="FFFFFF" w:val="clear"/>
            <w:vAlign w:val="center"/>
          </w:tcPr>
          <w:p>
            <w:pPr>
              <w:pStyle w:val="TableContents"/>
              <w:spacing w:before="0" w:after="283"/>
              <w:jc w:val="left"/>
              <w:rPr/>
            </w:pPr>
            <w:r>
              <w:rPr/>
              <w:t>Delivery and handling expense</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2,508</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1,480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5,795</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2,743</w:t>
            </w:r>
          </w:p>
        </w:tc>
        <w:tc>
          <w:tcPr>
            <w:tcW w:w="116" w:type="dxa"/>
            <w:tcBorders/>
            <w:shd w:fill="FFFFFF" w:val="clear"/>
            <w:vAlign w:val="center"/>
          </w:tcPr>
          <w:p>
            <w:pPr>
              <w:pStyle w:val="TableContents"/>
              <w:spacing w:before="0" w:after="283"/>
              <w:jc w:val="left"/>
              <w:rPr/>
            </w:pPr>
            <w:r>
              <w:rPr/>
              <w:t> </w:t>
            </w:r>
            <w:bookmarkStart w:id="101" w:name="xdx_40D_eus-gaap--SellingAndMarketingExp"/>
            <w:bookmarkEnd w:id="101"/>
          </w:p>
        </w:tc>
      </w:tr>
      <w:tr>
        <w:trPr/>
        <w:tc>
          <w:tcPr>
            <w:tcW w:w="4232" w:type="dxa"/>
            <w:tcBorders/>
            <w:shd w:fill="CCEEFF" w:val="clear"/>
            <w:vAlign w:val="center"/>
          </w:tcPr>
          <w:p>
            <w:pPr>
              <w:pStyle w:val="TableContents"/>
              <w:spacing w:before="0" w:after="283"/>
              <w:jc w:val="left"/>
              <w:rPr/>
            </w:pPr>
            <w:r>
              <w:rPr/>
              <w:t>Selling and marketing expense</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2,634</w:t>
            </w:r>
          </w:p>
        </w:tc>
        <w:tc>
          <w:tcPr>
            <w:tcW w:w="104"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1,585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4,849</w:t>
            </w:r>
          </w:p>
        </w:tc>
        <w:tc>
          <w:tcPr>
            <w:tcW w:w="98"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3,510</w:t>
            </w:r>
          </w:p>
        </w:tc>
        <w:tc>
          <w:tcPr>
            <w:tcW w:w="116" w:type="dxa"/>
            <w:tcBorders/>
            <w:shd w:fill="CCEEFF" w:val="clear"/>
            <w:vAlign w:val="center"/>
          </w:tcPr>
          <w:p>
            <w:pPr>
              <w:pStyle w:val="TableContents"/>
              <w:spacing w:before="0" w:after="283"/>
              <w:jc w:val="left"/>
              <w:rPr/>
            </w:pPr>
            <w:r>
              <w:rPr/>
              <w:t> </w:t>
            </w:r>
            <w:bookmarkStart w:id="102" w:name="xdx_405_eus-gaap--GeneralAndAdministrati"/>
            <w:bookmarkEnd w:id="102"/>
          </w:p>
        </w:tc>
      </w:tr>
      <w:tr>
        <w:trPr/>
        <w:tc>
          <w:tcPr>
            <w:tcW w:w="4232" w:type="dxa"/>
            <w:tcBorders/>
            <w:shd w:fill="FFFFFF" w:val="clear"/>
            <w:vAlign w:val="center"/>
          </w:tcPr>
          <w:p>
            <w:pPr>
              <w:pStyle w:val="TableContents"/>
              <w:spacing w:before="0" w:after="283"/>
              <w:jc w:val="left"/>
              <w:rPr/>
            </w:pPr>
            <w:r>
              <w:rPr/>
              <w:t>General and administrative expense</w:t>
            </w:r>
          </w:p>
        </w:tc>
        <w:tc>
          <w:tcPr>
            <w:tcW w:w="60" w:type="dxa"/>
            <w:tcBorders/>
            <w:shd w:fill="FFFFFF" w:val="clear"/>
            <w:vAlign w:val="center"/>
          </w:tcPr>
          <w:p>
            <w:pPr>
              <w:pStyle w:val="TableContents"/>
              <w:spacing w:before="0" w:after="283"/>
              <w:rPr/>
            </w:pPr>
            <w:r>
              <w:rPr/>
              <w:t> </w:t>
            </w:r>
          </w:p>
        </w:tc>
        <w:tc>
          <w:tcPr>
            <w:tcW w:w="15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spacing w:before="0" w:after="283"/>
              <w:jc w:val="right"/>
              <w:rPr/>
            </w:pPr>
            <w:r>
              <w:rPr/>
              <w:t>1,836</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FFFFFF" w:val="clear"/>
            <w:tcMar>
              <w:bottom w:w="28" w:type="dxa"/>
            </w:tcMar>
            <w:vAlign w:val="center"/>
          </w:tcPr>
          <w:p>
            <w:pPr>
              <w:pStyle w:val="TableContents"/>
              <w:spacing w:before="0" w:after="283"/>
              <w:jc w:val="right"/>
              <w:rPr/>
            </w:pPr>
            <w:r>
              <w:rPr/>
              <w:t>1,357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spacing w:before="0" w:after="283"/>
              <w:jc w:val="right"/>
              <w:rPr/>
            </w:pPr>
            <w:r>
              <w:rPr/>
              <w:t>4,439</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FFFFFF" w:val="clear"/>
            <w:tcMar>
              <w:bottom w:w="28" w:type="dxa"/>
            </w:tcMar>
            <w:vAlign w:val="center"/>
          </w:tcPr>
          <w:p>
            <w:pPr>
              <w:pStyle w:val="TableContents"/>
              <w:spacing w:before="0" w:after="283"/>
              <w:jc w:val="right"/>
              <w:rPr/>
            </w:pPr>
            <w:r>
              <w:rPr/>
              <w:t>3,289</w:t>
            </w:r>
          </w:p>
        </w:tc>
        <w:tc>
          <w:tcPr>
            <w:tcW w:w="116" w:type="dxa"/>
            <w:tcBorders/>
            <w:shd w:fill="FFFFFF" w:val="clear"/>
            <w:vAlign w:val="center"/>
          </w:tcPr>
          <w:p>
            <w:pPr>
              <w:pStyle w:val="TableContents"/>
              <w:spacing w:before="0" w:after="283"/>
              <w:jc w:val="left"/>
              <w:rPr/>
            </w:pPr>
            <w:r>
              <w:rPr/>
              <w:t> </w:t>
            </w:r>
            <w:bookmarkStart w:id="103" w:name="xdx_407_eus-gaap--OperatingExpenses_i01T"/>
            <w:bookmarkEnd w:id="103"/>
          </w:p>
        </w:tc>
      </w:tr>
      <w:tr>
        <w:trPr/>
        <w:tc>
          <w:tcPr>
            <w:tcW w:w="4232" w:type="dxa"/>
            <w:tcBorders/>
            <w:shd w:fill="CCEEFF" w:val="clear"/>
            <w:vAlign w:val="center"/>
          </w:tcPr>
          <w:p>
            <w:pPr>
              <w:pStyle w:val="TableContents"/>
              <w:spacing w:before="0" w:after="283"/>
              <w:jc w:val="left"/>
              <w:rPr>
                <w:b/>
              </w:rPr>
            </w:pPr>
            <w:r>
              <w:rPr>
                <w:b/>
              </w:rPr>
              <w:t>Total operating expenses</w:t>
            </w:r>
          </w:p>
        </w:tc>
        <w:tc>
          <w:tcPr>
            <w:tcW w:w="60"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spacing w:before="0" w:after="283"/>
              <w:jc w:val="right"/>
              <w:rPr/>
            </w:pPr>
            <w:r>
              <w:rPr/>
              <w:t>6,978</w:t>
            </w:r>
          </w:p>
        </w:tc>
        <w:tc>
          <w:tcPr>
            <w:tcW w:w="104"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spacing w:before="0" w:after="283"/>
              <w:jc w:val="right"/>
              <w:rPr/>
            </w:pPr>
            <w:r>
              <w:rPr/>
              <w:t>4,422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spacing w:before="0" w:after="283"/>
              <w:jc w:val="right"/>
              <w:rPr/>
            </w:pPr>
            <w:r>
              <w:rPr/>
              <w:t>15,083</w:t>
            </w:r>
          </w:p>
        </w:tc>
        <w:tc>
          <w:tcPr>
            <w:tcW w:w="98"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spacing w:before="0" w:after="283"/>
              <w:jc w:val="right"/>
              <w:rPr/>
            </w:pPr>
            <w:r>
              <w:rPr/>
              <w:t>9,542</w:t>
            </w:r>
          </w:p>
        </w:tc>
        <w:tc>
          <w:tcPr>
            <w:tcW w:w="116" w:type="dxa"/>
            <w:tcBorders/>
            <w:shd w:fill="CCEEFF" w:val="clear"/>
            <w:vAlign w:val="center"/>
          </w:tcPr>
          <w:p>
            <w:pPr>
              <w:pStyle w:val="TableContents"/>
              <w:spacing w:before="0" w:after="283"/>
              <w:jc w:val="left"/>
              <w:rPr/>
            </w:pPr>
            <w:r>
              <w:rPr/>
              <w:t> </w:t>
            </w:r>
          </w:p>
        </w:tc>
      </w:tr>
      <w:tr>
        <w:trPr/>
        <w:tc>
          <w:tcPr>
            <w:tcW w:w="42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bookmarkStart w:id="104" w:name="xdx_40F_eus-gaap--OperatingIncomeLoss_iT"/>
            <w:bookmarkEnd w:id="104"/>
          </w:p>
        </w:tc>
      </w:tr>
      <w:tr>
        <w:trPr/>
        <w:tc>
          <w:tcPr>
            <w:tcW w:w="4232" w:type="dxa"/>
            <w:tcBorders/>
            <w:shd w:fill="CCEEFF" w:val="clear"/>
            <w:vAlign w:val="center"/>
          </w:tcPr>
          <w:p>
            <w:pPr>
              <w:pStyle w:val="TableContents"/>
              <w:spacing w:before="0" w:after="283"/>
              <w:jc w:val="left"/>
              <w:rPr>
                <w:b/>
              </w:rPr>
            </w:pPr>
            <w:r>
              <w:rPr>
                <w:b/>
              </w:rPr>
              <w:t>Loss from operations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(3,709</w:t>
            </w:r>
          </w:p>
        </w:tc>
        <w:tc>
          <w:tcPr>
            <w:tcW w:w="104" w:type="dxa"/>
            <w:tcBorders/>
            <w:shd w:fill="CCEEFF" w:val="clear"/>
            <w:vAlign w:val="center"/>
          </w:tcPr>
          <w:p>
            <w:pPr>
              <w:pStyle w:val="TableContents"/>
              <w:spacing w:before="0" w:after="283"/>
              <w:jc w:val="left"/>
              <w:rPr/>
            </w:pPr>
            <w:r>
              <w:rPr/>
              <w:t>)</w:t>
            </w:r>
          </w:p>
        </w:tc>
        <w:tc>
          <w:tcPr>
            <w:tcW w:w="66"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(1,434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(7,961</w:t>
            </w:r>
          </w:p>
        </w:tc>
        <w:tc>
          <w:tcPr>
            <w:tcW w:w="98"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(3,684</w:t>
            </w:r>
          </w:p>
        </w:tc>
        <w:tc>
          <w:tcPr>
            <w:tcW w:w="116" w:type="dxa"/>
            <w:tcBorders/>
            <w:shd w:fill="CCEEFF" w:val="clear"/>
            <w:vAlign w:val="center"/>
          </w:tcPr>
          <w:p>
            <w:pPr>
              <w:pStyle w:val="TableContents"/>
              <w:spacing w:before="0" w:after="283"/>
              <w:jc w:val="left"/>
              <w:rPr/>
            </w:pPr>
            <w:r>
              <w:rPr/>
              <w:t>)</w:t>
            </w:r>
          </w:p>
        </w:tc>
      </w:tr>
      <w:tr>
        <w:trPr/>
        <w:tc>
          <w:tcPr>
            <w:tcW w:w="42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bookmarkStart w:id="105" w:name="xdx_403_eus-gaap--InterestExpense_iN_di_"/>
            <w:bookmarkEnd w:id="105"/>
          </w:p>
        </w:tc>
      </w:tr>
      <w:tr>
        <w:trPr/>
        <w:tc>
          <w:tcPr>
            <w:tcW w:w="4232" w:type="dxa"/>
            <w:tcBorders/>
            <w:shd w:fill="CCEEFF" w:val="clear"/>
            <w:vAlign w:val="center"/>
          </w:tcPr>
          <w:p>
            <w:pPr>
              <w:pStyle w:val="TableContents"/>
              <w:spacing w:before="0" w:after="283"/>
              <w:jc w:val="left"/>
              <w:rPr/>
            </w:pPr>
            <w:r>
              <w:rPr/>
              <w:t>Interest expense</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(202</w:t>
            </w:r>
          </w:p>
        </w:tc>
        <w:tc>
          <w:tcPr>
            <w:tcW w:w="104" w:type="dxa"/>
            <w:tcBorders/>
            <w:shd w:fill="CCEEFF" w:val="clear"/>
            <w:vAlign w:val="center"/>
          </w:tcPr>
          <w:p>
            <w:pPr>
              <w:pStyle w:val="TableContents"/>
              <w:spacing w:before="0" w:after="283"/>
              <w:jc w:val="left"/>
              <w:rPr/>
            </w:pPr>
            <w:r>
              <w:rPr/>
              <w:t>)</w:t>
            </w:r>
          </w:p>
        </w:tc>
        <w:tc>
          <w:tcPr>
            <w:tcW w:w="66"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(303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(458</w:t>
            </w:r>
          </w:p>
        </w:tc>
        <w:tc>
          <w:tcPr>
            <w:tcW w:w="98"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(639</w:t>
            </w:r>
          </w:p>
        </w:tc>
        <w:tc>
          <w:tcPr>
            <w:tcW w:w="116" w:type="dxa"/>
            <w:tcBorders/>
            <w:shd w:fill="CCEEFF" w:val="clear"/>
            <w:vAlign w:val="center"/>
          </w:tcPr>
          <w:p>
            <w:pPr>
              <w:pStyle w:val="TableContents"/>
              <w:spacing w:before="0" w:after="283"/>
              <w:jc w:val="left"/>
              <w:rPr/>
            </w:pPr>
            <w:r>
              <w:rPr/>
              <w:t>)</w:t>
            </w:r>
            <w:bookmarkStart w:id="106" w:name="xdx_403_eus-gaap--GainsLossesOnExtinguis"/>
            <w:bookmarkEnd w:id="106"/>
          </w:p>
        </w:tc>
      </w:tr>
      <w:tr>
        <w:trPr/>
        <w:tc>
          <w:tcPr>
            <w:tcW w:w="4232" w:type="dxa"/>
            <w:tcBorders/>
            <w:shd w:fill="FFFFFF" w:val="clear"/>
            <w:vAlign w:val="center"/>
          </w:tcPr>
          <w:p>
            <w:pPr>
              <w:pStyle w:val="TableContents"/>
              <w:spacing w:before="0" w:after="283"/>
              <w:jc w:val="left"/>
              <w:rPr/>
            </w:pPr>
            <w:r>
              <w:rPr/>
              <w:t>Gain on extinguishment of PPP note payable</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770</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770</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bookmarkStart w:id="107" w:name="xdx_403_eus-gaap--FairValueAdjustmentOfW"/>
            <w:bookmarkEnd w:id="107"/>
          </w:p>
        </w:tc>
      </w:tr>
      <w:tr>
        <w:trPr/>
        <w:tc>
          <w:tcPr>
            <w:tcW w:w="4232" w:type="dxa"/>
            <w:tcBorders/>
            <w:shd w:fill="CCEEFF" w:val="clear"/>
            <w:vAlign w:val="center"/>
          </w:tcPr>
          <w:p>
            <w:pPr>
              <w:pStyle w:val="TableContents"/>
              <w:spacing w:before="0" w:after="283"/>
              <w:jc w:val="left"/>
              <w:rPr/>
            </w:pPr>
            <w:r>
              <w:rPr/>
              <w:t>Change in fair value of warrant liability</w:t>
            </w:r>
          </w:p>
        </w:tc>
        <w:tc>
          <w:tcPr>
            <w:tcW w:w="60"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04"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spacing w:before="0" w:after="283"/>
              <w:jc w:val="right"/>
              <w:rPr/>
            </w:pPr>
            <w:r>
              <w:rPr/>
              <w:t>(13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8"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spacing w:before="0" w:after="283"/>
              <w:jc w:val="right"/>
              <w:rPr/>
            </w:pPr>
            <w:r>
              <w:rPr/>
              <w:t>(7</w:t>
            </w:r>
          </w:p>
        </w:tc>
        <w:tc>
          <w:tcPr>
            <w:tcW w:w="116" w:type="dxa"/>
            <w:tcBorders/>
            <w:shd w:fill="CCEEFF" w:val="clear"/>
            <w:vAlign w:val="center"/>
          </w:tcPr>
          <w:p>
            <w:pPr>
              <w:pStyle w:val="TableContents"/>
              <w:spacing w:before="0" w:after="283"/>
              <w:jc w:val="left"/>
              <w:rPr/>
            </w:pPr>
            <w:r>
              <w:rPr/>
              <w:t>)</w:t>
            </w:r>
          </w:p>
        </w:tc>
      </w:tr>
      <w:tr>
        <w:trPr/>
        <w:tc>
          <w:tcPr>
            <w:tcW w:w="42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bookmarkStart w:id="108" w:name="xdx_408_eus-gaap--NetIncomeLoss_iT_mtNIL"/>
            <w:bookmarkEnd w:id="108"/>
          </w:p>
        </w:tc>
      </w:tr>
      <w:tr>
        <w:trPr/>
        <w:tc>
          <w:tcPr>
            <w:tcW w:w="4232" w:type="dxa"/>
            <w:tcBorders/>
            <w:shd w:fill="CCEEFF" w:val="clear"/>
            <w:vAlign w:val="center"/>
          </w:tcPr>
          <w:p>
            <w:pPr>
              <w:pStyle w:val="TableContents"/>
              <w:spacing w:before="0" w:after="283"/>
              <w:jc w:val="left"/>
              <w:rPr>
                <w:b/>
              </w:rPr>
            </w:pPr>
            <w:r>
              <w:rPr>
                <w:b/>
              </w:rPr>
              <w:t>Net loss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(3,141</w:t>
            </w:r>
          </w:p>
        </w:tc>
        <w:tc>
          <w:tcPr>
            <w:tcW w:w="104" w:type="dxa"/>
            <w:tcBorders/>
            <w:shd w:fill="CCEEFF" w:val="clear"/>
            <w:vAlign w:val="center"/>
          </w:tcPr>
          <w:p>
            <w:pPr>
              <w:pStyle w:val="TableContents"/>
              <w:spacing w:before="0" w:after="283"/>
              <w:jc w:val="left"/>
              <w:rPr/>
            </w:pPr>
            <w:r>
              <w:rPr/>
              <w:t>)</w:t>
            </w:r>
          </w:p>
        </w:tc>
        <w:tc>
          <w:tcPr>
            <w:tcW w:w="66"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(1,750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(7,649</w:t>
            </w:r>
          </w:p>
        </w:tc>
        <w:tc>
          <w:tcPr>
            <w:tcW w:w="98"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(4,330</w:t>
            </w:r>
          </w:p>
        </w:tc>
        <w:tc>
          <w:tcPr>
            <w:tcW w:w="116" w:type="dxa"/>
            <w:tcBorders/>
            <w:shd w:fill="CCEEFF" w:val="clear"/>
            <w:vAlign w:val="center"/>
          </w:tcPr>
          <w:p>
            <w:pPr>
              <w:pStyle w:val="TableContents"/>
              <w:spacing w:before="0" w:after="283"/>
              <w:jc w:val="left"/>
              <w:rPr/>
            </w:pPr>
            <w:r>
              <w:rPr/>
              <w:t>)</w:t>
            </w:r>
          </w:p>
        </w:tc>
      </w:tr>
      <w:tr>
        <w:trPr/>
        <w:tc>
          <w:tcPr>
            <w:tcW w:w="42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bookmarkStart w:id="109" w:name="xdx_404_eus-gaap--PreferredStockDividend"/>
            <w:bookmarkEnd w:id="109"/>
          </w:p>
        </w:tc>
      </w:tr>
      <w:tr>
        <w:trPr/>
        <w:tc>
          <w:tcPr>
            <w:tcW w:w="4232" w:type="dxa"/>
            <w:tcBorders/>
            <w:shd w:fill="CCEEFF" w:val="clear"/>
            <w:vAlign w:val="center"/>
          </w:tcPr>
          <w:p>
            <w:pPr>
              <w:pStyle w:val="TableContents"/>
              <w:spacing w:before="0" w:after="283"/>
              <w:jc w:val="left"/>
              <w:rPr>
                <w:b/>
              </w:rPr>
            </w:pPr>
            <w:r>
              <w:rPr>
                <w:b/>
              </w:rPr>
              <w:t>Dividends on Series A Convertible Preferred Stock</w:t>
            </w:r>
          </w:p>
        </w:tc>
        <w:tc>
          <w:tcPr>
            <w:tcW w:w="60"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spacing w:before="0" w:after="283"/>
              <w:jc w:val="right"/>
              <w:rPr/>
            </w:pPr>
            <w:r>
              <w:rPr/>
              <w:t>(5</w:t>
            </w:r>
          </w:p>
        </w:tc>
        <w:tc>
          <w:tcPr>
            <w:tcW w:w="104" w:type="dxa"/>
            <w:tcBorders/>
            <w:shd w:fill="CCEEFF" w:val="clear"/>
            <w:vAlign w:val="center"/>
          </w:tcPr>
          <w:p>
            <w:pPr>
              <w:pStyle w:val="TableContents"/>
              <w:spacing w:before="0" w:after="283"/>
              <w:jc w:val="left"/>
              <w:rPr/>
            </w:pPr>
            <w:r>
              <w:rPr/>
              <w:t>)</w:t>
            </w:r>
          </w:p>
        </w:tc>
        <w:tc>
          <w:tcPr>
            <w:tcW w:w="66"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spacing w:before="0" w:after="283"/>
              <w:jc w:val="right"/>
              <w:rPr/>
            </w:pPr>
            <w:r>
              <w:rPr/>
              <w:t>(5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spacing w:before="0" w:after="283"/>
              <w:jc w:val="right"/>
              <w:rPr/>
            </w:pPr>
            <w:r>
              <w:rPr/>
              <w:t>(5</w:t>
            </w:r>
          </w:p>
        </w:tc>
        <w:tc>
          <w:tcPr>
            <w:tcW w:w="98"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44" w:type="dxa"/>
            <w:tcBorders>
              <w:bottom w:val="single" w:sz="12" w:space="0" w:color="000000"/>
            </w:tcBorders>
            <w:shd w:fill="CCEEFF" w:val="clear"/>
            <w:tcMar>
              <w:bottom w:w="28" w:type="dxa"/>
            </w:tcMar>
            <w:vAlign w:val="center"/>
          </w:tcPr>
          <w:p>
            <w:pPr>
              <w:pStyle w:val="TableContents"/>
              <w:spacing w:before="0" w:after="283"/>
              <w:jc w:val="right"/>
              <w:rPr/>
            </w:pPr>
            <w:r>
              <w:rPr/>
              <w:t>(5</w:t>
            </w:r>
          </w:p>
        </w:tc>
        <w:tc>
          <w:tcPr>
            <w:tcW w:w="116" w:type="dxa"/>
            <w:tcBorders/>
            <w:shd w:fill="CCEEFF" w:val="clear"/>
            <w:vAlign w:val="center"/>
          </w:tcPr>
          <w:p>
            <w:pPr>
              <w:pStyle w:val="TableContents"/>
              <w:spacing w:before="0" w:after="283"/>
              <w:jc w:val="left"/>
              <w:rPr/>
            </w:pPr>
            <w:r>
              <w:rPr/>
              <w:t>)</w:t>
            </w:r>
          </w:p>
        </w:tc>
      </w:tr>
      <w:tr>
        <w:trPr/>
        <w:tc>
          <w:tcPr>
            <w:tcW w:w="42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bookmarkStart w:id="110" w:name="xdx_40C_eus-gaap--NetIncomeLossAvailable"/>
            <w:bookmarkEnd w:id="110"/>
          </w:p>
        </w:tc>
      </w:tr>
      <w:tr>
        <w:trPr/>
        <w:tc>
          <w:tcPr>
            <w:tcW w:w="4232" w:type="dxa"/>
            <w:tcBorders/>
            <w:shd w:fill="CCEEFF" w:val="clear"/>
            <w:vAlign w:val="center"/>
          </w:tcPr>
          <w:p>
            <w:pPr>
              <w:pStyle w:val="TableContents"/>
              <w:spacing w:before="0" w:after="283"/>
              <w:jc w:val="left"/>
              <w:rPr>
                <w:b/>
              </w:rPr>
            </w:pPr>
            <w:r>
              <w:rPr>
                <w:b/>
              </w:rPr>
              <w:t>Net Loss Attributable to Common Stockholders</w:t>
            </w:r>
          </w:p>
        </w:tc>
        <w:tc>
          <w:tcPr>
            <w:tcW w:w="60" w:type="dxa"/>
            <w:tcBorders/>
            <w:shd w:fill="CCEEFF" w:val="clear"/>
            <w:vAlign w:val="center"/>
          </w:tcPr>
          <w:p>
            <w:pPr>
              <w:pStyle w:val="TableContents"/>
              <w:spacing w:before="0" w:after="283"/>
              <w:rPr/>
            </w:pPr>
            <w:r>
              <w:rPr/>
              <w:t> </w:t>
            </w:r>
          </w:p>
        </w:tc>
        <w:tc>
          <w:tcPr>
            <w:tcW w:w="154"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13" w:type="dxa"/>
            <w:tcBorders>
              <w:bottom w:val="double" w:sz="6" w:space="0" w:color="000000"/>
            </w:tcBorders>
            <w:shd w:fill="CCEEFF" w:val="clear"/>
            <w:tcMar>
              <w:bottom w:w="28" w:type="dxa"/>
            </w:tcMar>
            <w:vAlign w:val="center"/>
          </w:tcPr>
          <w:p>
            <w:pPr>
              <w:pStyle w:val="TableContents"/>
              <w:spacing w:before="0" w:after="283"/>
              <w:jc w:val="right"/>
              <w:rPr/>
            </w:pPr>
            <w:r>
              <w:rPr/>
              <w:t>(3,146</w:t>
            </w:r>
          </w:p>
        </w:tc>
        <w:tc>
          <w:tcPr>
            <w:tcW w:w="104" w:type="dxa"/>
            <w:tcBorders/>
            <w:shd w:fill="CCEEFF" w:val="clear"/>
            <w:vAlign w:val="center"/>
          </w:tcPr>
          <w:p>
            <w:pPr>
              <w:pStyle w:val="TableContents"/>
              <w:spacing w:before="0" w:after="283"/>
              <w:jc w:val="left"/>
              <w:rPr/>
            </w:pPr>
            <w:r>
              <w:rPr/>
              <w:t>)</w:t>
            </w:r>
          </w:p>
        </w:tc>
        <w:tc>
          <w:tcPr>
            <w:tcW w:w="66" w:type="dxa"/>
            <w:tcBorders/>
            <w:shd w:fill="CCEEFF" w:val="clear"/>
            <w:vAlign w:val="center"/>
          </w:tcPr>
          <w:p>
            <w:pPr>
              <w:pStyle w:val="TableContents"/>
              <w:spacing w:before="0" w:after="283"/>
              <w:rPr/>
            </w:pPr>
            <w:r>
              <w:rPr/>
              <w:t> </w:t>
            </w:r>
          </w:p>
        </w:tc>
        <w:tc>
          <w:tcPr>
            <w:tcW w:w="154"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13" w:type="dxa"/>
            <w:tcBorders>
              <w:bottom w:val="double" w:sz="6" w:space="0" w:color="000000"/>
            </w:tcBorders>
            <w:shd w:fill="CCEEFF" w:val="clear"/>
            <w:tcMar>
              <w:bottom w:w="28" w:type="dxa"/>
            </w:tcMar>
            <w:vAlign w:val="center"/>
          </w:tcPr>
          <w:p>
            <w:pPr>
              <w:pStyle w:val="TableContents"/>
              <w:spacing w:before="0" w:after="283"/>
              <w:jc w:val="right"/>
              <w:rPr/>
            </w:pPr>
            <w:r>
              <w:rPr/>
              <w:t>(1,755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44" w:type="dxa"/>
            <w:tcBorders>
              <w:bottom w:val="double" w:sz="6" w:space="0" w:color="000000"/>
            </w:tcBorders>
            <w:shd w:fill="CCEEFF" w:val="clear"/>
            <w:tcMar>
              <w:bottom w:w="28" w:type="dxa"/>
            </w:tcMar>
            <w:vAlign w:val="center"/>
          </w:tcPr>
          <w:p>
            <w:pPr>
              <w:pStyle w:val="TableContents"/>
              <w:spacing w:before="0" w:after="283"/>
              <w:jc w:val="right"/>
              <w:rPr/>
            </w:pPr>
            <w:r>
              <w:rPr/>
              <w:t>(7,654</w:t>
            </w:r>
          </w:p>
        </w:tc>
        <w:tc>
          <w:tcPr>
            <w:tcW w:w="98"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44" w:type="dxa"/>
            <w:tcBorders>
              <w:bottom w:val="double" w:sz="6" w:space="0" w:color="000000"/>
            </w:tcBorders>
            <w:shd w:fill="CCEEFF" w:val="clear"/>
            <w:tcMar>
              <w:bottom w:w="28" w:type="dxa"/>
            </w:tcMar>
            <w:vAlign w:val="center"/>
          </w:tcPr>
          <w:p>
            <w:pPr>
              <w:pStyle w:val="TableContents"/>
              <w:spacing w:before="0" w:after="283"/>
              <w:jc w:val="right"/>
              <w:rPr/>
            </w:pPr>
            <w:r>
              <w:rPr/>
              <w:t>(4,335</w:t>
            </w:r>
          </w:p>
        </w:tc>
        <w:tc>
          <w:tcPr>
            <w:tcW w:w="116" w:type="dxa"/>
            <w:tcBorders/>
            <w:shd w:fill="CCEEFF" w:val="clear"/>
            <w:vAlign w:val="center"/>
          </w:tcPr>
          <w:p>
            <w:pPr>
              <w:pStyle w:val="TableContents"/>
              <w:spacing w:before="0" w:after="283"/>
              <w:jc w:val="left"/>
              <w:rPr/>
            </w:pPr>
            <w:r>
              <w:rPr/>
              <w:t>)</w:t>
            </w:r>
          </w:p>
        </w:tc>
      </w:tr>
      <w:tr>
        <w:trPr/>
        <w:tc>
          <w:tcPr>
            <w:tcW w:w="42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bookmarkStart w:id="111" w:name="xdx_406_eus-gaap--EarningsPerShareBasicA"/>
            <w:bookmarkEnd w:id="111"/>
          </w:p>
        </w:tc>
      </w:tr>
      <w:tr>
        <w:trPr/>
        <w:tc>
          <w:tcPr>
            <w:tcW w:w="4232" w:type="dxa"/>
            <w:tcBorders/>
            <w:shd w:fill="CCEEFF" w:val="clear"/>
            <w:vAlign w:val="center"/>
          </w:tcPr>
          <w:p>
            <w:pPr>
              <w:pStyle w:val="TableContents"/>
              <w:spacing w:before="0" w:after="283"/>
              <w:jc w:val="left"/>
              <w:rPr>
                <w:b/>
              </w:rPr>
            </w:pPr>
            <w:r>
              <w:rPr>
                <w:b/>
              </w:rPr>
              <w:t>Loss per share – basic and diluted</w:t>
            </w:r>
          </w:p>
        </w:tc>
        <w:tc>
          <w:tcPr>
            <w:tcW w:w="60" w:type="dxa"/>
            <w:tcBorders/>
            <w:shd w:fill="CCEEFF" w:val="clear"/>
            <w:vAlign w:val="center"/>
          </w:tcPr>
          <w:p>
            <w:pPr>
              <w:pStyle w:val="TableContents"/>
              <w:spacing w:before="0" w:after="283"/>
              <w:rPr/>
            </w:pPr>
            <w:r>
              <w:rPr/>
              <w:t> </w:t>
            </w:r>
          </w:p>
        </w:tc>
        <w:tc>
          <w:tcPr>
            <w:tcW w:w="154"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13" w:type="dxa"/>
            <w:tcBorders>
              <w:bottom w:val="double" w:sz="6" w:space="0" w:color="000000"/>
            </w:tcBorders>
            <w:shd w:fill="CCEEFF" w:val="clear"/>
            <w:tcMar>
              <w:bottom w:w="28" w:type="dxa"/>
            </w:tcMar>
            <w:vAlign w:val="center"/>
          </w:tcPr>
          <w:p>
            <w:pPr>
              <w:pStyle w:val="TableContents"/>
              <w:spacing w:before="0" w:after="283"/>
              <w:jc w:val="right"/>
              <w:rPr/>
            </w:pPr>
            <w:r>
              <w:rPr/>
              <w:t>(0.03</w:t>
            </w:r>
          </w:p>
        </w:tc>
        <w:tc>
          <w:tcPr>
            <w:tcW w:w="104" w:type="dxa"/>
            <w:tcBorders/>
            <w:shd w:fill="CCEEFF" w:val="clear"/>
            <w:vAlign w:val="center"/>
          </w:tcPr>
          <w:p>
            <w:pPr>
              <w:pStyle w:val="TableContents"/>
              <w:spacing w:before="0" w:after="283"/>
              <w:jc w:val="left"/>
              <w:rPr/>
            </w:pPr>
            <w:r>
              <w:rPr/>
              <w:t>)</w:t>
            </w:r>
          </w:p>
        </w:tc>
        <w:tc>
          <w:tcPr>
            <w:tcW w:w="66" w:type="dxa"/>
            <w:tcBorders/>
            <w:shd w:fill="CCEEFF" w:val="clear"/>
            <w:vAlign w:val="center"/>
          </w:tcPr>
          <w:p>
            <w:pPr>
              <w:pStyle w:val="TableContents"/>
              <w:spacing w:before="0" w:after="283"/>
              <w:rPr/>
            </w:pPr>
            <w:r>
              <w:rPr/>
              <w:t> </w:t>
            </w:r>
          </w:p>
        </w:tc>
        <w:tc>
          <w:tcPr>
            <w:tcW w:w="154"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213" w:type="dxa"/>
            <w:tcBorders>
              <w:bottom w:val="double" w:sz="6" w:space="0" w:color="000000"/>
            </w:tcBorders>
            <w:shd w:fill="CCEEFF" w:val="clear"/>
            <w:tcMar>
              <w:bottom w:w="28" w:type="dxa"/>
            </w:tcMar>
            <w:vAlign w:val="center"/>
          </w:tcPr>
          <w:p>
            <w:pPr>
              <w:pStyle w:val="TableContents"/>
              <w:spacing w:before="0" w:after="283"/>
              <w:jc w:val="right"/>
              <w:rPr/>
            </w:pPr>
            <w:r>
              <w:rPr/>
              <w:t>(0.03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44" w:type="dxa"/>
            <w:tcBorders>
              <w:bottom w:val="double" w:sz="6" w:space="0" w:color="000000"/>
            </w:tcBorders>
            <w:shd w:fill="CCEEFF" w:val="clear"/>
            <w:tcMar>
              <w:bottom w:w="28" w:type="dxa"/>
            </w:tcMar>
            <w:vAlign w:val="center"/>
          </w:tcPr>
          <w:p>
            <w:pPr>
              <w:pStyle w:val="TableContents"/>
              <w:spacing w:before="0" w:after="283"/>
              <w:jc w:val="right"/>
              <w:rPr/>
            </w:pPr>
            <w:r>
              <w:rPr/>
              <w:t>(0.09</w:t>
            </w:r>
          </w:p>
        </w:tc>
        <w:tc>
          <w:tcPr>
            <w:tcW w:w="98"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44" w:type="dxa"/>
            <w:tcBorders>
              <w:bottom w:val="double" w:sz="6" w:space="0" w:color="000000"/>
            </w:tcBorders>
            <w:shd w:fill="CCEEFF" w:val="clear"/>
            <w:tcMar>
              <w:bottom w:w="28" w:type="dxa"/>
            </w:tcMar>
            <w:vAlign w:val="center"/>
          </w:tcPr>
          <w:p>
            <w:pPr>
              <w:pStyle w:val="TableContents"/>
              <w:spacing w:before="0" w:after="283"/>
              <w:jc w:val="right"/>
              <w:rPr/>
            </w:pPr>
            <w:r>
              <w:rPr/>
              <w:t>(0.08</w:t>
            </w:r>
          </w:p>
        </w:tc>
        <w:tc>
          <w:tcPr>
            <w:tcW w:w="116" w:type="dxa"/>
            <w:tcBorders/>
            <w:shd w:fill="CCEEFF" w:val="clear"/>
            <w:vAlign w:val="center"/>
          </w:tcPr>
          <w:p>
            <w:pPr>
              <w:pStyle w:val="TableContents"/>
              <w:spacing w:before="0" w:after="283"/>
              <w:jc w:val="left"/>
              <w:rPr/>
            </w:pPr>
            <w:r>
              <w:rPr/>
              <w:t>)</w:t>
            </w:r>
          </w:p>
        </w:tc>
      </w:tr>
      <w:tr>
        <w:trPr/>
        <w:tc>
          <w:tcPr>
            <w:tcW w:w="423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104"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121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98"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p>
        </w:tc>
        <w:tc>
          <w:tcPr>
            <w:tcW w:w="1144" w:type="dxa"/>
            <w:tcBorders/>
            <w:shd w:fill="FFFFFF" w:val="clear"/>
            <w:vAlign w:val="center"/>
          </w:tcPr>
          <w:p>
            <w:pPr>
              <w:pStyle w:val="TableContents"/>
              <w:spacing w:before="0" w:after="283"/>
              <w:jc w:val="right"/>
              <w:rPr/>
            </w:pPr>
            <w:r>
              <w:rPr/>
              <w:t> </w:t>
            </w:r>
          </w:p>
        </w:tc>
        <w:tc>
          <w:tcPr>
            <w:tcW w:w="116" w:type="dxa"/>
            <w:tcBorders/>
            <w:shd w:fill="FFFFFF" w:val="clear"/>
            <w:vAlign w:val="center"/>
          </w:tcPr>
          <w:p>
            <w:pPr>
              <w:pStyle w:val="TableContents"/>
              <w:spacing w:before="0" w:after="283"/>
              <w:jc w:val="left"/>
              <w:rPr/>
            </w:pPr>
            <w:r>
              <w:rPr/>
              <w:t> </w:t>
            </w:r>
            <w:bookmarkStart w:id="112" w:name="xdx_408_eus-gaap--WeightedAverageNumberO"/>
            <w:bookmarkEnd w:id="112"/>
          </w:p>
        </w:tc>
      </w:tr>
      <w:tr>
        <w:trPr/>
        <w:tc>
          <w:tcPr>
            <w:tcW w:w="4232" w:type="dxa"/>
            <w:tcBorders/>
            <w:shd w:fill="CCEEFF" w:val="clear"/>
            <w:vAlign w:val="center"/>
          </w:tcPr>
          <w:p>
            <w:pPr>
              <w:pStyle w:val="TableContents"/>
              <w:spacing w:before="0" w:after="283"/>
              <w:rPr/>
            </w:pPr>
            <w:r>
              <w:rPr/>
              <w:t>Weighted average number of shares outstanding – basic and diluted</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90,801,842</w:t>
            </w:r>
          </w:p>
        </w:tc>
        <w:tc>
          <w:tcPr>
            <w:tcW w:w="104"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3" w:type="dxa"/>
            <w:tcBorders/>
            <w:shd w:fill="CCEEFF" w:val="clear"/>
            <w:vAlign w:val="center"/>
          </w:tcPr>
          <w:p>
            <w:pPr>
              <w:pStyle w:val="TableContents"/>
              <w:spacing w:before="0" w:after="283"/>
              <w:jc w:val="right"/>
              <w:rPr/>
            </w:pPr>
            <w:r>
              <w:rPr/>
              <w:t>59,514,620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88,751,896</w:t>
            </w:r>
          </w:p>
        </w:tc>
        <w:tc>
          <w:tcPr>
            <w:tcW w:w="98"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144" w:type="dxa"/>
            <w:tcBorders/>
            <w:shd w:fill="CCEEFF" w:val="clear"/>
            <w:vAlign w:val="center"/>
          </w:tcPr>
          <w:p>
            <w:pPr>
              <w:pStyle w:val="TableContents"/>
              <w:spacing w:before="0" w:after="283"/>
              <w:jc w:val="right"/>
              <w:rPr/>
            </w:pPr>
            <w:r>
              <w:rPr/>
              <w:t>53,554,913</w:t>
            </w:r>
          </w:p>
        </w:tc>
        <w:tc>
          <w:tcPr>
            <w:tcW w:w="116" w:type="dxa"/>
            <w:tcBorders/>
            <w:shd w:fill="CCEEFF" w:val="clear"/>
            <w:vAlign w:val="center"/>
          </w:tcPr>
          <w:p>
            <w:pPr>
              <w:pStyle w:val="TableContents"/>
              <w:spacing w:before="0" w:after="283"/>
              <w:jc w:val="left"/>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F-2</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113" w:name="ar_005"/>
      <w:bookmarkEnd w:id="113"/>
      <w:r>
        <w:rPr>
          <w:rFonts w:ascii="Times New Roman;Times;Serif" w:hAnsi="Times New Roman;Times;Serif"/>
          <w:b/>
          <w:i w:val="false"/>
          <w:caps w:val="false"/>
          <w:smallCaps w:val="false"/>
          <w:sz w:val="20"/>
        </w:rPr>
        <w:t>REED’S, INC.</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CHANGES IN STOCKHOLDERS’ EQUITY (DEFICIT)</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2021 and 2020</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amounts)</w:t>
      </w:r>
    </w:p>
    <w:p>
      <w:pPr>
        <w:pStyle w:val="TextBody"/>
        <w:jc w:val="center"/>
        <w:rPr>
          <w:caps w:val="false"/>
          <w:smallCaps w:val="false"/>
        </w:rPr>
      </w:pPr>
      <w:r>
        <w:rPr>
          <w:caps w:val="false"/>
          <w:smallCaps w:val="false"/>
        </w:rPr>
        <w:t> </w:t>
      </w:r>
    </w:p>
    <w:p>
      <w:pPr>
        <w:pStyle w:val="Normal"/>
        <w:spacing w:before="0" w:after="0"/>
        <w:rPr>
          <w:sz w:val="4"/>
          <w:szCs w:val="4"/>
        </w:rPr>
      </w:pPr>
      <w:r>
        <w:rPr>
          <w:sz w:val="4"/>
          <w:szCs w:val="4"/>
        </w:rPr>
      </w:r>
      <w:bookmarkStart w:id="114" w:name="xdx_30E_114_pn3n3_zGg2qfNJ7P13"/>
      <w:bookmarkStart w:id="115" w:name="xdx_30E_114_pn3n3_zGg2qfNJ7P13"/>
      <w:bookmarkEnd w:id="115"/>
    </w:p>
    <w:tbl>
      <w:tblPr>
        <w:tblW w:w="10870" w:type="dxa"/>
        <w:jc w:val="left"/>
        <w:tblInd w:w="0" w:type="dxa"/>
        <w:tblCellMar>
          <w:top w:w="0" w:type="dxa"/>
          <w:left w:w="0" w:type="dxa"/>
          <w:bottom w:w="0" w:type="dxa"/>
          <w:right w:w="0" w:type="dxa"/>
        </w:tblCellMar>
      </w:tblPr>
      <w:tblGrid>
        <w:gridCol w:w="1145"/>
        <w:gridCol w:w="60"/>
        <w:gridCol w:w="60"/>
        <w:gridCol w:w="1100"/>
        <w:gridCol w:w="95"/>
        <w:gridCol w:w="60"/>
        <w:gridCol w:w="400"/>
        <w:gridCol w:w="400"/>
        <w:gridCol w:w="60"/>
        <w:gridCol w:w="60"/>
        <w:gridCol w:w="62"/>
        <w:gridCol w:w="588"/>
        <w:gridCol w:w="60"/>
        <w:gridCol w:w="60"/>
        <w:gridCol w:w="280"/>
        <w:gridCol w:w="520"/>
        <w:gridCol w:w="60"/>
        <w:gridCol w:w="60"/>
        <w:gridCol w:w="251"/>
        <w:gridCol w:w="399"/>
        <w:gridCol w:w="60"/>
        <w:gridCol w:w="60"/>
        <w:gridCol w:w="476"/>
        <w:gridCol w:w="324"/>
        <w:gridCol w:w="60"/>
        <w:gridCol w:w="60"/>
        <w:gridCol w:w="152"/>
        <w:gridCol w:w="873"/>
        <w:gridCol w:w="95"/>
        <w:gridCol w:w="60"/>
        <w:gridCol w:w="200"/>
        <w:gridCol w:w="1080"/>
        <w:gridCol w:w="95"/>
        <w:gridCol w:w="60"/>
        <w:gridCol w:w="226"/>
        <w:gridCol w:w="1099"/>
        <w:gridCol w:w="110"/>
      </w:tblGrid>
      <w:tr>
        <w:trPr/>
        <w:tc>
          <w:tcPr>
            <w:tcW w:w="11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16" w:name="xdx_4B3_us-gaap--StatementEquityComponen"/>
            <w:bookmarkEnd w:id="116"/>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17" w:name="xdx_4BC_us-gaap--StatementEquityComponen"/>
            <w:bookmarkEnd w:id="117"/>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18" w:name="xdx_4BE_us-gaap--StatementEquityComponen"/>
            <w:bookmarkEnd w:id="118"/>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19" w:name="xdx_4BB_us-gaap--StatementEquityComponen"/>
            <w:bookmarkEnd w:id="119"/>
          </w:p>
        </w:tc>
        <w:tc>
          <w:tcPr>
            <w:tcW w:w="1025" w:type="dxa"/>
            <w:gridSpan w:val="2"/>
            <w:tcBorders>
              <w:bottom w:val="single" w:sz="12" w:space="0" w:color="000000"/>
            </w:tcBorders>
            <w:shd w:fill="auto" w:val="clear"/>
            <w:tcMar>
              <w:bottom w:w="28" w:type="dxa"/>
            </w:tcMar>
            <w:vAlign w:val="center"/>
          </w:tcPr>
          <w:p>
            <w:pPr>
              <w:pStyle w:val="TableContents"/>
              <w:spacing w:before="0" w:after="283"/>
              <w:jc w:val="center"/>
              <w:rPr/>
            </w:pPr>
            <w:r>
              <w:rPr/>
              <w:t>Capital</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20" w:name="xdx_4B6_us-gaap--StatementEquityComponen"/>
            <w:bookmarkEnd w:id="120"/>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21" w:name="xdx_4B7_zlZtEJaAdVG6"/>
            <w:bookmarkEnd w:id="121"/>
          </w:p>
        </w:tc>
        <w:tc>
          <w:tcPr>
            <w:tcW w:w="1325"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110" w:type="dxa"/>
            <w:tcBorders/>
            <w:shd w:fill="auto" w:val="clear"/>
            <w:vAlign w:val="center"/>
          </w:tcPr>
          <w:p>
            <w:pPr>
              <w:pStyle w:val="TableContents"/>
              <w:spacing w:before="0" w:after="283"/>
              <w:rPr/>
            </w:pPr>
            <w:r>
              <w:rPr/>
              <w:t> </w:t>
            </w:r>
          </w:p>
        </w:tc>
      </w:tr>
      <w:tr>
        <w:trPr/>
        <w:tc>
          <w:tcPr>
            <w:tcW w:w="11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115" w:type="dxa"/>
            <w:gridSpan w:val="6"/>
            <w:tcBorders>
              <w:bottom w:val="single" w:sz="12" w:space="0" w:color="000000"/>
            </w:tcBorders>
            <w:shd w:fill="auto" w:val="clear"/>
            <w:tcMar>
              <w:bottom w:w="28" w:type="dxa"/>
            </w:tcMar>
            <w:vAlign w:val="center"/>
          </w:tcPr>
          <w:p>
            <w:pPr>
              <w:pStyle w:val="TableContents"/>
              <w:spacing w:before="0" w:after="283"/>
              <w:jc w:val="center"/>
              <w:rPr/>
            </w:pPr>
            <w:r>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70" w:type="dxa"/>
            <w:gridSpan w:val="6"/>
            <w:tcBorders>
              <w:bottom w:val="single" w:sz="12" w:space="0" w:color="000000"/>
            </w:tcBorders>
            <w:shd w:fill="auto" w:val="clear"/>
            <w:tcMar>
              <w:bottom w:w="28" w:type="dxa"/>
            </w:tcMar>
            <w:vAlign w:val="center"/>
          </w:tcPr>
          <w:p>
            <w:pPr>
              <w:pStyle w:val="TableContents"/>
              <w:spacing w:before="0" w:after="283"/>
              <w:jc w:val="center"/>
              <w:rPr/>
            </w:pPr>
            <w:r>
              <w:rPr/>
              <w:t>Preferred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70" w:type="dxa"/>
            <w:gridSpan w:val="6"/>
            <w:tcBorders>
              <w:bottom w:val="single" w:sz="12" w:space="0" w:color="000000"/>
            </w:tcBorders>
            <w:shd w:fill="auto" w:val="clear"/>
            <w:tcMar>
              <w:bottom w:w="28" w:type="dxa"/>
            </w:tcMar>
            <w:vAlign w:val="center"/>
          </w:tcPr>
          <w:p>
            <w:pPr>
              <w:pStyle w:val="TableContents"/>
              <w:spacing w:before="0" w:after="283"/>
              <w:jc w:val="center"/>
              <w:rPr/>
            </w:pPr>
            <w:r>
              <w:rPr/>
              <w:t>Common Stock Issuable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shd w:fill="auto" w:val="clear"/>
            <w:vAlign w:val="center"/>
          </w:tcPr>
          <w:p>
            <w:pPr>
              <w:pStyle w:val="TableContents"/>
              <w:spacing w:before="0" w:after="283"/>
              <w:jc w:val="center"/>
              <w:rPr/>
            </w:pPr>
            <w:r>
              <w:rPr/>
              <w:t>Additional Paid In</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shd w:fill="auto" w:val="clear"/>
            <w:vAlign w:val="center"/>
          </w:tcPr>
          <w:p>
            <w:pPr>
              <w:pStyle w:val="TableContents"/>
              <w:spacing w:before="0" w:after="283"/>
              <w:jc w:val="center"/>
              <w:rPr/>
            </w:pPr>
            <w:r>
              <w:rPr/>
              <w:t xml:space="preserve">Total </w:t>
              <w:br/>
              <w:t>Stockholders’ Equity</w:t>
            </w:r>
          </w:p>
        </w:tc>
        <w:tc>
          <w:tcPr>
            <w:tcW w:w="110" w:type="dxa"/>
            <w:tcBorders/>
            <w:shd w:fill="auto" w:val="clear"/>
            <w:vAlign w:val="center"/>
          </w:tcPr>
          <w:p>
            <w:pPr>
              <w:pStyle w:val="TableContents"/>
              <w:spacing w:before="0" w:after="283"/>
              <w:rPr/>
            </w:pPr>
            <w:r>
              <w:rPr/>
              <w:t> </w:t>
            </w:r>
          </w:p>
        </w:tc>
      </w:tr>
      <w:tr>
        <w:trPr/>
        <w:tc>
          <w:tcPr>
            <w:tcW w:w="114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center"/>
          </w:tcPr>
          <w:p>
            <w:pPr>
              <w:pStyle w:val="TableContents"/>
              <w:spacing w:before="0" w:after="283"/>
              <w:jc w:val="center"/>
              <w:rPr/>
            </w:pPr>
            <w:r>
              <w:rPr/>
              <w:t>Capital</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110" w:type="dxa"/>
            <w:tcBorders/>
            <w:shd w:fill="auto" w:val="clear"/>
            <w:vAlign w:val="center"/>
          </w:tcPr>
          <w:p>
            <w:pPr>
              <w:pStyle w:val="TableContents"/>
              <w:spacing w:before="0" w:after="283"/>
              <w:rPr/>
            </w:pPr>
            <w:r>
              <w:rPr/>
              <w:t> </w:t>
            </w:r>
            <w:bookmarkStart w:id="122" w:name="xdx_439_c20210401__20210630_eus-gaap--St"/>
            <w:bookmarkEnd w:id="122"/>
          </w:p>
        </w:tc>
      </w:tr>
      <w:tr>
        <w:trPr/>
        <w:tc>
          <w:tcPr>
            <w:tcW w:w="1145" w:type="dxa"/>
            <w:tcBorders/>
            <w:shd w:fill="CCEEFF" w:val="clear"/>
            <w:vAlign w:val="center"/>
          </w:tcPr>
          <w:p>
            <w:pPr>
              <w:pStyle w:val="TableContents"/>
              <w:spacing w:before="0" w:after="283"/>
              <w:rPr>
                <w:b/>
              </w:rPr>
            </w:pPr>
            <w:r>
              <w:rPr>
                <w:b/>
              </w:rPr>
              <w:t>Balance, March 31,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23" w:name="xdx_989_eus-gaap--SharesOutstanding_iS_p"/>
            <w:bookmarkEnd w:id="123"/>
          </w:p>
        </w:tc>
        <w:tc>
          <w:tcPr>
            <w:tcW w:w="1100" w:type="dxa"/>
            <w:tcBorders/>
            <w:shd w:fill="CCEEFF" w:val="clear"/>
            <w:vAlign w:val="center"/>
          </w:tcPr>
          <w:p>
            <w:pPr>
              <w:pStyle w:val="TableContents"/>
              <w:spacing w:before="0" w:after="283"/>
              <w:jc w:val="right"/>
              <w:rPr/>
            </w:pPr>
            <w:r>
              <w:rPr/>
              <w:t>86,807,905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w:t>
            </w:r>
          </w:p>
        </w:tc>
        <w:tc>
          <w:tcPr>
            <w:tcW w:w="400" w:type="dxa"/>
            <w:tcBorders/>
            <w:shd w:fill="CCEEFF" w:val="clear"/>
            <w:vAlign w:val="center"/>
          </w:tcPr>
          <w:p>
            <w:pPr>
              <w:pStyle w:val="TableContents"/>
              <w:spacing w:before="0" w:after="283"/>
              <w:jc w:val="right"/>
              <w:rPr/>
            </w:pPr>
            <w:r>
              <w:rPr/>
              <w:t>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bookmarkStart w:id="124" w:name="xdx_98E_eus-gaap--SharesOutstanding_iS_p"/>
            <w:bookmarkEnd w:id="124"/>
          </w:p>
        </w:tc>
        <w:tc>
          <w:tcPr>
            <w:tcW w:w="588" w:type="dxa"/>
            <w:tcBorders/>
            <w:shd w:fill="CCEEFF" w:val="clear"/>
            <w:vAlign w:val="center"/>
          </w:tcPr>
          <w:p>
            <w:pPr>
              <w:pStyle w:val="TableContents"/>
              <w:spacing w:before="0" w:after="283"/>
              <w:jc w:val="right"/>
              <w:rPr/>
            </w:pPr>
            <w:r>
              <w:rPr/>
              <w:t>9,411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w:t>
            </w:r>
          </w:p>
        </w:tc>
        <w:tc>
          <w:tcPr>
            <w:tcW w:w="520" w:type="dxa"/>
            <w:tcBorders/>
            <w:shd w:fill="CCEEFF" w:val="clear"/>
            <w:vAlign w:val="center"/>
          </w:tcPr>
          <w:p>
            <w:pPr>
              <w:pStyle w:val="TableContents"/>
              <w:spacing w:before="0" w:after="283"/>
              <w:jc w:val="right"/>
              <w:rPr/>
            </w:pPr>
            <w:r>
              <w:rPr/>
              <w:t>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jc w:val="left"/>
              <w:rPr/>
            </w:pPr>
            <w:r>
              <w:rPr/>
              <w:t> </w:t>
            </w:r>
            <w:bookmarkStart w:id="125" w:name="xdx_988_eus-gaap--SharesOutstanding_iS_p"/>
            <w:bookmarkEnd w:id="125"/>
          </w:p>
        </w:tc>
        <w:tc>
          <w:tcPr>
            <w:tcW w:w="399"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76" w:type="dxa"/>
            <w:tcBorders/>
            <w:shd w:fill="CCEEFF" w:val="clear"/>
            <w:vAlign w:val="center"/>
          </w:tcPr>
          <w:p>
            <w:pPr>
              <w:pStyle w:val="TableContents"/>
              <w:spacing w:before="0" w:after="283"/>
              <w:jc w:val="left"/>
              <w:rPr/>
            </w:pPr>
            <w:r>
              <w:rPr/>
              <w:t>$</w:t>
            </w:r>
          </w:p>
        </w:tc>
        <w:tc>
          <w:tcPr>
            <w:tcW w:w="324"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w:t>
            </w:r>
          </w:p>
        </w:tc>
        <w:tc>
          <w:tcPr>
            <w:tcW w:w="873" w:type="dxa"/>
            <w:tcBorders/>
            <w:shd w:fill="CCEEFF" w:val="clear"/>
            <w:vAlign w:val="center"/>
          </w:tcPr>
          <w:p>
            <w:pPr>
              <w:pStyle w:val="TableContents"/>
              <w:spacing w:before="0" w:after="283"/>
              <w:jc w:val="right"/>
              <w:rPr/>
            </w:pPr>
            <w:r>
              <w:rPr/>
              <w:t>97,904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w:t>
            </w:r>
          </w:p>
        </w:tc>
        <w:tc>
          <w:tcPr>
            <w:tcW w:w="1080" w:type="dxa"/>
            <w:tcBorders/>
            <w:shd w:fill="CCEEFF" w:val="clear"/>
            <w:vAlign w:val="center"/>
          </w:tcPr>
          <w:p>
            <w:pPr>
              <w:pStyle w:val="TableContents"/>
              <w:spacing w:before="0" w:after="283"/>
              <w:jc w:val="right"/>
              <w:rPr/>
            </w:pPr>
            <w:r>
              <w:rPr/>
              <w:t>(91,237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w:t>
            </w:r>
          </w:p>
        </w:tc>
        <w:tc>
          <w:tcPr>
            <w:tcW w:w="1099" w:type="dxa"/>
            <w:tcBorders/>
            <w:shd w:fill="CCEEFF" w:val="clear"/>
            <w:vAlign w:val="center"/>
          </w:tcPr>
          <w:p>
            <w:pPr>
              <w:pStyle w:val="TableContents"/>
              <w:spacing w:before="0" w:after="283"/>
              <w:jc w:val="right"/>
              <w:rPr/>
            </w:pPr>
            <w:r>
              <w:rPr/>
              <w:t>6,770</w:t>
            </w:r>
          </w:p>
        </w:tc>
        <w:tc>
          <w:tcPr>
            <w:tcW w:w="110" w:type="dxa"/>
            <w:tcBorders/>
            <w:shd w:fill="CCEEFF" w:val="clear"/>
            <w:vAlign w:val="center"/>
          </w:tcPr>
          <w:p>
            <w:pPr>
              <w:pStyle w:val="TableContents"/>
              <w:spacing w:before="0" w:after="283"/>
              <w:jc w:val="left"/>
              <w:rPr/>
            </w:pPr>
            <w:r>
              <w:rPr/>
              <w:t> </w:t>
            </w:r>
            <w:bookmarkStart w:id="126" w:name="xdx_400_ecustom--AdjustmentsToAdditional"/>
            <w:bookmarkEnd w:id="126"/>
          </w:p>
        </w:tc>
      </w:tr>
      <w:tr>
        <w:trPr/>
        <w:tc>
          <w:tcPr>
            <w:tcW w:w="1145" w:type="dxa"/>
            <w:tcBorders/>
            <w:shd w:fill="FFFFFF" w:val="clear"/>
            <w:vAlign w:val="center"/>
          </w:tcPr>
          <w:p>
            <w:pPr>
              <w:pStyle w:val="TableContents"/>
              <w:spacing w:before="0" w:after="283"/>
              <w:rPr/>
            </w:pPr>
            <w:r>
              <w:rPr/>
              <w:t>Fair value of vested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jc w:val="left"/>
              <w:rPr/>
            </w:pPr>
            <w:r>
              <w:rPr/>
              <w:t> </w:t>
            </w:r>
          </w:p>
        </w:tc>
        <w:tc>
          <w:tcPr>
            <w:tcW w:w="3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76" w:type="dxa"/>
            <w:tcBorders/>
            <w:shd w:fill="FFFFFF" w:val="clear"/>
            <w:vAlign w:val="center"/>
          </w:tcPr>
          <w:p>
            <w:pPr>
              <w:pStyle w:val="TableContents"/>
              <w:spacing w:before="0" w:after="283"/>
              <w:jc w:val="left"/>
              <w:rPr/>
            </w:pPr>
            <w:r>
              <w:rPr/>
              <w:t> </w:t>
            </w:r>
          </w:p>
        </w:tc>
        <w:tc>
          <w:tcPr>
            <w:tcW w:w="324"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528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099" w:type="dxa"/>
            <w:tcBorders/>
            <w:shd w:fill="FFFFFF" w:val="clear"/>
            <w:vAlign w:val="center"/>
          </w:tcPr>
          <w:p>
            <w:pPr>
              <w:pStyle w:val="TableContents"/>
              <w:spacing w:before="0" w:after="283"/>
              <w:jc w:val="right"/>
              <w:rPr/>
            </w:pPr>
            <w:r>
              <w:rPr/>
              <w:t>528</w:t>
            </w:r>
          </w:p>
        </w:tc>
        <w:tc>
          <w:tcPr>
            <w:tcW w:w="110" w:type="dxa"/>
            <w:tcBorders/>
            <w:shd w:fill="FFFFFF" w:val="clear"/>
            <w:vAlign w:val="center"/>
          </w:tcPr>
          <w:p>
            <w:pPr>
              <w:pStyle w:val="TableContents"/>
              <w:spacing w:before="0" w:after="283"/>
              <w:jc w:val="left"/>
              <w:rPr/>
            </w:pPr>
            <w:r>
              <w:rPr/>
              <w:t> </w:t>
            </w:r>
            <w:bookmarkStart w:id="127" w:name="xdx_402_ecustom--DividendsOnSeriesConver"/>
            <w:bookmarkEnd w:id="127"/>
          </w:p>
        </w:tc>
      </w:tr>
      <w:tr>
        <w:trPr/>
        <w:tc>
          <w:tcPr>
            <w:tcW w:w="1145" w:type="dxa"/>
            <w:tcBorders/>
            <w:shd w:fill="FFFFFF" w:val="clear"/>
            <w:vAlign w:val="center"/>
          </w:tcPr>
          <w:p>
            <w:pPr>
              <w:pStyle w:val="TableContents"/>
              <w:spacing w:before="0" w:after="283"/>
              <w:rPr/>
            </w:pPr>
            <w:r>
              <w:rPr/>
              <w:t>Dividends on Series A Convertible Preferred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jc w:val="left"/>
              <w:rPr/>
            </w:pPr>
            <w:r>
              <w:rPr/>
              <w:t> </w:t>
            </w:r>
          </w:p>
        </w:tc>
        <w:tc>
          <w:tcPr>
            <w:tcW w:w="3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76" w:type="dxa"/>
            <w:tcBorders/>
            <w:shd w:fill="FFFFFF" w:val="clear"/>
            <w:vAlign w:val="center"/>
          </w:tcPr>
          <w:p>
            <w:pPr>
              <w:pStyle w:val="TableContents"/>
              <w:spacing w:before="0" w:after="283"/>
              <w:jc w:val="left"/>
              <w:rPr/>
            </w:pPr>
            <w:r>
              <w:rPr/>
              <w:t> </w:t>
            </w:r>
          </w:p>
        </w:tc>
        <w:tc>
          <w:tcPr>
            <w:tcW w:w="3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099"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28" w:name="xdx_40F_eus-gaap--StockIssuedDuringPerio"/>
            <w:bookmarkEnd w:id="128"/>
          </w:p>
        </w:tc>
      </w:tr>
      <w:tr>
        <w:trPr/>
        <w:tc>
          <w:tcPr>
            <w:tcW w:w="1145" w:type="dxa"/>
            <w:tcBorders/>
            <w:shd w:fill="CCEEFF" w:val="clear"/>
            <w:vAlign w:val="center"/>
          </w:tcPr>
          <w:p>
            <w:pPr>
              <w:pStyle w:val="TableContents"/>
              <w:spacing w:before="0" w:after="283"/>
              <w:jc w:val="left"/>
              <w:rPr/>
            </w:pPr>
            <w:r>
              <w:rPr/>
              <w:t>Fair value of vested restricted shares granted to an officer for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29" w:name="xdx_981_eus-gaap--StockIssuedDuringPerio"/>
            <w:bookmarkEnd w:id="129"/>
          </w:p>
        </w:tc>
        <w:tc>
          <w:tcPr>
            <w:tcW w:w="1100" w:type="dxa"/>
            <w:tcBorders/>
            <w:shd w:fill="CCEEFF" w:val="clear"/>
            <w:vAlign w:val="center"/>
          </w:tcPr>
          <w:p>
            <w:pPr>
              <w:pStyle w:val="TableContents"/>
              <w:spacing w:before="0" w:after="283"/>
              <w:jc w:val="right"/>
              <w:rPr/>
            </w:pPr>
            <w:r>
              <w:rPr/>
              <w:t>74,968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jc w:val="left"/>
              <w:rPr/>
            </w:pPr>
            <w:r>
              <w:rPr/>
              <w:t> </w:t>
            </w:r>
          </w:p>
        </w:tc>
        <w:tc>
          <w:tcPr>
            <w:tcW w:w="39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76" w:type="dxa"/>
            <w:tcBorders/>
            <w:shd w:fill="CCEEFF" w:val="clear"/>
            <w:vAlign w:val="center"/>
          </w:tcPr>
          <w:p>
            <w:pPr>
              <w:pStyle w:val="TableContents"/>
              <w:spacing w:before="0" w:after="283"/>
              <w:jc w:val="left"/>
              <w:rPr/>
            </w:pPr>
            <w:r>
              <w:rPr/>
              <w:t> </w:t>
            </w:r>
          </w:p>
        </w:tc>
        <w:tc>
          <w:tcPr>
            <w:tcW w:w="32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71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71</w:t>
            </w:r>
          </w:p>
        </w:tc>
        <w:tc>
          <w:tcPr>
            <w:tcW w:w="110" w:type="dxa"/>
            <w:tcBorders/>
            <w:shd w:fill="CCEEFF" w:val="clear"/>
            <w:vAlign w:val="center"/>
          </w:tcPr>
          <w:p>
            <w:pPr>
              <w:pStyle w:val="TableContents"/>
              <w:spacing w:before="0" w:after="283"/>
              <w:jc w:val="left"/>
              <w:rPr/>
            </w:pPr>
            <w:r>
              <w:rPr/>
              <w:t> </w:t>
            </w:r>
            <w:bookmarkStart w:id="130" w:name="xdx_40D_ecustom--IssuanceOfSharesForDivi"/>
            <w:bookmarkEnd w:id="130"/>
          </w:p>
        </w:tc>
      </w:tr>
      <w:tr>
        <w:trPr/>
        <w:tc>
          <w:tcPr>
            <w:tcW w:w="1145" w:type="dxa"/>
            <w:tcBorders/>
            <w:shd w:fill="FFFFFF" w:val="clear"/>
            <w:vAlign w:val="center"/>
          </w:tcPr>
          <w:p>
            <w:pPr>
              <w:pStyle w:val="TableContents"/>
              <w:spacing w:before="0" w:after="283"/>
              <w:jc w:val="left"/>
              <w:rPr/>
            </w:pPr>
            <w:r>
              <w:rPr/>
              <w:t>Issuance of shares for dividends on Series A Convertible Preferred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jc w:val="left"/>
              <w:rPr/>
            </w:pPr>
            <w:r>
              <w:rPr/>
              <w:t> </w:t>
            </w:r>
          </w:p>
        </w:tc>
        <w:tc>
          <w:tcPr>
            <w:tcW w:w="3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76" w:type="dxa"/>
            <w:tcBorders/>
            <w:shd w:fill="FFFFFF" w:val="clear"/>
            <w:vAlign w:val="center"/>
          </w:tcPr>
          <w:p>
            <w:pPr>
              <w:pStyle w:val="TableContents"/>
              <w:spacing w:before="0" w:after="283"/>
              <w:jc w:val="left"/>
              <w:rPr/>
            </w:pPr>
            <w:r>
              <w:rPr/>
              <w:t> </w:t>
            </w:r>
          </w:p>
        </w:tc>
        <w:tc>
          <w:tcPr>
            <w:tcW w:w="3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099" w:type="dxa"/>
            <w:tcBorders/>
            <w:shd w:fill="FFFFFF" w:val="clear"/>
            <w:vAlign w:val="center"/>
          </w:tcPr>
          <w:p>
            <w:pPr>
              <w:pStyle w:val="TableContents"/>
              <w:spacing w:before="0" w:after="283"/>
              <w:jc w:val="right"/>
              <w:rPr/>
            </w:pPr>
            <w:r>
              <w:rPr/>
              <w:t>(5</w:t>
            </w:r>
          </w:p>
        </w:tc>
        <w:tc>
          <w:tcPr>
            <w:tcW w:w="110" w:type="dxa"/>
            <w:tcBorders/>
            <w:shd w:fill="FFFFFF" w:val="clear"/>
            <w:vAlign w:val="center"/>
          </w:tcPr>
          <w:p>
            <w:pPr>
              <w:pStyle w:val="TableContents"/>
              <w:spacing w:before="0" w:after="283"/>
              <w:jc w:val="left"/>
              <w:rPr/>
            </w:pPr>
            <w:r>
              <w:rPr/>
              <w:t>)</w:t>
            </w:r>
            <w:bookmarkStart w:id="131" w:name="xdx_406_eus-gaap--StockRepurchasedDuring"/>
            <w:bookmarkEnd w:id="131"/>
          </w:p>
        </w:tc>
      </w:tr>
      <w:tr>
        <w:trPr/>
        <w:tc>
          <w:tcPr>
            <w:tcW w:w="1145" w:type="dxa"/>
            <w:tcBorders/>
            <w:shd w:fill="CCEEFF" w:val="clear"/>
            <w:vAlign w:val="center"/>
          </w:tcPr>
          <w:p>
            <w:pPr>
              <w:pStyle w:val="TableContents"/>
              <w:spacing w:before="0" w:after="283"/>
              <w:rPr/>
            </w:pPr>
            <w:r>
              <w:rPr/>
              <w:t>Repurchase of shares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32" w:name="xdx_984_eus-gaap--StockRepurchasedDuring"/>
            <w:bookmarkEnd w:id="132"/>
          </w:p>
        </w:tc>
        <w:tc>
          <w:tcPr>
            <w:tcW w:w="1100" w:type="dxa"/>
            <w:tcBorders/>
            <w:shd w:fill="CCEEFF" w:val="clear"/>
            <w:vAlign w:val="center"/>
          </w:tcPr>
          <w:p>
            <w:pPr>
              <w:pStyle w:val="TableContents"/>
              <w:spacing w:before="0" w:after="283"/>
              <w:jc w:val="right"/>
              <w:rPr/>
            </w:pPr>
            <w:r>
              <w:rPr/>
              <w:t>(13,493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jc w:val="left"/>
              <w:rPr/>
            </w:pPr>
            <w:r>
              <w:rPr/>
              <w:t> </w:t>
            </w:r>
          </w:p>
        </w:tc>
        <w:tc>
          <w:tcPr>
            <w:tcW w:w="39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76" w:type="dxa"/>
            <w:tcBorders/>
            <w:shd w:fill="CCEEFF" w:val="clear"/>
            <w:vAlign w:val="center"/>
          </w:tcPr>
          <w:p>
            <w:pPr>
              <w:pStyle w:val="TableContents"/>
              <w:spacing w:before="0" w:after="283"/>
              <w:jc w:val="left"/>
              <w:rPr/>
            </w:pPr>
            <w:r>
              <w:rPr/>
              <w:t> </w:t>
            </w:r>
          </w:p>
        </w:tc>
        <w:tc>
          <w:tcPr>
            <w:tcW w:w="32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(15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(15</w:t>
            </w:r>
          </w:p>
        </w:tc>
        <w:tc>
          <w:tcPr>
            <w:tcW w:w="110" w:type="dxa"/>
            <w:tcBorders/>
            <w:shd w:fill="CCEEFF" w:val="clear"/>
            <w:vAlign w:val="center"/>
          </w:tcPr>
          <w:p>
            <w:pPr>
              <w:pStyle w:val="TableContents"/>
              <w:spacing w:before="0" w:after="283"/>
              <w:jc w:val="left"/>
              <w:rPr/>
            </w:pPr>
            <w:r>
              <w:rPr/>
              <w:t>)</w:t>
            </w:r>
            <w:bookmarkStart w:id="133" w:name="xdx_403_eus-gaap--StockIssuedDuringPerio"/>
            <w:bookmarkEnd w:id="133"/>
          </w:p>
        </w:tc>
      </w:tr>
      <w:tr>
        <w:trPr/>
        <w:tc>
          <w:tcPr>
            <w:tcW w:w="1145" w:type="dxa"/>
            <w:tcBorders/>
            <w:shd w:fill="FFFFFF" w:val="clear"/>
            <w:vAlign w:val="center"/>
          </w:tcPr>
          <w:p>
            <w:pPr>
              <w:pStyle w:val="TableContents"/>
              <w:spacing w:before="0" w:after="283"/>
              <w:jc w:val="left"/>
              <w:rPr/>
            </w:pPr>
            <w:r>
              <w:rPr/>
              <w:t>Common shares issued on exercise of stock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34" w:name="xdx_986_eus-gaap--StockIssuedDuringPerio"/>
            <w:bookmarkEnd w:id="134"/>
          </w:p>
        </w:tc>
        <w:tc>
          <w:tcPr>
            <w:tcW w:w="1100" w:type="dxa"/>
            <w:tcBorders/>
            <w:shd w:fill="FFFFFF" w:val="clear"/>
            <w:vAlign w:val="center"/>
          </w:tcPr>
          <w:p>
            <w:pPr>
              <w:pStyle w:val="TableContents"/>
              <w:spacing w:before="0" w:after="283"/>
              <w:jc w:val="right"/>
              <w:rPr/>
            </w:pPr>
            <w:r>
              <w:rPr/>
              <w:t>52,000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jc w:val="left"/>
              <w:rPr/>
            </w:pPr>
            <w:r>
              <w:rPr/>
              <w:t> </w:t>
            </w:r>
          </w:p>
        </w:tc>
        <w:tc>
          <w:tcPr>
            <w:tcW w:w="3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76" w:type="dxa"/>
            <w:tcBorders/>
            <w:shd w:fill="FFFFFF" w:val="clear"/>
            <w:vAlign w:val="center"/>
          </w:tcPr>
          <w:p>
            <w:pPr>
              <w:pStyle w:val="TableContents"/>
              <w:spacing w:before="0" w:after="283"/>
              <w:jc w:val="left"/>
              <w:rPr/>
            </w:pPr>
            <w:r>
              <w:rPr/>
              <w:t> </w:t>
            </w:r>
          </w:p>
        </w:tc>
        <w:tc>
          <w:tcPr>
            <w:tcW w:w="3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26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099" w:type="dxa"/>
            <w:tcBorders/>
            <w:shd w:fill="FFFFFF" w:val="clear"/>
            <w:vAlign w:val="center"/>
          </w:tcPr>
          <w:p>
            <w:pPr>
              <w:pStyle w:val="TableContents"/>
              <w:spacing w:before="0" w:after="283"/>
              <w:jc w:val="right"/>
              <w:rPr/>
            </w:pPr>
            <w:r>
              <w:rPr/>
              <w:t>26</w:t>
            </w:r>
          </w:p>
        </w:tc>
        <w:tc>
          <w:tcPr>
            <w:tcW w:w="110" w:type="dxa"/>
            <w:tcBorders/>
            <w:shd w:fill="FFFFFF" w:val="clear"/>
            <w:vAlign w:val="center"/>
          </w:tcPr>
          <w:p>
            <w:pPr>
              <w:pStyle w:val="TableContents"/>
              <w:spacing w:before="0" w:after="283"/>
              <w:jc w:val="left"/>
              <w:rPr/>
            </w:pPr>
            <w:r>
              <w:rPr/>
              <w:t> </w:t>
            </w:r>
            <w:bookmarkStart w:id="135" w:name="xdx_40A_eus-gaap--StockIssuedDuringPerio"/>
            <w:bookmarkEnd w:id="135"/>
          </w:p>
        </w:tc>
      </w:tr>
      <w:tr>
        <w:trPr/>
        <w:tc>
          <w:tcPr>
            <w:tcW w:w="1145" w:type="dxa"/>
            <w:tcBorders/>
            <w:shd w:fill="FFFFFF" w:val="clear"/>
            <w:vAlign w:val="center"/>
          </w:tcPr>
          <w:p>
            <w:pPr>
              <w:pStyle w:val="TableContents"/>
              <w:spacing w:before="0" w:after="283"/>
              <w:jc w:val="left"/>
              <w:rPr/>
            </w:pPr>
            <w:r>
              <w:rPr/>
              <w:t>Common shares issued for financing costs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jc w:val="left"/>
              <w:rPr/>
            </w:pPr>
            <w:r>
              <w:rPr/>
              <w:t> </w:t>
            </w:r>
          </w:p>
        </w:tc>
        <w:tc>
          <w:tcPr>
            <w:tcW w:w="3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76" w:type="dxa"/>
            <w:tcBorders/>
            <w:shd w:fill="FFFFFF" w:val="clear"/>
            <w:vAlign w:val="center"/>
          </w:tcPr>
          <w:p>
            <w:pPr>
              <w:pStyle w:val="TableContents"/>
              <w:spacing w:before="0" w:after="283"/>
              <w:jc w:val="left"/>
              <w:rPr/>
            </w:pPr>
            <w:r>
              <w:rPr/>
              <w:t> </w:t>
            </w:r>
          </w:p>
        </w:tc>
        <w:tc>
          <w:tcPr>
            <w:tcW w:w="3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099"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36" w:name="xdx_404_eus-gaap--StockIssuedDuringPerio"/>
            <w:bookmarkEnd w:id="136"/>
          </w:p>
        </w:tc>
      </w:tr>
      <w:tr>
        <w:trPr/>
        <w:tc>
          <w:tcPr>
            <w:tcW w:w="1145" w:type="dxa"/>
            <w:tcBorders/>
            <w:shd w:fill="FFFFFF" w:val="clear"/>
            <w:vAlign w:val="center"/>
          </w:tcPr>
          <w:p>
            <w:pPr>
              <w:pStyle w:val="TableContents"/>
              <w:spacing w:before="0" w:after="283"/>
              <w:jc w:val="left"/>
              <w:rPr/>
            </w:pPr>
            <w:r>
              <w:rPr/>
              <w:t>Common shares issued for financing costs, shares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shd w:fill="FFFFFF" w:val="clear"/>
            <w:vAlign w:val="center"/>
          </w:tcPr>
          <w:p>
            <w:pPr>
              <w:pStyle w:val="TableContents"/>
              <w:spacing w:before="0" w:after="283"/>
              <w:jc w:val="left"/>
              <w:rPr/>
            </w:pPr>
            <w:r>
              <w:rPr/>
              <w:t> </w:t>
            </w:r>
          </w:p>
        </w:tc>
        <w:tc>
          <w:tcPr>
            <w:tcW w:w="58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jc w:val="left"/>
              <w:rPr/>
            </w:pPr>
            <w:r>
              <w:rPr/>
              <w:t> </w:t>
            </w:r>
          </w:p>
        </w:tc>
        <w:tc>
          <w:tcPr>
            <w:tcW w:w="3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76" w:type="dxa"/>
            <w:tcBorders/>
            <w:shd w:fill="FFFFFF" w:val="clear"/>
            <w:vAlign w:val="center"/>
          </w:tcPr>
          <w:p>
            <w:pPr>
              <w:pStyle w:val="TableContents"/>
              <w:spacing w:before="0" w:after="283"/>
              <w:jc w:val="left"/>
              <w:rPr/>
            </w:pPr>
            <w:r>
              <w:rPr/>
              <w:t> </w:t>
            </w:r>
          </w:p>
        </w:tc>
        <w:tc>
          <w:tcPr>
            <w:tcW w:w="32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099"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137" w:name="xdx_407_eus-gaap--StockIssuedDuringPerio"/>
            <w:bookmarkEnd w:id="137"/>
          </w:p>
        </w:tc>
      </w:tr>
      <w:tr>
        <w:trPr/>
        <w:tc>
          <w:tcPr>
            <w:tcW w:w="1145" w:type="dxa"/>
            <w:tcBorders/>
            <w:shd w:fill="CCEEFF" w:val="clear"/>
            <w:vAlign w:val="center"/>
          </w:tcPr>
          <w:p>
            <w:pPr>
              <w:pStyle w:val="TableContents"/>
              <w:spacing w:before="0" w:after="283"/>
              <w:jc w:val="left"/>
              <w:rPr/>
            </w:pPr>
            <w:r>
              <w:rPr/>
              <w:t>Common shares issued pursuant to the rights offering, net of offering costs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38" w:name="xdx_98B_eus-gaap--StockIssuedDuringPerio"/>
            <w:bookmarkEnd w:id="138"/>
          </w:p>
        </w:tc>
        <w:tc>
          <w:tcPr>
            <w:tcW w:w="1100" w:type="dxa"/>
            <w:tcBorders/>
            <w:shd w:fill="CCEEFF" w:val="clear"/>
            <w:vAlign w:val="center"/>
          </w:tcPr>
          <w:p>
            <w:pPr>
              <w:pStyle w:val="TableContents"/>
              <w:spacing w:before="0" w:after="283"/>
              <w:jc w:val="right"/>
              <w:rPr/>
            </w:pPr>
            <w:r>
              <w:rPr/>
              <w:t>6,680,000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jc w:val="left"/>
              <w:rPr/>
            </w:pPr>
            <w:r>
              <w:rPr/>
              <w:t> </w:t>
            </w:r>
          </w:p>
        </w:tc>
        <w:tc>
          <w:tcPr>
            <w:tcW w:w="5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jc w:val="left"/>
              <w:rPr/>
            </w:pPr>
            <w:r>
              <w:rPr/>
              <w:t> </w:t>
            </w:r>
          </w:p>
        </w:tc>
        <w:tc>
          <w:tcPr>
            <w:tcW w:w="39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76" w:type="dxa"/>
            <w:tcBorders/>
            <w:shd w:fill="CCEEFF" w:val="clear"/>
            <w:vAlign w:val="center"/>
          </w:tcPr>
          <w:p>
            <w:pPr>
              <w:pStyle w:val="TableContents"/>
              <w:spacing w:before="0" w:after="283"/>
              <w:jc w:val="left"/>
              <w:rPr/>
            </w:pPr>
            <w:r>
              <w:rPr/>
              <w:t> </w:t>
            </w:r>
          </w:p>
        </w:tc>
        <w:tc>
          <w:tcPr>
            <w:tcW w:w="324"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7,333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7,333</w:t>
            </w:r>
          </w:p>
        </w:tc>
        <w:tc>
          <w:tcPr>
            <w:tcW w:w="110" w:type="dxa"/>
            <w:tcBorders/>
            <w:shd w:fill="CCEEFF" w:val="clear"/>
            <w:vAlign w:val="center"/>
          </w:tcPr>
          <w:p>
            <w:pPr>
              <w:pStyle w:val="TableContents"/>
              <w:spacing w:before="0" w:after="283"/>
              <w:jc w:val="left"/>
              <w:rPr/>
            </w:pPr>
            <w:r>
              <w:rPr/>
              <w:t> </w:t>
            </w:r>
            <w:bookmarkStart w:id="139" w:name="xdx_40B_eus-gaap--NetIncomeLoss_zpeT2R61"/>
            <w:bookmarkEnd w:id="139"/>
          </w:p>
        </w:tc>
      </w:tr>
      <w:tr>
        <w:trPr/>
        <w:tc>
          <w:tcPr>
            <w:tcW w:w="1145" w:type="dxa"/>
            <w:tcBorders/>
            <w:shd w:fill="FFFFFF" w:val="clear"/>
            <w:vAlign w:val="center"/>
          </w:tcPr>
          <w:p>
            <w:pPr>
              <w:pStyle w:val="TableContents"/>
              <w:spacing w:before="0" w:after="283"/>
              <w:jc w:val="left"/>
              <w:rPr/>
            </w:pPr>
            <w:r>
              <w:rPr/>
              <w:t>Net Loss</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400"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88"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399"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7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324"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73"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spacing w:before="0" w:after="283"/>
              <w:jc w:val="right"/>
              <w:rPr/>
            </w:pPr>
            <w:r>
              <w:rPr/>
              <w:t>(3,141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99" w:type="dxa"/>
            <w:tcBorders>
              <w:bottom w:val="single" w:sz="12" w:space="0" w:color="000000"/>
            </w:tcBorders>
            <w:shd w:fill="FFFFFF" w:val="clear"/>
            <w:tcMar>
              <w:bottom w:w="28" w:type="dxa"/>
            </w:tcMar>
            <w:vAlign w:val="center"/>
          </w:tcPr>
          <w:p>
            <w:pPr>
              <w:pStyle w:val="TableContents"/>
              <w:spacing w:before="0" w:after="283"/>
              <w:jc w:val="right"/>
              <w:rPr/>
            </w:pPr>
            <w:r>
              <w:rPr/>
              <w:t>(3,141</w:t>
            </w:r>
          </w:p>
        </w:tc>
        <w:tc>
          <w:tcPr>
            <w:tcW w:w="110" w:type="dxa"/>
            <w:tcBorders/>
            <w:shd w:fill="FFFFFF" w:val="clear"/>
            <w:vAlign w:val="center"/>
          </w:tcPr>
          <w:p>
            <w:pPr>
              <w:pStyle w:val="TableContents"/>
              <w:spacing w:before="0" w:after="283"/>
              <w:jc w:val="left"/>
              <w:rPr/>
            </w:pPr>
            <w:r>
              <w:rPr/>
              <w:t>)</w:t>
            </w:r>
            <w:bookmarkStart w:id="140" w:name="xdx_439_c20210401__20210630_eus-gaap--St"/>
            <w:bookmarkEnd w:id="140"/>
          </w:p>
        </w:tc>
      </w:tr>
      <w:tr>
        <w:trPr/>
        <w:tc>
          <w:tcPr>
            <w:tcW w:w="1145" w:type="dxa"/>
            <w:tcBorders/>
            <w:shd w:fill="CCEEFF" w:val="clear"/>
            <w:vAlign w:val="center"/>
          </w:tcPr>
          <w:p>
            <w:pPr>
              <w:pStyle w:val="TableContents"/>
              <w:spacing w:before="0" w:after="283"/>
              <w:rPr>
                <w:b/>
              </w:rPr>
            </w:pPr>
            <w:r>
              <w:rPr>
                <w:b/>
              </w:rPr>
              <w:t>Balance, June 30, 2021</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141" w:name="xdx_98F_eus-gaap--SharesOutstanding_iE_p"/>
            <w:bookmarkEnd w:id="141"/>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93,601,380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400" w:type="dxa"/>
            <w:tcBorders>
              <w:bottom w:val="double" w:sz="6" w:space="0" w:color="000000"/>
            </w:tcBorders>
            <w:shd w:fill="CCEEFF" w:val="clear"/>
            <w:tcMar>
              <w:bottom w:w="28" w:type="dxa"/>
            </w:tcMar>
            <w:vAlign w:val="center"/>
          </w:tcPr>
          <w:p>
            <w:pPr>
              <w:pStyle w:val="TableContents"/>
              <w:spacing w:before="0" w:after="283"/>
              <w:jc w:val="right"/>
              <w:rPr/>
            </w:pPr>
            <w:r>
              <w:rPr/>
              <w:t>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2"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142" w:name="xdx_981_eus-gaap--SharesOutstanding_iE_p"/>
            <w:bookmarkEnd w:id="142"/>
          </w:p>
        </w:tc>
        <w:tc>
          <w:tcPr>
            <w:tcW w:w="588" w:type="dxa"/>
            <w:tcBorders>
              <w:bottom w:val="double" w:sz="6" w:space="0" w:color="000000"/>
            </w:tcBorders>
            <w:shd w:fill="CCEEFF" w:val="clear"/>
            <w:tcMar>
              <w:bottom w:w="28" w:type="dxa"/>
            </w:tcMar>
            <w:vAlign w:val="center"/>
          </w:tcPr>
          <w:p>
            <w:pPr>
              <w:pStyle w:val="TableContents"/>
              <w:spacing w:before="0" w:after="283"/>
              <w:jc w:val="right"/>
              <w:rPr/>
            </w:pPr>
            <w:r>
              <w:rPr/>
              <w:t>9,411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520" w:type="dxa"/>
            <w:tcBorders>
              <w:bottom w:val="double" w:sz="6" w:space="0" w:color="000000"/>
            </w:tcBorders>
            <w:shd w:fill="CCEEFF" w:val="clear"/>
            <w:tcMar>
              <w:bottom w:w="28" w:type="dxa"/>
            </w:tcMar>
            <w:vAlign w:val="center"/>
          </w:tcPr>
          <w:p>
            <w:pPr>
              <w:pStyle w:val="TableContents"/>
              <w:spacing w:before="0" w:after="283"/>
              <w:jc w:val="right"/>
              <w:rPr/>
            </w:pPr>
            <w:r>
              <w:rPr/>
              <w:t>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143" w:name="xdx_984_eus-gaap--SharesOutstanding_iE_p"/>
            <w:bookmarkEnd w:id="143"/>
          </w:p>
        </w:tc>
        <w:tc>
          <w:tcPr>
            <w:tcW w:w="399"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76"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324"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873" w:type="dxa"/>
            <w:tcBorders>
              <w:bottom w:val="double" w:sz="6" w:space="0" w:color="000000"/>
            </w:tcBorders>
            <w:shd w:fill="CCEEFF" w:val="clear"/>
            <w:tcMar>
              <w:bottom w:w="28" w:type="dxa"/>
            </w:tcMar>
            <w:vAlign w:val="center"/>
          </w:tcPr>
          <w:p>
            <w:pPr>
              <w:pStyle w:val="TableContents"/>
              <w:spacing w:before="0" w:after="283"/>
              <w:jc w:val="right"/>
              <w:rPr/>
            </w:pPr>
            <w:r>
              <w:rPr/>
              <w:t>105,847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080" w:type="dxa"/>
            <w:tcBorders>
              <w:bottom w:val="double" w:sz="6" w:space="0" w:color="000000"/>
            </w:tcBorders>
            <w:shd w:fill="CCEEFF" w:val="clear"/>
            <w:tcMar>
              <w:bottom w:w="28" w:type="dxa"/>
            </w:tcMar>
            <w:vAlign w:val="center"/>
          </w:tcPr>
          <w:p>
            <w:pPr>
              <w:pStyle w:val="TableContents"/>
              <w:spacing w:before="0" w:after="283"/>
              <w:jc w:val="right"/>
              <w:rPr/>
            </w:pPr>
            <w:r>
              <w:rPr/>
              <w:t>(94,384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6"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099" w:type="dxa"/>
            <w:tcBorders>
              <w:bottom w:val="double" w:sz="6" w:space="0" w:color="000000"/>
            </w:tcBorders>
            <w:shd w:fill="CCEEFF" w:val="clear"/>
            <w:tcMar>
              <w:bottom w:w="28" w:type="dxa"/>
            </w:tcMar>
            <w:vAlign w:val="center"/>
          </w:tcPr>
          <w:p>
            <w:pPr>
              <w:pStyle w:val="TableContents"/>
              <w:spacing w:before="0" w:after="283"/>
              <w:jc w:val="right"/>
              <w:rPr/>
            </w:pPr>
            <w:r>
              <w:rPr/>
              <w:t>11,566</w:t>
            </w:r>
          </w:p>
        </w:tc>
        <w:tc>
          <w:tcPr>
            <w:tcW w:w="110" w:type="dxa"/>
            <w:tcBorders/>
            <w:shd w:fill="CCEEFF" w:val="clear"/>
            <w:vAlign w:val="center"/>
          </w:tcPr>
          <w:p>
            <w:pPr>
              <w:pStyle w:val="TableContents"/>
              <w:spacing w:before="0" w:after="283"/>
              <w:jc w:val="left"/>
              <w:rPr/>
            </w:pPr>
            <w:r>
              <w:rPr/>
              <w:t> </w:t>
            </w:r>
          </w:p>
        </w:tc>
      </w:tr>
    </w:tbl>
    <w:p>
      <w:pPr>
        <w:pStyle w:val="TextBody"/>
        <w:jc w:val="center"/>
        <w:rPr>
          <w:caps w:val="false"/>
          <w:smallCaps w:val="false"/>
        </w:rPr>
      </w:pPr>
      <w:r>
        <w:rPr>
          <w:caps w:val="false"/>
          <w:smallCaps w:val="false"/>
        </w:rPr>
        <w:t> </w:t>
      </w:r>
    </w:p>
    <w:tbl>
      <w:tblPr>
        <w:tblW w:w="10962" w:type="dxa"/>
        <w:jc w:val="left"/>
        <w:tblInd w:w="0" w:type="dxa"/>
        <w:tblCellMar>
          <w:top w:w="0" w:type="dxa"/>
          <w:left w:w="0" w:type="dxa"/>
          <w:bottom w:w="0" w:type="dxa"/>
          <w:right w:w="0" w:type="dxa"/>
        </w:tblCellMar>
      </w:tblPr>
      <w:tblGrid>
        <w:gridCol w:w="1145"/>
        <w:gridCol w:w="60"/>
        <w:gridCol w:w="60"/>
        <w:gridCol w:w="1100"/>
        <w:gridCol w:w="95"/>
        <w:gridCol w:w="60"/>
        <w:gridCol w:w="400"/>
        <w:gridCol w:w="400"/>
        <w:gridCol w:w="60"/>
        <w:gridCol w:w="60"/>
        <w:gridCol w:w="78"/>
        <w:gridCol w:w="572"/>
        <w:gridCol w:w="60"/>
        <w:gridCol w:w="60"/>
        <w:gridCol w:w="280"/>
        <w:gridCol w:w="520"/>
        <w:gridCol w:w="60"/>
        <w:gridCol w:w="60"/>
        <w:gridCol w:w="251"/>
        <w:gridCol w:w="399"/>
        <w:gridCol w:w="106"/>
        <w:gridCol w:w="106"/>
        <w:gridCol w:w="473"/>
        <w:gridCol w:w="327"/>
        <w:gridCol w:w="60"/>
        <w:gridCol w:w="60"/>
        <w:gridCol w:w="152"/>
        <w:gridCol w:w="873"/>
        <w:gridCol w:w="95"/>
        <w:gridCol w:w="60"/>
        <w:gridCol w:w="200"/>
        <w:gridCol w:w="1080"/>
        <w:gridCol w:w="95"/>
        <w:gridCol w:w="60"/>
        <w:gridCol w:w="226"/>
        <w:gridCol w:w="1099"/>
        <w:gridCol w:w="110"/>
      </w:tblGrid>
      <w:tr>
        <w:trPr/>
        <w:tc>
          <w:tcPr>
            <w:tcW w:w="1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15" w:type="dxa"/>
            <w:gridSpan w:val="6"/>
            <w:tcBorders>
              <w:bottom w:val="single" w:sz="12" w:space="0" w:color="000000"/>
            </w:tcBorders>
            <w:shd w:fill="auto" w:val="clear"/>
            <w:tcMar>
              <w:bottom w:w="28" w:type="dxa"/>
            </w:tcMar>
            <w:vAlign w:val="center"/>
          </w:tcPr>
          <w:p>
            <w:pPr>
              <w:pStyle w:val="TableContents"/>
              <w:spacing w:before="0" w:after="283"/>
              <w:jc w:val="center"/>
              <w:rPr/>
            </w:pPr>
            <w:r>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70" w:type="dxa"/>
            <w:gridSpan w:val="6"/>
            <w:tcBorders>
              <w:bottom w:val="single" w:sz="12" w:space="0" w:color="000000"/>
            </w:tcBorders>
            <w:shd w:fill="auto" w:val="clear"/>
            <w:tcMar>
              <w:bottom w:w="28" w:type="dxa"/>
            </w:tcMar>
            <w:vAlign w:val="center"/>
          </w:tcPr>
          <w:p>
            <w:pPr>
              <w:pStyle w:val="TableContents"/>
              <w:spacing w:before="0" w:after="283"/>
              <w:jc w:val="center"/>
              <w:rPr/>
            </w:pPr>
            <w:r>
              <w:rPr/>
              <w:t>Preferred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62" w:type="dxa"/>
            <w:gridSpan w:val="6"/>
            <w:tcBorders>
              <w:bottom w:val="single" w:sz="12" w:space="0" w:color="000000"/>
            </w:tcBorders>
            <w:shd w:fill="auto" w:val="clear"/>
            <w:tcMar>
              <w:bottom w:w="28" w:type="dxa"/>
            </w:tcMar>
            <w:vAlign w:val="center"/>
          </w:tcPr>
          <w:p>
            <w:pPr>
              <w:pStyle w:val="TableContents"/>
              <w:spacing w:before="0" w:after="283"/>
              <w:jc w:val="center"/>
              <w:rPr/>
            </w:pPr>
            <w:r>
              <w:rPr/>
              <w:t xml:space="preserve">Common Stock </w:t>
              <w:br/>
              <w:t>Issuable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shd w:fill="auto" w:val="clear"/>
            <w:vAlign w:val="center"/>
          </w:tcPr>
          <w:p>
            <w:pPr>
              <w:pStyle w:val="TableContents"/>
              <w:spacing w:before="0" w:after="283"/>
              <w:jc w:val="center"/>
              <w:rPr/>
            </w:pPr>
            <w:r>
              <w:rPr/>
              <w:t>Additional Paid In</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shd w:fill="auto" w:val="clear"/>
            <w:vAlign w:val="center"/>
          </w:tcPr>
          <w:p>
            <w:pPr>
              <w:pStyle w:val="TableContents"/>
              <w:spacing w:before="0" w:after="283"/>
              <w:jc w:val="center"/>
              <w:rPr/>
            </w:pPr>
            <w:r>
              <w:rPr/>
              <w:t xml:space="preserve">Total Stockholders’ </w:t>
              <w:br/>
              <w:t>Equity</w:t>
            </w:r>
          </w:p>
        </w:tc>
        <w:tc>
          <w:tcPr>
            <w:tcW w:w="110" w:type="dxa"/>
            <w:tcBorders/>
            <w:shd w:fill="auto" w:val="clear"/>
            <w:vAlign w:val="center"/>
          </w:tcPr>
          <w:p>
            <w:pPr>
              <w:pStyle w:val="TableContents"/>
              <w:spacing w:before="0" w:after="283"/>
              <w:rPr/>
            </w:pPr>
            <w:r>
              <w:rPr/>
              <w:t> </w:t>
            </w:r>
          </w:p>
        </w:tc>
      </w:tr>
      <w:tr>
        <w:trPr/>
        <w:tc>
          <w:tcPr>
            <w:tcW w:w="1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106"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center"/>
          </w:tcPr>
          <w:p>
            <w:pPr>
              <w:pStyle w:val="TableContents"/>
              <w:spacing w:before="0" w:after="283"/>
              <w:jc w:val="center"/>
              <w:rPr/>
            </w:pPr>
            <w:r>
              <w:rPr/>
              <w:t>Capital</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110" w:type="dxa"/>
            <w:tcBorders/>
            <w:shd w:fill="auto" w:val="clear"/>
            <w:vAlign w:val="center"/>
          </w:tcPr>
          <w:p>
            <w:pPr>
              <w:pStyle w:val="TableContents"/>
              <w:spacing w:before="0" w:after="283"/>
              <w:rPr/>
            </w:pPr>
            <w:r>
              <w:rPr/>
              <w:t> </w:t>
            </w:r>
            <w:bookmarkStart w:id="144" w:name="xdx_431_c20210101__20210630_eus-gaap--St"/>
            <w:bookmarkEnd w:id="144"/>
          </w:p>
        </w:tc>
      </w:tr>
      <w:tr>
        <w:trPr/>
        <w:tc>
          <w:tcPr>
            <w:tcW w:w="1145" w:type="dxa"/>
            <w:tcBorders/>
            <w:shd w:fill="CCEEFF" w:val="clear"/>
            <w:vAlign w:val="center"/>
          </w:tcPr>
          <w:p>
            <w:pPr>
              <w:pStyle w:val="TableContents"/>
              <w:spacing w:before="0" w:after="283"/>
              <w:rPr>
                <w:b/>
              </w:rPr>
            </w:pPr>
            <w:r>
              <w:rPr>
                <w:b/>
              </w:rPr>
              <w:t>Balance, December 31,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45" w:name="xdx_98B_eus-gaap--SharesOutstanding_iS_p"/>
            <w:bookmarkEnd w:id="145"/>
          </w:p>
        </w:tc>
        <w:tc>
          <w:tcPr>
            <w:tcW w:w="1100" w:type="dxa"/>
            <w:tcBorders/>
            <w:shd w:fill="CCEEFF" w:val="clear"/>
            <w:vAlign w:val="center"/>
          </w:tcPr>
          <w:p>
            <w:pPr>
              <w:pStyle w:val="TableContents"/>
              <w:spacing w:before="0" w:after="283"/>
              <w:jc w:val="right"/>
              <w:rPr/>
            </w:pPr>
            <w:r>
              <w:rPr/>
              <w:t>86,317,096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w:t>
            </w:r>
          </w:p>
        </w:tc>
        <w:tc>
          <w:tcPr>
            <w:tcW w:w="400" w:type="dxa"/>
            <w:tcBorders/>
            <w:shd w:fill="CCEEFF" w:val="clear"/>
            <w:vAlign w:val="center"/>
          </w:tcPr>
          <w:p>
            <w:pPr>
              <w:pStyle w:val="TableContents"/>
              <w:spacing w:before="0" w:after="283"/>
              <w:jc w:val="right"/>
              <w:rPr/>
            </w:pPr>
            <w:r>
              <w:rPr/>
              <w:t>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jc w:val="left"/>
              <w:rPr/>
            </w:pPr>
            <w:r>
              <w:rPr/>
              <w:t> </w:t>
            </w:r>
            <w:bookmarkStart w:id="146" w:name="xdx_98D_eus-gaap--SharesOutstanding_iS_p"/>
            <w:bookmarkEnd w:id="146"/>
          </w:p>
        </w:tc>
        <w:tc>
          <w:tcPr>
            <w:tcW w:w="572" w:type="dxa"/>
            <w:tcBorders/>
            <w:shd w:fill="CCEEFF" w:val="clear"/>
            <w:vAlign w:val="center"/>
          </w:tcPr>
          <w:p>
            <w:pPr>
              <w:pStyle w:val="TableContents"/>
              <w:spacing w:before="0" w:after="283"/>
              <w:jc w:val="right"/>
              <w:rPr/>
            </w:pPr>
            <w:r>
              <w:rPr/>
              <w:t>9,411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w:t>
            </w:r>
          </w:p>
        </w:tc>
        <w:tc>
          <w:tcPr>
            <w:tcW w:w="520" w:type="dxa"/>
            <w:tcBorders/>
            <w:shd w:fill="CCEEFF" w:val="clear"/>
            <w:vAlign w:val="center"/>
          </w:tcPr>
          <w:p>
            <w:pPr>
              <w:pStyle w:val="TableContents"/>
              <w:spacing w:before="0" w:after="283"/>
              <w:jc w:val="right"/>
              <w:rPr/>
            </w:pPr>
            <w:r>
              <w:rPr/>
              <w:t>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jc w:val="left"/>
              <w:rPr/>
            </w:pPr>
            <w:r>
              <w:rPr/>
              <w:t> </w:t>
            </w:r>
            <w:bookmarkStart w:id="147" w:name="xdx_984_eus-gaap--SharesOutstanding_iS_p"/>
            <w:bookmarkEnd w:id="147"/>
          </w:p>
        </w:tc>
        <w:tc>
          <w:tcPr>
            <w:tcW w:w="399" w:type="dxa"/>
            <w:tcBorders/>
            <w:shd w:fill="CCEEFF" w:val="clear"/>
            <w:vAlign w:val="center"/>
          </w:tcPr>
          <w:p>
            <w:pPr>
              <w:pStyle w:val="TableContents"/>
              <w:spacing w:before="0" w:after="283"/>
              <w:jc w:val="right"/>
              <w:rPr/>
            </w:pPr>
            <w:r>
              <w:rPr/>
              <w:t>-</w:t>
            </w:r>
          </w:p>
        </w:tc>
        <w:tc>
          <w:tcPr>
            <w:tcW w:w="106" w:type="dxa"/>
            <w:tcBorders/>
            <w:shd w:fill="CCEEFF" w:val="clear"/>
            <w:vAlign w:val="center"/>
          </w:tcPr>
          <w:p>
            <w:pPr>
              <w:pStyle w:val="TableContents"/>
              <w:spacing w:before="0" w:after="283"/>
              <w:jc w:val="left"/>
              <w:rPr/>
            </w:pPr>
            <w:r>
              <w:rPr/>
              <w:t> </w:t>
            </w:r>
          </w:p>
        </w:tc>
        <w:tc>
          <w:tcPr>
            <w:tcW w:w="106" w:type="dxa"/>
            <w:tcBorders/>
            <w:shd w:fill="CCEEFF" w:val="clear"/>
            <w:vAlign w:val="center"/>
          </w:tcPr>
          <w:p>
            <w:pPr>
              <w:pStyle w:val="TableContents"/>
              <w:spacing w:before="0" w:after="283"/>
              <w:rPr/>
            </w:pPr>
            <w:r>
              <w:rPr/>
              <w:t> </w:t>
            </w:r>
          </w:p>
        </w:tc>
        <w:tc>
          <w:tcPr>
            <w:tcW w:w="473" w:type="dxa"/>
            <w:tcBorders/>
            <w:shd w:fill="CCEEFF" w:val="clear"/>
            <w:vAlign w:val="center"/>
          </w:tcPr>
          <w:p>
            <w:pPr>
              <w:pStyle w:val="TableContents"/>
              <w:spacing w:before="0" w:after="283"/>
              <w:jc w:val="left"/>
              <w:rPr/>
            </w:pPr>
            <w:r>
              <w:rPr/>
              <w:t>$</w:t>
            </w:r>
          </w:p>
        </w:tc>
        <w:tc>
          <w:tcPr>
            <w:tcW w:w="32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w:t>
            </w:r>
          </w:p>
        </w:tc>
        <w:tc>
          <w:tcPr>
            <w:tcW w:w="873" w:type="dxa"/>
            <w:tcBorders/>
            <w:shd w:fill="CCEEFF" w:val="clear"/>
            <w:vAlign w:val="center"/>
          </w:tcPr>
          <w:p>
            <w:pPr>
              <w:pStyle w:val="TableContents"/>
              <w:spacing w:before="0" w:after="283"/>
              <w:jc w:val="right"/>
              <w:rPr/>
            </w:pPr>
            <w:r>
              <w:rPr/>
              <w:t>97,031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w:t>
            </w:r>
          </w:p>
        </w:tc>
        <w:tc>
          <w:tcPr>
            <w:tcW w:w="1080" w:type="dxa"/>
            <w:tcBorders/>
            <w:shd w:fill="CCEEFF" w:val="clear"/>
            <w:vAlign w:val="center"/>
          </w:tcPr>
          <w:p>
            <w:pPr>
              <w:pStyle w:val="TableContents"/>
              <w:spacing w:before="0" w:after="283"/>
              <w:jc w:val="right"/>
              <w:rPr/>
            </w:pPr>
            <w:r>
              <w:rPr/>
              <w:t>(86,730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w:t>
            </w:r>
          </w:p>
        </w:tc>
        <w:tc>
          <w:tcPr>
            <w:tcW w:w="1099" w:type="dxa"/>
            <w:tcBorders/>
            <w:shd w:fill="CCEEFF" w:val="clear"/>
            <w:vAlign w:val="center"/>
          </w:tcPr>
          <w:p>
            <w:pPr>
              <w:pStyle w:val="TableContents"/>
              <w:spacing w:before="0" w:after="283"/>
              <w:jc w:val="right"/>
              <w:rPr/>
            </w:pPr>
            <w:r>
              <w:rPr/>
              <w:t>10,404</w:t>
            </w:r>
          </w:p>
        </w:tc>
        <w:tc>
          <w:tcPr>
            <w:tcW w:w="110" w:type="dxa"/>
            <w:tcBorders/>
            <w:shd w:fill="CCEEFF" w:val="clear"/>
            <w:vAlign w:val="center"/>
          </w:tcPr>
          <w:p>
            <w:pPr>
              <w:pStyle w:val="TableContents"/>
              <w:spacing w:before="0" w:after="283"/>
              <w:jc w:val="left"/>
              <w:rPr/>
            </w:pPr>
            <w:r>
              <w:rPr/>
              <w:t> </w:t>
            </w:r>
            <w:bookmarkStart w:id="148" w:name="xdx_400_ecustom--AdjustmentsToAdditional"/>
            <w:bookmarkEnd w:id="148"/>
          </w:p>
        </w:tc>
      </w:tr>
      <w:tr>
        <w:trPr/>
        <w:tc>
          <w:tcPr>
            <w:tcW w:w="1145" w:type="dxa"/>
            <w:tcBorders/>
            <w:shd w:fill="FFFFFF" w:val="clear"/>
            <w:vAlign w:val="center"/>
          </w:tcPr>
          <w:p>
            <w:pPr>
              <w:pStyle w:val="TableContents"/>
              <w:spacing w:before="0" w:after="283"/>
              <w:rPr/>
            </w:pPr>
            <w:r>
              <w:rPr/>
              <w:t>Fair value of vested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jc w:val="left"/>
              <w:rPr/>
            </w:pPr>
            <w:r>
              <w:rPr/>
              <w:t> </w:t>
            </w:r>
          </w:p>
        </w:tc>
        <w:tc>
          <w:tcPr>
            <w:tcW w:w="57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jc w:val="left"/>
              <w:rPr/>
            </w:pPr>
            <w:r>
              <w:rPr/>
              <w:t> </w:t>
            </w:r>
          </w:p>
        </w:tc>
        <w:tc>
          <w:tcPr>
            <w:tcW w:w="399" w:type="dxa"/>
            <w:tcBorders/>
            <w:shd w:fill="FFFFFF" w:val="clear"/>
            <w:vAlign w:val="center"/>
          </w:tcPr>
          <w:p>
            <w:pPr>
              <w:pStyle w:val="TableContents"/>
              <w:spacing w:before="0" w:after="283"/>
              <w:jc w:val="right"/>
              <w:rPr/>
            </w:pPr>
            <w:r>
              <w:rPr/>
              <w:t> </w:t>
            </w:r>
          </w:p>
        </w:tc>
        <w:tc>
          <w:tcPr>
            <w:tcW w:w="106" w:type="dxa"/>
            <w:tcBorders/>
            <w:shd w:fill="FFFFFF" w:val="clear"/>
            <w:vAlign w:val="center"/>
          </w:tcPr>
          <w:p>
            <w:pPr>
              <w:pStyle w:val="TableContents"/>
              <w:spacing w:before="0" w:after="283"/>
              <w:jc w:val="left"/>
              <w:rPr/>
            </w:pPr>
            <w:r>
              <w:rPr/>
              <w:t> </w:t>
            </w:r>
          </w:p>
        </w:tc>
        <w:tc>
          <w:tcPr>
            <w:tcW w:w="106" w:type="dxa"/>
            <w:tcBorders/>
            <w:shd w:fill="FFFFFF" w:val="clear"/>
            <w:vAlign w:val="center"/>
          </w:tcPr>
          <w:p>
            <w:pPr>
              <w:pStyle w:val="TableContents"/>
              <w:spacing w:before="0" w:after="283"/>
              <w:rPr/>
            </w:pPr>
            <w:r>
              <w:rPr/>
              <w:t> </w:t>
            </w:r>
          </w:p>
        </w:tc>
        <w:tc>
          <w:tcPr>
            <w:tcW w:w="473" w:type="dxa"/>
            <w:tcBorders/>
            <w:shd w:fill="FFFFFF" w:val="clear"/>
            <w:vAlign w:val="center"/>
          </w:tcPr>
          <w:p>
            <w:pPr>
              <w:pStyle w:val="TableContents"/>
              <w:spacing w:before="0" w:after="283"/>
              <w:jc w:val="left"/>
              <w:rPr/>
            </w:pPr>
            <w:r>
              <w:rPr/>
              <w:t> </w:t>
            </w:r>
          </w:p>
        </w:tc>
        <w:tc>
          <w:tcPr>
            <w:tcW w:w="32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828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099" w:type="dxa"/>
            <w:tcBorders/>
            <w:shd w:fill="FFFFFF" w:val="clear"/>
            <w:vAlign w:val="center"/>
          </w:tcPr>
          <w:p>
            <w:pPr>
              <w:pStyle w:val="TableContents"/>
              <w:spacing w:before="0" w:after="283"/>
              <w:jc w:val="right"/>
              <w:rPr/>
            </w:pPr>
            <w:r>
              <w:rPr/>
              <w:t>828</w:t>
            </w:r>
          </w:p>
        </w:tc>
        <w:tc>
          <w:tcPr>
            <w:tcW w:w="110" w:type="dxa"/>
            <w:tcBorders/>
            <w:shd w:fill="FFFFFF" w:val="clear"/>
            <w:vAlign w:val="center"/>
          </w:tcPr>
          <w:p>
            <w:pPr>
              <w:pStyle w:val="TableContents"/>
              <w:spacing w:before="0" w:after="283"/>
              <w:jc w:val="left"/>
              <w:rPr/>
            </w:pPr>
            <w:r>
              <w:rPr/>
              <w:t> </w:t>
            </w:r>
            <w:bookmarkStart w:id="149" w:name="xdx_40F_eus-gaap--StockIssuedDuringPerio"/>
            <w:bookmarkEnd w:id="149"/>
          </w:p>
        </w:tc>
      </w:tr>
      <w:tr>
        <w:trPr/>
        <w:tc>
          <w:tcPr>
            <w:tcW w:w="1145" w:type="dxa"/>
            <w:tcBorders/>
            <w:shd w:fill="CCEEFF" w:val="clear"/>
            <w:vAlign w:val="center"/>
          </w:tcPr>
          <w:p>
            <w:pPr>
              <w:pStyle w:val="TableContents"/>
              <w:spacing w:before="0" w:after="283"/>
              <w:jc w:val="left"/>
              <w:rPr/>
            </w:pPr>
            <w:r>
              <w:rPr/>
              <w:t>Fair value of vested restricted shares granted to officers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50" w:name="xdx_98D_eus-gaap--StockIssuedDuringPerio"/>
            <w:bookmarkEnd w:id="150"/>
          </w:p>
        </w:tc>
        <w:tc>
          <w:tcPr>
            <w:tcW w:w="1100" w:type="dxa"/>
            <w:tcBorders/>
            <w:shd w:fill="CCEEFF" w:val="clear"/>
            <w:vAlign w:val="center"/>
          </w:tcPr>
          <w:p>
            <w:pPr>
              <w:pStyle w:val="TableContents"/>
              <w:spacing w:before="0" w:after="283"/>
              <w:jc w:val="right"/>
              <w:rPr/>
            </w:pPr>
            <w:r>
              <w:rPr/>
              <w:t>159,777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jc w:val="left"/>
              <w:rPr/>
            </w:pPr>
            <w:r>
              <w:rPr/>
              <w:t> </w:t>
            </w:r>
          </w:p>
        </w:tc>
        <w:tc>
          <w:tcPr>
            <w:tcW w:w="57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jc w:val="left"/>
              <w:rPr/>
            </w:pPr>
            <w:r>
              <w:rPr/>
              <w:t> </w:t>
            </w:r>
          </w:p>
        </w:tc>
        <w:tc>
          <w:tcPr>
            <w:tcW w:w="399" w:type="dxa"/>
            <w:tcBorders/>
            <w:shd w:fill="CCEEFF" w:val="clear"/>
            <w:vAlign w:val="center"/>
          </w:tcPr>
          <w:p>
            <w:pPr>
              <w:pStyle w:val="TableContents"/>
              <w:spacing w:before="0" w:after="283"/>
              <w:jc w:val="right"/>
              <w:rPr/>
            </w:pPr>
            <w:r>
              <w:rPr/>
              <w:t>-</w:t>
            </w:r>
          </w:p>
        </w:tc>
        <w:tc>
          <w:tcPr>
            <w:tcW w:w="106" w:type="dxa"/>
            <w:tcBorders/>
            <w:shd w:fill="CCEEFF" w:val="clear"/>
            <w:vAlign w:val="center"/>
          </w:tcPr>
          <w:p>
            <w:pPr>
              <w:pStyle w:val="TableContents"/>
              <w:spacing w:before="0" w:after="283"/>
              <w:jc w:val="left"/>
              <w:rPr/>
            </w:pPr>
            <w:r>
              <w:rPr/>
              <w:t> </w:t>
            </w:r>
          </w:p>
        </w:tc>
        <w:tc>
          <w:tcPr>
            <w:tcW w:w="106" w:type="dxa"/>
            <w:tcBorders/>
            <w:shd w:fill="CCEEFF" w:val="clear"/>
            <w:vAlign w:val="center"/>
          </w:tcPr>
          <w:p>
            <w:pPr>
              <w:pStyle w:val="TableContents"/>
              <w:spacing w:before="0" w:after="283"/>
              <w:rPr/>
            </w:pPr>
            <w:r>
              <w:rPr/>
              <w:t> </w:t>
            </w:r>
          </w:p>
        </w:tc>
        <w:tc>
          <w:tcPr>
            <w:tcW w:w="473" w:type="dxa"/>
            <w:tcBorders/>
            <w:shd w:fill="CCEEFF" w:val="clear"/>
            <w:vAlign w:val="center"/>
          </w:tcPr>
          <w:p>
            <w:pPr>
              <w:pStyle w:val="TableContents"/>
              <w:spacing w:before="0" w:after="283"/>
              <w:jc w:val="left"/>
              <w:rPr/>
            </w:pPr>
            <w:r>
              <w:rPr/>
              <w:t> </w:t>
            </w:r>
          </w:p>
        </w:tc>
        <w:tc>
          <w:tcPr>
            <w:tcW w:w="327"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169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169</w:t>
            </w:r>
          </w:p>
        </w:tc>
        <w:tc>
          <w:tcPr>
            <w:tcW w:w="110" w:type="dxa"/>
            <w:tcBorders/>
            <w:shd w:fill="CCEEFF" w:val="clear"/>
            <w:vAlign w:val="center"/>
          </w:tcPr>
          <w:p>
            <w:pPr>
              <w:pStyle w:val="TableContents"/>
              <w:spacing w:before="0" w:after="283"/>
              <w:jc w:val="left"/>
              <w:rPr/>
            </w:pPr>
            <w:r>
              <w:rPr/>
              <w:t> </w:t>
            </w:r>
            <w:bookmarkStart w:id="151" w:name="xdx_40A_ecustom--IssuanceOfSharesForDivi"/>
            <w:bookmarkEnd w:id="151"/>
          </w:p>
        </w:tc>
      </w:tr>
      <w:tr>
        <w:trPr/>
        <w:tc>
          <w:tcPr>
            <w:tcW w:w="1145" w:type="dxa"/>
            <w:tcBorders/>
            <w:shd w:fill="FFFFFF" w:val="clear"/>
            <w:vAlign w:val="center"/>
          </w:tcPr>
          <w:p>
            <w:pPr>
              <w:pStyle w:val="TableContents"/>
              <w:spacing w:before="0" w:after="283"/>
              <w:jc w:val="left"/>
              <w:rPr/>
            </w:pPr>
            <w:r>
              <w:rPr/>
              <w:t>Issuance of shares for dividends on Series A Convertible Preferred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jc w:val="left"/>
              <w:rPr/>
            </w:pPr>
            <w:r>
              <w:rPr/>
              <w:t> </w:t>
            </w:r>
          </w:p>
        </w:tc>
        <w:tc>
          <w:tcPr>
            <w:tcW w:w="57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jc w:val="left"/>
              <w:rPr/>
            </w:pPr>
            <w:r>
              <w:rPr/>
              <w:t> </w:t>
            </w:r>
          </w:p>
        </w:tc>
        <w:tc>
          <w:tcPr>
            <w:tcW w:w="399" w:type="dxa"/>
            <w:tcBorders/>
            <w:shd w:fill="FFFFFF" w:val="clear"/>
            <w:vAlign w:val="center"/>
          </w:tcPr>
          <w:p>
            <w:pPr>
              <w:pStyle w:val="TableContents"/>
              <w:spacing w:before="0" w:after="283"/>
              <w:jc w:val="right"/>
              <w:rPr/>
            </w:pPr>
            <w:r>
              <w:rPr/>
              <w:t> </w:t>
            </w:r>
          </w:p>
        </w:tc>
        <w:tc>
          <w:tcPr>
            <w:tcW w:w="106" w:type="dxa"/>
            <w:tcBorders/>
            <w:shd w:fill="FFFFFF" w:val="clear"/>
            <w:vAlign w:val="center"/>
          </w:tcPr>
          <w:p>
            <w:pPr>
              <w:pStyle w:val="TableContents"/>
              <w:spacing w:before="0" w:after="283"/>
              <w:jc w:val="left"/>
              <w:rPr/>
            </w:pPr>
            <w:r>
              <w:rPr/>
              <w:t> </w:t>
            </w:r>
          </w:p>
        </w:tc>
        <w:tc>
          <w:tcPr>
            <w:tcW w:w="106" w:type="dxa"/>
            <w:tcBorders/>
            <w:shd w:fill="FFFFFF" w:val="clear"/>
            <w:vAlign w:val="center"/>
          </w:tcPr>
          <w:p>
            <w:pPr>
              <w:pStyle w:val="TableContents"/>
              <w:spacing w:before="0" w:after="283"/>
              <w:rPr/>
            </w:pPr>
            <w:r>
              <w:rPr/>
              <w:t> </w:t>
            </w:r>
          </w:p>
        </w:tc>
        <w:tc>
          <w:tcPr>
            <w:tcW w:w="473" w:type="dxa"/>
            <w:tcBorders/>
            <w:shd w:fill="FFFFFF" w:val="clear"/>
            <w:vAlign w:val="center"/>
          </w:tcPr>
          <w:p>
            <w:pPr>
              <w:pStyle w:val="TableContents"/>
              <w:spacing w:before="0" w:after="283"/>
              <w:jc w:val="left"/>
              <w:rPr/>
            </w:pPr>
            <w:r>
              <w:rPr/>
              <w:t> </w:t>
            </w:r>
          </w:p>
        </w:tc>
        <w:tc>
          <w:tcPr>
            <w:tcW w:w="32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099" w:type="dxa"/>
            <w:tcBorders/>
            <w:shd w:fill="FFFFFF" w:val="clear"/>
            <w:vAlign w:val="center"/>
          </w:tcPr>
          <w:p>
            <w:pPr>
              <w:pStyle w:val="TableContents"/>
              <w:spacing w:before="0" w:after="283"/>
              <w:jc w:val="right"/>
              <w:rPr/>
            </w:pPr>
            <w:r>
              <w:rPr/>
              <w:t>(5</w:t>
            </w:r>
          </w:p>
        </w:tc>
        <w:tc>
          <w:tcPr>
            <w:tcW w:w="110" w:type="dxa"/>
            <w:tcBorders/>
            <w:shd w:fill="FFFFFF" w:val="clear"/>
            <w:vAlign w:val="center"/>
          </w:tcPr>
          <w:p>
            <w:pPr>
              <w:pStyle w:val="TableContents"/>
              <w:spacing w:before="0" w:after="283"/>
              <w:jc w:val="left"/>
              <w:rPr/>
            </w:pPr>
            <w:r>
              <w:rPr/>
              <w:t>)</w:t>
            </w:r>
            <w:bookmarkStart w:id="152" w:name="xdx_402_eus-gaap--StockRepurchasedDuring"/>
            <w:bookmarkEnd w:id="152"/>
          </w:p>
        </w:tc>
      </w:tr>
      <w:tr>
        <w:trPr/>
        <w:tc>
          <w:tcPr>
            <w:tcW w:w="1145" w:type="dxa"/>
            <w:tcBorders/>
            <w:shd w:fill="CCEEFF" w:val="clear"/>
            <w:vAlign w:val="center"/>
          </w:tcPr>
          <w:p>
            <w:pPr>
              <w:pStyle w:val="TableContents"/>
              <w:spacing w:before="0" w:after="283"/>
              <w:jc w:val="left"/>
              <w:rPr/>
            </w:pPr>
            <w:r>
              <w:rPr/>
              <w:t>Repurchase of common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53" w:name="xdx_985_eus-gaap--StockRepurchasedDuring"/>
            <w:bookmarkEnd w:id="153"/>
          </w:p>
        </w:tc>
        <w:tc>
          <w:tcPr>
            <w:tcW w:w="1100" w:type="dxa"/>
            <w:tcBorders/>
            <w:shd w:fill="CCEEFF" w:val="clear"/>
            <w:vAlign w:val="center"/>
          </w:tcPr>
          <w:p>
            <w:pPr>
              <w:pStyle w:val="TableContents"/>
              <w:spacing w:before="0" w:after="283"/>
              <w:jc w:val="right"/>
              <w:rPr/>
            </w:pPr>
            <w:r>
              <w:rPr/>
              <w:t>(13,493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jc w:val="left"/>
              <w:rPr/>
            </w:pPr>
            <w:r>
              <w:rPr/>
              <w:t> </w:t>
            </w:r>
          </w:p>
        </w:tc>
        <w:tc>
          <w:tcPr>
            <w:tcW w:w="57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jc w:val="left"/>
              <w:rPr/>
            </w:pPr>
            <w:r>
              <w:rPr/>
              <w:t> </w:t>
            </w:r>
          </w:p>
        </w:tc>
        <w:tc>
          <w:tcPr>
            <w:tcW w:w="399" w:type="dxa"/>
            <w:tcBorders/>
            <w:shd w:fill="CCEEFF" w:val="clear"/>
            <w:vAlign w:val="center"/>
          </w:tcPr>
          <w:p>
            <w:pPr>
              <w:pStyle w:val="TableContents"/>
              <w:spacing w:before="0" w:after="283"/>
              <w:jc w:val="right"/>
              <w:rPr/>
            </w:pPr>
            <w:r>
              <w:rPr/>
              <w:t> </w:t>
            </w:r>
          </w:p>
        </w:tc>
        <w:tc>
          <w:tcPr>
            <w:tcW w:w="106" w:type="dxa"/>
            <w:tcBorders/>
            <w:shd w:fill="CCEEFF" w:val="clear"/>
            <w:vAlign w:val="center"/>
          </w:tcPr>
          <w:p>
            <w:pPr>
              <w:pStyle w:val="TableContents"/>
              <w:spacing w:before="0" w:after="283"/>
              <w:jc w:val="left"/>
              <w:rPr/>
            </w:pPr>
            <w:r>
              <w:rPr/>
              <w:t> </w:t>
            </w:r>
          </w:p>
        </w:tc>
        <w:tc>
          <w:tcPr>
            <w:tcW w:w="106" w:type="dxa"/>
            <w:tcBorders/>
            <w:shd w:fill="CCEEFF" w:val="clear"/>
            <w:vAlign w:val="center"/>
          </w:tcPr>
          <w:p>
            <w:pPr>
              <w:pStyle w:val="TableContents"/>
              <w:spacing w:before="0" w:after="283"/>
              <w:rPr/>
            </w:pPr>
            <w:r>
              <w:rPr/>
              <w:t> </w:t>
            </w:r>
          </w:p>
        </w:tc>
        <w:tc>
          <w:tcPr>
            <w:tcW w:w="473" w:type="dxa"/>
            <w:tcBorders/>
            <w:shd w:fill="CCEEFF" w:val="clear"/>
            <w:vAlign w:val="center"/>
          </w:tcPr>
          <w:p>
            <w:pPr>
              <w:pStyle w:val="TableContents"/>
              <w:spacing w:before="0" w:after="283"/>
              <w:jc w:val="left"/>
              <w:rPr/>
            </w:pPr>
            <w:r>
              <w:rPr/>
              <w:t> </w:t>
            </w:r>
          </w:p>
        </w:tc>
        <w:tc>
          <w:tcPr>
            <w:tcW w:w="32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(15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(15</w:t>
            </w:r>
          </w:p>
        </w:tc>
        <w:tc>
          <w:tcPr>
            <w:tcW w:w="110" w:type="dxa"/>
            <w:tcBorders/>
            <w:shd w:fill="CCEEFF" w:val="clear"/>
            <w:vAlign w:val="center"/>
          </w:tcPr>
          <w:p>
            <w:pPr>
              <w:pStyle w:val="TableContents"/>
              <w:spacing w:before="0" w:after="283"/>
              <w:jc w:val="left"/>
              <w:rPr/>
            </w:pPr>
            <w:r>
              <w:rPr/>
              <w:t>)</w:t>
            </w:r>
            <w:bookmarkStart w:id="154" w:name="xdx_409_eus-gaap--StockIssuedDuringPerio"/>
            <w:bookmarkEnd w:id="154"/>
          </w:p>
        </w:tc>
      </w:tr>
      <w:tr>
        <w:trPr/>
        <w:tc>
          <w:tcPr>
            <w:tcW w:w="1145" w:type="dxa"/>
            <w:tcBorders/>
            <w:shd w:fill="FFFFFF" w:val="clear"/>
            <w:vAlign w:val="center"/>
          </w:tcPr>
          <w:p>
            <w:pPr>
              <w:pStyle w:val="TableContents"/>
              <w:spacing w:before="0" w:after="283"/>
              <w:rPr/>
            </w:pPr>
            <w:r>
              <w:rPr/>
              <w:t>Common shares issued on exercise of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55" w:name="xdx_98F_eus-gaap--StockIssuedDuringPerio"/>
            <w:bookmarkEnd w:id="155"/>
          </w:p>
        </w:tc>
        <w:tc>
          <w:tcPr>
            <w:tcW w:w="1100" w:type="dxa"/>
            <w:tcBorders/>
            <w:shd w:fill="FFFFFF" w:val="clear"/>
            <w:vAlign w:val="center"/>
          </w:tcPr>
          <w:p>
            <w:pPr>
              <w:pStyle w:val="TableContents"/>
              <w:spacing w:before="0" w:after="283"/>
              <w:jc w:val="right"/>
              <w:rPr/>
            </w:pPr>
            <w:r>
              <w:rPr/>
              <w:t>58,000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jc w:val="left"/>
              <w:rPr/>
            </w:pPr>
            <w:r>
              <w:rPr/>
              <w:t> </w:t>
            </w:r>
          </w:p>
        </w:tc>
        <w:tc>
          <w:tcPr>
            <w:tcW w:w="57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jc w:val="left"/>
              <w:rPr/>
            </w:pPr>
            <w:r>
              <w:rPr/>
              <w:t> </w:t>
            </w:r>
          </w:p>
        </w:tc>
        <w:tc>
          <w:tcPr>
            <w:tcW w:w="399" w:type="dxa"/>
            <w:tcBorders/>
            <w:shd w:fill="FFFFFF" w:val="clear"/>
            <w:vAlign w:val="center"/>
          </w:tcPr>
          <w:p>
            <w:pPr>
              <w:pStyle w:val="TableContents"/>
              <w:spacing w:before="0" w:after="283"/>
              <w:jc w:val="right"/>
              <w:rPr/>
            </w:pPr>
            <w:r>
              <w:rPr/>
              <w:t> </w:t>
            </w:r>
          </w:p>
        </w:tc>
        <w:tc>
          <w:tcPr>
            <w:tcW w:w="106" w:type="dxa"/>
            <w:tcBorders/>
            <w:shd w:fill="FFFFFF" w:val="clear"/>
            <w:vAlign w:val="center"/>
          </w:tcPr>
          <w:p>
            <w:pPr>
              <w:pStyle w:val="TableContents"/>
              <w:spacing w:before="0" w:after="283"/>
              <w:jc w:val="left"/>
              <w:rPr/>
            </w:pPr>
            <w:r>
              <w:rPr/>
              <w:t> </w:t>
            </w:r>
          </w:p>
        </w:tc>
        <w:tc>
          <w:tcPr>
            <w:tcW w:w="106" w:type="dxa"/>
            <w:tcBorders/>
            <w:shd w:fill="FFFFFF" w:val="clear"/>
            <w:vAlign w:val="center"/>
          </w:tcPr>
          <w:p>
            <w:pPr>
              <w:pStyle w:val="TableContents"/>
              <w:spacing w:before="0" w:after="283"/>
              <w:rPr/>
            </w:pPr>
            <w:r>
              <w:rPr/>
              <w:t> </w:t>
            </w:r>
          </w:p>
        </w:tc>
        <w:tc>
          <w:tcPr>
            <w:tcW w:w="473" w:type="dxa"/>
            <w:tcBorders/>
            <w:shd w:fill="FFFFFF" w:val="clear"/>
            <w:vAlign w:val="center"/>
          </w:tcPr>
          <w:p>
            <w:pPr>
              <w:pStyle w:val="TableContents"/>
              <w:spacing w:before="0" w:after="283"/>
              <w:jc w:val="left"/>
              <w:rPr/>
            </w:pPr>
            <w:r>
              <w:rPr/>
              <w:t> </w:t>
            </w:r>
          </w:p>
        </w:tc>
        <w:tc>
          <w:tcPr>
            <w:tcW w:w="32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29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099" w:type="dxa"/>
            <w:tcBorders/>
            <w:shd w:fill="FFFFFF" w:val="clear"/>
            <w:vAlign w:val="center"/>
          </w:tcPr>
          <w:p>
            <w:pPr>
              <w:pStyle w:val="TableContents"/>
              <w:spacing w:before="0" w:after="283"/>
              <w:jc w:val="right"/>
              <w:rPr/>
            </w:pPr>
            <w:r>
              <w:rPr/>
              <w:t>29</w:t>
            </w:r>
          </w:p>
        </w:tc>
        <w:tc>
          <w:tcPr>
            <w:tcW w:w="110" w:type="dxa"/>
            <w:tcBorders/>
            <w:shd w:fill="FFFFFF" w:val="clear"/>
            <w:vAlign w:val="center"/>
          </w:tcPr>
          <w:p>
            <w:pPr>
              <w:pStyle w:val="TableContents"/>
              <w:spacing w:before="0" w:after="283"/>
              <w:jc w:val="left"/>
              <w:rPr/>
            </w:pPr>
            <w:r>
              <w:rPr/>
              <w:t> </w:t>
            </w:r>
            <w:bookmarkStart w:id="156" w:name="xdx_406_eus-gaap--StockIssuedDuringPerio"/>
            <w:bookmarkEnd w:id="156"/>
          </w:p>
        </w:tc>
      </w:tr>
      <w:tr>
        <w:trPr/>
        <w:tc>
          <w:tcPr>
            <w:tcW w:w="1145" w:type="dxa"/>
            <w:tcBorders/>
            <w:shd w:fill="CCEEFF" w:val="clear"/>
            <w:vAlign w:val="center"/>
          </w:tcPr>
          <w:p>
            <w:pPr>
              <w:pStyle w:val="TableContents"/>
              <w:spacing w:before="0" w:after="283"/>
              <w:jc w:val="left"/>
              <w:rPr/>
            </w:pPr>
            <w:r>
              <w:rPr/>
              <w:t>Common shares issued for financing costs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57" w:name="xdx_985_eus-gaap--StockIssuedDuringPerio"/>
            <w:bookmarkEnd w:id="157"/>
          </w:p>
        </w:tc>
        <w:tc>
          <w:tcPr>
            <w:tcW w:w="1100" w:type="dxa"/>
            <w:tcBorders/>
            <w:shd w:fill="CCEEFF" w:val="clear"/>
            <w:vAlign w:val="center"/>
          </w:tcPr>
          <w:p>
            <w:pPr>
              <w:pStyle w:val="TableContents"/>
              <w:spacing w:before="0" w:after="283"/>
              <w:jc w:val="right"/>
              <w:rPr/>
            </w:pPr>
            <w:r>
              <w:rPr/>
              <w:t>400,000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jc w:val="left"/>
              <w:rPr/>
            </w:pPr>
            <w:r>
              <w:rPr/>
              <w:t> </w:t>
            </w:r>
          </w:p>
        </w:tc>
        <w:tc>
          <w:tcPr>
            <w:tcW w:w="57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jc w:val="left"/>
              <w:rPr/>
            </w:pPr>
            <w:r>
              <w:rPr/>
              <w:t> </w:t>
            </w:r>
          </w:p>
        </w:tc>
        <w:tc>
          <w:tcPr>
            <w:tcW w:w="399" w:type="dxa"/>
            <w:tcBorders/>
            <w:shd w:fill="CCEEFF" w:val="clear"/>
            <w:vAlign w:val="center"/>
          </w:tcPr>
          <w:p>
            <w:pPr>
              <w:pStyle w:val="TableContents"/>
              <w:spacing w:before="0" w:after="283"/>
              <w:jc w:val="right"/>
              <w:rPr/>
            </w:pPr>
            <w:r>
              <w:rPr/>
              <w:t> </w:t>
            </w:r>
          </w:p>
        </w:tc>
        <w:tc>
          <w:tcPr>
            <w:tcW w:w="106" w:type="dxa"/>
            <w:tcBorders/>
            <w:shd w:fill="CCEEFF" w:val="clear"/>
            <w:vAlign w:val="center"/>
          </w:tcPr>
          <w:p>
            <w:pPr>
              <w:pStyle w:val="TableContents"/>
              <w:spacing w:before="0" w:after="283"/>
              <w:jc w:val="left"/>
              <w:rPr/>
            </w:pPr>
            <w:r>
              <w:rPr/>
              <w:t> </w:t>
            </w:r>
          </w:p>
        </w:tc>
        <w:tc>
          <w:tcPr>
            <w:tcW w:w="106" w:type="dxa"/>
            <w:tcBorders/>
            <w:shd w:fill="CCEEFF" w:val="clear"/>
            <w:vAlign w:val="center"/>
          </w:tcPr>
          <w:p>
            <w:pPr>
              <w:pStyle w:val="TableContents"/>
              <w:spacing w:before="0" w:after="283"/>
              <w:rPr/>
            </w:pPr>
            <w:r>
              <w:rPr/>
              <w:t> </w:t>
            </w:r>
          </w:p>
        </w:tc>
        <w:tc>
          <w:tcPr>
            <w:tcW w:w="473" w:type="dxa"/>
            <w:tcBorders/>
            <w:shd w:fill="CCEEFF" w:val="clear"/>
            <w:vAlign w:val="center"/>
          </w:tcPr>
          <w:p>
            <w:pPr>
              <w:pStyle w:val="TableContents"/>
              <w:spacing w:before="0" w:after="283"/>
              <w:jc w:val="left"/>
              <w:rPr/>
            </w:pPr>
            <w:r>
              <w:rPr/>
              <w:t> </w:t>
            </w:r>
          </w:p>
        </w:tc>
        <w:tc>
          <w:tcPr>
            <w:tcW w:w="32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873" w:type="dxa"/>
            <w:tcBorders/>
            <w:shd w:fill="CCEEFF" w:val="clear"/>
            <w:vAlign w:val="center"/>
          </w:tcPr>
          <w:p>
            <w:pPr>
              <w:pStyle w:val="TableContents"/>
              <w:spacing w:before="0" w:after="283"/>
              <w:jc w:val="right"/>
              <w:rPr/>
            </w:pPr>
            <w:r>
              <w:rPr/>
              <w:t>472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1099" w:type="dxa"/>
            <w:tcBorders/>
            <w:shd w:fill="CCEEFF" w:val="clear"/>
            <w:vAlign w:val="center"/>
          </w:tcPr>
          <w:p>
            <w:pPr>
              <w:pStyle w:val="TableContents"/>
              <w:spacing w:before="0" w:after="283"/>
              <w:jc w:val="right"/>
              <w:rPr/>
            </w:pPr>
            <w:r>
              <w:rPr/>
              <w:t>472</w:t>
            </w:r>
          </w:p>
        </w:tc>
        <w:tc>
          <w:tcPr>
            <w:tcW w:w="110" w:type="dxa"/>
            <w:tcBorders/>
            <w:shd w:fill="CCEEFF" w:val="clear"/>
            <w:vAlign w:val="center"/>
          </w:tcPr>
          <w:p>
            <w:pPr>
              <w:pStyle w:val="TableContents"/>
              <w:spacing w:before="0" w:after="283"/>
              <w:jc w:val="left"/>
              <w:rPr/>
            </w:pPr>
            <w:r>
              <w:rPr/>
              <w:t> </w:t>
            </w:r>
            <w:bookmarkStart w:id="158" w:name="xdx_403_eus-gaap--StockIssuedDuringPerio"/>
            <w:bookmarkEnd w:id="158"/>
          </w:p>
        </w:tc>
      </w:tr>
      <w:tr>
        <w:trPr/>
        <w:tc>
          <w:tcPr>
            <w:tcW w:w="1145" w:type="dxa"/>
            <w:tcBorders/>
            <w:shd w:fill="FFFFFF" w:val="clear"/>
            <w:vAlign w:val="center"/>
          </w:tcPr>
          <w:p>
            <w:pPr>
              <w:pStyle w:val="TableContents"/>
              <w:spacing w:before="0" w:after="283"/>
              <w:jc w:val="left"/>
              <w:rPr/>
            </w:pPr>
            <w:r>
              <w:rPr/>
              <w:t>Common shares issued pursuant to the rights offering, net of offering costs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59" w:name="xdx_980_eus-gaap--StockIssuedDuringPerio"/>
            <w:bookmarkEnd w:id="159"/>
          </w:p>
        </w:tc>
        <w:tc>
          <w:tcPr>
            <w:tcW w:w="1100" w:type="dxa"/>
            <w:tcBorders/>
            <w:shd w:fill="FFFFFF" w:val="clear"/>
            <w:vAlign w:val="center"/>
          </w:tcPr>
          <w:p>
            <w:pPr>
              <w:pStyle w:val="TableContents"/>
              <w:spacing w:before="0" w:after="283"/>
              <w:jc w:val="right"/>
              <w:rPr/>
            </w:pPr>
            <w:r>
              <w:rPr/>
              <w:t>6,680,000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jc w:val="left"/>
              <w:rPr/>
            </w:pPr>
            <w:r>
              <w:rPr/>
              <w:t> </w:t>
            </w:r>
          </w:p>
        </w:tc>
        <w:tc>
          <w:tcPr>
            <w:tcW w:w="57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shd w:fill="FFFFFF" w:val="clear"/>
            <w:vAlign w:val="center"/>
          </w:tcPr>
          <w:p>
            <w:pPr>
              <w:pStyle w:val="TableContents"/>
              <w:spacing w:before="0" w:after="283"/>
              <w:jc w:val="left"/>
              <w:rPr/>
            </w:pPr>
            <w:r>
              <w:rPr/>
              <w:t> </w:t>
            </w:r>
          </w:p>
        </w:tc>
        <w:tc>
          <w:tcPr>
            <w:tcW w:w="399" w:type="dxa"/>
            <w:tcBorders/>
            <w:shd w:fill="FFFFFF" w:val="clear"/>
            <w:vAlign w:val="center"/>
          </w:tcPr>
          <w:p>
            <w:pPr>
              <w:pStyle w:val="TableContents"/>
              <w:spacing w:before="0" w:after="283"/>
              <w:jc w:val="right"/>
              <w:rPr/>
            </w:pPr>
            <w:r>
              <w:rPr/>
              <w:t> </w:t>
            </w:r>
          </w:p>
        </w:tc>
        <w:tc>
          <w:tcPr>
            <w:tcW w:w="106" w:type="dxa"/>
            <w:tcBorders/>
            <w:shd w:fill="FFFFFF" w:val="clear"/>
            <w:vAlign w:val="center"/>
          </w:tcPr>
          <w:p>
            <w:pPr>
              <w:pStyle w:val="TableContents"/>
              <w:spacing w:before="0" w:after="283"/>
              <w:jc w:val="left"/>
              <w:rPr/>
            </w:pPr>
            <w:r>
              <w:rPr/>
              <w:t> </w:t>
            </w:r>
          </w:p>
        </w:tc>
        <w:tc>
          <w:tcPr>
            <w:tcW w:w="106" w:type="dxa"/>
            <w:tcBorders/>
            <w:shd w:fill="FFFFFF" w:val="clear"/>
            <w:vAlign w:val="center"/>
          </w:tcPr>
          <w:p>
            <w:pPr>
              <w:pStyle w:val="TableContents"/>
              <w:spacing w:before="0" w:after="283"/>
              <w:rPr/>
            </w:pPr>
            <w:r>
              <w:rPr/>
              <w:t> </w:t>
            </w:r>
          </w:p>
        </w:tc>
        <w:tc>
          <w:tcPr>
            <w:tcW w:w="473" w:type="dxa"/>
            <w:tcBorders/>
            <w:shd w:fill="FFFFFF" w:val="clear"/>
            <w:vAlign w:val="center"/>
          </w:tcPr>
          <w:p>
            <w:pPr>
              <w:pStyle w:val="TableContents"/>
              <w:spacing w:before="0" w:after="283"/>
              <w:jc w:val="left"/>
              <w:rPr/>
            </w:pPr>
            <w:r>
              <w:rPr/>
              <w:t> </w:t>
            </w:r>
          </w:p>
        </w:tc>
        <w:tc>
          <w:tcPr>
            <w:tcW w:w="327"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shd w:fill="FFFFFF" w:val="clear"/>
            <w:vAlign w:val="center"/>
          </w:tcPr>
          <w:p>
            <w:pPr>
              <w:pStyle w:val="TableContents"/>
              <w:spacing w:before="0" w:after="283"/>
              <w:jc w:val="left"/>
              <w:rPr/>
            </w:pPr>
            <w:r>
              <w:rPr/>
              <w:t> </w:t>
            </w:r>
          </w:p>
        </w:tc>
        <w:tc>
          <w:tcPr>
            <w:tcW w:w="873" w:type="dxa"/>
            <w:tcBorders/>
            <w:shd w:fill="FFFFFF" w:val="clear"/>
            <w:vAlign w:val="center"/>
          </w:tcPr>
          <w:p>
            <w:pPr>
              <w:pStyle w:val="TableContents"/>
              <w:spacing w:before="0" w:after="283"/>
              <w:jc w:val="right"/>
              <w:rPr/>
            </w:pPr>
            <w:r>
              <w:rPr/>
              <w:t>7,333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1099" w:type="dxa"/>
            <w:tcBorders/>
            <w:shd w:fill="FFFFFF" w:val="clear"/>
            <w:vAlign w:val="center"/>
          </w:tcPr>
          <w:p>
            <w:pPr>
              <w:pStyle w:val="TableContents"/>
              <w:spacing w:before="0" w:after="283"/>
              <w:jc w:val="right"/>
              <w:rPr/>
            </w:pPr>
            <w:r>
              <w:rPr/>
              <w:t>7,333</w:t>
            </w:r>
          </w:p>
        </w:tc>
        <w:tc>
          <w:tcPr>
            <w:tcW w:w="110" w:type="dxa"/>
            <w:tcBorders/>
            <w:shd w:fill="FFFFFF" w:val="clear"/>
            <w:vAlign w:val="center"/>
          </w:tcPr>
          <w:p>
            <w:pPr>
              <w:pStyle w:val="TableContents"/>
              <w:spacing w:before="0" w:after="283"/>
              <w:jc w:val="left"/>
              <w:rPr/>
            </w:pPr>
            <w:r>
              <w:rPr/>
              <w:t> </w:t>
            </w:r>
            <w:bookmarkStart w:id="160" w:name="xdx_40B_eus-gaap--NetIncomeLoss_zs01IDMf"/>
            <w:bookmarkEnd w:id="160"/>
          </w:p>
        </w:tc>
      </w:tr>
      <w:tr>
        <w:trPr/>
        <w:tc>
          <w:tcPr>
            <w:tcW w:w="1145"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0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399"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106" w:type="dxa"/>
            <w:tcBorders/>
            <w:shd w:fill="CCEEFF" w:val="clear"/>
            <w:vAlign w:val="center"/>
          </w:tcPr>
          <w:p>
            <w:pPr>
              <w:pStyle w:val="TableContents"/>
              <w:spacing w:before="0" w:after="283"/>
              <w:jc w:val="left"/>
              <w:rPr/>
            </w:pPr>
            <w:r>
              <w:rPr/>
              <w:t> </w:t>
            </w:r>
          </w:p>
        </w:tc>
        <w:tc>
          <w:tcPr>
            <w:tcW w:w="106" w:type="dxa"/>
            <w:tcBorders/>
            <w:shd w:fill="CCEEFF" w:val="clear"/>
            <w:vAlign w:val="center"/>
          </w:tcPr>
          <w:p>
            <w:pPr>
              <w:pStyle w:val="TableContents"/>
              <w:spacing w:before="0" w:after="283"/>
              <w:rPr/>
            </w:pPr>
            <w:r>
              <w:rPr/>
              <w:t> </w:t>
            </w:r>
          </w:p>
        </w:tc>
        <w:tc>
          <w:tcPr>
            <w:tcW w:w="47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327"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73"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spacing w:before="0" w:after="283"/>
              <w:jc w:val="right"/>
              <w:rPr/>
            </w:pPr>
            <w:r>
              <w:rPr/>
              <w:t>(7,649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99" w:type="dxa"/>
            <w:tcBorders>
              <w:bottom w:val="single" w:sz="12" w:space="0" w:color="000000"/>
            </w:tcBorders>
            <w:shd w:fill="CCEEFF" w:val="clear"/>
            <w:tcMar>
              <w:bottom w:w="28" w:type="dxa"/>
            </w:tcMar>
            <w:vAlign w:val="center"/>
          </w:tcPr>
          <w:p>
            <w:pPr>
              <w:pStyle w:val="TableContents"/>
              <w:spacing w:before="0" w:after="283"/>
              <w:jc w:val="right"/>
              <w:rPr/>
            </w:pPr>
            <w:r>
              <w:rPr/>
              <w:t>(7,649</w:t>
            </w:r>
          </w:p>
        </w:tc>
        <w:tc>
          <w:tcPr>
            <w:tcW w:w="110" w:type="dxa"/>
            <w:tcBorders/>
            <w:shd w:fill="CCEEFF" w:val="clear"/>
            <w:vAlign w:val="center"/>
          </w:tcPr>
          <w:p>
            <w:pPr>
              <w:pStyle w:val="TableContents"/>
              <w:spacing w:before="0" w:after="283"/>
              <w:jc w:val="left"/>
              <w:rPr/>
            </w:pPr>
            <w:r>
              <w:rPr/>
              <w:t>)</w:t>
            </w:r>
            <w:bookmarkStart w:id="161" w:name="xdx_43B_c20210101__20210630_eus-gaap--St"/>
            <w:bookmarkEnd w:id="161"/>
          </w:p>
        </w:tc>
      </w:tr>
      <w:tr>
        <w:trPr/>
        <w:tc>
          <w:tcPr>
            <w:tcW w:w="1145" w:type="dxa"/>
            <w:tcBorders/>
            <w:shd w:fill="FFFFFF" w:val="clear"/>
            <w:vAlign w:val="center"/>
          </w:tcPr>
          <w:p>
            <w:pPr>
              <w:pStyle w:val="TableContents"/>
              <w:spacing w:before="0" w:after="283"/>
              <w:rPr>
                <w:b/>
              </w:rPr>
            </w:pPr>
            <w:r>
              <w:rPr>
                <w:b/>
              </w:rPr>
              <w:t>Balance, June 30, 2021</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162" w:name="xdx_98A_eus-gaap--SharesOutstanding_iE_p"/>
            <w:bookmarkEnd w:id="162"/>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93,601,380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400" w:type="dxa"/>
            <w:tcBorders>
              <w:bottom w:val="double" w:sz="6" w:space="0" w:color="000000"/>
            </w:tcBorders>
            <w:shd w:fill="FFFFFF" w:val="clear"/>
            <w:tcMar>
              <w:bottom w:w="28" w:type="dxa"/>
            </w:tcMar>
            <w:vAlign w:val="center"/>
          </w:tcPr>
          <w:p>
            <w:pPr>
              <w:pStyle w:val="TableContents"/>
              <w:spacing w:before="0" w:after="283"/>
              <w:jc w:val="right"/>
              <w:rPr/>
            </w:pPr>
            <w:r>
              <w:rPr/>
              <w:t>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163" w:name="xdx_989_eus-gaap--SharesOutstanding_iE_p"/>
            <w:bookmarkEnd w:id="163"/>
          </w:p>
        </w:tc>
        <w:tc>
          <w:tcPr>
            <w:tcW w:w="572" w:type="dxa"/>
            <w:tcBorders>
              <w:bottom w:val="double" w:sz="6" w:space="0" w:color="000000"/>
            </w:tcBorders>
            <w:shd w:fill="FFFFFF" w:val="clear"/>
            <w:tcMar>
              <w:bottom w:w="28" w:type="dxa"/>
            </w:tcMar>
            <w:vAlign w:val="center"/>
          </w:tcPr>
          <w:p>
            <w:pPr>
              <w:pStyle w:val="TableContents"/>
              <w:spacing w:before="0" w:after="283"/>
              <w:jc w:val="right"/>
              <w:rPr/>
            </w:pPr>
            <w:r>
              <w:rPr/>
              <w:t>9,411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520" w:type="dxa"/>
            <w:tcBorders>
              <w:bottom w:val="double" w:sz="6" w:space="0" w:color="000000"/>
            </w:tcBorders>
            <w:shd w:fill="FFFFFF" w:val="clear"/>
            <w:tcMar>
              <w:bottom w:w="28" w:type="dxa"/>
            </w:tcMar>
            <w:vAlign w:val="center"/>
          </w:tcPr>
          <w:p>
            <w:pPr>
              <w:pStyle w:val="TableContents"/>
              <w:spacing w:before="0" w:after="283"/>
              <w:jc w:val="right"/>
              <w:rPr/>
            </w:pPr>
            <w:r>
              <w:rPr/>
              <w:t>94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51"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164" w:name="xdx_988_eus-gaap--SharesOutstanding_iE_p"/>
            <w:bookmarkEnd w:id="164"/>
          </w:p>
        </w:tc>
        <w:tc>
          <w:tcPr>
            <w:tcW w:w="399"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106" w:type="dxa"/>
            <w:tcBorders/>
            <w:shd w:fill="FFFFFF" w:val="clear"/>
            <w:vAlign w:val="center"/>
          </w:tcPr>
          <w:p>
            <w:pPr>
              <w:pStyle w:val="TableContents"/>
              <w:spacing w:before="0" w:after="283"/>
              <w:jc w:val="left"/>
              <w:rPr/>
            </w:pPr>
            <w:r>
              <w:rPr/>
              <w:t> </w:t>
            </w:r>
          </w:p>
        </w:tc>
        <w:tc>
          <w:tcPr>
            <w:tcW w:w="106" w:type="dxa"/>
            <w:tcBorders/>
            <w:shd w:fill="FFFFFF" w:val="clear"/>
            <w:vAlign w:val="center"/>
          </w:tcPr>
          <w:p>
            <w:pPr>
              <w:pStyle w:val="TableContents"/>
              <w:spacing w:before="0" w:after="283"/>
              <w:rPr/>
            </w:pPr>
            <w:r>
              <w:rPr/>
              <w:t> </w:t>
            </w:r>
          </w:p>
        </w:tc>
        <w:tc>
          <w:tcPr>
            <w:tcW w:w="473"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327"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2"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873" w:type="dxa"/>
            <w:tcBorders>
              <w:bottom w:val="double" w:sz="6" w:space="0" w:color="000000"/>
            </w:tcBorders>
            <w:shd w:fill="FFFFFF" w:val="clear"/>
            <w:tcMar>
              <w:bottom w:w="28" w:type="dxa"/>
            </w:tcMar>
            <w:vAlign w:val="center"/>
          </w:tcPr>
          <w:p>
            <w:pPr>
              <w:pStyle w:val="TableContents"/>
              <w:spacing w:before="0" w:after="283"/>
              <w:jc w:val="right"/>
              <w:rPr/>
            </w:pPr>
            <w:r>
              <w:rPr/>
              <w:t>105,847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080" w:type="dxa"/>
            <w:tcBorders>
              <w:bottom w:val="double" w:sz="6" w:space="0" w:color="000000"/>
            </w:tcBorders>
            <w:shd w:fill="FFFFFF" w:val="clear"/>
            <w:tcMar>
              <w:bottom w:w="28" w:type="dxa"/>
            </w:tcMar>
            <w:vAlign w:val="center"/>
          </w:tcPr>
          <w:p>
            <w:pPr>
              <w:pStyle w:val="TableContents"/>
              <w:spacing w:before="0" w:after="283"/>
              <w:jc w:val="right"/>
              <w:rPr/>
            </w:pPr>
            <w:r>
              <w:rPr/>
              <w:t>(94,384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6"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099" w:type="dxa"/>
            <w:tcBorders>
              <w:bottom w:val="double" w:sz="6" w:space="0" w:color="000000"/>
            </w:tcBorders>
            <w:shd w:fill="FFFFFF" w:val="clear"/>
            <w:tcMar>
              <w:bottom w:w="28" w:type="dxa"/>
            </w:tcMar>
            <w:vAlign w:val="center"/>
          </w:tcPr>
          <w:p>
            <w:pPr>
              <w:pStyle w:val="TableContents"/>
              <w:spacing w:before="0" w:after="283"/>
              <w:jc w:val="right"/>
              <w:rPr/>
            </w:pPr>
            <w:r>
              <w:rPr/>
              <w:t>11,566</w:t>
            </w:r>
          </w:p>
        </w:tc>
        <w:tc>
          <w:tcPr>
            <w:tcW w:w="110" w:type="dxa"/>
            <w:tcBorders/>
            <w:shd w:fill="FFFFFF" w:val="clear"/>
            <w:vAlign w:val="center"/>
          </w:tcPr>
          <w:p>
            <w:pPr>
              <w:pStyle w:val="TableContents"/>
              <w:spacing w:before="0" w:after="283"/>
              <w:jc w:val="left"/>
              <w:rPr/>
            </w:pPr>
            <w:r>
              <w:rPr/>
              <w:t> </w:t>
            </w:r>
          </w:p>
        </w:tc>
      </w:tr>
    </w:tbl>
    <w:p>
      <w:pPr>
        <w:pStyle w:val="TextBody"/>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F-3</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tbl>
      <w:tblPr>
        <w:tblW w:w="11045" w:type="dxa"/>
        <w:jc w:val="left"/>
        <w:tblInd w:w="0" w:type="dxa"/>
        <w:tblCellMar>
          <w:top w:w="0" w:type="dxa"/>
          <w:left w:w="0" w:type="dxa"/>
          <w:bottom w:w="0" w:type="dxa"/>
          <w:right w:w="0" w:type="dxa"/>
        </w:tblCellMar>
      </w:tblPr>
      <w:tblGrid>
        <w:gridCol w:w="1145"/>
        <w:gridCol w:w="60"/>
        <w:gridCol w:w="60"/>
        <w:gridCol w:w="1100"/>
        <w:gridCol w:w="60"/>
        <w:gridCol w:w="60"/>
        <w:gridCol w:w="400"/>
        <w:gridCol w:w="400"/>
        <w:gridCol w:w="60"/>
        <w:gridCol w:w="60"/>
        <w:gridCol w:w="78"/>
        <w:gridCol w:w="572"/>
        <w:gridCol w:w="60"/>
        <w:gridCol w:w="60"/>
        <w:gridCol w:w="280"/>
        <w:gridCol w:w="520"/>
        <w:gridCol w:w="60"/>
        <w:gridCol w:w="60"/>
        <w:gridCol w:w="60"/>
        <w:gridCol w:w="800"/>
        <w:gridCol w:w="60"/>
        <w:gridCol w:w="60"/>
        <w:gridCol w:w="215"/>
        <w:gridCol w:w="585"/>
        <w:gridCol w:w="60"/>
        <w:gridCol w:w="60"/>
        <w:gridCol w:w="175"/>
        <w:gridCol w:w="850"/>
        <w:gridCol w:w="95"/>
        <w:gridCol w:w="60"/>
        <w:gridCol w:w="200"/>
        <w:gridCol w:w="1080"/>
        <w:gridCol w:w="95"/>
        <w:gridCol w:w="60"/>
        <w:gridCol w:w="239"/>
        <w:gridCol w:w="1086"/>
        <w:gridCol w:w="110"/>
      </w:tblGrid>
      <w:tr>
        <w:trPr/>
        <w:tc>
          <w:tcPr>
            <w:tcW w:w="1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80" w:type="dxa"/>
            <w:gridSpan w:val="6"/>
            <w:tcBorders>
              <w:bottom w:val="single" w:sz="12" w:space="0" w:color="000000"/>
            </w:tcBorders>
            <w:shd w:fill="auto" w:val="clear"/>
            <w:tcMar>
              <w:bottom w:w="28" w:type="dxa"/>
            </w:tcMar>
            <w:vAlign w:val="center"/>
          </w:tcPr>
          <w:p>
            <w:pPr>
              <w:pStyle w:val="TableContents"/>
              <w:spacing w:before="0" w:after="283"/>
              <w:jc w:val="center"/>
              <w:rPr/>
            </w:pPr>
            <w:r>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70" w:type="dxa"/>
            <w:gridSpan w:val="6"/>
            <w:tcBorders>
              <w:bottom w:val="single" w:sz="12" w:space="0" w:color="000000"/>
            </w:tcBorders>
            <w:shd w:fill="auto" w:val="clear"/>
            <w:tcMar>
              <w:bottom w:w="28" w:type="dxa"/>
            </w:tcMar>
            <w:vAlign w:val="center"/>
          </w:tcPr>
          <w:p>
            <w:pPr>
              <w:pStyle w:val="TableContents"/>
              <w:spacing w:before="0" w:after="283"/>
              <w:jc w:val="center"/>
              <w:rPr/>
            </w:pPr>
            <w:r>
              <w:rPr/>
              <w:t>Preferred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0" w:type="dxa"/>
            <w:gridSpan w:val="6"/>
            <w:tcBorders>
              <w:bottom w:val="single" w:sz="12" w:space="0" w:color="000000"/>
            </w:tcBorders>
            <w:shd w:fill="auto" w:val="clear"/>
            <w:tcMar>
              <w:bottom w:w="28" w:type="dxa"/>
            </w:tcMar>
            <w:vAlign w:val="center"/>
          </w:tcPr>
          <w:p>
            <w:pPr>
              <w:pStyle w:val="TableContents"/>
              <w:spacing w:before="0" w:after="283"/>
              <w:jc w:val="center"/>
              <w:rPr/>
            </w:pPr>
            <w:r>
              <w:rPr/>
              <w:t xml:space="preserve">Common Stock </w:t>
              <w:br/>
              <w:t>Issuable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shd w:fill="auto" w:val="clear"/>
            <w:vAlign w:val="center"/>
          </w:tcPr>
          <w:p>
            <w:pPr>
              <w:pStyle w:val="TableContents"/>
              <w:spacing w:before="0" w:after="283"/>
              <w:jc w:val="center"/>
              <w:rPr/>
            </w:pPr>
            <w:r>
              <w:rPr/>
              <w:t>Additional Paid In</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shd w:fill="auto" w:val="clear"/>
            <w:vAlign w:val="center"/>
          </w:tcPr>
          <w:p>
            <w:pPr>
              <w:pStyle w:val="TableContents"/>
              <w:spacing w:before="0" w:after="283"/>
              <w:jc w:val="center"/>
              <w:rPr/>
            </w:pPr>
            <w:r>
              <w:rPr/>
              <w:t xml:space="preserve">Total Stockholders’ </w:t>
              <w:br/>
              <w:t>Equity</w:t>
            </w:r>
          </w:p>
        </w:tc>
        <w:tc>
          <w:tcPr>
            <w:tcW w:w="110" w:type="dxa"/>
            <w:tcBorders/>
            <w:shd w:fill="auto" w:val="clear"/>
            <w:vAlign w:val="center"/>
          </w:tcPr>
          <w:p>
            <w:pPr>
              <w:pStyle w:val="TableContents"/>
              <w:spacing w:before="0" w:after="283"/>
              <w:rPr/>
            </w:pPr>
            <w:r>
              <w:rPr/>
              <w:t> </w:t>
            </w:r>
          </w:p>
        </w:tc>
      </w:tr>
      <w:tr>
        <w:trPr/>
        <w:tc>
          <w:tcPr>
            <w:tcW w:w="1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center"/>
          </w:tcPr>
          <w:p>
            <w:pPr>
              <w:pStyle w:val="TableContents"/>
              <w:spacing w:before="0" w:after="283"/>
              <w:jc w:val="center"/>
              <w:rPr/>
            </w:pPr>
            <w:r>
              <w:rPr/>
              <w:t>Capital</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110" w:type="dxa"/>
            <w:tcBorders/>
            <w:shd w:fill="auto" w:val="clear"/>
            <w:vAlign w:val="center"/>
          </w:tcPr>
          <w:p>
            <w:pPr>
              <w:pStyle w:val="TableContents"/>
              <w:spacing w:before="0" w:after="283"/>
              <w:rPr/>
            </w:pPr>
            <w:r>
              <w:rPr/>
              <w:t> </w:t>
            </w:r>
            <w:bookmarkStart w:id="165" w:name="xdx_431_c20200401__20200630_eus-gaap--St"/>
            <w:bookmarkEnd w:id="165"/>
          </w:p>
        </w:tc>
      </w:tr>
      <w:tr>
        <w:trPr/>
        <w:tc>
          <w:tcPr>
            <w:tcW w:w="1145" w:type="dxa"/>
            <w:tcBorders/>
            <w:shd w:fill="CCEEFF" w:val="clear"/>
            <w:vAlign w:val="center"/>
          </w:tcPr>
          <w:p>
            <w:pPr>
              <w:pStyle w:val="TableContents"/>
              <w:spacing w:before="0" w:after="283"/>
              <w:rPr>
                <w:b/>
              </w:rPr>
            </w:pPr>
            <w:r>
              <w:rPr>
                <w:b/>
              </w:rPr>
              <w:t>Balance, March 31,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66" w:name="xdx_985_eus-gaap--SharesOutstanding_iS_p"/>
            <w:bookmarkEnd w:id="166"/>
          </w:p>
        </w:tc>
        <w:tc>
          <w:tcPr>
            <w:tcW w:w="1100" w:type="dxa"/>
            <w:tcBorders/>
            <w:shd w:fill="CCEEFF" w:val="clear"/>
            <w:vAlign w:val="center"/>
          </w:tcPr>
          <w:p>
            <w:pPr>
              <w:pStyle w:val="TableContents"/>
              <w:spacing w:before="0" w:after="283"/>
              <w:jc w:val="right"/>
              <w:rPr/>
            </w:pPr>
            <w:r>
              <w:rPr/>
              <w:t>47,595,206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w:t>
            </w:r>
          </w:p>
        </w:tc>
        <w:tc>
          <w:tcPr>
            <w:tcW w:w="400" w:type="dxa"/>
            <w:tcBorders/>
            <w:shd w:fill="CCEEFF" w:val="clear"/>
            <w:vAlign w:val="center"/>
          </w:tcPr>
          <w:p>
            <w:pPr>
              <w:pStyle w:val="TableContents"/>
              <w:spacing w:before="0" w:after="283"/>
              <w:jc w:val="right"/>
              <w:rPr/>
            </w:pPr>
            <w:r>
              <w:rPr/>
              <w:t>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jc w:val="left"/>
              <w:rPr/>
            </w:pPr>
            <w:r>
              <w:rPr/>
              <w:t> </w:t>
            </w:r>
            <w:bookmarkStart w:id="167" w:name="xdx_98E_eus-gaap--SharesOutstanding_iS_p"/>
            <w:bookmarkEnd w:id="167"/>
          </w:p>
        </w:tc>
        <w:tc>
          <w:tcPr>
            <w:tcW w:w="572" w:type="dxa"/>
            <w:tcBorders/>
            <w:shd w:fill="CCEEFF" w:val="clear"/>
            <w:vAlign w:val="center"/>
          </w:tcPr>
          <w:p>
            <w:pPr>
              <w:pStyle w:val="TableContents"/>
              <w:spacing w:before="0" w:after="283"/>
              <w:jc w:val="right"/>
              <w:rPr/>
            </w:pPr>
            <w:r>
              <w:rPr/>
              <w:t>9,411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w:t>
            </w:r>
          </w:p>
        </w:tc>
        <w:tc>
          <w:tcPr>
            <w:tcW w:w="520" w:type="dxa"/>
            <w:tcBorders/>
            <w:shd w:fill="CCEEFF" w:val="clear"/>
            <w:vAlign w:val="center"/>
          </w:tcPr>
          <w:p>
            <w:pPr>
              <w:pStyle w:val="TableContents"/>
              <w:spacing w:before="0" w:after="283"/>
              <w:jc w:val="right"/>
              <w:rPr/>
            </w:pPr>
            <w:r>
              <w:rPr/>
              <w:t>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68" w:name="xdx_98A_eus-gaap--SharesOutstanding_iS_p"/>
            <w:bookmarkEnd w:id="168"/>
          </w:p>
        </w:tc>
        <w:tc>
          <w:tcPr>
            <w:tcW w:w="800" w:type="dxa"/>
            <w:tcBorders/>
            <w:shd w:fill="CCEEFF" w:val="clear"/>
            <w:vAlign w:val="center"/>
          </w:tcPr>
          <w:p>
            <w:pPr>
              <w:pStyle w:val="TableContents"/>
              <w:spacing w:before="0" w:after="283"/>
              <w:jc w:val="right"/>
              <w:rPr/>
            </w:pPr>
            <w:r>
              <w:rPr/>
              <w:t>350,000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w:t>
            </w:r>
          </w:p>
        </w:tc>
        <w:tc>
          <w:tcPr>
            <w:tcW w:w="585" w:type="dxa"/>
            <w:tcBorders/>
            <w:shd w:fill="CCEEFF" w:val="clear"/>
            <w:vAlign w:val="center"/>
          </w:tcPr>
          <w:p>
            <w:pPr>
              <w:pStyle w:val="TableContents"/>
              <w:spacing w:before="0" w:after="283"/>
              <w:jc w:val="right"/>
              <w:rPr/>
            </w:pPr>
            <w:r>
              <w:rPr/>
              <w:t>285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w:t>
            </w:r>
          </w:p>
        </w:tc>
        <w:tc>
          <w:tcPr>
            <w:tcW w:w="850" w:type="dxa"/>
            <w:tcBorders/>
            <w:shd w:fill="CCEEFF" w:val="clear"/>
            <w:vAlign w:val="center"/>
          </w:tcPr>
          <w:p>
            <w:pPr>
              <w:pStyle w:val="TableContents"/>
              <w:spacing w:before="0" w:after="283"/>
              <w:jc w:val="right"/>
              <w:rPr/>
            </w:pPr>
            <w:r>
              <w:rPr/>
              <w:t>78,091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w:t>
            </w:r>
          </w:p>
        </w:tc>
        <w:tc>
          <w:tcPr>
            <w:tcW w:w="1080" w:type="dxa"/>
            <w:tcBorders/>
            <w:shd w:fill="CCEEFF" w:val="clear"/>
            <w:vAlign w:val="center"/>
          </w:tcPr>
          <w:p>
            <w:pPr>
              <w:pStyle w:val="TableContents"/>
              <w:spacing w:before="0" w:after="283"/>
              <w:jc w:val="right"/>
              <w:rPr/>
            </w:pPr>
            <w:r>
              <w:rPr/>
              <w:t>(79,128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jc w:val="left"/>
              <w:rPr/>
            </w:pPr>
            <w:r>
              <w:rPr/>
              <w:t>$</w:t>
            </w:r>
          </w:p>
        </w:tc>
        <w:tc>
          <w:tcPr>
            <w:tcW w:w="1086" w:type="dxa"/>
            <w:tcBorders/>
            <w:shd w:fill="CCEEFF" w:val="clear"/>
            <w:vAlign w:val="center"/>
          </w:tcPr>
          <w:p>
            <w:pPr>
              <w:pStyle w:val="TableContents"/>
              <w:spacing w:before="0" w:after="283"/>
              <w:jc w:val="right"/>
              <w:rPr/>
            </w:pPr>
            <w:r>
              <w:rPr/>
              <w:t>(653</w:t>
            </w:r>
          </w:p>
        </w:tc>
        <w:tc>
          <w:tcPr>
            <w:tcW w:w="110" w:type="dxa"/>
            <w:tcBorders/>
            <w:shd w:fill="CCEEFF" w:val="clear"/>
            <w:vAlign w:val="center"/>
          </w:tcPr>
          <w:p>
            <w:pPr>
              <w:pStyle w:val="TableContents"/>
              <w:spacing w:before="0" w:after="283"/>
              <w:jc w:val="left"/>
              <w:rPr/>
            </w:pPr>
            <w:r>
              <w:rPr/>
              <w:t>)</w:t>
            </w:r>
            <w:bookmarkStart w:id="169" w:name="xdx_400_ecustom--AdjustmentsToAdditional"/>
            <w:bookmarkEnd w:id="169"/>
          </w:p>
        </w:tc>
      </w:tr>
      <w:tr>
        <w:trPr/>
        <w:tc>
          <w:tcPr>
            <w:tcW w:w="1145" w:type="dxa"/>
            <w:tcBorders/>
            <w:shd w:fill="FFFFFF" w:val="clear"/>
            <w:vAlign w:val="center"/>
          </w:tcPr>
          <w:p>
            <w:pPr>
              <w:pStyle w:val="TableContents"/>
              <w:spacing w:before="0" w:after="283"/>
              <w:rPr/>
            </w:pPr>
            <w:r>
              <w:rPr/>
              <w:t>Fair value of vested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jc w:val="left"/>
              <w:rPr/>
            </w:pPr>
            <w:r>
              <w:rPr/>
              <w:t> </w:t>
            </w:r>
          </w:p>
        </w:tc>
        <w:tc>
          <w:tcPr>
            <w:tcW w:w="57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58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(36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jc w:val="left"/>
              <w:rPr/>
            </w:pPr>
            <w:r>
              <w:rPr/>
              <w:t> </w:t>
            </w:r>
          </w:p>
        </w:tc>
        <w:tc>
          <w:tcPr>
            <w:tcW w:w="1086" w:type="dxa"/>
            <w:tcBorders/>
            <w:shd w:fill="FFFFFF" w:val="clear"/>
            <w:vAlign w:val="center"/>
          </w:tcPr>
          <w:p>
            <w:pPr>
              <w:pStyle w:val="TableContents"/>
              <w:spacing w:before="0" w:after="283"/>
              <w:jc w:val="right"/>
              <w:rPr/>
            </w:pPr>
            <w:r>
              <w:rPr/>
              <w:t>(36</w:t>
            </w:r>
          </w:p>
        </w:tc>
        <w:tc>
          <w:tcPr>
            <w:tcW w:w="110" w:type="dxa"/>
            <w:tcBorders/>
            <w:shd w:fill="FFFFFF" w:val="clear"/>
            <w:vAlign w:val="center"/>
          </w:tcPr>
          <w:p>
            <w:pPr>
              <w:pStyle w:val="TableContents"/>
              <w:spacing w:before="0" w:after="283"/>
              <w:jc w:val="left"/>
              <w:rPr/>
            </w:pPr>
            <w:r>
              <w:rPr/>
              <w:t>)</w:t>
            </w:r>
            <w:bookmarkStart w:id="170" w:name="xdx_407_ecustom--DividendsOnSeriesConver"/>
            <w:bookmarkEnd w:id="170"/>
          </w:p>
        </w:tc>
      </w:tr>
      <w:tr>
        <w:trPr/>
        <w:tc>
          <w:tcPr>
            <w:tcW w:w="1145" w:type="dxa"/>
            <w:tcBorders/>
            <w:shd w:fill="CCEEFF" w:val="clear"/>
            <w:vAlign w:val="center"/>
          </w:tcPr>
          <w:p>
            <w:pPr>
              <w:pStyle w:val="TableContents"/>
              <w:spacing w:before="0" w:after="283"/>
              <w:jc w:val="left"/>
              <w:rPr/>
            </w:pPr>
            <w:r>
              <w:rPr/>
              <w:t>Dividends on Series A Convertible Preferred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jc w:val="left"/>
              <w:rPr/>
            </w:pPr>
            <w:r>
              <w:rPr/>
              <w:t> </w:t>
            </w:r>
          </w:p>
        </w:tc>
        <w:tc>
          <w:tcPr>
            <w:tcW w:w="57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58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85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jc w:val="left"/>
              <w:rPr/>
            </w:pPr>
            <w:r>
              <w:rPr/>
              <w:t> </w:t>
            </w:r>
          </w:p>
        </w:tc>
        <w:tc>
          <w:tcPr>
            <w:tcW w:w="1086" w:type="dxa"/>
            <w:tcBorders/>
            <w:shd w:fill="CCEEFF" w:val="clear"/>
            <w:vAlign w:val="center"/>
          </w:tcPr>
          <w:p>
            <w:pPr>
              <w:pStyle w:val="TableContents"/>
              <w:spacing w:before="0" w:after="283"/>
              <w:jc w:val="right"/>
              <w:rPr/>
            </w:pPr>
            <w:r>
              <w:rPr/>
              <w:t>(5</w:t>
            </w:r>
          </w:p>
        </w:tc>
        <w:tc>
          <w:tcPr>
            <w:tcW w:w="110" w:type="dxa"/>
            <w:tcBorders/>
            <w:shd w:fill="CCEEFF" w:val="clear"/>
            <w:vAlign w:val="center"/>
          </w:tcPr>
          <w:p>
            <w:pPr>
              <w:pStyle w:val="TableContents"/>
              <w:spacing w:before="0" w:after="283"/>
              <w:jc w:val="left"/>
              <w:rPr/>
            </w:pPr>
            <w:r>
              <w:rPr/>
              <w:t>)</w:t>
            </w:r>
            <w:bookmarkStart w:id="171" w:name="xdx_403_eus-gaap--StockIssuedDuringPerio"/>
            <w:bookmarkEnd w:id="171"/>
          </w:p>
        </w:tc>
      </w:tr>
      <w:tr>
        <w:trPr/>
        <w:tc>
          <w:tcPr>
            <w:tcW w:w="1145" w:type="dxa"/>
            <w:tcBorders/>
            <w:shd w:fill="FFFFFF" w:val="clear"/>
            <w:vAlign w:val="center"/>
          </w:tcPr>
          <w:p>
            <w:pPr>
              <w:pStyle w:val="TableContents"/>
              <w:spacing w:before="0" w:after="283"/>
              <w:jc w:val="left"/>
              <w:rPr/>
            </w:pPr>
            <w:r>
              <w:rPr/>
              <w:t>Common shares issued pursuant to the rights offering, net of offering costs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172" w:name="xdx_981_eus-gaap--StockIssuedDuringPerio"/>
            <w:bookmarkEnd w:id="172"/>
          </w:p>
        </w:tc>
        <w:tc>
          <w:tcPr>
            <w:tcW w:w="1100" w:type="dxa"/>
            <w:tcBorders/>
            <w:shd w:fill="FFFFFF" w:val="clear"/>
            <w:vAlign w:val="center"/>
          </w:tcPr>
          <w:p>
            <w:pPr>
              <w:pStyle w:val="TableContents"/>
              <w:spacing w:before="0" w:after="283"/>
              <w:jc w:val="right"/>
              <w:rPr/>
            </w:pPr>
            <w:r>
              <w:rPr/>
              <w:t>15,333,334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jc w:val="left"/>
              <w:rPr/>
            </w:pPr>
            <w:r>
              <w:rPr/>
              <w:t> </w:t>
            </w:r>
          </w:p>
        </w:tc>
        <w:tc>
          <w:tcPr>
            <w:tcW w:w="57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585"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5,309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jc w:val="left"/>
              <w:rPr/>
            </w:pPr>
            <w:r>
              <w:rPr/>
              <w:t> </w:t>
            </w:r>
          </w:p>
        </w:tc>
        <w:tc>
          <w:tcPr>
            <w:tcW w:w="1086" w:type="dxa"/>
            <w:tcBorders/>
            <w:shd w:fill="FFFFFF" w:val="clear"/>
            <w:vAlign w:val="center"/>
          </w:tcPr>
          <w:p>
            <w:pPr>
              <w:pStyle w:val="TableContents"/>
              <w:spacing w:before="0" w:after="283"/>
              <w:jc w:val="right"/>
              <w:rPr/>
            </w:pPr>
            <w:r>
              <w:rPr/>
              <w:t>5,310</w:t>
            </w:r>
          </w:p>
        </w:tc>
        <w:tc>
          <w:tcPr>
            <w:tcW w:w="110" w:type="dxa"/>
            <w:tcBorders/>
            <w:shd w:fill="FFFFFF" w:val="clear"/>
            <w:vAlign w:val="center"/>
          </w:tcPr>
          <w:p>
            <w:pPr>
              <w:pStyle w:val="TableContents"/>
              <w:spacing w:before="0" w:after="283"/>
              <w:jc w:val="left"/>
              <w:rPr/>
            </w:pPr>
            <w:r>
              <w:rPr/>
              <w:t> </w:t>
            </w:r>
            <w:bookmarkStart w:id="173" w:name="xdx_40C_eus-gaap--NetIncomeLoss_z5QMvCbd"/>
            <w:bookmarkEnd w:id="173"/>
          </w:p>
        </w:tc>
      </w:tr>
      <w:tr>
        <w:trPr/>
        <w:tc>
          <w:tcPr>
            <w:tcW w:w="1145"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0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72"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85"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0" w:type="dxa"/>
            <w:tcBorders>
              <w:bottom w:val="single" w:sz="12" w:space="0" w:color="000000"/>
            </w:tcBorders>
            <w:shd w:fill="CCEEFF" w:val="clear"/>
            <w:tcMar>
              <w:bottom w:w="28" w:type="dxa"/>
            </w:tcMar>
            <w:vAlign w:val="center"/>
          </w:tcPr>
          <w:p>
            <w:pPr>
              <w:pStyle w:val="TableContents"/>
              <w:spacing w:before="0" w:after="283"/>
              <w:jc w:val="right"/>
              <w:rPr/>
            </w:pPr>
            <w:r>
              <w:rPr/>
              <w:t>(1,750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3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6" w:type="dxa"/>
            <w:tcBorders>
              <w:bottom w:val="single" w:sz="12" w:space="0" w:color="000000"/>
            </w:tcBorders>
            <w:shd w:fill="CCEEFF" w:val="clear"/>
            <w:tcMar>
              <w:bottom w:w="28" w:type="dxa"/>
            </w:tcMar>
            <w:vAlign w:val="center"/>
          </w:tcPr>
          <w:p>
            <w:pPr>
              <w:pStyle w:val="TableContents"/>
              <w:spacing w:before="0" w:after="283"/>
              <w:jc w:val="right"/>
              <w:rPr/>
            </w:pPr>
            <w:r>
              <w:rPr/>
              <w:t>(1,750</w:t>
            </w:r>
          </w:p>
        </w:tc>
        <w:tc>
          <w:tcPr>
            <w:tcW w:w="110" w:type="dxa"/>
            <w:tcBorders/>
            <w:shd w:fill="CCEEFF" w:val="clear"/>
            <w:vAlign w:val="center"/>
          </w:tcPr>
          <w:p>
            <w:pPr>
              <w:pStyle w:val="TableContents"/>
              <w:spacing w:before="0" w:after="283"/>
              <w:jc w:val="left"/>
              <w:rPr/>
            </w:pPr>
            <w:r>
              <w:rPr/>
              <w:t>)</w:t>
            </w:r>
            <w:bookmarkStart w:id="174" w:name="xdx_435_c20200401__20200630_eus-gaap--St"/>
            <w:bookmarkEnd w:id="174"/>
          </w:p>
        </w:tc>
      </w:tr>
      <w:tr>
        <w:trPr/>
        <w:tc>
          <w:tcPr>
            <w:tcW w:w="1145" w:type="dxa"/>
            <w:tcBorders/>
            <w:shd w:fill="FFFFFF" w:val="clear"/>
            <w:vAlign w:val="center"/>
          </w:tcPr>
          <w:p>
            <w:pPr>
              <w:pStyle w:val="TableContents"/>
              <w:spacing w:before="0" w:after="283"/>
              <w:rPr>
                <w:b/>
              </w:rPr>
            </w:pPr>
            <w:r>
              <w:rPr>
                <w:b/>
              </w:rPr>
              <w:t>Balance, June 30, 2020</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175" w:name="xdx_98C_eus-gaap--SharesOutstanding_iE_p"/>
            <w:bookmarkEnd w:id="175"/>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62,928,540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400" w:type="dxa"/>
            <w:tcBorders>
              <w:bottom w:val="double" w:sz="6" w:space="0" w:color="000000"/>
            </w:tcBorders>
            <w:shd w:fill="FFFFFF" w:val="clear"/>
            <w:tcMar>
              <w:bottom w:w="28" w:type="dxa"/>
            </w:tcMar>
            <w:vAlign w:val="center"/>
          </w:tcPr>
          <w:p>
            <w:pPr>
              <w:pStyle w:val="TableContents"/>
              <w:spacing w:before="0" w:after="283"/>
              <w:jc w:val="right"/>
              <w:rPr/>
            </w:pPr>
            <w:r>
              <w:rPr/>
              <w:t>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176" w:name="xdx_984_eus-gaap--SharesOutstanding_iE_p"/>
            <w:bookmarkEnd w:id="176"/>
          </w:p>
        </w:tc>
        <w:tc>
          <w:tcPr>
            <w:tcW w:w="572" w:type="dxa"/>
            <w:tcBorders>
              <w:bottom w:val="double" w:sz="6" w:space="0" w:color="000000"/>
            </w:tcBorders>
            <w:shd w:fill="FFFFFF" w:val="clear"/>
            <w:tcMar>
              <w:bottom w:w="28" w:type="dxa"/>
            </w:tcMar>
            <w:vAlign w:val="center"/>
          </w:tcPr>
          <w:p>
            <w:pPr>
              <w:pStyle w:val="TableContents"/>
              <w:spacing w:before="0" w:after="283"/>
              <w:jc w:val="right"/>
              <w:rPr/>
            </w:pPr>
            <w:r>
              <w:rPr/>
              <w:t>9,411</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520" w:type="dxa"/>
            <w:tcBorders>
              <w:bottom w:val="double" w:sz="6" w:space="0" w:color="000000"/>
            </w:tcBorders>
            <w:shd w:fill="FFFFFF" w:val="clear"/>
            <w:tcMar>
              <w:bottom w:w="28" w:type="dxa"/>
            </w:tcMar>
            <w:vAlign w:val="center"/>
          </w:tcPr>
          <w:p>
            <w:pPr>
              <w:pStyle w:val="TableContents"/>
              <w:spacing w:before="0" w:after="283"/>
              <w:jc w:val="right"/>
              <w:rPr/>
            </w:pPr>
            <w:r>
              <w:rPr/>
              <w:t>94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177" w:name="xdx_987_eus-gaap--SharesOutstanding_iE_p"/>
            <w:bookmarkEnd w:id="177"/>
          </w:p>
        </w:tc>
        <w:tc>
          <w:tcPr>
            <w:tcW w:w="800" w:type="dxa"/>
            <w:tcBorders>
              <w:bottom w:val="double" w:sz="6" w:space="0" w:color="000000"/>
            </w:tcBorders>
            <w:shd w:fill="FFFFFF" w:val="clear"/>
            <w:tcMar>
              <w:bottom w:w="28" w:type="dxa"/>
            </w:tcMar>
            <w:vAlign w:val="center"/>
          </w:tcPr>
          <w:p>
            <w:pPr>
              <w:pStyle w:val="TableContents"/>
              <w:spacing w:before="0" w:after="283"/>
              <w:jc w:val="right"/>
              <w:rPr/>
            </w:pPr>
            <w:r>
              <w:rPr/>
              <w:t>350,000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585" w:type="dxa"/>
            <w:tcBorders>
              <w:bottom w:val="double" w:sz="6" w:space="0" w:color="000000"/>
            </w:tcBorders>
            <w:shd w:fill="FFFFFF" w:val="clear"/>
            <w:tcMar>
              <w:bottom w:w="28" w:type="dxa"/>
            </w:tcMar>
            <w:vAlign w:val="center"/>
          </w:tcPr>
          <w:p>
            <w:pPr>
              <w:pStyle w:val="TableContents"/>
              <w:spacing w:before="0" w:after="283"/>
              <w:jc w:val="right"/>
              <w:rPr/>
            </w:pPr>
            <w:r>
              <w:rPr/>
              <w:t>285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850" w:type="dxa"/>
            <w:tcBorders>
              <w:bottom w:val="double" w:sz="6" w:space="0" w:color="000000"/>
            </w:tcBorders>
            <w:shd w:fill="FFFFFF" w:val="clear"/>
            <w:tcMar>
              <w:bottom w:w="28" w:type="dxa"/>
            </w:tcMar>
            <w:vAlign w:val="center"/>
          </w:tcPr>
          <w:p>
            <w:pPr>
              <w:pStyle w:val="TableContents"/>
              <w:spacing w:before="0" w:after="283"/>
              <w:jc w:val="right"/>
              <w:rPr/>
            </w:pPr>
            <w:r>
              <w:rPr/>
              <w:t>83,364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080" w:type="dxa"/>
            <w:tcBorders>
              <w:bottom w:val="double" w:sz="6" w:space="0" w:color="000000"/>
            </w:tcBorders>
            <w:shd w:fill="FFFFFF" w:val="clear"/>
            <w:tcMar>
              <w:bottom w:w="28" w:type="dxa"/>
            </w:tcMar>
            <w:vAlign w:val="center"/>
          </w:tcPr>
          <w:p>
            <w:pPr>
              <w:pStyle w:val="TableContents"/>
              <w:spacing w:before="0" w:after="283"/>
              <w:jc w:val="right"/>
              <w:rPr/>
            </w:pPr>
            <w:r>
              <w:rPr/>
              <w:t>(80,883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39"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086" w:type="dxa"/>
            <w:tcBorders>
              <w:bottom w:val="double" w:sz="6" w:space="0" w:color="000000"/>
            </w:tcBorders>
            <w:shd w:fill="FFFFFF" w:val="clear"/>
            <w:tcMar>
              <w:bottom w:w="28" w:type="dxa"/>
            </w:tcMar>
            <w:vAlign w:val="center"/>
          </w:tcPr>
          <w:p>
            <w:pPr>
              <w:pStyle w:val="TableContents"/>
              <w:spacing w:before="0" w:after="283"/>
              <w:jc w:val="right"/>
              <w:rPr/>
            </w:pPr>
            <w:r>
              <w:rPr/>
              <w:t>2,866</w:t>
            </w:r>
          </w:p>
        </w:tc>
        <w:tc>
          <w:tcPr>
            <w:tcW w:w="110" w:type="dxa"/>
            <w:tcBorders/>
            <w:shd w:fill="FFFFFF" w:val="clear"/>
            <w:vAlign w:val="center"/>
          </w:tcPr>
          <w:p>
            <w:pPr>
              <w:pStyle w:val="TableContents"/>
              <w:spacing w:before="0" w:after="283"/>
              <w:jc w:val="left"/>
              <w:rPr/>
            </w:pPr>
            <w:r>
              <w:rPr/>
              <w:t> </w:t>
            </w:r>
          </w:p>
        </w:tc>
      </w:tr>
    </w:tbl>
    <w:p>
      <w:pPr>
        <w:pStyle w:val="TextBody"/>
        <w:jc w:val="center"/>
        <w:rPr>
          <w:caps w:val="false"/>
          <w:smallCaps w:val="false"/>
        </w:rPr>
      </w:pPr>
      <w:r>
        <w:rPr>
          <w:caps w:val="false"/>
          <w:smallCaps w:val="false"/>
        </w:rPr>
        <w:t> </w:t>
      </w:r>
    </w:p>
    <w:tbl>
      <w:tblPr>
        <w:tblW w:w="11010" w:type="dxa"/>
        <w:jc w:val="left"/>
        <w:tblInd w:w="0" w:type="dxa"/>
        <w:tblCellMar>
          <w:top w:w="0" w:type="dxa"/>
          <w:left w:w="0" w:type="dxa"/>
          <w:bottom w:w="0" w:type="dxa"/>
          <w:right w:w="0" w:type="dxa"/>
        </w:tblCellMar>
      </w:tblPr>
      <w:tblGrid>
        <w:gridCol w:w="1145"/>
        <w:gridCol w:w="60"/>
        <w:gridCol w:w="60"/>
        <w:gridCol w:w="1100"/>
        <w:gridCol w:w="60"/>
        <w:gridCol w:w="60"/>
        <w:gridCol w:w="400"/>
        <w:gridCol w:w="400"/>
        <w:gridCol w:w="60"/>
        <w:gridCol w:w="60"/>
        <w:gridCol w:w="78"/>
        <w:gridCol w:w="572"/>
        <w:gridCol w:w="60"/>
        <w:gridCol w:w="60"/>
        <w:gridCol w:w="280"/>
        <w:gridCol w:w="520"/>
        <w:gridCol w:w="60"/>
        <w:gridCol w:w="60"/>
        <w:gridCol w:w="60"/>
        <w:gridCol w:w="800"/>
        <w:gridCol w:w="60"/>
        <w:gridCol w:w="60"/>
        <w:gridCol w:w="215"/>
        <w:gridCol w:w="585"/>
        <w:gridCol w:w="60"/>
        <w:gridCol w:w="60"/>
        <w:gridCol w:w="175"/>
        <w:gridCol w:w="850"/>
        <w:gridCol w:w="60"/>
        <w:gridCol w:w="60"/>
        <w:gridCol w:w="200"/>
        <w:gridCol w:w="1080"/>
        <w:gridCol w:w="95"/>
        <w:gridCol w:w="60"/>
        <w:gridCol w:w="239"/>
        <w:gridCol w:w="1086"/>
        <w:gridCol w:w="110"/>
      </w:tblGrid>
      <w:tr>
        <w:trPr/>
        <w:tc>
          <w:tcPr>
            <w:tcW w:w="1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80" w:type="dxa"/>
            <w:gridSpan w:val="6"/>
            <w:tcBorders>
              <w:bottom w:val="single" w:sz="12" w:space="0" w:color="000000"/>
            </w:tcBorders>
            <w:shd w:fill="auto" w:val="clear"/>
            <w:tcMar>
              <w:bottom w:w="28" w:type="dxa"/>
            </w:tcMar>
            <w:vAlign w:val="center"/>
          </w:tcPr>
          <w:p>
            <w:pPr>
              <w:pStyle w:val="TableContents"/>
              <w:spacing w:before="0" w:after="283"/>
              <w:jc w:val="center"/>
              <w:rPr/>
            </w:pPr>
            <w:r>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70" w:type="dxa"/>
            <w:gridSpan w:val="6"/>
            <w:tcBorders>
              <w:bottom w:val="single" w:sz="12" w:space="0" w:color="000000"/>
            </w:tcBorders>
            <w:shd w:fill="auto" w:val="clear"/>
            <w:tcMar>
              <w:bottom w:w="28" w:type="dxa"/>
            </w:tcMar>
            <w:vAlign w:val="center"/>
          </w:tcPr>
          <w:p>
            <w:pPr>
              <w:pStyle w:val="TableContents"/>
              <w:spacing w:before="0" w:after="283"/>
              <w:jc w:val="center"/>
              <w:rPr/>
            </w:pPr>
            <w:r>
              <w:rPr/>
              <w:t>Preferred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80" w:type="dxa"/>
            <w:gridSpan w:val="6"/>
            <w:tcBorders>
              <w:bottom w:val="single" w:sz="12" w:space="0" w:color="000000"/>
            </w:tcBorders>
            <w:shd w:fill="auto" w:val="clear"/>
            <w:tcMar>
              <w:bottom w:w="28" w:type="dxa"/>
            </w:tcMar>
            <w:vAlign w:val="center"/>
          </w:tcPr>
          <w:p>
            <w:pPr>
              <w:pStyle w:val="TableContents"/>
              <w:spacing w:before="0" w:after="283"/>
              <w:jc w:val="center"/>
              <w:rPr/>
            </w:pPr>
            <w:r>
              <w:rPr/>
              <w:t xml:space="preserve">Common Stock </w:t>
              <w:br/>
              <w:t>Issuable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shd w:fill="auto" w:val="clear"/>
            <w:vAlign w:val="center"/>
          </w:tcPr>
          <w:p>
            <w:pPr>
              <w:pStyle w:val="TableContents"/>
              <w:spacing w:before="0" w:after="283"/>
              <w:jc w:val="center"/>
              <w:rPr/>
            </w:pPr>
            <w:r>
              <w:rPr/>
              <w:t>Additional Paid 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pPr>
            <w:r>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shd w:fill="auto" w:val="clear"/>
            <w:vAlign w:val="center"/>
          </w:tcPr>
          <w:p>
            <w:pPr>
              <w:pStyle w:val="TableContents"/>
              <w:spacing w:before="0" w:after="283"/>
              <w:jc w:val="center"/>
              <w:rPr/>
            </w:pPr>
            <w:r>
              <w:rPr/>
              <w:t xml:space="preserve">Total Stockholders’ </w:t>
              <w:br/>
              <w:t>Equity</w:t>
            </w:r>
          </w:p>
        </w:tc>
        <w:tc>
          <w:tcPr>
            <w:tcW w:w="110" w:type="dxa"/>
            <w:tcBorders/>
            <w:shd w:fill="auto" w:val="clear"/>
            <w:vAlign w:val="center"/>
          </w:tcPr>
          <w:p>
            <w:pPr>
              <w:pStyle w:val="TableContents"/>
              <w:spacing w:before="0" w:after="283"/>
              <w:rPr/>
            </w:pPr>
            <w:r>
              <w:rPr/>
              <w:t> </w:t>
            </w:r>
          </w:p>
        </w:tc>
      </w:tr>
      <w:tr>
        <w:trPr/>
        <w:tc>
          <w:tcPr>
            <w:tcW w:w="1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center"/>
          </w:tcPr>
          <w:p>
            <w:pPr>
              <w:pStyle w:val="TableContents"/>
              <w:spacing w:before="0" w:after="283"/>
              <w:jc w:val="center"/>
              <w:rPr/>
            </w:pPr>
            <w:r>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center"/>
          </w:tcPr>
          <w:p>
            <w:pPr>
              <w:pStyle w:val="TableContents"/>
              <w:spacing w:before="0" w:after="283"/>
              <w:jc w:val="center"/>
              <w:rPr/>
            </w:pPr>
            <w:r>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5" w:type="dxa"/>
            <w:gridSpan w:val="2"/>
            <w:tcBorders>
              <w:bottom w:val="single" w:sz="12" w:space="0" w:color="000000"/>
            </w:tcBorders>
            <w:shd w:fill="auto" w:val="clear"/>
            <w:tcMar>
              <w:bottom w:w="28" w:type="dxa"/>
            </w:tcMar>
            <w:vAlign w:val="center"/>
          </w:tcPr>
          <w:p>
            <w:pPr>
              <w:pStyle w:val="TableContents"/>
              <w:spacing w:before="0" w:after="283"/>
              <w:jc w:val="center"/>
              <w:rPr/>
            </w:pPr>
            <w:r>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center"/>
          </w:tcPr>
          <w:p>
            <w:pPr>
              <w:pStyle w:val="TableContents"/>
              <w:spacing w:before="0" w:after="283"/>
              <w:jc w:val="center"/>
              <w:rPr/>
            </w:pPr>
            <w:r>
              <w:rPr/>
              <w:t>(Deficit)</w:t>
            </w:r>
          </w:p>
        </w:tc>
        <w:tc>
          <w:tcPr>
            <w:tcW w:w="110" w:type="dxa"/>
            <w:tcBorders/>
            <w:shd w:fill="auto" w:val="clear"/>
            <w:vAlign w:val="center"/>
          </w:tcPr>
          <w:p>
            <w:pPr>
              <w:pStyle w:val="TableContents"/>
              <w:spacing w:before="0" w:after="283"/>
              <w:rPr/>
            </w:pPr>
            <w:r>
              <w:rPr/>
              <w:t> </w:t>
            </w:r>
            <w:bookmarkStart w:id="178" w:name="xdx_43B_c20200101__20200630_eus-gaap--St"/>
            <w:bookmarkEnd w:id="178"/>
          </w:p>
        </w:tc>
      </w:tr>
      <w:tr>
        <w:trPr/>
        <w:tc>
          <w:tcPr>
            <w:tcW w:w="1145" w:type="dxa"/>
            <w:tcBorders/>
            <w:shd w:fill="CCEEFF" w:val="clear"/>
            <w:vAlign w:val="center"/>
          </w:tcPr>
          <w:p>
            <w:pPr>
              <w:pStyle w:val="TableContents"/>
              <w:spacing w:before="0" w:after="283"/>
              <w:rPr>
                <w:b/>
              </w:rPr>
            </w:pPr>
            <w:r>
              <w:rPr>
                <w:b/>
              </w:rPr>
              <w:t>Balance, December 31, 2019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79" w:name="xdx_982_eus-gaap--SharesOutstanding_iS_p"/>
            <w:bookmarkEnd w:id="179"/>
          </w:p>
        </w:tc>
        <w:tc>
          <w:tcPr>
            <w:tcW w:w="1100" w:type="dxa"/>
            <w:tcBorders/>
            <w:shd w:fill="CCEEFF" w:val="clear"/>
            <w:vAlign w:val="center"/>
          </w:tcPr>
          <w:p>
            <w:pPr>
              <w:pStyle w:val="TableContents"/>
              <w:spacing w:before="0" w:after="283"/>
              <w:jc w:val="right"/>
              <w:rPr/>
            </w:pPr>
            <w:r>
              <w:rPr/>
              <w:t>47,595,206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w:t>
            </w:r>
          </w:p>
        </w:tc>
        <w:tc>
          <w:tcPr>
            <w:tcW w:w="400" w:type="dxa"/>
            <w:tcBorders/>
            <w:shd w:fill="CCEEFF" w:val="clear"/>
            <w:vAlign w:val="center"/>
          </w:tcPr>
          <w:p>
            <w:pPr>
              <w:pStyle w:val="TableContents"/>
              <w:spacing w:before="0" w:after="283"/>
              <w:jc w:val="right"/>
              <w:rPr/>
            </w:pPr>
            <w:r>
              <w:rPr/>
              <w:t>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jc w:val="left"/>
              <w:rPr/>
            </w:pPr>
            <w:r>
              <w:rPr/>
              <w:t> </w:t>
            </w:r>
            <w:bookmarkStart w:id="180" w:name="xdx_986_eus-gaap--SharesOutstanding_iS_p"/>
            <w:bookmarkEnd w:id="180"/>
          </w:p>
        </w:tc>
        <w:tc>
          <w:tcPr>
            <w:tcW w:w="572" w:type="dxa"/>
            <w:tcBorders/>
            <w:shd w:fill="CCEEFF" w:val="clear"/>
            <w:vAlign w:val="center"/>
          </w:tcPr>
          <w:p>
            <w:pPr>
              <w:pStyle w:val="TableContents"/>
              <w:spacing w:before="0" w:after="283"/>
              <w:jc w:val="right"/>
              <w:rPr/>
            </w:pPr>
            <w:r>
              <w:rPr/>
              <w:t>9,411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w:t>
            </w:r>
          </w:p>
        </w:tc>
        <w:tc>
          <w:tcPr>
            <w:tcW w:w="520" w:type="dxa"/>
            <w:tcBorders/>
            <w:shd w:fill="CCEEFF" w:val="clear"/>
            <w:vAlign w:val="center"/>
          </w:tcPr>
          <w:p>
            <w:pPr>
              <w:pStyle w:val="TableContents"/>
              <w:spacing w:before="0" w:after="283"/>
              <w:jc w:val="right"/>
              <w:rPr/>
            </w:pPr>
            <w:r>
              <w:rPr/>
              <w:t>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81" w:name="xdx_987_eus-gaap--SharesOutstanding_iS_p"/>
            <w:bookmarkEnd w:id="181"/>
          </w:p>
        </w:tc>
        <w:tc>
          <w:tcPr>
            <w:tcW w:w="8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w:t>
            </w:r>
          </w:p>
        </w:tc>
        <w:tc>
          <w:tcPr>
            <w:tcW w:w="585"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w:t>
            </w:r>
          </w:p>
        </w:tc>
        <w:tc>
          <w:tcPr>
            <w:tcW w:w="850" w:type="dxa"/>
            <w:tcBorders/>
            <w:shd w:fill="CCEEFF" w:val="clear"/>
            <w:vAlign w:val="center"/>
          </w:tcPr>
          <w:p>
            <w:pPr>
              <w:pStyle w:val="TableContents"/>
              <w:spacing w:before="0" w:after="283"/>
              <w:jc w:val="right"/>
              <w:rPr/>
            </w:pPr>
            <w:r>
              <w:rPr/>
              <w:t>77,596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w:t>
            </w:r>
          </w:p>
        </w:tc>
        <w:tc>
          <w:tcPr>
            <w:tcW w:w="1080" w:type="dxa"/>
            <w:tcBorders/>
            <w:shd w:fill="CCEEFF" w:val="clear"/>
            <w:vAlign w:val="center"/>
          </w:tcPr>
          <w:p>
            <w:pPr>
              <w:pStyle w:val="TableContents"/>
              <w:spacing w:before="0" w:after="283"/>
              <w:jc w:val="right"/>
              <w:rPr/>
            </w:pPr>
            <w:r>
              <w:rPr/>
              <w:t>(76,548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jc w:val="left"/>
              <w:rPr/>
            </w:pPr>
            <w:r>
              <w:rPr/>
              <w:t>$</w:t>
            </w:r>
          </w:p>
        </w:tc>
        <w:tc>
          <w:tcPr>
            <w:tcW w:w="1086" w:type="dxa"/>
            <w:tcBorders/>
            <w:shd w:fill="CCEEFF" w:val="clear"/>
            <w:vAlign w:val="center"/>
          </w:tcPr>
          <w:p>
            <w:pPr>
              <w:pStyle w:val="TableContents"/>
              <w:spacing w:before="0" w:after="283"/>
              <w:jc w:val="right"/>
              <w:rPr/>
            </w:pPr>
            <w:r>
              <w:rPr/>
              <w:t>1,147</w:t>
            </w:r>
          </w:p>
        </w:tc>
        <w:tc>
          <w:tcPr>
            <w:tcW w:w="110" w:type="dxa"/>
            <w:tcBorders/>
            <w:shd w:fill="CCEEFF" w:val="clear"/>
            <w:vAlign w:val="center"/>
          </w:tcPr>
          <w:p>
            <w:pPr>
              <w:pStyle w:val="TableContents"/>
              <w:spacing w:before="0" w:after="283"/>
              <w:jc w:val="left"/>
              <w:rPr/>
            </w:pPr>
            <w:r>
              <w:rPr/>
              <w:t> </w:t>
            </w:r>
            <w:bookmarkStart w:id="182" w:name="xdx_400_ecustom--AdjustmentsToAdditional"/>
            <w:bookmarkEnd w:id="182"/>
          </w:p>
        </w:tc>
      </w:tr>
      <w:tr>
        <w:trPr/>
        <w:tc>
          <w:tcPr>
            <w:tcW w:w="1145" w:type="dxa"/>
            <w:tcBorders/>
            <w:shd w:fill="FFFFFF" w:val="clear"/>
            <w:vAlign w:val="center"/>
          </w:tcPr>
          <w:p>
            <w:pPr>
              <w:pStyle w:val="TableContents"/>
              <w:spacing w:before="0" w:after="283"/>
              <w:rPr/>
            </w:pPr>
            <w:r>
              <w:rPr/>
              <w:t>Fair value of vested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jc w:val="left"/>
              <w:rPr/>
            </w:pPr>
            <w:r>
              <w:rPr/>
              <w:t> </w:t>
            </w:r>
          </w:p>
        </w:tc>
        <w:tc>
          <w:tcPr>
            <w:tcW w:w="57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58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459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jc w:val="left"/>
              <w:rPr/>
            </w:pPr>
            <w:r>
              <w:rPr/>
              <w:t> </w:t>
            </w:r>
          </w:p>
        </w:tc>
        <w:tc>
          <w:tcPr>
            <w:tcW w:w="1086" w:type="dxa"/>
            <w:tcBorders/>
            <w:shd w:fill="FFFFFF" w:val="clear"/>
            <w:vAlign w:val="center"/>
          </w:tcPr>
          <w:p>
            <w:pPr>
              <w:pStyle w:val="TableContents"/>
              <w:spacing w:before="0" w:after="283"/>
              <w:jc w:val="right"/>
              <w:rPr/>
            </w:pPr>
            <w:r>
              <w:rPr/>
              <w:t>459</w:t>
            </w:r>
          </w:p>
        </w:tc>
        <w:tc>
          <w:tcPr>
            <w:tcW w:w="110" w:type="dxa"/>
            <w:tcBorders/>
            <w:shd w:fill="FFFFFF" w:val="clear"/>
            <w:vAlign w:val="center"/>
          </w:tcPr>
          <w:p>
            <w:pPr>
              <w:pStyle w:val="TableContents"/>
              <w:spacing w:before="0" w:after="283"/>
              <w:jc w:val="left"/>
              <w:rPr/>
            </w:pPr>
            <w:r>
              <w:rPr/>
              <w:t> </w:t>
            </w:r>
            <w:bookmarkStart w:id="183" w:name="xdx_40F_eus-gaap--StockIssuedDuringPerio"/>
            <w:bookmarkEnd w:id="183"/>
          </w:p>
        </w:tc>
      </w:tr>
      <w:tr>
        <w:trPr/>
        <w:tc>
          <w:tcPr>
            <w:tcW w:w="1145" w:type="dxa"/>
            <w:tcBorders/>
            <w:shd w:fill="CCEEFF" w:val="clear"/>
            <w:vAlign w:val="center"/>
          </w:tcPr>
          <w:p>
            <w:pPr>
              <w:pStyle w:val="TableContents"/>
              <w:spacing w:before="0" w:after="283"/>
              <w:jc w:val="left"/>
              <w:rPr/>
            </w:pPr>
            <w:r>
              <w:rPr/>
              <w:t>Fair value of vested restricted shares granted to an officer for services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jc w:val="left"/>
              <w:rPr/>
            </w:pPr>
            <w:r>
              <w:rPr/>
              <w:t> </w:t>
            </w:r>
          </w:p>
        </w:tc>
        <w:tc>
          <w:tcPr>
            <w:tcW w:w="57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84" w:name="xdx_989_eus-gaap--StockIssuedDuringPerio"/>
            <w:bookmarkEnd w:id="184"/>
          </w:p>
        </w:tc>
        <w:tc>
          <w:tcPr>
            <w:tcW w:w="800" w:type="dxa"/>
            <w:tcBorders/>
            <w:shd w:fill="CCEEFF" w:val="clear"/>
            <w:vAlign w:val="center"/>
          </w:tcPr>
          <w:p>
            <w:pPr>
              <w:pStyle w:val="TableContents"/>
              <w:spacing w:before="0" w:after="283"/>
              <w:jc w:val="right"/>
              <w:rPr/>
            </w:pPr>
            <w:r>
              <w:rPr/>
              <w:t>350,000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585" w:type="dxa"/>
            <w:tcBorders/>
            <w:shd w:fill="CCEEFF" w:val="clear"/>
            <w:vAlign w:val="center"/>
          </w:tcPr>
          <w:p>
            <w:pPr>
              <w:pStyle w:val="TableContents"/>
              <w:spacing w:before="0" w:after="283"/>
              <w:jc w:val="right"/>
              <w:rPr/>
            </w:pPr>
            <w:r>
              <w:rPr/>
              <w:t>285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8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jc w:val="left"/>
              <w:rPr/>
            </w:pPr>
            <w:r>
              <w:rPr/>
              <w:t> </w:t>
            </w:r>
          </w:p>
        </w:tc>
        <w:tc>
          <w:tcPr>
            <w:tcW w:w="1086" w:type="dxa"/>
            <w:tcBorders/>
            <w:shd w:fill="CCEEFF" w:val="clear"/>
            <w:vAlign w:val="center"/>
          </w:tcPr>
          <w:p>
            <w:pPr>
              <w:pStyle w:val="TableContents"/>
              <w:spacing w:before="0" w:after="283"/>
              <w:jc w:val="right"/>
              <w:rPr/>
            </w:pPr>
            <w:r>
              <w:rPr/>
              <w:t>285</w:t>
            </w:r>
          </w:p>
        </w:tc>
        <w:tc>
          <w:tcPr>
            <w:tcW w:w="110" w:type="dxa"/>
            <w:tcBorders/>
            <w:shd w:fill="CCEEFF" w:val="clear"/>
            <w:vAlign w:val="center"/>
          </w:tcPr>
          <w:p>
            <w:pPr>
              <w:pStyle w:val="TableContents"/>
              <w:spacing w:before="0" w:after="283"/>
              <w:jc w:val="left"/>
              <w:rPr/>
            </w:pPr>
            <w:r>
              <w:rPr/>
              <w:t> </w:t>
            </w:r>
            <w:bookmarkStart w:id="185" w:name="xdx_407_ecustom--DividendsOnSeriesConver"/>
            <w:bookmarkEnd w:id="185"/>
          </w:p>
        </w:tc>
      </w:tr>
      <w:tr>
        <w:trPr/>
        <w:tc>
          <w:tcPr>
            <w:tcW w:w="1145" w:type="dxa"/>
            <w:tcBorders/>
            <w:shd w:fill="FFFFFF" w:val="clear"/>
            <w:vAlign w:val="center"/>
          </w:tcPr>
          <w:p>
            <w:pPr>
              <w:pStyle w:val="TableContents"/>
              <w:spacing w:before="0" w:after="283"/>
              <w:jc w:val="left"/>
              <w:rPr/>
            </w:pPr>
            <w:r>
              <w:rPr/>
              <w:t>Dividends on Series A Convertible Preferred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shd w:fill="FFFFFF" w:val="clear"/>
            <w:vAlign w:val="center"/>
          </w:tcPr>
          <w:p>
            <w:pPr>
              <w:pStyle w:val="TableContents"/>
              <w:spacing w:before="0" w:after="283"/>
              <w:jc w:val="left"/>
              <w:rPr/>
            </w:pPr>
            <w:r>
              <w:rPr/>
              <w:t> </w:t>
            </w:r>
          </w:p>
        </w:tc>
        <w:tc>
          <w:tcPr>
            <w:tcW w:w="4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jc w:val="left"/>
              <w:rPr/>
            </w:pPr>
            <w:r>
              <w:rPr/>
              <w:t> </w:t>
            </w:r>
          </w:p>
        </w:tc>
        <w:tc>
          <w:tcPr>
            <w:tcW w:w="572"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shd w:fill="FFFFFF" w:val="clear"/>
            <w:vAlign w:val="center"/>
          </w:tcPr>
          <w:p>
            <w:pPr>
              <w:pStyle w:val="TableContents"/>
              <w:spacing w:before="0" w:after="283"/>
              <w:jc w:val="left"/>
              <w:rPr/>
            </w:pPr>
            <w:r>
              <w:rPr/>
              <w:t> </w:t>
            </w:r>
          </w:p>
        </w:tc>
        <w:tc>
          <w:tcPr>
            <w:tcW w:w="52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jc w:val="left"/>
              <w:rPr/>
            </w:pPr>
            <w:r>
              <w:rPr/>
              <w:t> </w:t>
            </w:r>
          </w:p>
        </w:tc>
        <w:tc>
          <w:tcPr>
            <w:tcW w:w="585"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shd w:fill="FFFFFF" w:val="clear"/>
            <w:vAlign w:val="center"/>
          </w:tcPr>
          <w:p>
            <w:pPr>
              <w:pStyle w:val="TableContents"/>
              <w:spacing w:before="0" w:after="283"/>
              <w:jc w:val="left"/>
              <w:rPr/>
            </w:pPr>
            <w:r>
              <w:rPr/>
              <w:t> </w:t>
            </w:r>
          </w:p>
        </w:tc>
        <w:tc>
          <w:tcPr>
            <w:tcW w:w="85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jc w:val="left"/>
              <w:rPr/>
            </w:pPr>
            <w:r>
              <w:rPr/>
              <w:t> </w:t>
            </w:r>
          </w:p>
        </w:tc>
        <w:tc>
          <w:tcPr>
            <w:tcW w:w="1080" w:type="dxa"/>
            <w:tcBorders/>
            <w:shd w:fill="FFFFFF" w:val="clear"/>
            <w:vAlign w:val="center"/>
          </w:tcPr>
          <w:p>
            <w:pPr>
              <w:pStyle w:val="TableContents"/>
              <w:spacing w:before="0" w:after="283"/>
              <w:jc w:val="right"/>
              <w:rPr/>
            </w:pPr>
            <w:r>
              <w:rPr/>
              <w:t>(5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39" w:type="dxa"/>
            <w:tcBorders/>
            <w:shd w:fill="FFFFFF" w:val="clear"/>
            <w:vAlign w:val="center"/>
          </w:tcPr>
          <w:p>
            <w:pPr>
              <w:pStyle w:val="TableContents"/>
              <w:spacing w:before="0" w:after="283"/>
              <w:jc w:val="left"/>
              <w:rPr/>
            </w:pPr>
            <w:r>
              <w:rPr/>
              <w:t> </w:t>
            </w:r>
          </w:p>
        </w:tc>
        <w:tc>
          <w:tcPr>
            <w:tcW w:w="1086" w:type="dxa"/>
            <w:tcBorders/>
            <w:shd w:fill="FFFFFF" w:val="clear"/>
            <w:vAlign w:val="center"/>
          </w:tcPr>
          <w:p>
            <w:pPr>
              <w:pStyle w:val="TableContents"/>
              <w:spacing w:before="0" w:after="283"/>
              <w:jc w:val="right"/>
              <w:rPr/>
            </w:pPr>
            <w:r>
              <w:rPr/>
              <w:t>(5</w:t>
            </w:r>
          </w:p>
        </w:tc>
        <w:tc>
          <w:tcPr>
            <w:tcW w:w="110" w:type="dxa"/>
            <w:tcBorders/>
            <w:shd w:fill="FFFFFF" w:val="clear"/>
            <w:vAlign w:val="center"/>
          </w:tcPr>
          <w:p>
            <w:pPr>
              <w:pStyle w:val="TableContents"/>
              <w:spacing w:before="0" w:after="283"/>
              <w:jc w:val="left"/>
              <w:rPr/>
            </w:pPr>
            <w:r>
              <w:rPr/>
              <w:t>)</w:t>
            </w:r>
            <w:bookmarkStart w:id="186" w:name="xdx_403_eus-gaap--StockIssuedDuringPerio"/>
            <w:bookmarkEnd w:id="186"/>
          </w:p>
        </w:tc>
      </w:tr>
      <w:tr>
        <w:trPr/>
        <w:tc>
          <w:tcPr>
            <w:tcW w:w="1145" w:type="dxa"/>
            <w:tcBorders/>
            <w:shd w:fill="CCEEFF" w:val="clear"/>
            <w:vAlign w:val="center"/>
          </w:tcPr>
          <w:p>
            <w:pPr>
              <w:pStyle w:val="TableContents"/>
              <w:spacing w:before="0" w:after="283"/>
              <w:jc w:val="left"/>
              <w:rPr/>
            </w:pPr>
            <w:r>
              <w:rPr/>
              <w:t>Common shares issued pursuant to the rights offering, net of offering costs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187" w:name="xdx_98E_eus-gaap--StockIssuedDuringPerio"/>
            <w:bookmarkEnd w:id="187"/>
          </w:p>
        </w:tc>
        <w:tc>
          <w:tcPr>
            <w:tcW w:w="1100" w:type="dxa"/>
            <w:tcBorders/>
            <w:shd w:fill="CCEEFF" w:val="clear"/>
            <w:vAlign w:val="center"/>
          </w:tcPr>
          <w:p>
            <w:pPr>
              <w:pStyle w:val="TableContents"/>
              <w:spacing w:before="0" w:after="283"/>
              <w:jc w:val="right"/>
              <w:rPr/>
            </w:pPr>
            <w:r>
              <w:rPr/>
              <w:t>15,333,334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shd w:fill="CCEEFF" w:val="clear"/>
            <w:vAlign w:val="center"/>
          </w:tcPr>
          <w:p>
            <w:pPr>
              <w:pStyle w:val="TableContents"/>
              <w:spacing w:before="0" w:after="283"/>
              <w:jc w:val="left"/>
              <w:rPr/>
            </w:pPr>
            <w:r>
              <w:rPr/>
              <w:t> </w:t>
            </w:r>
          </w:p>
        </w:tc>
        <w:tc>
          <w:tcPr>
            <w:tcW w:w="400" w:type="dxa"/>
            <w:tcBorders/>
            <w:shd w:fill="CCEEFF" w:val="clear"/>
            <w:vAlign w:val="center"/>
          </w:tcPr>
          <w:p>
            <w:pPr>
              <w:pStyle w:val="TableContents"/>
              <w:spacing w:before="0" w:after="283"/>
              <w:jc w:val="right"/>
              <w:rPr/>
            </w:pPr>
            <w:r>
              <w:rPr/>
              <w:t>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jc w:val="left"/>
              <w:rPr/>
            </w:pPr>
            <w:r>
              <w:rPr/>
              <w:t> </w:t>
            </w:r>
          </w:p>
        </w:tc>
        <w:tc>
          <w:tcPr>
            <w:tcW w:w="57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585"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shd w:fill="CCEEFF" w:val="clear"/>
            <w:vAlign w:val="center"/>
          </w:tcPr>
          <w:p>
            <w:pPr>
              <w:pStyle w:val="TableContents"/>
              <w:spacing w:before="0" w:after="283"/>
              <w:jc w:val="left"/>
              <w:rPr/>
            </w:pPr>
            <w:r>
              <w:rPr/>
              <w:t> </w:t>
            </w:r>
          </w:p>
        </w:tc>
        <w:tc>
          <w:tcPr>
            <w:tcW w:w="850" w:type="dxa"/>
            <w:tcBorders/>
            <w:shd w:fill="CCEEFF" w:val="clear"/>
            <w:vAlign w:val="center"/>
          </w:tcPr>
          <w:p>
            <w:pPr>
              <w:pStyle w:val="TableContents"/>
              <w:spacing w:before="0" w:after="283"/>
              <w:jc w:val="right"/>
              <w:rPr/>
            </w:pPr>
            <w:r>
              <w:rPr/>
              <w:t>5,309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 </w:t>
            </w:r>
          </w:p>
        </w:tc>
        <w:tc>
          <w:tcPr>
            <w:tcW w:w="1080"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9" w:type="dxa"/>
            <w:tcBorders/>
            <w:shd w:fill="CCEEFF" w:val="clear"/>
            <w:vAlign w:val="center"/>
          </w:tcPr>
          <w:p>
            <w:pPr>
              <w:pStyle w:val="TableContents"/>
              <w:spacing w:before="0" w:after="283"/>
              <w:jc w:val="left"/>
              <w:rPr/>
            </w:pPr>
            <w:r>
              <w:rPr/>
              <w:t> </w:t>
            </w:r>
          </w:p>
        </w:tc>
        <w:tc>
          <w:tcPr>
            <w:tcW w:w="1086" w:type="dxa"/>
            <w:tcBorders/>
            <w:shd w:fill="CCEEFF" w:val="clear"/>
            <w:vAlign w:val="center"/>
          </w:tcPr>
          <w:p>
            <w:pPr>
              <w:pStyle w:val="TableContents"/>
              <w:spacing w:before="0" w:after="283"/>
              <w:jc w:val="right"/>
              <w:rPr/>
            </w:pPr>
            <w:r>
              <w:rPr/>
              <w:t>5,310</w:t>
            </w:r>
          </w:p>
        </w:tc>
        <w:tc>
          <w:tcPr>
            <w:tcW w:w="110" w:type="dxa"/>
            <w:tcBorders/>
            <w:shd w:fill="CCEEFF" w:val="clear"/>
            <w:vAlign w:val="center"/>
          </w:tcPr>
          <w:p>
            <w:pPr>
              <w:pStyle w:val="TableContents"/>
              <w:spacing w:before="0" w:after="283"/>
              <w:jc w:val="left"/>
              <w:rPr/>
            </w:pPr>
            <w:r>
              <w:rPr/>
              <w:t> </w:t>
            </w:r>
            <w:bookmarkStart w:id="188" w:name="xdx_402_eus-gaap--NetIncomeLoss_ziCSGBIJ"/>
            <w:bookmarkEnd w:id="188"/>
          </w:p>
        </w:tc>
      </w:tr>
      <w:tr>
        <w:trPr/>
        <w:tc>
          <w:tcPr>
            <w:tcW w:w="1145" w:type="dxa"/>
            <w:tcBorders/>
            <w:shd w:fill="FFFFFF" w:val="clear"/>
            <w:vAlign w:val="center"/>
          </w:tcPr>
          <w:p>
            <w:pPr>
              <w:pStyle w:val="TableContents"/>
              <w:spacing w:before="0" w:after="283"/>
              <w:jc w:val="left"/>
              <w:rPr/>
            </w:pPr>
            <w:r>
              <w:rPr/>
              <w:t>Net Loss</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0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400"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7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72"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20"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85"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80" w:type="dxa"/>
            <w:tcBorders>
              <w:bottom w:val="single" w:sz="12" w:space="0" w:color="000000"/>
            </w:tcBorders>
            <w:shd w:fill="FFFFFF" w:val="clear"/>
            <w:tcMar>
              <w:bottom w:w="28" w:type="dxa"/>
            </w:tcMar>
            <w:vAlign w:val="center"/>
          </w:tcPr>
          <w:p>
            <w:pPr>
              <w:pStyle w:val="TableContents"/>
              <w:spacing w:before="0" w:after="283"/>
              <w:jc w:val="right"/>
              <w:rPr/>
            </w:pPr>
            <w:r>
              <w:rPr/>
              <w:t>(4,330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39"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spacing w:before="0" w:after="283"/>
              <w:jc w:val="right"/>
              <w:rPr/>
            </w:pPr>
            <w:r>
              <w:rPr/>
              <w:t>(4,330</w:t>
            </w:r>
          </w:p>
        </w:tc>
        <w:tc>
          <w:tcPr>
            <w:tcW w:w="110" w:type="dxa"/>
            <w:tcBorders/>
            <w:shd w:fill="FFFFFF" w:val="clear"/>
            <w:vAlign w:val="center"/>
          </w:tcPr>
          <w:p>
            <w:pPr>
              <w:pStyle w:val="TableContents"/>
              <w:spacing w:before="0" w:after="283"/>
              <w:jc w:val="left"/>
              <w:rPr/>
            </w:pPr>
            <w:r>
              <w:rPr/>
              <w:t>)</w:t>
            </w:r>
            <w:bookmarkStart w:id="189" w:name="xdx_432_c20200101__20200630_eus-gaap--St"/>
            <w:bookmarkEnd w:id="189"/>
          </w:p>
        </w:tc>
      </w:tr>
      <w:tr>
        <w:trPr/>
        <w:tc>
          <w:tcPr>
            <w:tcW w:w="1145" w:type="dxa"/>
            <w:tcBorders/>
            <w:shd w:fill="CCEEFF" w:val="clear"/>
            <w:vAlign w:val="center"/>
          </w:tcPr>
          <w:p>
            <w:pPr>
              <w:pStyle w:val="TableContents"/>
              <w:spacing w:before="0" w:after="283"/>
              <w:rPr>
                <w:b/>
              </w:rPr>
            </w:pPr>
            <w:r>
              <w:rPr>
                <w:b/>
              </w:rPr>
              <w:t>Balance, June 30, 2020</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190" w:name="xdx_986_eus-gaap--SharesOutstanding_iE_p"/>
            <w:bookmarkEnd w:id="190"/>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62,928,540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0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400" w:type="dxa"/>
            <w:tcBorders>
              <w:bottom w:val="double" w:sz="6" w:space="0" w:color="000000"/>
            </w:tcBorders>
            <w:shd w:fill="CCEEFF" w:val="clear"/>
            <w:tcMar>
              <w:bottom w:w="28" w:type="dxa"/>
            </w:tcMar>
            <w:vAlign w:val="center"/>
          </w:tcPr>
          <w:p>
            <w:pPr>
              <w:pStyle w:val="TableContents"/>
              <w:spacing w:before="0" w:after="283"/>
              <w:jc w:val="right"/>
              <w:rPr/>
            </w:pPr>
            <w:r>
              <w:rPr/>
              <w:t>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8"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191" w:name="xdx_98C_eus-gaap--SharesOutstanding_iE_p"/>
            <w:bookmarkEnd w:id="191"/>
          </w:p>
        </w:tc>
        <w:tc>
          <w:tcPr>
            <w:tcW w:w="572" w:type="dxa"/>
            <w:tcBorders>
              <w:bottom w:val="double" w:sz="6" w:space="0" w:color="000000"/>
            </w:tcBorders>
            <w:shd w:fill="CCEEFF" w:val="clear"/>
            <w:tcMar>
              <w:bottom w:w="28" w:type="dxa"/>
            </w:tcMar>
            <w:vAlign w:val="center"/>
          </w:tcPr>
          <w:p>
            <w:pPr>
              <w:pStyle w:val="TableContents"/>
              <w:spacing w:before="0" w:after="283"/>
              <w:jc w:val="right"/>
              <w:rPr/>
            </w:pPr>
            <w:r>
              <w:rPr/>
              <w:t>9,411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520" w:type="dxa"/>
            <w:tcBorders>
              <w:bottom w:val="double" w:sz="6" w:space="0" w:color="000000"/>
            </w:tcBorders>
            <w:shd w:fill="CCEEFF" w:val="clear"/>
            <w:tcMar>
              <w:bottom w:w="28" w:type="dxa"/>
            </w:tcMar>
            <w:vAlign w:val="center"/>
          </w:tcPr>
          <w:p>
            <w:pPr>
              <w:pStyle w:val="TableContents"/>
              <w:spacing w:before="0" w:after="283"/>
              <w:jc w:val="right"/>
              <w:rPr/>
            </w:pPr>
            <w:r>
              <w:rPr/>
              <w:t>94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192" w:name="xdx_985_eus-gaap--SharesOutstanding_iE_p"/>
            <w:bookmarkEnd w:id="192"/>
          </w:p>
        </w:tc>
        <w:tc>
          <w:tcPr>
            <w:tcW w:w="800" w:type="dxa"/>
            <w:tcBorders>
              <w:bottom w:val="double" w:sz="6" w:space="0" w:color="000000"/>
            </w:tcBorders>
            <w:shd w:fill="CCEEFF" w:val="clear"/>
            <w:tcMar>
              <w:bottom w:w="28" w:type="dxa"/>
            </w:tcMar>
            <w:vAlign w:val="center"/>
          </w:tcPr>
          <w:p>
            <w:pPr>
              <w:pStyle w:val="TableContents"/>
              <w:spacing w:before="0" w:after="283"/>
              <w:jc w:val="right"/>
              <w:rPr/>
            </w:pPr>
            <w:r>
              <w:rPr/>
              <w:t>350,000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1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585" w:type="dxa"/>
            <w:tcBorders>
              <w:bottom w:val="double" w:sz="6" w:space="0" w:color="000000"/>
            </w:tcBorders>
            <w:shd w:fill="CCEEFF" w:val="clear"/>
            <w:tcMar>
              <w:bottom w:w="28" w:type="dxa"/>
            </w:tcMar>
            <w:vAlign w:val="center"/>
          </w:tcPr>
          <w:p>
            <w:pPr>
              <w:pStyle w:val="TableContents"/>
              <w:spacing w:before="0" w:after="283"/>
              <w:jc w:val="right"/>
              <w:rPr/>
            </w:pPr>
            <w:r>
              <w:rPr/>
              <w:t>285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850" w:type="dxa"/>
            <w:tcBorders>
              <w:bottom w:val="double" w:sz="6" w:space="0" w:color="000000"/>
            </w:tcBorders>
            <w:shd w:fill="CCEEFF" w:val="clear"/>
            <w:tcMar>
              <w:bottom w:w="28" w:type="dxa"/>
            </w:tcMar>
            <w:vAlign w:val="center"/>
          </w:tcPr>
          <w:p>
            <w:pPr>
              <w:pStyle w:val="TableContents"/>
              <w:spacing w:before="0" w:after="283"/>
              <w:jc w:val="right"/>
              <w:rPr/>
            </w:pPr>
            <w:r>
              <w:rPr/>
              <w:t>83,364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080" w:type="dxa"/>
            <w:tcBorders>
              <w:bottom w:val="double" w:sz="6" w:space="0" w:color="000000"/>
            </w:tcBorders>
            <w:shd w:fill="CCEEFF" w:val="clear"/>
            <w:tcMar>
              <w:bottom w:w="28" w:type="dxa"/>
            </w:tcMar>
            <w:vAlign w:val="center"/>
          </w:tcPr>
          <w:p>
            <w:pPr>
              <w:pStyle w:val="TableContents"/>
              <w:spacing w:before="0" w:after="283"/>
              <w:jc w:val="right"/>
              <w:rPr/>
            </w:pPr>
            <w:r>
              <w:rPr/>
              <w:t>(80,883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39"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086" w:type="dxa"/>
            <w:tcBorders>
              <w:bottom w:val="double" w:sz="6" w:space="0" w:color="000000"/>
            </w:tcBorders>
            <w:shd w:fill="CCEEFF" w:val="clear"/>
            <w:tcMar>
              <w:bottom w:w="28" w:type="dxa"/>
            </w:tcMar>
            <w:vAlign w:val="center"/>
          </w:tcPr>
          <w:p>
            <w:pPr>
              <w:pStyle w:val="TableContents"/>
              <w:spacing w:before="0" w:after="283"/>
              <w:jc w:val="right"/>
              <w:rPr/>
            </w:pPr>
            <w:r>
              <w:rPr/>
              <w:t>2,866</w:t>
            </w:r>
          </w:p>
        </w:tc>
        <w:tc>
          <w:tcPr>
            <w:tcW w:w="110" w:type="dxa"/>
            <w:tcBorders/>
            <w:shd w:fill="CCEEFF" w:val="clear"/>
            <w:vAlign w:val="center"/>
          </w:tcPr>
          <w:p>
            <w:pPr>
              <w:pStyle w:val="TableContents"/>
              <w:spacing w:before="0" w:after="283"/>
              <w:jc w:val="left"/>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F-4</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193" w:name="ar_006"/>
      <w:bookmarkEnd w:id="193"/>
      <w:r>
        <w:rPr>
          <w:rFonts w:ascii="Times New Roman;Times;Serif" w:hAnsi="Times New Roman;Times;Serif"/>
          <w:b/>
          <w:i w:val="false"/>
          <w:caps w:val="false"/>
          <w:smallCaps w:val="false"/>
          <w:sz w:val="20"/>
        </w:rPr>
        <w:t>REED’S, INC.</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STATEMENTS OF CASH FLOWS</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2021 and 2020</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jc w:val="center"/>
        <w:rPr>
          <w:caps w:val="false"/>
          <w:smallCaps w:val="false"/>
        </w:rPr>
      </w:pPr>
      <w:r>
        <w:rPr>
          <w:caps w:val="false"/>
          <w:smallCaps w:val="false"/>
        </w:rPr>
        <w:t> </w:t>
      </w:r>
    </w:p>
    <w:p>
      <w:pPr>
        <w:pStyle w:val="Normal"/>
        <w:spacing w:before="0" w:after="0"/>
        <w:rPr>
          <w:sz w:val="4"/>
          <w:szCs w:val="4"/>
        </w:rPr>
      </w:pPr>
      <w:r>
        <w:rPr>
          <w:sz w:val="4"/>
          <w:szCs w:val="4"/>
        </w:rPr>
      </w:r>
      <w:bookmarkStart w:id="194" w:name="xdx_300_112_pn3n3_zgVvvOxCsVDb"/>
      <w:bookmarkStart w:id="195" w:name="xdx_300_112_pn3n3_zgVvvOxCsVDb"/>
      <w:bookmarkEnd w:id="195"/>
    </w:p>
    <w:tbl>
      <w:tblPr>
        <w:tblW w:w="10028" w:type="dxa"/>
        <w:jc w:val="left"/>
        <w:tblInd w:w="0" w:type="dxa"/>
        <w:tblCellMar>
          <w:top w:w="0" w:type="dxa"/>
          <w:left w:w="0" w:type="dxa"/>
          <w:bottom w:w="0" w:type="dxa"/>
          <w:right w:w="0" w:type="dxa"/>
        </w:tblCellMar>
      </w:tblPr>
      <w:tblGrid>
        <w:gridCol w:w="6875"/>
        <w:gridCol w:w="60"/>
        <w:gridCol w:w="221"/>
        <w:gridCol w:w="1193"/>
        <w:gridCol w:w="95"/>
        <w:gridCol w:w="60"/>
        <w:gridCol w:w="221"/>
        <w:gridCol w:w="1193"/>
        <w:gridCol w:w="110"/>
      </w:tblGrid>
      <w:tr>
        <w:trPr/>
        <w:tc>
          <w:tcPr>
            <w:tcW w:w="68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96" w:name="xdx_49F_20210101__20210630_z4IZ8tpOEar4"/>
            <w:bookmarkEnd w:id="196"/>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June 30, 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197" w:name="xdx_49A_20200101__20200630_zYy01lPbbfp7"/>
            <w:bookmarkEnd w:id="197"/>
          </w:p>
        </w:tc>
        <w:tc>
          <w:tcPr>
            <w:tcW w:w="14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June 30, 2020</w:t>
            </w:r>
          </w:p>
        </w:tc>
        <w:tc>
          <w:tcPr>
            <w:tcW w:w="110" w:type="dxa"/>
            <w:tcBorders/>
            <w:shd w:fill="auto" w:val="clear"/>
            <w:vAlign w:val="center"/>
          </w:tcPr>
          <w:p>
            <w:pPr>
              <w:pStyle w:val="TableContents"/>
              <w:spacing w:before="0" w:after="283"/>
              <w:rPr/>
            </w:pPr>
            <w:r>
              <w:rPr/>
              <w:t> </w:t>
            </w:r>
            <w:bookmarkStart w:id="198" w:name="xdx_40D_eus-gaap--NetCashProvidedByUsedI"/>
            <w:bookmarkEnd w:id="198"/>
          </w:p>
        </w:tc>
      </w:tr>
      <w:tr>
        <w:trPr/>
        <w:tc>
          <w:tcPr>
            <w:tcW w:w="6875" w:type="dxa"/>
            <w:tcBorders/>
            <w:shd w:fill="CCEEFF" w:val="clear"/>
            <w:vAlign w:val="center"/>
          </w:tcPr>
          <w:p>
            <w:pPr>
              <w:pStyle w:val="TableContents"/>
              <w:spacing w:before="0" w:after="283"/>
              <w:jc w:val="left"/>
              <w:rPr>
                <w:i/>
              </w:rPr>
            </w:pPr>
            <w:r>
              <w:rPr>
                <w:i/>
              </w:rPr>
              <w:t>Cash flows from operating activities:</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199" w:name="xdx_402_eus-gaap--NetIncomeLoss_i01_pn3n"/>
            <w:bookmarkEnd w:id="199"/>
          </w:p>
        </w:tc>
      </w:tr>
      <w:tr>
        <w:trPr/>
        <w:tc>
          <w:tcPr>
            <w:tcW w:w="6875" w:type="dxa"/>
            <w:tcBorders/>
            <w:shd w:fill="FFFFFF" w:val="clear"/>
            <w:vAlign w:val="center"/>
          </w:tcPr>
          <w:p>
            <w:pPr>
              <w:pStyle w:val="TableContents"/>
              <w:spacing w:before="0" w:after="283"/>
              <w:jc w:val="left"/>
              <w:rPr>
                <w:b/>
              </w:rPr>
            </w:pPr>
            <w:r>
              <w:rPr>
                <w:b/>
              </w:rPr>
              <w:t>Net loss</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w:t>
            </w:r>
          </w:p>
        </w:tc>
        <w:tc>
          <w:tcPr>
            <w:tcW w:w="1193" w:type="dxa"/>
            <w:tcBorders/>
            <w:shd w:fill="FFFFFF" w:val="clear"/>
            <w:vAlign w:val="center"/>
          </w:tcPr>
          <w:p>
            <w:pPr>
              <w:pStyle w:val="TableContents"/>
              <w:spacing w:before="0" w:after="283"/>
              <w:jc w:val="right"/>
              <w:rPr/>
            </w:pPr>
            <w:r>
              <w:rPr/>
              <w:t>(7,649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w:t>
            </w:r>
          </w:p>
        </w:tc>
        <w:tc>
          <w:tcPr>
            <w:tcW w:w="1193" w:type="dxa"/>
            <w:tcBorders/>
            <w:shd w:fill="FFFFFF" w:val="clear"/>
            <w:vAlign w:val="center"/>
          </w:tcPr>
          <w:p>
            <w:pPr>
              <w:pStyle w:val="TableContents"/>
              <w:spacing w:before="0" w:after="283"/>
              <w:jc w:val="right"/>
              <w:rPr/>
            </w:pPr>
            <w:r>
              <w:rPr/>
              <w:t>(4,330</w:t>
            </w:r>
          </w:p>
        </w:tc>
        <w:tc>
          <w:tcPr>
            <w:tcW w:w="110" w:type="dxa"/>
            <w:tcBorders/>
            <w:shd w:fill="FFFFFF" w:val="clear"/>
            <w:vAlign w:val="center"/>
          </w:tcPr>
          <w:p>
            <w:pPr>
              <w:pStyle w:val="TableContents"/>
              <w:spacing w:before="0" w:after="283"/>
              <w:jc w:val="left"/>
              <w:rPr/>
            </w:pPr>
            <w:r>
              <w:rPr/>
              <w:t>)</w:t>
            </w:r>
            <w:bookmarkStart w:id="200" w:name="xdx_403_eus-gaap--AdjustmentsToReconcile"/>
            <w:bookmarkEnd w:id="200"/>
          </w:p>
        </w:tc>
      </w:tr>
      <w:tr>
        <w:trPr/>
        <w:tc>
          <w:tcPr>
            <w:tcW w:w="6875" w:type="dxa"/>
            <w:tcBorders/>
            <w:shd w:fill="CCEEFF" w:val="clear"/>
            <w:vAlign w:val="center"/>
          </w:tcPr>
          <w:p>
            <w:pPr>
              <w:pStyle w:val="TableContents"/>
              <w:spacing w:before="0" w:after="283"/>
              <w:jc w:val="left"/>
              <w:rPr>
                <w:i/>
              </w:rPr>
            </w:pPr>
            <w:r>
              <w:rPr>
                <w:i/>
              </w:rPr>
              <w:t>Adjustments to reconcile net loss to net cash used in operating activities:</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201" w:name="xdx_406_eus-gaap--DepreciationDepletionA"/>
            <w:bookmarkEnd w:id="201"/>
          </w:p>
        </w:tc>
      </w:tr>
      <w:tr>
        <w:trPr/>
        <w:tc>
          <w:tcPr>
            <w:tcW w:w="6875" w:type="dxa"/>
            <w:tcBorders/>
            <w:shd w:fill="FFFFFF" w:val="clear"/>
            <w:vAlign w:val="center"/>
          </w:tcPr>
          <w:p>
            <w:pPr>
              <w:pStyle w:val="TableContents"/>
              <w:spacing w:before="0" w:after="283"/>
              <w:rPr/>
            </w:pPr>
            <w:r>
              <w:rPr/>
              <w:t>Depreciation</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69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24</w:t>
            </w:r>
          </w:p>
        </w:tc>
        <w:tc>
          <w:tcPr>
            <w:tcW w:w="110" w:type="dxa"/>
            <w:tcBorders/>
            <w:shd w:fill="FFFFFF" w:val="clear"/>
            <w:vAlign w:val="center"/>
          </w:tcPr>
          <w:p>
            <w:pPr>
              <w:pStyle w:val="TableContents"/>
              <w:spacing w:before="0" w:after="283"/>
              <w:jc w:val="left"/>
              <w:rPr/>
            </w:pPr>
            <w:r>
              <w:rPr/>
              <w:t> </w:t>
            </w:r>
            <w:bookmarkStart w:id="202" w:name="xdx_40E_eus-gaap--GainLossOnTerminationO"/>
            <w:bookmarkEnd w:id="202"/>
          </w:p>
        </w:tc>
      </w:tr>
      <w:tr>
        <w:trPr/>
        <w:tc>
          <w:tcPr>
            <w:tcW w:w="6875" w:type="dxa"/>
            <w:tcBorders/>
            <w:shd w:fill="CCEEFF" w:val="clear"/>
            <w:vAlign w:val="center"/>
          </w:tcPr>
          <w:p>
            <w:pPr>
              <w:pStyle w:val="TableContents"/>
              <w:spacing w:before="0" w:after="283"/>
              <w:jc w:val="left"/>
              <w:rPr/>
            </w:pPr>
            <w:r>
              <w:rPr/>
              <w:t>Gain on termination of leases</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(6</w:t>
            </w:r>
          </w:p>
        </w:tc>
        <w:tc>
          <w:tcPr>
            <w:tcW w:w="110" w:type="dxa"/>
            <w:tcBorders/>
            <w:shd w:fill="CCEEFF" w:val="clear"/>
            <w:vAlign w:val="center"/>
          </w:tcPr>
          <w:p>
            <w:pPr>
              <w:pStyle w:val="TableContents"/>
              <w:spacing w:before="0" w:after="283"/>
              <w:jc w:val="left"/>
              <w:rPr/>
            </w:pPr>
            <w:r>
              <w:rPr/>
              <w:t>)</w:t>
            </w:r>
            <w:bookmarkStart w:id="203" w:name="xdx_402_eus-gaap--GainsLossesOnExtinguis"/>
            <w:bookmarkEnd w:id="203"/>
          </w:p>
        </w:tc>
      </w:tr>
      <w:tr>
        <w:trPr/>
        <w:tc>
          <w:tcPr>
            <w:tcW w:w="6875" w:type="dxa"/>
            <w:tcBorders/>
            <w:shd w:fill="FFFFFF" w:val="clear"/>
            <w:vAlign w:val="center"/>
          </w:tcPr>
          <w:p>
            <w:pPr>
              <w:pStyle w:val="TableContents"/>
              <w:spacing w:before="0" w:after="283"/>
              <w:jc w:val="left"/>
              <w:rPr/>
            </w:pPr>
            <w:r>
              <w:rPr/>
              <w:t>Gain on forgiveness of debt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(770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bookmarkStart w:id="204" w:name="xdx_403_eus-gaap--AmortizationOfDebtDisc"/>
            <w:bookmarkEnd w:id="204"/>
          </w:p>
        </w:tc>
      </w:tr>
      <w:tr>
        <w:trPr/>
        <w:tc>
          <w:tcPr>
            <w:tcW w:w="6875" w:type="dxa"/>
            <w:tcBorders/>
            <w:shd w:fill="CCEEFF" w:val="clear"/>
            <w:vAlign w:val="center"/>
          </w:tcPr>
          <w:p>
            <w:pPr>
              <w:pStyle w:val="TableContents"/>
              <w:spacing w:before="0" w:after="283"/>
              <w:jc w:val="left"/>
              <w:rPr/>
            </w:pPr>
            <w:r>
              <w:rPr/>
              <w:t>Amortization of debt discount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162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193</w:t>
            </w:r>
          </w:p>
        </w:tc>
        <w:tc>
          <w:tcPr>
            <w:tcW w:w="110" w:type="dxa"/>
            <w:tcBorders/>
            <w:shd w:fill="CCEEFF" w:val="clear"/>
            <w:vAlign w:val="center"/>
          </w:tcPr>
          <w:p>
            <w:pPr>
              <w:pStyle w:val="TableContents"/>
              <w:spacing w:before="0" w:after="283"/>
              <w:jc w:val="left"/>
              <w:rPr/>
            </w:pPr>
            <w:r>
              <w:rPr/>
              <w:t> </w:t>
            </w:r>
            <w:bookmarkStart w:id="205" w:name="xdx_407_eus-gaap--AmortizationOfFinancin"/>
            <w:bookmarkEnd w:id="205"/>
          </w:p>
        </w:tc>
      </w:tr>
      <w:tr>
        <w:trPr/>
        <w:tc>
          <w:tcPr>
            <w:tcW w:w="6875" w:type="dxa"/>
            <w:tcBorders/>
            <w:shd w:fill="FFFFFF" w:val="clear"/>
            <w:vAlign w:val="center"/>
          </w:tcPr>
          <w:p>
            <w:pPr>
              <w:pStyle w:val="TableContents"/>
              <w:spacing w:before="0" w:after="283"/>
              <w:jc w:val="left"/>
              <w:rPr/>
            </w:pPr>
            <w:r>
              <w:rPr/>
              <w:t>Amortization of prepaid financing costs</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147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bookmarkStart w:id="206" w:name="xdx_40B_eus-gaap--OperatingLeaseRightOfU"/>
            <w:bookmarkEnd w:id="206"/>
          </w:p>
        </w:tc>
      </w:tr>
      <w:tr>
        <w:trPr/>
        <w:tc>
          <w:tcPr>
            <w:tcW w:w="6875" w:type="dxa"/>
            <w:tcBorders/>
            <w:shd w:fill="CCEEFF" w:val="clear"/>
            <w:vAlign w:val="center"/>
          </w:tcPr>
          <w:p>
            <w:pPr>
              <w:pStyle w:val="TableContents"/>
              <w:spacing w:before="0" w:after="283"/>
              <w:jc w:val="left"/>
              <w:rPr/>
            </w:pPr>
            <w:r>
              <w:rPr/>
              <w:t>Amortization of right of use assets</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48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62</w:t>
            </w:r>
          </w:p>
        </w:tc>
        <w:tc>
          <w:tcPr>
            <w:tcW w:w="110" w:type="dxa"/>
            <w:tcBorders/>
            <w:shd w:fill="CCEEFF" w:val="clear"/>
            <w:vAlign w:val="center"/>
          </w:tcPr>
          <w:p>
            <w:pPr>
              <w:pStyle w:val="TableContents"/>
              <w:spacing w:before="0" w:after="283"/>
              <w:jc w:val="left"/>
              <w:rPr/>
            </w:pPr>
            <w:r>
              <w:rPr/>
              <w:t> </w:t>
            </w:r>
            <w:bookmarkStart w:id="207" w:name="xdx_40F_ecustom--FairValueOfVestedOption"/>
            <w:bookmarkEnd w:id="207"/>
          </w:p>
        </w:tc>
      </w:tr>
      <w:tr>
        <w:trPr/>
        <w:tc>
          <w:tcPr>
            <w:tcW w:w="6875" w:type="dxa"/>
            <w:tcBorders/>
            <w:shd w:fill="FFFFFF" w:val="clear"/>
            <w:vAlign w:val="center"/>
          </w:tcPr>
          <w:p>
            <w:pPr>
              <w:pStyle w:val="TableContents"/>
              <w:spacing w:before="0" w:after="283"/>
              <w:rPr/>
            </w:pPr>
            <w:r>
              <w:rPr/>
              <w:t>Fair value of vested options</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828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459</w:t>
            </w:r>
          </w:p>
        </w:tc>
        <w:tc>
          <w:tcPr>
            <w:tcW w:w="110" w:type="dxa"/>
            <w:tcBorders/>
            <w:shd w:fill="FFFFFF" w:val="clear"/>
            <w:vAlign w:val="center"/>
          </w:tcPr>
          <w:p>
            <w:pPr>
              <w:pStyle w:val="TableContents"/>
              <w:spacing w:before="0" w:after="283"/>
              <w:jc w:val="left"/>
              <w:rPr/>
            </w:pPr>
            <w:r>
              <w:rPr/>
              <w:t> </w:t>
            </w:r>
            <w:bookmarkStart w:id="208" w:name="xdx_401_ecustom--FairValueOfVestedRestri"/>
            <w:bookmarkEnd w:id="208"/>
          </w:p>
        </w:tc>
      </w:tr>
      <w:tr>
        <w:trPr/>
        <w:tc>
          <w:tcPr>
            <w:tcW w:w="6875" w:type="dxa"/>
            <w:tcBorders/>
            <w:shd w:fill="CCEEFF" w:val="clear"/>
            <w:vAlign w:val="center"/>
          </w:tcPr>
          <w:p>
            <w:pPr>
              <w:pStyle w:val="TableContents"/>
              <w:spacing w:before="0" w:after="283"/>
              <w:jc w:val="left"/>
              <w:rPr/>
            </w:pPr>
            <w:r>
              <w:rPr/>
              <w:t>Fair value of vested restricted shares granted to officers</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169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285</w:t>
            </w:r>
          </w:p>
        </w:tc>
        <w:tc>
          <w:tcPr>
            <w:tcW w:w="110" w:type="dxa"/>
            <w:tcBorders/>
            <w:shd w:fill="CCEEFF" w:val="clear"/>
            <w:vAlign w:val="center"/>
          </w:tcPr>
          <w:p>
            <w:pPr>
              <w:pStyle w:val="TableContents"/>
              <w:spacing w:before="0" w:after="283"/>
              <w:jc w:val="left"/>
              <w:rPr/>
            </w:pPr>
            <w:r>
              <w:rPr/>
              <w:t> </w:t>
            </w:r>
            <w:bookmarkStart w:id="209" w:name="xdx_40E_eus-gaap--IssuanceOfStockAndWarr"/>
            <w:bookmarkEnd w:id="209"/>
          </w:p>
        </w:tc>
      </w:tr>
      <w:tr>
        <w:trPr/>
        <w:tc>
          <w:tcPr>
            <w:tcW w:w="6875" w:type="dxa"/>
            <w:tcBorders/>
            <w:shd w:fill="FFFFFF" w:val="clear"/>
            <w:vAlign w:val="center"/>
          </w:tcPr>
          <w:p>
            <w:pPr>
              <w:pStyle w:val="TableContents"/>
              <w:spacing w:before="0" w:after="283"/>
              <w:jc w:val="left"/>
              <w:rPr/>
            </w:pPr>
            <w:r>
              <w:rPr/>
              <w:t>Common stock issued for services</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bookmarkStart w:id="210" w:name="xdx_409_ecustom--DecreaseInAllowanceForD"/>
            <w:bookmarkEnd w:id="210"/>
          </w:p>
        </w:tc>
      </w:tr>
      <w:tr>
        <w:trPr/>
        <w:tc>
          <w:tcPr>
            <w:tcW w:w="6875" w:type="dxa"/>
            <w:tcBorders/>
            <w:shd w:fill="CCEEFF" w:val="clear"/>
            <w:vAlign w:val="center"/>
          </w:tcPr>
          <w:p>
            <w:pPr>
              <w:pStyle w:val="TableContents"/>
              <w:spacing w:before="0" w:after="283"/>
              <w:jc w:val="left"/>
              <w:rPr/>
            </w:pPr>
            <w:r>
              <w:rPr/>
              <w:t>Decrease in allowance for doubtful accounts</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(83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(116</w:t>
            </w:r>
          </w:p>
        </w:tc>
        <w:tc>
          <w:tcPr>
            <w:tcW w:w="110" w:type="dxa"/>
            <w:tcBorders/>
            <w:shd w:fill="CCEEFF" w:val="clear"/>
            <w:vAlign w:val="center"/>
          </w:tcPr>
          <w:p>
            <w:pPr>
              <w:pStyle w:val="TableContents"/>
              <w:spacing w:before="0" w:after="283"/>
              <w:jc w:val="left"/>
              <w:rPr/>
            </w:pPr>
            <w:r>
              <w:rPr/>
              <w:t>)</w:t>
            </w:r>
            <w:bookmarkStart w:id="211" w:name="xdx_401_ecustom--IncreaseDecreaseInInven"/>
            <w:bookmarkEnd w:id="211"/>
          </w:p>
        </w:tc>
      </w:tr>
      <w:tr>
        <w:trPr/>
        <w:tc>
          <w:tcPr>
            <w:tcW w:w="6875" w:type="dxa"/>
            <w:tcBorders/>
            <w:shd w:fill="FFFFFF" w:val="clear"/>
            <w:vAlign w:val="center"/>
          </w:tcPr>
          <w:p>
            <w:pPr>
              <w:pStyle w:val="TableContents"/>
              <w:spacing w:before="0" w:after="283"/>
              <w:jc w:val="left"/>
              <w:rPr/>
            </w:pPr>
            <w:r>
              <w:rPr/>
              <w:t>Decrease (increase) in inventory reserve</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(30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(209</w:t>
            </w:r>
          </w:p>
        </w:tc>
        <w:tc>
          <w:tcPr>
            <w:tcW w:w="110" w:type="dxa"/>
            <w:tcBorders/>
            <w:shd w:fill="FFFFFF" w:val="clear"/>
            <w:vAlign w:val="center"/>
          </w:tcPr>
          <w:p>
            <w:pPr>
              <w:pStyle w:val="TableContents"/>
              <w:spacing w:before="0" w:after="283"/>
              <w:jc w:val="left"/>
              <w:rPr/>
            </w:pPr>
            <w:r>
              <w:rPr/>
              <w:t>)</w:t>
            </w:r>
            <w:bookmarkStart w:id="212" w:name="xdx_40F_eus-gaap--FairValueAdjustmentOfW"/>
            <w:bookmarkEnd w:id="212"/>
          </w:p>
        </w:tc>
      </w:tr>
      <w:tr>
        <w:trPr/>
        <w:tc>
          <w:tcPr>
            <w:tcW w:w="6875" w:type="dxa"/>
            <w:tcBorders/>
            <w:shd w:fill="CCEEFF" w:val="clear"/>
            <w:vAlign w:val="center"/>
          </w:tcPr>
          <w:p>
            <w:pPr>
              <w:pStyle w:val="TableContents"/>
              <w:spacing w:before="0" w:after="283"/>
              <w:jc w:val="left"/>
              <w:rPr/>
            </w:pPr>
            <w:r>
              <w:rPr/>
              <w:t>Change in fair value of warrant liability</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7</w:t>
            </w:r>
          </w:p>
        </w:tc>
        <w:tc>
          <w:tcPr>
            <w:tcW w:w="110" w:type="dxa"/>
            <w:tcBorders/>
            <w:shd w:fill="CCEEFF" w:val="clear"/>
            <w:vAlign w:val="center"/>
          </w:tcPr>
          <w:p>
            <w:pPr>
              <w:pStyle w:val="TableContents"/>
              <w:spacing w:before="0" w:after="283"/>
              <w:jc w:val="left"/>
              <w:rPr/>
            </w:pPr>
            <w:r>
              <w:rPr/>
              <w:t> </w:t>
            </w:r>
            <w:bookmarkStart w:id="213" w:name="xdx_40F_ecustom--AccrualOfInterestOnConv"/>
            <w:bookmarkEnd w:id="213"/>
          </w:p>
        </w:tc>
      </w:tr>
      <w:tr>
        <w:trPr/>
        <w:tc>
          <w:tcPr>
            <w:tcW w:w="6875" w:type="dxa"/>
            <w:tcBorders/>
            <w:shd w:fill="FFFFFF" w:val="clear"/>
            <w:vAlign w:val="center"/>
          </w:tcPr>
          <w:p>
            <w:pPr>
              <w:pStyle w:val="TableContents"/>
              <w:spacing w:before="0" w:after="283"/>
              <w:jc w:val="left"/>
              <w:rPr/>
            </w:pPr>
            <w:r>
              <w:rPr/>
              <w:t>Accrual of interest on convertible note to a related party</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288</w:t>
            </w:r>
          </w:p>
        </w:tc>
        <w:tc>
          <w:tcPr>
            <w:tcW w:w="110" w:type="dxa"/>
            <w:tcBorders/>
            <w:shd w:fill="FFFFFF" w:val="clear"/>
            <w:vAlign w:val="center"/>
          </w:tcPr>
          <w:p>
            <w:pPr>
              <w:pStyle w:val="TableContents"/>
              <w:spacing w:before="0" w:after="283"/>
              <w:jc w:val="left"/>
              <w:rPr/>
            </w:pPr>
            <w:r>
              <w:rPr/>
              <w:t> </w:t>
            </w:r>
            <w:bookmarkStart w:id="214" w:name="xdx_40C_eus-gaap--OperatingLeasePayments"/>
            <w:bookmarkEnd w:id="214"/>
          </w:p>
        </w:tc>
      </w:tr>
      <w:tr>
        <w:trPr/>
        <w:tc>
          <w:tcPr>
            <w:tcW w:w="6875" w:type="dxa"/>
            <w:tcBorders/>
            <w:shd w:fill="CCEEFF" w:val="clear"/>
            <w:vAlign w:val="center"/>
          </w:tcPr>
          <w:p>
            <w:pPr>
              <w:pStyle w:val="TableContents"/>
              <w:spacing w:before="0" w:after="283"/>
              <w:jc w:val="left"/>
              <w:rPr/>
            </w:pPr>
            <w:r>
              <w:rPr/>
              <w:t>Lease liability</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(43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(13</w:t>
            </w:r>
          </w:p>
        </w:tc>
        <w:tc>
          <w:tcPr>
            <w:tcW w:w="110" w:type="dxa"/>
            <w:tcBorders/>
            <w:shd w:fill="CCEEFF" w:val="clear"/>
            <w:vAlign w:val="center"/>
          </w:tcPr>
          <w:p>
            <w:pPr>
              <w:pStyle w:val="TableContents"/>
              <w:spacing w:before="0" w:after="283"/>
              <w:jc w:val="left"/>
              <w:rPr/>
            </w:pPr>
            <w:r>
              <w:rPr/>
              <w:t>)</w:t>
            </w:r>
            <w:bookmarkStart w:id="215" w:name="xdx_40A_eus-gaap--IncreaseDecreaseInOper"/>
            <w:bookmarkEnd w:id="215"/>
          </w:p>
        </w:tc>
      </w:tr>
      <w:tr>
        <w:trPr/>
        <w:tc>
          <w:tcPr>
            <w:tcW w:w="6875" w:type="dxa"/>
            <w:tcBorders/>
            <w:shd w:fill="FFFFFF" w:val="clear"/>
            <w:vAlign w:val="center"/>
          </w:tcPr>
          <w:p>
            <w:pPr>
              <w:pStyle w:val="TableContents"/>
              <w:spacing w:before="0" w:after="283"/>
              <w:jc w:val="left"/>
              <w:rPr>
                <w:i/>
              </w:rPr>
            </w:pPr>
            <w:r>
              <w:rPr>
                <w:i/>
              </w:rPr>
              <w:t>Changes in operating assets and liabilities:</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216" w:name="xdx_402_eus-gaap--IncreaseDecreaseInAcco"/>
            <w:bookmarkEnd w:id="216"/>
          </w:p>
        </w:tc>
      </w:tr>
      <w:tr>
        <w:trPr/>
        <w:tc>
          <w:tcPr>
            <w:tcW w:w="6875" w:type="dxa"/>
            <w:tcBorders/>
            <w:shd w:fill="CCEEFF" w:val="clear"/>
            <w:vAlign w:val="center"/>
          </w:tcPr>
          <w:p>
            <w:pPr>
              <w:pStyle w:val="TableContents"/>
              <w:spacing w:before="0" w:after="283"/>
              <w:jc w:val="left"/>
              <w:rPr/>
            </w:pPr>
            <w:r>
              <w:rPr/>
              <w:t>Accounts receivable</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258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(3,080</w:t>
            </w:r>
          </w:p>
        </w:tc>
        <w:tc>
          <w:tcPr>
            <w:tcW w:w="110" w:type="dxa"/>
            <w:tcBorders/>
            <w:shd w:fill="CCEEFF" w:val="clear"/>
            <w:vAlign w:val="center"/>
          </w:tcPr>
          <w:p>
            <w:pPr>
              <w:pStyle w:val="TableContents"/>
              <w:spacing w:before="0" w:after="283"/>
              <w:jc w:val="left"/>
              <w:rPr/>
            </w:pPr>
            <w:r>
              <w:rPr/>
              <w:t>)</w:t>
            </w:r>
            <w:bookmarkStart w:id="217" w:name="xdx_400_eus-gaap--IncreaseDecreaseInInve"/>
            <w:bookmarkEnd w:id="217"/>
          </w:p>
        </w:tc>
      </w:tr>
      <w:tr>
        <w:trPr/>
        <w:tc>
          <w:tcPr>
            <w:tcW w:w="6875" w:type="dxa"/>
            <w:tcBorders/>
            <w:shd w:fill="FFFFFF" w:val="clear"/>
            <w:vAlign w:val="center"/>
          </w:tcPr>
          <w:p>
            <w:pPr>
              <w:pStyle w:val="TableContents"/>
              <w:spacing w:before="0" w:after="283"/>
              <w:rPr/>
            </w:pPr>
            <w:r>
              <w:rPr/>
              <w:t>Inventory</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(2,552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2,306</w:t>
            </w:r>
          </w:p>
        </w:tc>
        <w:tc>
          <w:tcPr>
            <w:tcW w:w="110" w:type="dxa"/>
            <w:tcBorders/>
            <w:shd w:fill="FFFFFF" w:val="clear"/>
            <w:vAlign w:val="center"/>
          </w:tcPr>
          <w:p>
            <w:pPr>
              <w:pStyle w:val="TableContents"/>
              <w:spacing w:before="0" w:after="283"/>
              <w:jc w:val="left"/>
              <w:rPr/>
            </w:pPr>
            <w:r>
              <w:rPr/>
              <w:t> </w:t>
            </w:r>
            <w:bookmarkStart w:id="218" w:name="xdx_403_eus-gaap--IncreaseDecreaseInPrep"/>
            <w:bookmarkEnd w:id="218"/>
          </w:p>
        </w:tc>
      </w:tr>
      <w:tr>
        <w:trPr/>
        <w:tc>
          <w:tcPr>
            <w:tcW w:w="6875" w:type="dxa"/>
            <w:tcBorders/>
            <w:shd w:fill="CCEEFF" w:val="clear"/>
            <w:vAlign w:val="center"/>
          </w:tcPr>
          <w:p>
            <w:pPr>
              <w:pStyle w:val="TableContents"/>
              <w:spacing w:before="0" w:after="283"/>
              <w:jc w:val="left"/>
              <w:rPr/>
            </w:pPr>
            <w:r>
              <w:rPr/>
              <w:t>Prepaid expenses and other assets</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(483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(393</w:t>
            </w:r>
          </w:p>
        </w:tc>
        <w:tc>
          <w:tcPr>
            <w:tcW w:w="110" w:type="dxa"/>
            <w:tcBorders/>
            <w:shd w:fill="CCEEFF" w:val="clear"/>
            <w:vAlign w:val="center"/>
          </w:tcPr>
          <w:p>
            <w:pPr>
              <w:pStyle w:val="TableContents"/>
              <w:spacing w:before="0" w:after="283"/>
              <w:jc w:val="left"/>
              <w:rPr/>
            </w:pPr>
            <w:r>
              <w:rPr/>
              <w:t>)</w:t>
            </w:r>
            <w:bookmarkStart w:id="219" w:name="xdx_40C_eus-gaap--IncreaseDecreaseInAcco"/>
            <w:bookmarkEnd w:id="219"/>
          </w:p>
        </w:tc>
      </w:tr>
      <w:tr>
        <w:trPr/>
        <w:tc>
          <w:tcPr>
            <w:tcW w:w="6875" w:type="dxa"/>
            <w:tcBorders/>
            <w:shd w:fill="FFFFFF" w:val="clear"/>
            <w:vAlign w:val="center"/>
          </w:tcPr>
          <w:p>
            <w:pPr>
              <w:pStyle w:val="TableContents"/>
              <w:spacing w:before="0" w:after="283"/>
              <w:jc w:val="left"/>
              <w:rPr/>
            </w:pPr>
            <w:r>
              <w:rPr/>
              <w:t>Accounts payable</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(200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(410</w:t>
            </w:r>
          </w:p>
        </w:tc>
        <w:tc>
          <w:tcPr>
            <w:tcW w:w="110" w:type="dxa"/>
            <w:tcBorders/>
            <w:shd w:fill="FFFFFF" w:val="clear"/>
            <w:vAlign w:val="center"/>
          </w:tcPr>
          <w:p>
            <w:pPr>
              <w:pStyle w:val="TableContents"/>
              <w:spacing w:before="0" w:after="283"/>
              <w:jc w:val="left"/>
              <w:rPr/>
            </w:pPr>
            <w:r>
              <w:rPr/>
              <w:t>)</w:t>
            </w:r>
            <w:bookmarkStart w:id="220" w:name="xdx_404_eus-gaap--IncreaseDecreaseInAccr"/>
            <w:bookmarkEnd w:id="220"/>
          </w:p>
        </w:tc>
      </w:tr>
      <w:tr>
        <w:trPr/>
        <w:tc>
          <w:tcPr>
            <w:tcW w:w="6875" w:type="dxa"/>
            <w:tcBorders/>
            <w:shd w:fill="CCEEFF" w:val="clear"/>
            <w:vAlign w:val="center"/>
          </w:tcPr>
          <w:p>
            <w:pPr>
              <w:pStyle w:val="TableContents"/>
              <w:spacing w:before="0" w:after="283"/>
              <w:jc w:val="left"/>
              <w:rPr/>
            </w:pPr>
            <w:r>
              <w:rPr/>
              <w:t>Accrued expenses</w:t>
            </w:r>
          </w:p>
        </w:tc>
        <w:tc>
          <w:tcPr>
            <w:tcW w:w="60" w:type="dxa"/>
            <w:tcBorders/>
            <w:shd w:fill="CCEEFF" w:val="clear"/>
            <w:vAlign w:val="center"/>
          </w:tcPr>
          <w:p>
            <w:pPr>
              <w:pStyle w:val="TableContents"/>
              <w:spacing w:before="0" w:after="283"/>
              <w:rPr/>
            </w:pPr>
            <w:r>
              <w:rPr/>
              <w:t> </w:t>
            </w:r>
          </w:p>
        </w:tc>
        <w:tc>
          <w:tcPr>
            <w:tcW w:w="22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spacing w:before="0" w:after="283"/>
              <w:jc w:val="right"/>
              <w:rPr/>
            </w:pPr>
            <w:r>
              <w:rPr/>
              <w:t>(178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spacing w:before="0" w:after="283"/>
              <w:jc w:val="right"/>
              <w:rPr/>
            </w:pPr>
            <w:r>
              <w:rPr/>
              <w:t>(95</w:t>
            </w:r>
          </w:p>
        </w:tc>
        <w:tc>
          <w:tcPr>
            <w:tcW w:w="110" w:type="dxa"/>
            <w:tcBorders/>
            <w:shd w:fill="CCEEFF" w:val="clear"/>
            <w:vAlign w:val="center"/>
          </w:tcPr>
          <w:p>
            <w:pPr>
              <w:pStyle w:val="TableContents"/>
              <w:spacing w:before="0" w:after="283"/>
              <w:jc w:val="left"/>
              <w:rPr/>
            </w:pPr>
            <w:r>
              <w:rPr/>
              <w:t>)</w:t>
            </w:r>
            <w:bookmarkStart w:id="221" w:name="xdx_40A_eus-gaap--NetCashProvidedByUsedI"/>
            <w:bookmarkEnd w:id="221"/>
          </w:p>
        </w:tc>
      </w:tr>
      <w:tr>
        <w:trPr/>
        <w:tc>
          <w:tcPr>
            <w:tcW w:w="6875" w:type="dxa"/>
            <w:tcBorders/>
            <w:shd w:fill="FFFFFF" w:val="clear"/>
            <w:vAlign w:val="center"/>
          </w:tcPr>
          <w:p>
            <w:pPr>
              <w:pStyle w:val="TableContents"/>
              <w:spacing w:before="0" w:after="283"/>
              <w:jc w:val="left"/>
              <w:rPr>
                <w:b/>
              </w:rPr>
            </w:pPr>
            <w:r>
              <w:rPr>
                <w:b/>
              </w:rPr>
              <w:t>Net cash used in operating activities</w:t>
            </w:r>
          </w:p>
        </w:tc>
        <w:tc>
          <w:tcPr>
            <w:tcW w:w="60" w:type="dxa"/>
            <w:tcBorders/>
            <w:shd w:fill="FFFFFF" w:val="clear"/>
            <w:vAlign w:val="center"/>
          </w:tcPr>
          <w:p>
            <w:pPr>
              <w:pStyle w:val="TableContents"/>
              <w:spacing w:before="0" w:after="283"/>
              <w:rPr/>
            </w:pPr>
            <w:r>
              <w:rPr/>
              <w:t> </w:t>
            </w:r>
          </w:p>
        </w:tc>
        <w:tc>
          <w:tcPr>
            <w:tcW w:w="22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spacing w:before="0" w:after="283"/>
              <w:jc w:val="right"/>
              <w:rPr/>
            </w:pPr>
            <w:r>
              <w:rPr/>
              <w:t>(10,309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spacing w:before="0" w:after="283"/>
              <w:jc w:val="right"/>
              <w:rPr/>
            </w:pPr>
            <w:r>
              <w:rPr/>
              <w:t>(5,028</w:t>
            </w:r>
          </w:p>
        </w:tc>
        <w:tc>
          <w:tcPr>
            <w:tcW w:w="110" w:type="dxa"/>
            <w:tcBorders/>
            <w:shd w:fill="FFFFFF" w:val="clear"/>
            <w:vAlign w:val="center"/>
          </w:tcPr>
          <w:p>
            <w:pPr>
              <w:pStyle w:val="TableContents"/>
              <w:spacing w:before="0" w:after="283"/>
              <w:jc w:val="left"/>
              <w:rPr/>
            </w:pPr>
            <w:r>
              <w:rPr/>
              <w:t>)</w:t>
            </w:r>
            <w:bookmarkStart w:id="222" w:name="xdx_40E_eus-gaap--NetCashProvidedByUsedI"/>
            <w:bookmarkEnd w:id="222"/>
          </w:p>
        </w:tc>
      </w:tr>
      <w:tr>
        <w:trPr/>
        <w:tc>
          <w:tcPr>
            <w:tcW w:w="6875" w:type="dxa"/>
            <w:tcBorders/>
            <w:shd w:fill="CCEEFF" w:val="clear"/>
            <w:vAlign w:val="center"/>
          </w:tcPr>
          <w:p>
            <w:pPr>
              <w:pStyle w:val="TableContents"/>
              <w:spacing w:before="0" w:after="283"/>
              <w:jc w:val="left"/>
              <w:rPr>
                <w:i/>
              </w:rPr>
            </w:pPr>
            <w:r>
              <w:rPr>
                <w:i/>
              </w:rPr>
              <w:t>Cash flows from investing activities:</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223" w:name="xdx_401_eus-gaap--PaymentsToAcquireIntan"/>
            <w:bookmarkEnd w:id="223"/>
          </w:p>
        </w:tc>
      </w:tr>
      <w:tr>
        <w:trPr/>
        <w:tc>
          <w:tcPr>
            <w:tcW w:w="6875" w:type="dxa"/>
            <w:tcBorders/>
            <w:shd w:fill="FFFFFF" w:val="clear"/>
            <w:vAlign w:val="center"/>
          </w:tcPr>
          <w:p>
            <w:pPr>
              <w:pStyle w:val="TableContents"/>
              <w:spacing w:before="0" w:after="283"/>
              <w:jc w:val="left"/>
              <w:rPr/>
            </w:pPr>
            <w:r>
              <w:rPr/>
              <w:t>Trademark costs</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(14</w:t>
            </w:r>
          </w:p>
        </w:tc>
        <w:tc>
          <w:tcPr>
            <w:tcW w:w="110" w:type="dxa"/>
            <w:tcBorders/>
            <w:shd w:fill="FFFFFF" w:val="clear"/>
            <w:vAlign w:val="center"/>
          </w:tcPr>
          <w:p>
            <w:pPr>
              <w:pStyle w:val="TableContents"/>
              <w:spacing w:before="0" w:after="283"/>
              <w:jc w:val="left"/>
              <w:rPr/>
            </w:pPr>
            <w:r>
              <w:rPr/>
              <w:t>)</w:t>
            </w:r>
            <w:bookmarkStart w:id="224" w:name="xdx_40E_eus-gaap--ProceedsFromSaleOfProp"/>
            <w:bookmarkEnd w:id="224"/>
          </w:p>
        </w:tc>
      </w:tr>
      <w:tr>
        <w:trPr/>
        <w:tc>
          <w:tcPr>
            <w:tcW w:w="6875" w:type="dxa"/>
            <w:tcBorders/>
            <w:shd w:fill="CCEEFF" w:val="clear"/>
            <w:vAlign w:val="center"/>
          </w:tcPr>
          <w:p>
            <w:pPr>
              <w:pStyle w:val="TableContents"/>
              <w:spacing w:before="0" w:after="283"/>
              <w:jc w:val="left"/>
              <w:rPr/>
            </w:pPr>
            <w:r>
              <w:rPr/>
              <w:t>Proceeds from sale of property and equipment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bookmarkStart w:id="225" w:name="xdx_400_eus-gaap--PaymentsToAcquirePrope"/>
            <w:bookmarkEnd w:id="225"/>
          </w:p>
        </w:tc>
      </w:tr>
      <w:tr>
        <w:trPr/>
        <w:tc>
          <w:tcPr>
            <w:tcW w:w="6875" w:type="dxa"/>
            <w:tcBorders/>
            <w:shd w:fill="FFFFFF" w:val="clear"/>
            <w:vAlign w:val="center"/>
          </w:tcPr>
          <w:p>
            <w:pPr>
              <w:pStyle w:val="TableContents"/>
              <w:spacing w:before="0" w:after="283"/>
              <w:jc w:val="left"/>
              <w:rPr/>
            </w:pPr>
            <w:r>
              <w:rPr/>
              <w:t>Purchase of property and equipment</w:t>
            </w:r>
          </w:p>
        </w:tc>
        <w:tc>
          <w:tcPr>
            <w:tcW w:w="60" w:type="dxa"/>
            <w:tcBorders/>
            <w:shd w:fill="FFFFFF" w:val="clear"/>
            <w:vAlign w:val="center"/>
          </w:tcPr>
          <w:p>
            <w:pPr>
              <w:pStyle w:val="TableContents"/>
              <w:spacing w:before="0" w:after="283"/>
              <w:rPr/>
            </w:pPr>
            <w:r>
              <w:rPr/>
              <w:t> </w:t>
            </w:r>
          </w:p>
        </w:tc>
        <w:tc>
          <w:tcPr>
            <w:tcW w:w="22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spacing w:before="0" w:after="283"/>
              <w:jc w:val="right"/>
              <w:rPr/>
            </w:pPr>
            <w:r>
              <w:rPr/>
              <w:t>(95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spacing w:before="0" w:after="283"/>
              <w:jc w:val="right"/>
              <w:rPr/>
            </w:pPr>
            <w:r>
              <w:rPr/>
              <w:t>(102</w:t>
            </w:r>
          </w:p>
        </w:tc>
        <w:tc>
          <w:tcPr>
            <w:tcW w:w="110" w:type="dxa"/>
            <w:tcBorders/>
            <w:shd w:fill="FFFFFF" w:val="clear"/>
            <w:vAlign w:val="center"/>
          </w:tcPr>
          <w:p>
            <w:pPr>
              <w:pStyle w:val="TableContents"/>
              <w:spacing w:before="0" w:after="283"/>
              <w:jc w:val="left"/>
              <w:rPr/>
            </w:pPr>
            <w:r>
              <w:rPr/>
              <w:t>)</w:t>
            </w:r>
            <w:bookmarkStart w:id="226" w:name="xdx_404_eus-gaap--NetCashProvidedByUsedI"/>
            <w:bookmarkEnd w:id="226"/>
          </w:p>
        </w:tc>
      </w:tr>
      <w:tr>
        <w:trPr/>
        <w:tc>
          <w:tcPr>
            <w:tcW w:w="6875" w:type="dxa"/>
            <w:tcBorders/>
            <w:shd w:fill="CCEEFF" w:val="clear"/>
            <w:vAlign w:val="center"/>
          </w:tcPr>
          <w:p>
            <w:pPr>
              <w:pStyle w:val="TableContents"/>
              <w:spacing w:before="0" w:after="283"/>
              <w:jc w:val="left"/>
              <w:rPr>
                <w:b/>
              </w:rPr>
            </w:pPr>
            <w:r>
              <w:rPr>
                <w:b/>
              </w:rPr>
              <w:t>Net cash used in investing activities</w:t>
            </w:r>
          </w:p>
        </w:tc>
        <w:tc>
          <w:tcPr>
            <w:tcW w:w="60" w:type="dxa"/>
            <w:tcBorders/>
            <w:shd w:fill="CCEEFF" w:val="clear"/>
            <w:vAlign w:val="center"/>
          </w:tcPr>
          <w:p>
            <w:pPr>
              <w:pStyle w:val="TableContents"/>
              <w:spacing w:before="0" w:after="283"/>
              <w:rPr/>
            </w:pPr>
            <w:r>
              <w:rPr/>
              <w:t> </w:t>
            </w:r>
          </w:p>
        </w:tc>
        <w:tc>
          <w:tcPr>
            <w:tcW w:w="22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spacing w:before="0" w:after="283"/>
              <w:jc w:val="right"/>
              <w:rPr/>
            </w:pPr>
            <w:r>
              <w:rPr/>
              <w:t>(101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spacing w:before="0" w:after="283"/>
              <w:jc w:val="right"/>
              <w:rPr/>
            </w:pPr>
            <w:r>
              <w:rPr/>
              <w:t>(116</w:t>
            </w:r>
          </w:p>
        </w:tc>
        <w:tc>
          <w:tcPr>
            <w:tcW w:w="110" w:type="dxa"/>
            <w:tcBorders/>
            <w:shd w:fill="CCEEFF" w:val="clear"/>
            <w:vAlign w:val="center"/>
          </w:tcPr>
          <w:p>
            <w:pPr>
              <w:pStyle w:val="TableContents"/>
              <w:spacing w:before="0" w:after="283"/>
              <w:jc w:val="left"/>
              <w:rPr/>
            </w:pPr>
            <w:r>
              <w:rPr/>
              <w:t>)</w:t>
            </w:r>
            <w:bookmarkStart w:id="227" w:name="xdx_40F_eus-gaap--NetCashProvidedByUsedI"/>
            <w:bookmarkEnd w:id="227"/>
          </w:p>
        </w:tc>
      </w:tr>
      <w:tr>
        <w:trPr/>
        <w:tc>
          <w:tcPr>
            <w:tcW w:w="6875" w:type="dxa"/>
            <w:tcBorders/>
            <w:shd w:fill="FFFFFF" w:val="clear"/>
            <w:vAlign w:val="center"/>
          </w:tcPr>
          <w:p>
            <w:pPr>
              <w:pStyle w:val="TableContents"/>
              <w:spacing w:before="0" w:after="283"/>
              <w:jc w:val="left"/>
              <w:rPr>
                <w:i/>
              </w:rPr>
            </w:pPr>
            <w:r>
              <w:rPr>
                <w:i/>
              </w:rPr>
              <w:t>Cash flows from financing activities:</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228" w:name="xdx_401_eus-gaap--ProceedsFromLinesOfCre"/>
            <w:bookmarkEnd w:id="228"/>
          </w:p>
        </w:tc>
      </w:tr>
      <w:tr>
        <w:trPr/>
        <w:tc>
          <w:tcPr>
            <w:tcW w:w="6875" w:type="dxa"/>
            <w:tcBorders/>
            <w:shd w:fill="CCEEFF" w:val="clear"/>
            <w:vAlign w:val="center"/>
          </w:tcPr>
          <w:p>
            <w:pPr>
              <w:pStyle w:val="TableContents"/>
              <w:spacing w:before="0" w:after="283"/>
              <w:jc w:val="left"/>
              <w:rPr/>
            </w:pPr>
            <w:r>
              <w:rPr/>
              <w:t>Borrowings on line of credit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33,798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21,780</w:t>
            </w:r>
          </w:p>
        </w:tc>
        <w:tc>
          <w:tcPr>
            <w:tcW w:w="110" w:type="dxa"/>
            <w:tcBorders/>
            <w:shd w:fill="CCEEFF" w:val="clear"/>
            <w:vAlign w:val="center"/>
          </w:tcPr>
          <w:p>
            <w:pPr>
              <w:pStyle w:val="TableContents"/>
              <w:spacing w:before="0" w:after="283"/>
              <w:jc w:val="left"/>
              <w:rPr/>
            </w:pPr>
            <w:r>
              <w:rPr/>
              <w:t> </w:t>
            </w:r>
            <w:bookmarkStart w:id="229" w:name="xdx_403_eus-gaap--RepaymentsOfLinesOfCre"/>
            <w:bookmarkEnd w:id="229"/>
          </w:p>
        </w:tc>
      </w:tr>
      <w:tr>
        <w:trPr/>
        <w:tc>
          <w:tcPr>
            <w:tcW w:w="6875" w:type="dxa"/>
            <w:tcBorders/>
            <w:shd w:fill="FFFFFF" w:val="clear"/>
            <w:vAlign w:val="center"/>
          </w:tcPr>
          <w:p>
            <w:pPr>
              <w:pStyle w:val="TableContents"/>
              <w:spacing w:before="0" w:after="283"/>
              <w:rPr/>
            </w:pPr>
            <w:r>
              <w:rPr/>
              <w:t>Repayments of line of credit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(30,859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(22,512</w:t>
            </w:r>
          </w:p>
        </w:tc>
        <w:tc>
          <w:tcPr>
            <w:tcW w:w="110" w:type="dxa"/>
            <w:tcBorders/>
            <w:shd w:fill="FFFFFF" w:val="clear"/>
            <w:vAlign w:val="center"/>
          </w:tcPr>
          <w:p>
            <w:pPr>
              <w:pStyle w:val="TableContents"/>
              <w:spacing w:before="0" w:after="283"/>
              <w:jc w:val="left"/>
              <w:rPr/>
            </w:pPr>
            <w:r>
              <w:rPr/>
              <w:t>)</w:t>
            </w:r>
            <w:bookmarkStart w:id="230" w:name="xdx_40B_eus-gaap--ProceedsFromIssuanceOf"/>
            <w:bookmarkEnd w:id="230"/>
          </w:p>
        </w:tc>
      </w:tr>
      <w:tr>
        <w:trPr/>
        <w:tc>
          <w:tcPr>
            <w:tcW w:w="6875" w:type="dxa"/>
            <w:tcBorders/>
            <w:shd w:fill="CCEEFF" w:val="clear"/>
            <w:vAlign w:val="center"/>
          </w:tcPr>
          <w:p>
            <w:pPr>
              <w:pStyle w:val="TableContents"/>
              <w:spacing w:before="0" w:after="283"/>
              <w:jc w:val="left"/>
              <w:rPr/>
            </w:pPr>
            <w:r>
              <w:rPr/>
              <w:t>Proceeds from note payable</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770</w:t>
            </w:r>
          </w:p>
        </w:tc>
        <w:tc>
          <w:tcPr>
            <w:tcW w:w="110" w:type="dxa"/>
            <w:tcBorders/>
            <w:shd w:fill="CCEEFF" w:val="clear"/>
            <w:vAlign w:val="center"/>
          </w:tcPr>
          <w:p>
            <w:pPr>
              <w:pStyle w:val="TableContents"/>
              <w:spacing w:before="0" w:after="283"/>
              <w:jc w:val="left"/>
              <w:rPr/>
            </w:pPr>
            <w:r>
              <w:rPr/>
              <w:t> </w:t>
            </w:r>
            <w:bookmarkStart w:id="231" w:name="xdx_40E_eus-gaap--ProceedsFromRepayments"/>
            <w:bookmarkEnd w:id="231"/>
          </w:p>
        </w:tc>
      </w:tr>
      <w:tr>
        <w:trPr/>
        <w:tc>
          <w:tcPr>
            <w:tcW w:w="6875" w:type="dxa"/>
            <w:tcBorders/>
            <w:shd w:fill="FFFFFF" w:val="clear"/>
            <w:vAlign w:val="center"/>
          </w:tcPr>
          <w:p>
            <w:pPr>
              <w:pStyle w:val="TableContents"/>
              <w:spacing w:before="0" w:after="283"/>
              <w:jc w:val="left"/>
              <w:rPr/>
            </w:pPr>
            <w:r>
              <w:rPr/>
              <w:t>Repayment of amounts due to/from officers</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184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bookmarkStart w:id="232" w:name="xdx_40B_eus-gaap--RepaymentsOfLongTermCa"/>
            <w:bookmarkEnd w:id="232"/>
          </w:p>
        </w:tc>
      </w:tr>
      <w:tr>
        <w:trPr/>
        <w:tc>
          <w:tcPr>
            <w:tcW w:w="6875" w:type="dxa"/>
            <w:tcBorders/>
            <w:shd w:fill="CCEEFF" w:val="clear"/>
            <w:vAlign w:val="center"/>
          </w:tcPr>
          <w:p>
            <w:pPr>
              <w:pStyle w:val="TableContents"/>
              <w:spacing w:before="0" w:after="283"/>
              <w:jc w:val="left"/>
              <w:rPr/>
            </w:pPr>
            <w:r>
              <w:rPr/>
              <w:t>Principal repayments on capital lease obligation</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(5</w:t>
            </w:r>
          </w:p>
        </w:tc>
        <w:tc>
          <w:tcPr>
            <w:tcW w:w="110" w:type="dxa"/>
            <w:tcBorders/>
            <w:shd w:fill="CCEEFF" w:val="clear"/>
            <w:vAlign w:val="center"/>
          </w:tcPr>
          <w:p>
            <w:pPr>
              <w:pStyle w:val="TableContents"/>
              <w:spacing w:before="0" w:after="283"/>
              <w:jc w:val="left"/>
              <w:rPr/>
            </w:pPr>
            <w:r>
              <w:rPr/>
              <w:t>)</w:t>
            </w:r>
            <w:bookmarkStart w:id="233" w:name="xdx_402_eus-gaap--ProceedsFromStockOptio"/>
            <w:bookmarkEnd w:id="233"/>
          </w:p>
        </w:tc>
      </w:tr>
      <w:tr>
        <w:trPr/>
        <w:tc>
          <w:tcPr>
            <w:tcW w:w="6875" w:type="dxa"/>
            <w:tcBorders/>
            <w:shd w:fill="FFFFFF" w:val="clear"/>
            <w:vAlign w:val="center"/>
          </w:tcPr>
          <w:p>
            <w:pPr>
              <w:pStyle w:val="TableContents"/>
              <w:spacing w:before="0" w:after="283"/>
              <w:jc w:val="left"/>
              <w:rPr/>
            </w:pPr>
            <w:r>
              <w:rPr/>
              <w:t>Proceeds from exercise of stock options</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29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bookmarkStart w:id="234" w:name="xdx_407_eus-gaap--PaymentsForRepurchaseO"/>
            <w:bookmarkEnd w:id="234"/>
          </w:p>
        </w:tc>
      </w:tr>
      <w:tr>
        <w:trPr/>
        <w:tc>
          <w:tcPr>
            <w:tcW w:w="6875" w:type="dxa"/>
            <w:tcBorders/>
            <w:shd w:fill="CCEEFF" w:val="clear"/>
            <w:vAlign w:val="center"/>
          </w:tcPr>
          <w:p>
            <w:pPr>
              <w:pStyle w:val="TableContents"/>
              <w:spacing w:before="0" w:after="283"/>
              <w:jc w:val="left"/>
              <w:rPr/>
            </w:pPr>
            <w:r>
              <w:rPr/>
              <w:t>Repurchase of common stock</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(15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bookmarkStart w:id="235" w:name="xdx_402_eus-gaap--ProceedsFromIssuanceOf"/>
            <w:bookmarkEnd w:id="235"/>
          </w:p>
        </w:tc>
      </w:tr>
      <w:tr>
        <w:trPr/>
        <w:tc>
          <w:tcPr>
            <w:tcW w:w="6875" w:type="dxa"/>
            <w:tcBorders/>
            <w:shd w:fill="FFFFFF" w:val="clear"/>
            <w:vAlign w:val="center"/>
          </w:tcPr>
          <w:p>
            <w:pPr>
              <w:pStyle w:val="TableContents"/>
              <w:spacing w:before="0" w:after="283"/>
              <w:jc w:val="left"/>
              <w:rPr/>
            </w:pPr>
            <w:r>
              <w:rPr/>
              <w:t>Proceeds from sale of common stock</w:t>
            </w:r>
          </w:p>
        </w:tc>
        <w:tc>
          <w:tcPr>
            <w:tcW w:w="60" w:type="dxa"/>
            <w:tcBorders/>
            <w:shd w:fill="FFFFFF" w:val="clear"/>
            <w:vAlign w:val="center"/>
          </w:tcPr>
          <w:p>
            <w:pPr>
              <w:pStyle w:val="TableContents"/>
              <w:spacing w:before="0" w:after="283"/>
              <w:rPr/>
            </w:pPr>
            <w:r>
              <w:rPr/>
              <w:t> </w:t>
            </w:r>
          </w:p>
        </w:tc>
        <w:tc>
          <w:tcPr>
            <w:tcW w:w="22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spacing w:before="0" w:after="283"/>
              <w:jc w:val="right"/>
              <w:rPr/>
            </w:pPr>
            <w:r>
              <w:rPr/>
              <w:t>7,334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spacing w:before="0" w:after="283"/>
              <w:jc w:val="right"/>
              <w:rPr/>
            </w:pPr>
            <w:r>
              <w:rPr/>
              <w:t>5,310</w:t>
            </w:r>
          </w:p>
        </w:tc>
        <w:tc>
          <w:tcPr>
            <w:tcW w:w="110" w:type="dxa"/>
            <w:tcBorders/>
            <w:shd w:fill="FFFFFF" w:val="clear"/>
            <w:vAlign w:val="center"/>
          </w:tcPr>
          <w:p>
            <w:pPr>
              <w:pStyle w:val="TableContents"/>
              <w:spacing w:before="0" w:after="283"/>
              <w:jc w:val="left"/>
              <w:rPr/>
            </w:pPr>
            <w:r>
              <w:rPr/>
              <w:t> </w:t>
            </w:r>
            <w:bookmarkStart w:id="236" w:name="xdx_408_eus-gaap--NetCashProvidedByUsedI"/>
            <w:bookmarkEnd w:id="236"/>
          </w:p>
        </w:tc>
      </w:tr>
      <w:tr>
        <w:trPr/>
        <w:tc>
          <w:tcPr>
            <w:tcW w:w="6875" w:type="dxa"/>
            <w:tcBorders/>
            <w:shd w:fill="CCEEFF" w:val="clear"/>
            <w:vAlign w:val="center"/>
          </w:tcPr>
          <w:p>
            <w:pPr>
              <w:pStyle w:val="TableContents"/>
              <w:spacing w:before="0" w:after="283"/>
              <w:jc w:val="left"/>
              <w:rPr>
                <w:b/>
              </w:rPr>
            </w:pPr>
            <w:r>
              <w:rPr>
                <w:b/>
              </w:rPr>
              <w:t>Net cash provided by financing activities</w:t>
            </w:r>
          </w:p>
        </w:tc>
        <w:tc>
          <w:tcPr>
            <w:tcW w:w="60" w:type="dxa"/>
            <w:tcBorders/>
            <w:shd w:fill="CCEEFF" w:val="clear"/>
            <w:vAlign w:val="center"/>
          </w:tcPr>
          <w:p>
            <w:pPr>
              <w:pStyle w:val="TableContents"/>
              <w:spacing w:before="0" w:after="283"/>
              <w:rPr/>
            </w:pPr>
            <w:r>
              <w:rPr/>
              <w:t> </w:t>
            </w:r>
          </w:p>
        </w:tc>
        <w:tc>
          <w:tcPr>
            <w:tcW w:w="22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spacing w:before="0" w:after="283"/>
              <w:jc w:val="right"/>
              <w:rPr/>
            </w:pPr>
            <w:r>
              <w:rPr/>
              <w:t>10,469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spacing w:before="0" w:after="283"/>
              <w:jc w:val="right"/>
              <w:rPr/>
            </w:pPr>
            <w:r>
              <w:rPr/>
              <w:t>5,343</w:t>
            </w:r>
          </w:p>
        </w:tc>
        <w:tc>
          <w:tcPr>
            <w:tcW w:w="110" w:type="dxa"/>
            <w:tcBorders/>
            <w:shd w:fill="CCEEFF" w:val="clear"/>
            <w:vAlign w:val="center"/>
          </w:tcPr>
          <w:p>
            <w:pPr>
              <w:pStyle w:val="TableContents"/>
              <w:spacing w:before="0" w:after="283"/>
              <w:jc w:val="left"/>
              <w:rPr/>
            </w:pPr>
            <w:r>
              <w:rPr/>
              <w:t> </w:t>
            </w:r>
          </w:p>
        </w:tc>
      </w:tr>
      <w:tr>
        <w:trPr/>
        <w:tc>
          <w:tcPr>
            <w:tcW w:w="68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237" w:name="xdx_401_eus-gaap--CashCashEquivalentsRes"/>
            <w:bookmarkEnd w:id="237"/>
          </w:p>
        </w:tc>
      </w:tr>
      <w:tr>
        <w:trPr/>
        <w:tc>
          <w:tcPr>
            <w:tcW w:w="6875" w:type="dxa"/>
            <w:tcBorders/>
            <w:shd w:fill="CCEEFF" w:val="clear"/>
            <w:vAlign w:val="center"/>
          </w:tcPr>
          <w:p>
            <w:pPr>
              <w:pStyle w:val="TableContents"/>
              <w:spacing w:before="0" w:after="283"/>
              <w:jc w:val="left"/>
              <w:rPr/>
            </w:pPr>
            <w:r>
              <w:rPr/>
              <w:t>Net increase in cash</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199</w:t>
            </w:r>
          </w:p>
        </w:tc>
        <w:tc>
          <w:tcPr>
            <w:tcW w:w="110" w:type="dxa"/>
            <w:tcBorders/>
            <w:shd w:fill="CCEEFF" w:val="clear"/>
            <w:vAlign w:val="center"/>
          </w:tcPr>
          <w:p>
            <w:pPr>
              <w:pStyle w:val="TableContents"/>
              <w:spacing w:before="0" w:after="283"/>
              <w:jc w:val="left"/>
              <w:rPr/>
            </w:pPr>
            <w:r>
              <w:rPr/>
              <w:t> </w:t>
            </w:r>
            <w:bookmarkStart w:id="238" w:name="xdx_401_eus-gaap--CashCashEquivalentsRes"/>
            <w:bookmarkEnd w:id="238"/>
          </w:p>
        </w:tc>
      </w:tr>
      <w:tr>
        <w:trPr/>
        <w:tc>
          <w:tcPr>
            <w:tcW w:w="6875" w:type="dxa"/>
            <w:tcBorders/>
            <w:shd w:fill="FFFFFF" w:val="clear"/>
            <w:vAlign w:val="center"/>
          </w:tcPr>
          <w:p>
            <w:pPr>
              <w:pStyle w:val="TableContents"/>
              <w:spacing w:before="0" w:after="283"/>
              <w:rPr/>
            </w:pPr>
            <w:r>
              <w:rPr/>
              <w:t>Cash at beginning of period</w:t>
            </w:r>
          </w:p>
        </w:tc>
        <w:tc>
          <w:tcPr>
            <w:tcW w:w="60" w:type="dxa"/>
            <w:tcBorders/>
            <w:shd w:fill="FFFFFF" w:val="clear"/>
            <w:vAlign w:val="center"/>
          </w:tcPr>
          <w:p>
            <w:pPr>
              <w:pStyle w:val="TableContents"/>
              <w:spacing w:before="0" w:after="283"/>
              <w:rPr/>
            </w:pPr>
            <w:r>
              <w:rPr/>
              <w:t> </w:t>
            </w:r>
          </w:p>
        </w:tc>
        <w:tc>
          <w:tcPr>
            <w:tcW w:w="22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spacing w:before="0" w:after="283"/>
              <w:jc w:val="right"/>
              <w:rPr/>
            </w:pPr>
            <w:r>
              <w:rPr/>
              <w:t>595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93" w:type="dxa"/>
            <w:tcBorders>
              <w:bottom w:val="single" w:sz="12" w:space="0" w:color="000000"/>
            </w:tcBorders>
            <w:shd w:fill="FFFFFF" w:val="clear"/>
            <w:tcMar>
              <w:bottom w:w="28" w:type="dxa"/>
            </w:tcMar>
            <w:vAlign w:val="center"/>
          </w:tcPr>
          <w:p>
            <w:pPr>
              <w:pStyle w:val="TableContents"/>
              <w:spacing w:before="0" w:after="283"/>
              <w:jc w:val="right"/>
              <w:rPr/>
            </w:pPr>
            <w:r>
              <w:rPr/>
              <w:t>913</w:t>
            </w:r>
          </w:p>
        </w:tc>
        <w:tc>
          <w:tcPr>
            <w:tcW w:w="110" w:type="dxa"/>
            <w:tcBorders/>
            <w:shd w:fill="FFFFFF" w:val="clear"/>
            <w:vAlign w:val="center"/>
          </w:tcPr>
          <w:p>
            <w:pPr>
              <w:pStyle w:val="TableContents"/>
              <w:spacing w:before="0" w:after="283"/>
              <w:jc w:val="left"/>
              <w:rPr/>
            </w:pPr>
            <w:r>
              <w:rPr/>
              <w:t> </w:t>
            </w:r>
            <w:bookmarkStart w:id="239" w:name="xdx_402_eus-gaap--CashCashEquivalentsRes"/>
            <w:bookmarkEnd w:id="239"/>
          </w:p>
        </w:tc>
      </w:tr>
      <w:tr>
        <w:trPr/>
        <w:tc>
          <w:tcPr>
            <w:tcW w:w="6875" w:type="dxa"/>
            <w:tcBorders/>
            <w:shd w:fill="CCEEFF" w:val="clear"/>
            <w:vAlign w:val="center"/>
          </w:tcPr>
          <w:p>
            <w:pPr>
              <w:pStyle w:val="TableContents"/>
              <w:spacing w:before="0" w:after="283"/>
              <w:rPr/>
            </w:pPr>
            <w:r>
              <w:rPr/>
              <w:t>Cash at end of period</w:t>
            </w:r>
          </w:p>
        </w:tc>
        <w:tc>
          <w:tcPr>
            <w:tcW w:w="60" w:type="dxa"/>
            <w:tcBorders/>
            <w:shd w:fill="CCEEFF" w:val="clear"/>
            <w:vAlign w:val="center"/>
          </w:tcPr>
          <w:p>
            <w:pPr>
              <w:pStyle w:val="TableContents"/>
              <w:spacing w:before="0" w:after="283"/>
              <w:rPr/>
            </w:pPr>
            <w:r>
              <w:rPr/>
              <w:t> </w:t>
            </w:r>
          </w:p>
        </w:tc>
        <w:tc>
          <w:tcPr>
            <w:tcW w:w="221"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spacing w:before="0" w:after="283"/>
              <w:jc w:val="right"/>
              <w:rPr/>
            </w:pPr>
            <w:r>
              <w:rPr/>
              <w:t>654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spacing w:before="0" w:after="283"/>
              <w:jc w:val="right"/>
              <w:rPr/>
            </w:pPr>
            <w:r>
              <w:rPr/>
              <w:t>1,112</w:t>
            </w:r>
          </w:p>
        </w:tc>
        <w:tc>
          <w:tcPr>
            <w:tcW w:w="110" w:type="dxa"/>
            <w:tcBorders/>
            <w:shd w:fill="CCEEFF" w:val="clear"/>
            <w:vAlign w:val="center"/>
          </w:tcPr>
          <w:p>
            <w:pPr>
              <w:pStyle w:val="TableContents"/>
              <w:spacing w:before="0" w:after="283"/>
              <w:jc w:val="left"/>
              <w:rPr/>
            </w:pPr>
            <w:r>
              <w:rPr/>
              <w:t> </w:t>
            </w:r>
          </w:p>
        </w:tc>
      </w:tr>
      <w:tr>
        <w:trPr/>
        <w:tc>
          <w:tcPr>
            <w:tcW w:w="687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 </w:t>
            </w:r>
          </w:p>
        </w:tc>
        <w:tc>
          <w:tcPr>
            <w:tcW w:w="1193"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bookmarkStart w:id="240" w:name="xdx_403_eus-gaap--SupplementalCashFlowIn"/>
            <w:bookmarkEnd w:id="240"/>
          </w:p>
        </w:tc>
      </w:tr>
      <w:tr>
        <w:trPr/>
        <w:tc>
          <w:tcPr>
            <w:tcW w:w="6875" w:type="dxa"/>
            <w:tcBorders/>
            <w:shd w:fill="CCEEFF" w:val="clear"/>
            <w:vAlign w:val="center"/>
          </w:tcPr>
          <w:p>
            <w:pPr>
              <w:pStyle w:val="TableContents"/>
              <w:spacing w:before="0" w:after="283"/>
              <w:jc w:val="left"/>
              <w:rPr>
                <w:b/>
              </w:rPr>
            </w:pPr>
            <w:r>
              <w:rPr>
                <w:b/>
              </w:rPr>
              <w:t>Supplemental disclosures of cash flow information:</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241" w:name="xdx_409_eus-gaap--InterestPaidNet_i01_pn"/>
            <w:bookmarkEnd w:id="241"/>
          </w:p>
        </w:tc>
      </w:tr>
      <w:tr>
        <w:trPr/>
        <w:tc>
          <w:tcPr>
            <w:tcW w:w="6875" w:type="dxa"/>
            <w:tcBorders/>
            <w:shd w:fill="FFFFFF" w:val="clear"/>
            <w:vAlign w:val="center"/>
          </w:tcPr>
          <w:p>
            <w:pPr>
              <w:pStyle w:val="TableContents"/>
              <w:spacing w:before="0" w:after="283"/>
              <w:jc w:val="left"/>
              <w:rPr/>
            </w:pPr>
            <w:r>
              <w:rPr/>
              <w:t>Cash paid for interest</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w:t>
            </w:r>
          </w:p>
        </w:tc>
        <w:tc>
          <w:tcPr>
            <w:tcW w:w="1193" w:type="dxa"/>
            <w:tcBorders/>
            <w:shd w:fill="FFFFFF" w:val="clear"/>
            <w:vAlign w:val="center"/>
          </w:tcPr>
          <w:p>
            <w:pPr>
              <w:pStyle w:val="TableContents"/>
              <w:spacing w:before="0" w:after="283"/>
              <w:jc w:val="right"/>
              <w:rPr/>
            </w:pPr>
            <w:r>
              <w:rPr/>
              <w:t>149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w:t>
            </w:r>
          </w:p>
        </w:tc>
        <w:tc>
          <w:tcPr>
            <w:tcW w:w="1193" w:type="dxa"/>
            <w:tcBorders/>
            <w:shd w:fill="FFFFFF" w:val="clear"/>
            <w:vAlign w:val="center"/>
          </w:tcPr>
          <w:p>
            <w:pPr>
              <w:pStyle w:val="TableContents"/>
              <w:spacing w:before="0" w:after="283"/>
              <w:jc w:val="right"/>
              <w:rPr/>
            </w:pPr>
            <w:r>
              <w:rPr/>
              <w:t>157</w:t>
            </w:r>
          </w:p>
        </w:tc>
        <w:tc>
          <w:tcPr>
            <w:tcW w:w="110" w:type="dxa"/>
            <w:tcBorders/>
            <w:shd w:fill="FFFFFF" w:val="clear"/>
            <w:vAlign w:val="center"/>
          </w:tcPr>
          <w:p>
            <w:pPr>
              <w:pStyle w:val="TableContents"/>
              <w:spacing w:before="0" w:after="283"/>
              <w:jc w:val="left"/>
              <w:rPr/>
            </w:pPr>
            <w:r>
              <w:rPr/>
              <w:t> </w:t>
            </w:r>
            <w:bookmarkStart w:id="242" w:name="xdx_404_eus-gaap--CashFlowNoncashInvesti"/>
            <w:bookmarkEnd w:id="242"/>
          </w:p>
        </w:tc>
      </w:tr>
      <w:tr>
        <w:trPr/>
        <w:tc>
          <w:tcPr>
            <w:tcW w:w="6875" w:type="dxa"/>
            <w:tcBorders/>
            <w:shd w:fill="CCEEFF" w:val="clear"/>
            <w:vAlign w:val="center"/>
          </w:tcPr>
          <w:p>
            <w:pPr>
              <w:pStyle w:val="TableContents"/>
              <w:spacing w:before="0" w:after="283"/>
              <w:jc w:val="left"/>
              <w:rPr>
                <w:b/>
              </w:rPr>
            </w:pPr>
            <w:r>
              <w:rPr>
                <w:b/>
              </w:rPr>
              <w:t>Non Cash Investing and Financing Activities</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jc w:val="left"/>
              <w:rPr/>
            </w:pPr>
            <w:r>
              <w:rPr/>
              <w:t> </w:t>
            </w:r>
          </w:p>
        </w:tc>
        <w:tc>
          <w:tcPr>
            <w:tcW w:w="119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bookmarkStart w:id="243" w:name="xdx_404_ecustom--DividendsOnSeriesAConve"/>
            <w:bookmarkEnd w:id="243"/>
          </w:p>
        </w:tc>
      </w:tr>
      <w:tr>
        <w:trPr/>
        <w:tc>
          <w:tcPr>
            <w:tcW w:w="6875" w:type="dxa"/>
            <w:tcBorders/>
            <w:shd w:fill="FFFFFF" w:val="clear"/>
            <w:vAlign w:val="center"/>
          </w:tcPr>
          <w:p>
            <w:pPr>
              <w:pStyle w:val="TableContents"/>
              <w:spacing w:before="0" w:after="283"/>
              <w:jc w:val="left"/>
              <w:rPr/>
            </w:pPr>
            <w:r>
              <w:rPr/>
              <w:t>Dividends on Series A Convertible Preferred Stock</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w:t>
            </w:r>
          </w:p>
        </w:tc>
        <w:tc>
          <w:tcPr>
            <w:tcW w:w="1193" w:type="dxa"/>
            <w:tcBorders/>
            <w:shd w:fill="FFFFFF" w:val="clear"/>
            <w:vAlign w:val="center"/>
          </w:tcPr>
          <w:p>
            <w:pPr>
              <w:pStyle w:val="TableContents"/>
              <w:spacing w:before="0" w:after="283"/>
              <w:jc w:val="right"/>
              <w:rPr/>
            </w:pPr>
            <w:r>
              <w:rPr/>
              <w:t>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1" w:type="dxa"/>
            <w:tcBorders/>
            <w:shd w:fill="FFFFFF" w:val="clear"/>
            <w:vAlign w:val="center"/>
          </w:tcPr>
          <w:p>
            <w:pPr>
              <w:pStyle w:val="TableContents"/>
              <w:spacing w:before="0" w:after="283"/>
              <w:jc w:val="left"/>
              <w:rPr/>
            </w:pPr>
            <w:r>
              <w:rPr/>
              <w:t>$</w:t>
            </w:r>
          </w:p>
        </w:tc>
        <w:tc>
          <w:tcPr>
            <w:tcW w:w="1193" w:type="dxa"/>
            <w:tcBorders/>
            <w:shd w:fill="FFFFFF" w:val="clear"/>
            <w:vAlign w:val="center"/>
          </w:tcPr>
          <w:p>
            <w:pPr>
              <w:pStyle w:val="TableContents"/>
              <w:spacing w:before="0" w:after="283"/>
              <w:jc w:val="right"/>
              <w:rPr/>
            </w:pPr>
            <w:r>
              <w:rPr/>
              <w:t>5</w:t>
            </w:r>
          </w:p>
        </w:tc>
        <w:tc>
          <w:tcPr>
            <w:tcW w:w="110" w:type="dxa"/>
            <w:tcBorders/>
            <w:shd w:fill="FFFFFF" w:val="clear"/>
            <w:vAlign w:val="center"/>
          </w:tcPr>
          <w:p>
            <w:pPr>
              <w:pStyle w:val="TableContents"/>
              <w:spacing w:before="0" w:after="283"/>
              <w:jc w:val="left"/>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financial statements.</w:t>
      </w:r>
    </w:p>
    <w:p>
      <w:pPr>
        <w:pStyle w:val="TextBody"/>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F-5</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bookmarkStart w:id="244" w:name="ar_007"/>
      <w:bookmarkEnd w:id="244"/>
      <w:r>
        <w:rPr>
          <w:rFonts w:ascii="Times New Roman;Times;Serif" w:hAnsi="Times New Roman;Times;Serif"/>
          <w:b/>
          <w:i w:val="false"/>
          <w:caps w:val="false"/>
          <w:smallCaps w:val="false"/>
          <w:sz w:val="20"/>
        </w:rPr>
        <w:t>REED’S, INC.</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FINANCIAL STATEMENTS</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Six Months Ended June 30, 2021 and 2020 (Unaudited)</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45" w:name="xdx_80C_eus-gaap--NatureOfOperations_zqe"/>
      <w:bookmarkEnd w:id="245"/>
      <w:r>
        <w:rPr>
          <w:rFonts w:ascii="Times New Roman;Times;Serif" w:hAnsi="Times New Roman;Times;Serif"/>
          <w:b/>
          <w:i w:val="false"/>
          <w:caps w:val="false"/>
          <w:smallCaps w:val="false"/>
          <w:sz w:val="20"/>
        </w:rPr>
        <w:t xml:space="preserve">1. </w:t>
      </w:r>
      <w:bookmarkStart w:id="246" w:name="xdx_829_zLxmZSsDSg72"/>
      <w:bookmarkEnd w:id="246"/>
      <w:r>
        <w:rPr>
          <w:rFonts w:ascii="Times New Roman;Times;Serif" w:hAnsi="Times New Roman;Times;Serif"/>
          <w:b/>
          <w:i w:val="false"/>
          <w:caps w:val="false"/>
          <w:smallCaps w:val="false"/>
          <w:sz w:val="20"/>
        </w:rPr>
        <w:t>Basis of Presentation and Liquidity</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financial statements of Reed’s, Inc. (the “Company”, “we”, “us”, or “our”), are unaudited, but in the opinion of management contain all adjustments, including normal recurring adjustments, necessary to present fairly our financial position at June 30, 2021 and the results of operations and cash flows for the three and six months ended June 30, 2021 and 2020. The balance sheet as of December 31, 2020 is derived from the Company’s audited financial statements.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financial statements that have been prepared in accordance with accounting principles generally accepted in the United States of America have been condensed or omitted pursuant to the rules and regulations of the Securities and Exchange Commission regarding interim financial reporting. We believe that the disclosures contained in these condensed financial statements are adequate to make the information presented herein not misleading. For further information, refer to the financial statements and the notes thereto included in the Company’s Annual Report on Form 10-K for the fiscal year ended December 31, 2020, as filed with the Securities and Exchange Commission on March 30, 2021.</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six months ended June 30, 2021 are not necessarily indicative of the results of operations to be expected for the full fiscal year ending December 31, 2021.</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COVID-19 Considerations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June 30, 2021, the COVID-19 pandemic has impacted our operating results and the Company anticipates a continued impact for the balance of the year. In addition,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June 30, 2021, the Company has experienced higher transportation expenses as the capacity in the freight market has not kept up with demand. The Company believes that costs will continue to increase throughout the year. In addition, the Company experienced increases in the pricing of several of its raw materials and delays in procuring several of these items. However, mitigation plans are being implemented to manage this risk.</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without significant incremental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June 30, 2021,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six month period ended June 30, 2021 were up 15% from the prior year period. Through June 30, 2021,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under the assumption that the Company will continue as a going concern. Such assumption contemplates the realization of assets and satisfaction of liabilities in the normal course of business. For the six months ended June 30, 2021, the Company recorded a net loss of $</w:t>
      </w:r>
      <w:bookmarkStart w:id="247" w:name="xdx_906_eus-gaap--NetIncomeLoss_iN_pn3n3"/>
      <w:bookmarkEnd w:id="247"/>
      <w:r>
        <w:rPr>
          <w:rFonts w:ascii="Times New Roman;Times;Serif" w:hAnsi="Times New Roman;Times;Serif"/>
          <w:b w:val="false"/>
          <w:i w:val="false"/>
          <w:caps w:val="false"/>
          <w:smallCaps w:val="false"/>
          <w:sz w:val="20"/>
        </w:rPr>
        <w:t>7,649 and used cash in operations of $</w:t>
      </w:r>
      <w:bookmarkStart w:id="248" w:name="xdx_903_eus-gaap--NetCashProvidedByUsedI"/>
      <w:bookmarkEnd w:id="248"/>
      <w:r>
        <w:rPr>
          <w:rFonts w:ascii="Times New Roman;Times;Serif" w:hAnsi="Times New Roman;Times;Serif"/>
          <w:b w:val="false"/>
          <w:i w:val="false"/>
          <w:caps w:val="false"/>
          <w:smallCaps w:val="false"/>
          <w:sz w:val="20"/>
        </w:rPr>
        <w:t>10,309. As of June 30, 2021, we had a cash balance of $</w:t>
      </w:r>
      <w:bookmarkStart w:id="249" w:name="xdx_902_eus-gaap--Cash_iI_pn3n3_c2021063"/>
      <w:bookmarkEnd w:id="249"/>
      <w:r>
        <w:rPr>
          <w:rFonts w:ascii="Times New Roman;Times;Serif" w:hAnsi="Times New Roman;Times;Serif"/>
          <w:b w:val="false"/>
          <w:i w:val="false"/>
          <w:caps w:val="false"/>
          <w:smallCaps w:val="false"/>
          <w:sz w:val="20"/>
        </w:rPr>
        <w:t>654 with borrowing capacity of $</w:t>
      </w:r>
      <w:bookmarkStart w:id="250" w:name="xdx_909_eus-gaap--LineOfCreditFacilityCu"/>
      <w:bookmarkEnd w:id="250"/>
      <w:r>
        <w:rPr>
          <w:rFonts w:ascii="Times New Roman;Times;Serif" w:hAnsi="Times New Roman;Times;Serif"/>
          <w:b w:val="false"/>
          <w:i w:val="false"/>
          <w:caps w:val="false"/>
          <w:smallCaps w:val="false"/>
          <w:sz w:val="20"/>
        </w:rPr>
        <w:t>4,343, a stockholder’s equity of $</w:t>
      </w:r>
      <w:bookmarkStart w:id="251" w:name="xdx_90D_eus-gaap--StockholdersEquity_iI_"/>
      <w:bookmarkEnd w:id="251"/>
      <w:r>
        <w:rPr>
          <w:rFonts w:ascii="Times New Roman;Times;Serif" w:hAnsi="Times New Roman;Times;Serif"/>
          <w:b w:val="false"/>
          <w:i w:val="false"/>
          <w:caps w:val="false"/>
          <w:smallCaps w:val="false"/>
          <w:sz w:val="20"/>
        </w:rPr>
        <w:t>11,566 and a working capital of $</w:t>
      </w:r>
      <w:bookmarkStart w:id="252" w:name="xdx_90B_ecustom--WorkingCapital_iI_pn3n3"/>
      <w:bookmarkEnd w:id="252"/>
      <w:r>
        <w:rPr>
          <w:rFonts w:ascii="Times New Roman;Times;Serif" w:hAnsi="Times New Roman;Times;Serif"/>
          <w:b w:val="false"/>
          <w:i w:val="false"/>
          <w:caps w:val="false"/>
          <w:smallCaps w:val="false"/>
          <w:sz w:val="20"/>
        </w:rPr>
        <w:t>10,470, compared to a cash balance of $</w:t>
      </w:r>
      <w:bookmarkStart w:id="253" w:name="xdx_90B_eus-gaap--Cash_iI_pn3n3_c2020123"/>
      <w:bookmarkEnd w:id="253"/>
      <w:r>
        <w:rPr>
          <w:rFonts w:ascii="Times New Roman;Times;Serif" w:hAnsi="Times New Roman;Times;Serif"/>
          <w:b w:val="false"/>
          <w:i w:val="false"/>
          <w:caps w:val="false"/>
          <w:smallCaps w:val="false"/>
          <w:sz w:val="20"/>
        </w:rPr>
        <w:t>595 with borrowing capacity of $</w:t>
      </w:r>
      <w:bookmarkStart w:id="254" w:name="xdx_90E_eus-gaap--LineOfCreditFacilityCu"/>
      <w:bookmarkEnd w:id="254"/>
      <w:r>
        <w:rPr>
          <w:rFonts w:ascii="Times New Roman;Times;Serif" w:hAnsi="Times New Roman;Times;Serif"/>
          <w:b w:val="false"/>
          <w:i w:val="false"/>
          <w:caps w:val="false"/>
          <w:smallCaps w:val="false"/>
          <w:sz w:val="20"/>
        </w:rPr>
        <w:t>5,166, stockholders’ equity of $</w:t>
      </w:r>
      <w:bookmarkStart w:id="255" w:name="xdx_90B_eus-gaap--StockholdersEquity_iI_"/>
      <w:bookmarkEnd w:id="255"/>
      <w:r>
        <w:rPr>
          <w:rFonts w:ascii="Times New Roman;Times;Serif" w:hAnsi="Times New Roman;Times;Serif"/>
          <w:b w:val="false"/>
          <w:i w:val="false"/>
          <w:caps w:val="false"/>
          <w:smallCaps w:val="false"/>
          <w:sz w:val="20"/>
        </w:rPr>
        <w:t>10,404 and a working capital of $</w:t>
      </w:r>
      <w:bookmarkStart w:id="256" w:name="xdx_90C_ecustom--WorkingCapital_iI_pn3n3"/>
      <w:bookmarkEnd w:id="256"/>
      <w:r>
        <w:rPr>
          <w:rFonts w:ascii="Times New Roman;Times;Serif" w:hAnsi="Times New Roman;Times;Serif"/>
          <w:b w:val="false"/>
          <w:i w:val="false"/>
          <w:caps w:val="false"/>
          <w:smallCaps w:val="false"/>
          <w:sz w:val="20"/>
        </w:rPr>
        <w:t>9,528 at December 31, 2020. Notwithstanding the net loss for the six months ended June 30, 2021, management projects adequate cash from operations and available line of credit to ensure continuation of the Company as a going concern for at least one year from the date these financial statements are issued.</w:t>
      </w:r>
    </w:p>
    <w:p>
      <w:pPr>
        <w:pStyle w:val="TextBody"/>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F-6</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57" w:name="xdx_800_eus-gaap--SignificantAccountingP"/>
      <w:bookmarkEnd w:id="257"/>
      <w:r>
        <w:rPr>
          <w:rFonts w:ascii="Times New Roman;Times;Serif" w:hAnsi="Times New Roman;Times;Serif"/>
          <w:b/>
          <w:i w:val="false"/>
          <w:caps w:val="false"/>
          <w:smallCaps w:val="false"/>
          <w:sz w:val="20"/>
        </w:rPr>
        <w:t xml:space="preserve">2. </w:t>
      </w:r>
      <w:bookmarkStart w:id="258" w:name="xdx_825_zhZ4luMnk6n1"/>
      <w:bookmarkEnd w:id="258"/>
      <w:r>
        <w:rPr>
          <w:rFonts w:ascii="Times New Roman;Times;Serif" w:hAnsi="Times New Roman;Times;Serif"/>
          <w:b/>
          <w:i w:val="false"/>
          <w:caps w:val="false"/>
          <w:smallCaps w:val="false"/>
          <w:sz w:val="20"/>
        </w:rPr>
        <w:t>Significant Accounting Policies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59" w:name="xdx_869_zxZBGUAGO0I"/>
      <w:bookmarkStart w:id="260" w:name="xdx_84F_eus-gaap--UseOfEstimates_z95lf5X"/>
      <w:bookmarkEnd w:id="259"/>
      <w:bookmarkEnd w:id="260"/>
      <w:r>
        <w:rPr>
          <w:rFonts w:ascii="Times New Roman;Times;Serif" w:hAnsi="Times New Roman;Times;Serif"/>
          <w:b/>
          <w:i w:val="false"/>
          <w:caps w:val="false"/>
          <w:smallCaps w:val="false"/>
          <w:sz w:val="20"/>
        </w:rPr>
        <w:t>Use of estimates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compensation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61" w:name="xdx_869_zXnyC77cqc7g"/>
      <w:bookmarkStart w:id="262" w:name="xdx_847_eus-gaap--RevenueFromContractWit"/>
      <w:bookmarkEnd w:id="261"/>
      <w:bookmarkEnd w:id="262"/>
      <w:r>
        <w:rPr>
          <w:rFonts w:ascii="Times New Roman;Times;Serif" w:hAnsi="Times New Roman;Times;Serif"/>
          <w:b/>
          <w:i w:val="false"/>
          <w:caps w:val="false"/>
          <w:smallCaps w:val="false"/>
          <w:sz w:val="20"/>
        </w:rPr>
        <w:t>Revenue Recognition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products are offered for sale as finished goods only, and there are no performance obligations required post-shipment for customers to derive the expected value from them.</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63" w:name="xdx_86E_z6fWcZtPYdli"/>
      <w:bookmarkStart w:id="264" w:name="xdx_845_eus-gaap--EarningsPerSharePolicy"/>
      <w:bookmarkEnd w:id="263"/>
      <w:bookmarkEnd w:id="264"/>
      <w:r>
        <w:rPr>
          <w:rFonts w:ascii="Times New Roman;Times;Serif" w:hAnsi="Times New Roman;Times;Serif"/>
          <w:b/>
          <w:i w:val="false"/>
          <w:caps w:val="false"/>
          <w:smallCaps w:val="false"/>
          <w:sz w:val="20"/>
        </w:rPr>
        <w:t>Loss per Common Share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(loss) per share is computed by dividing the net income (loss) applicable to common stockholders by the weighted average number of shares of common stock outstanding during the period.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pStyle w:val="TextBody"/>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F-7</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bookmarkStart w:id="265" w:name="xdx_89C_eus-gaap--ScheduleOfAntidilutive"/>
      <w:bookmarkEnd w:id="265"/>
      <w:r>
        <w:rPr>
          <w:rFonts w:ascii="Times New Roman;Times;Serif" w:hAnsi="Times New Roman;Times;Serif"/>
          <w:b w:val="false"/>
          <w:i w:val="false"/>
          <w:caps w:val="false"/>
          <w:smallCaps w:val="false"/>
          <w:sz w:val="20"/>
        </w:rPr>
        <w:t>For the periods ended June 30, 2021 and 2020, the calculations of basic and diluted loss per share are the same because potential dilutive securities would have had an anti-dilutive effect. The potentially dilutive securities consisted of the following:</w:t>
      </w:r>
    </w:p>
    <w:p>
      <w:pPr>
        <w:pStyle w:val="TextBody"/>
        <w:jc w:val="both"/>
        <w:rPr>
          <w:caps w:val="false"/>
          <w:smallCaps w:val="false"/>
        </w:rPr>
      </w:pPr>
      <w:r>
        <w:rPr>
          <w:caps w:val="false"/>
          <w:smallCaps w:val="false"/>
        </w:rPr>
        <w:t> </w:t>
      </w:r>
      <w:bookmarkStart w:id="266" w:name="xdx_8BC_zrnigbKiH7Bb"/>
      <w:bookmarkEnd w:id="266"/>
      <w:r>
        <w:rPr>
          <w:rFonts w:ascii="Times New Roman;Times;Serif" w:hAnsi="Times New Roman;Times;Serif"/>
          <w:b w:val="false"/>
          <w:i w:val="false"/>
          <w:caps w:val="false"/>
          <w:smallCaps w:val="false"/>
          <w:sz w:val="20"/>
        </w:rPr>
        <w:t>Schedule of Potentially Dilutive Securities</w:t>
      </w:r>
    </w:p>
    <w:tbl>
      <w:tblPr>
        <w:tblW w:w="8865" w:type="dxa"/>
        <w:jc w:val="left"/>
        <w:tblInd w:w="0" w:type="dxa"/>
        <w:tblCellMar>
          <w:top w:w="0" w:type="dxa"/>
          <w:left w:w="0" w:type="dxa"/>
          <w:bottom w:w="0" w:type="dxa"/>
          <w:right w:w="0" w:type="dxa"/>
        </w:tblCellMar>
      </w:tblPr>
      <w:tblGrid>
        <w:gridCol w:w="6290"/>
        <w:gridCol w:w="60"/>
        <w:gridCol w:w="60"/>
        <w:gridCol w:w="1100"/>
        <w:gridCol w:w="60"/>
        <w:gridCol w:w="60"/>
        <w:gridCol w:w="60"/>
        <w:gridCol w:w="1100"/>
        <w:gridCol w:w="75"/>
      </w:tblGrid>
      <w:tr>
        <w:trPr/>
        <w:tc>
          <w:tcPr>
            <w:tcW w:w="62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jc w:val="center"/>
              <w:rPr>
                <w:b/>
              </w:rPr>
            </w:pPr>
            <w:r>
              <w:rPr>
                <w:b/>
              </w:rPr>
              <w:t>June 30,</w:t>
            </w:r>
          </w:p>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jc w:val="center"/>
              <w:rPr>
                <w:b/>
              </w:rPr>
            </w:pPr>
            <w:r>
              <w:rPr>
                <w:b/>
              </w:rPr>
              <w:t>June 30,</w:t>
            </w:r>
          </w:p>
          <w:p>
            <w:pPr>
              <w:pStyle w:val="TableContents"/>
              <w:spacing w:before="0" w:after="283"/>
              <w:jc w:val="center"/>
              <w:rPr>
                <w:b/>
              </w:rPr>
            </w:pPr>
            <w:r>
              <w:rPr>
                <w:b/>
              </w:rPr>
              <w:t>2020</w:t>
            </w:r>
          </w:p>
        </w:tc>
        <w:tc>
          <w:tcPr>
            <w:tcW w:w="75" w:type="dxa"/>
            <w:tcBorders/>
            <w:shd w:fill="auto" w:val="clear"/>
            <w:vAlign w:val="center"/>
          </w:tcPr>
          <w:p>
            <w:pPr>
              <w:pStyle w:val="TableContents"/>
              <w:spacing w:before="0" w:after="283"/>
              <w:rPr/>
            </w:pPr>
            <w:r>
              <w:rPr/>
              <w:t> </w:t>
            </w:r>
          </w:p>
        </w:tc>
      </w:tr>
      <w:tr>
        <w:trPr/>
        <w:tc>
          <w:tcPr>
            <w:tcW w:w="6290" w:type="dxa"/>
            <w:tcBorders/>
            <w:shd w:fill="CCEEFF" w:val="clear"/>
            <w:vAlign w:val="center"/>
          </w:tcPr>
          <w:p>
            <w:pPr>
              <w:pStyle w:val="TableContents"/>
              <w:spacing w:before="0" w:after="283"/>
              <w:jc w:val="left"/>
              <w:rPr/>
            </w:pPr>
            <w:r>
              <w:rPr/>
              <w:t>Convertible note to a related party</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267" w:name="xdx_98E_eus-gaap--AntidilutiveSecurities"/>
            <w:bookmarkEnd w:id="267"/>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268" w:name="xdx_983_eus-gaap--AntidilutiveSecurities"/>
            <w:bookmarkEnd w:id="268"/>
          </w:p>
        </w:tc>
        <w:tc>
          <w:tcPr>
            <w:tcW w:w="1100" w:type="dxa"/>
            <w:tcBorders/>
            <w:shd w:fill="CCEEFF" w:val="clear"/>
            <w:vAlign w:val="center"/>
          </w:tcPr>
          <w:p>
            <w:pPr>
              <w:pStyle w:val="TableContents"/>
              <w:spacing w:before="0" w:after="283"/>
              <w:jc w:val="right"/>
              <w:rPr/>
            </w:pPr>
            <w:r>
              <w:rPr/>
              <w:t>2,266,667</w:t>
            </w:r>
          </w:p>
        </w:tc>
        <w:tc>
          <w:tcPr>
            <w:tcW w:w="75" w:type="dxa"/>
            <w:tcBorders/>
            <w:shd w:fill="CCEEFF" w:val="clear"/>
            <w:vAlign w:val="center"/>
          </w:tcPr>
          <w:p>
            <w:pPr>
              <w:pStyle w:val="TableContents"/>
              <w:spacing w:before="0" w:after="283"/>
              <w:jc w:val="left"/>
              <w:rPr/>
            </w:pPr>
            <w:r>
              <w:rPr/>
              <w:t> </w:t>
            </w:r>
          </w:p>
        </w:tc>
      </w:tr>
      <w:tr>
        <w:trPr/>
        <w:tc>
          <w:tcPr>
            <w:tcW w:w="6290" w:type="dxa"/>
            <w:tcBorders/>
            <w:shd w:fill="FFFFFF" w:val="clear"/>
            <w:vAlign w:val="center"/>
          </w:tcPr>
          <w:p>
            <w:pPr>
              <w:pStyle w:val="TableContents"/>
              <w:spacing w:before="0" w:after="283"/>
              <w:rPr/>
            </w:pPr>
            <w:r>
              <w:rPr/>
              <w:t>Warrants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269" w:name="xdx_98E_eus-gaap--AntidilutiveSecurities"/>
            <w:bookmarkEnd w:id="269"/>
          </w:p>
        </w:tc>
        <w:tc>
          <w:tcPr>
            <w:tcW w:w="1100" w:type="dxa"/>
            <w:tcBorders/>
            <w:shd w:fill="FFFFFF" w:val="clear"/>
            <w:vAlign w:val="center"/>
          </w:tcPr>
          <w:p>
            <w:pPr>
              <w:pStyle w:val="TableContents"/>
              <w:spacing w:before="0" w:after="283"/>
              <w:jc w:val="right"/>
              <w:rPr/>
            </w:pPr>
            <w:r>
              <w:rPr/>
              <w:t>3,088,479</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270" w:name="xdx_98E_eus-gaap--AntidilutiveSecurities"/>
            <w:bookmarkEnd w:id="270"/>
          </w:p>
        </w:tc>
        <w:tc>
          <w:tcPr>
            <w:tcW w:w="1100" w:type="dxa"/>
            <w:tcBorders/>
            <w:shd w:fill="FFFFFF" w:val="clear"/>
            <w:vAlign w:val="center"/>
          </w:tcPr>
          <w:p>
            <w:pPr>
              <w:pStyle w:val="TableContents"/>
              <w:spacing w:before="0" w:after="283"/>
              <w:jc w:val="right"/>
              <w:rPr/>
            </w:pPr>
            <w:r>
              <w:rPr/>
              <w:t>6,413,782</w:t>
            </w:r>
          </w:p>
        </w:tc>
        <w:tc>
          <w:tcPr>
            <w:tcW w:w="75" w:type="dxa"/>
            <w:tcBorders/>
            <w:shd w:fill="FFFFFF" w:val="clear"/>
            <w:vAlign w:val="center"/>
          </w:tcPr>
          <w:p>
            <w:pPr>
              <w:pStyle w:val="TableContents"/>
              <w:spacing w:before="0" w:after="283"/>
              <w:jc w:val="left"/>
              <w:rPr/>
            </w:pPr>
            <w:r>
              <w:rPr/>
              <w:t> </w:t>
            </w:r>
          </w:p>
        </w:tc>
      </w:tr>
      <w:tr>
        <w:trPr/>
        <w:tc>
          <w:tcPr>
            <w:tcW w:w="6290" w:type="dxa"/>
            <w:tcBorders/>
            <w:shd w:fill="CCEEFF" w:val="clear"/>
            <w:vAlign w:val="center"/>
          </w:tcPr>
          <w:p>
            <w:pPr>
              <w:pStyle w:val="TableContents"/>
              <w:spacing w:before="0" w:after="283"/>
              <w:jc w:val="left"/>
              <w:rPr/>
            </w:pPr>
            <w:r>
              <w:rPr/>
              <w:t>Common stock equivalent of Series A Convertible Preferred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271" w:name="xdx_98B_eus-gaap--AntidilutiveSecurities"/>
            <w:bookmarkEnd w:id="271"/>
          </w:p>
        </w:tc>
        <w:tc>
          <w:tcPr>
            <w:tcW w:w="1100" w:type="dxa"/>
            <w:tcBorders/>
            <w:shd w:fill="CCEEFF" w:val="clear"/>
            <w:vAlign w:val="center"/>
          </w:tcPr>
          <w:p>
            <w:pPr>
              <w:pStyle w:val="TableContents"/>
              <w:spacing w:before="0" w:after="283"/>
              <w:jc w:val="right"/>
              <w:rPr/>
            </w:pPr>
            <w:r>
              <w:rPr/>
              <w:t>37,644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272" w:name="xdx_981_eus-gaap--AntidilutiveSecurities"/>
            <w:bookmarkEnd w:id="272"/>
          </w:p>
        </w:tc>
        <w:tc>
          <w:tcPr>
            <w:tcW w:w="1100" w:type="dxa"/>
            <w:tcBorders/>
            <w:shd w:fill="CCEEFF" w:val="clear"/>
            <w:vAlign w:val="center"/>
          </w:tcPr>
          <w:p>
            <w:pPr>
              <w:pStyle w:val="TableContents"/>
              <w:spacing w:before="0" w:after="283"/>
              <w:jc w:val="right"/>
              <w:rPr/>
            </w:pPr>
            <w:r>
              <w:rPr/>
              <w:t>37,644</w:t>
            </w:r>
          </w:p>
        </w:tc>
        <w:tc>
          <w:tcPr>
            <w:tcW w:w="75" w:type="dxa"/>
            <w:tcBorders/>
            <w:shd w:fill="CCEEFF" w:val="clear"/>
            <w:vAlign w:val="center"/>
          </w:tcPr>
          <w:p>
            <w:pPr>
              <w:pStyle w:val="TableContents"/>
              <w:spacing w:before="0" w:after="283"/>
              <w:jc w:val="left"/>
              <w:rPr/>
            </w:pPr>
            <w:r>
              <w:rPr/>
              <w:t> </w:t>
            </w:r>
          </w:p>
        </w:tc>
      </w:tr>
      <w:tr>
        <w:trPr/>
        <w:tc>
          <w:tcPr>
            <w:tcW w:w="6290" w:type="dxa"/>
            <w:tcBorders/>
            <w:shd w:fill="FFFFFF" w:val="clear"/>
            <w:vAlign w:val="center"/>
          </w:tcPr>
          <w:p>
            <w:pPr>
              <w:pStyle w:val="TableContents"/>
              <w:spacing w:before="0" w:after="283"/>
              <w:jc w:val="left"/>
              <w:rPr/>
            </w:pPr>
            <w:r>
              <w:rPr/>
              <w:t>Common stock issuable</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273" w:name="xdx_980_eus-gaap--AntidilutiveSecurities"/>
            <w:bookmarkEnd w:id="273"/>
          </w:p>
        </w:tc>
        <w:tc>
          <w:tcPr>
            <w:tcW w:w="1100"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274" w:name="xdx_983_eus-gaap--AntidilutiveSecurities"/>
            <w:bookmarkEnd w:id="274"/>
          </w:p>
        </w:tc>
        <w:tc>
          <w:tcPr>
            <w:tcW w:w="1100" w:type="dxa"/>
            <w:tcBorders/>
            <w:shd w:fill="FFFFFF" w:val="clear"/>
            <w:vAlign w:val="center"/>
          </w:tcPr>
          <w:p>
            <w:pPr>
              <w:pStyle w:val="TableContents"/>
              <w:spacing w:before="0" w:after="283"/>
              <w:jc w:val="right"/>
              <w:rPr/>
            </w:pPr>
            <w:r>
              <w:rPr/>
              <w:t>350,000</w:t>
            </w:r>
          </w:p>
        </w:tc>
        <w:tc>
          <w:tcPr>
            <w:tcW w:w="75" w:type="dxa"/>
            <w:tcBorders/>
            <w:shd w:fill="FFFFFF" w:val="clear"/>
            <w:vAlign w:val="center"/>
          </w:tcPr>
          <w:p>
            <w:pPr>
              <w:pStyle w:val="TableContents"/>
              <w:spacing w:before="0" w:after="283"/>
              <w:jc w:val="left"/>
              <w:rPr/>
            </w:pPr>
            <w:r>
              <w:rPr/>
              <w:t> </w:t>
            </w:r>
          </w:p>
        </w:tc>
      </w:tr>
      <w:tr>
        <w:trPr/>
        <w:tc>
          <w:tcPr>
            <w:tcW w:w="6290" w:type="dxa"/>
            <w:tcBorders/>
            <w:shd w:fill="CCEEFF" w:val="clear"/>
            <w:vAlign w:val="center"/>
          </w:tcPr>
          <w:p>
            <w:pPr>
              <w:pStyle w:val="TableContents"/>
              <w:spacing w:before="0" w:after="283"/>
              <w:jc w:val="left"/>
              <w:rPr/>
            </w:pPr>
            <w:r>
              <w:rPr/>
              <w:t>Unvested restricted common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275" w:name="xdx_98F_eus-gaap--AntidilutiveSecurities"/>
            <w:bookmarkEnd w:id="275"/>
          </w:p>
        </w:tc>
        <w:tc>
          <w:tcPr>
            <w:tcW w:w="1100" w:type="dxa"/>
            <w:tcBorders/>
            <w:shd w:fill="CCEEFF" w:val="clear"/>
            <w:vAlign w:val="center"/>
          </w:tcPr>
          <w:p>
            <w:pPr>
              <w:pStyle w:val="TableContents"/>
              <w:spacing w:before="0" w:after="283"/>
              <w:jc w:val="right"/>
              <w:rPr/>
            </w:pPr>
            <w:r>
              <w:rPr/>
              <w:t>234,114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276" w:name="xdx_98F_eus-gaap--AntidilutiveSecurities"/>
            <w:bookmarkEnd w:id="276"/>
          </w:p>
        </w:tc>
        <w:tc>
          <w:tcPr>
            <w:tcW w:w="1100" w:type="dxa"/>
            <w:tcBorders/>
            <w:shd w:fill="CCEEFF" w:val="clear"/>
            <w:vAlign w:val="center"/>
          </w:tcPr>
          <w:p>
            <w:pPr>
              <w:pStyle w:val="TableContents"/>
              <w:spacing w:before="0" w:after="283"/>
              <w:jc w:val="right"/>
              <w:rPr/>
            </w:pPr>
            <w:r>
              <w:rPr/>
              <w:t>150,000</w:t>
            </w:r>
          </w:p>
        </w:tc>
        <w:tc>
          <w:tcPr>
            <w:tcW w:w="75" w:type="dxa"/>
            <w:tcBorders/>
            <w:shd w:fill="CCEEFF" w:val="clear"/>
            <w:vAlign w:val="center"/>
          </w:tcPr>
          <w:p>
            <w:pPr>
              <w:pStyle w:val="TableContents"/>
              <w:spacing w:before="0" w:after="283"/>
              <w:jc w:val="left"/>
              <w:rPr/>
            </w:pPr>
            <w:r>
              <w:rPr/>
              <w:t> </w:t>
            </w:r>
          </w:p>
        </w:tc>
      </w:tr>
      <w:tr>
        <w:trPr/>
        <w:tc>
          <w:tcPr>
            <w:tcW w:w="6290" w:type="dxa"/>
            <w:tcBorders/>
            <w:shd w:fill="FFFFFF" w:val="clear"/>
            <w:vAlign w:val="center"/>
          </w:tcPr>
          <w:p>
            <w:pPr>
              <w:pStyle w:val="TableContents"/>
              <w:spacing w:before="0" w:after="283"/>
              <w:rPr/>
            </w:pPr>
            <w:r>
              <w:rPr/>
              <w:t>Options</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277" w:name="xdx_98E_eus-gaap--AntidilutiveSecurities"/>
            <w:bookmarkEnd w:id="277"/>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12,173,607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278" w:name="xdx_988_eus-gaap--AntidilutiveSecurities"/>
            <w:bookmarkEnd w:id="278"/>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4,777,907</w:t>
            </w:r>
          </w:p>
        </w:tc>
        <w:tc>
          <w:tcPr>
            <w:tcW w:w="75" w:type="dxa"/>
            <w:tcBorders/>
            <w:shd w:fill="FFFFFF" w:val="clear"/>
            <w:vAlign w:val="center"/>
          </w:tcPr>
          <w:p>
            <w:pPr>
              <w:pStyle w:val="TableContents"/>
              <w:spacing w:before="0" w:after="283"/>
              <w:jc w:val="left"/>
              <w:rPr/>
            </w:pPr>
            <w:r>
              <w:rPr/>
              <w:t> </w:t>
            </w:r>
          </w:p>
        </w:tc>
      </w:tr>
      <w:tr>
        <w:trPr/>
        <w:tc>
          <w:tcPr>
            <w:tcW w:w="6290" w:type="dxa"/>
            <w:tcBorders/>
            <w:shd w:fill="CCEEFF" w:val="clear"/>
            <w:vAlign w:val="center"/>
          </w:tcPr>
          <w:p>
            <w:pPr>
              <w:pStyle w:val="TableContents"/>
              <w:spacing w:before="0" w:after="283"/>
              <w:rPr/>
            </w:pPr>
            <w:r>
              <w:rPr/>
              <w:t>Total</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279" w:name="xdx_98B_eus-gaap--AntidilutiveSecurities"/>
            <w:bookmarkEnd w:id="279"/>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15,533,844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280" w:name="xdx_98E_eus-gaap--AntidilutiveSecurities"/>
            <w:bookmarkEnd w:id="280"/>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13,996,000</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bookmarkStart w:id="281" w:name="xdx_8A6_zc1BrcJejLz8"/>
      <w:bookmarkEnd w:id="281"/>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Preferred Stock is convertible into Common shares at the rate of 1:4.</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82" w:name="xdx_864_zHc87C0RR3I2"/>
      <w:bookmarkStart w:id="283" w:name="xdx_843_eus-gaap--ShareBasedCompensation"/>
      <w:bookmarkEnd w:id="282"/>
      <w:bookmarkEnd w:id="283"/>
      <w:r>
        <w:rPr>
          <w:rFonts w:ascii="Times New Roman;Times;Serif" w:hAnsi="Times New Roman;Times;Serif"/>
          <w:b/>
          <w:i w:val="false"/>
          <w:caps w:val="false"/>
          <w:smallCaps w:val="false"/>
          <w:sz w:val="20"/>
        </w:rPr>
        <w:t>Stock Compensation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 The Company recognizes the fair value of stock-based compensation within its Statements of Operations with classification depending on the nature of the services rendered.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84" w:name="xdx_868_zC73LJEgsREb"/>
      <w:bookmarkStart w:id="285" w:name="xdx_849_eus-gaap--AdvertisingCostsPolicy"/>
      <w:bookmarkEnd w:id="284"/>
      <w:bookmarkEnd w:id="285"/>
      <w:r>
        <w:rPr>
          <w:rFonts w:ascii="Times New Roman;Times;Serif" w:hAnsi="Times New Roman;Times;Serif"/>
          <w:b/>
          <w:i w:val="false"/>
          <w:caps w:val="false"/>
          <w:smallCaps w:val="false"/>
          <w:sz w:val="20"/>
        </w:rPr>
        <w:t>Advertising Costs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and are included in selling and marketing expense. Advertising costs for the three months ended June 30, 2021 and 2020, aggregated $</w:t>
      </w:r>
      <w:bookmarkStart w:id="286" w:name="xdx_901_eus-gaap--AdvertisingExpense_pn3"/>
      <w:bookmarkEnd w:id="286"/>
      <w:r>
        <w:rPr>
          <w:rFonts w:ascii="Times New Roman;Times;Serif" w:hAnsi="Times New Roman;Times;Serif"/>
          <w:b w:val="false"/>
          <w:i w:val="false"/>
          <w:caps w:val="false"/>
          <w:smallCaps w:val="false"/>
          <w:sz w:val="20"/>
        </w:rPr>
        <w:t>353 and $</w:t>
      </w:r>
      <w:bookmarkStart w:id="287" w:name="xdx_909_eus-gaap--AdvertisingExpense_pn3"/>
      <w:bookmarkEnd w:id="287"/>
      <w:r>
        <w:rPr>
          <w:rFonts w:ascii="Times New Roman;Times;Serif" w:hAnsi="Times New Roman;Times;Serif"/>
          <w:b w:val="false"/>
          <w:i w:val="false"/>
          <w:caps w:val="false"/>
          <w:smallCaps w:val="false"/>
          <w:sz w:val="20"/>
        </w:rPr>
        <w:t>303, respectively. Advertising costs for the six months ended June 30, 2021 and 2020, aggregated $</w:t>
      </w:r>
      <w:bookmarkStart w:id="288" w:name="xdx_905_eus-gaap--AdvertisingExpense_pn3"/>
      <w:bookmarkEnd w:id="288"/>
      <w:r>
        <w:rPr>
          <w:rFonts w:ascii="Times New Roman;Times;Serif" w:hAnsi="Times New Roman;Times;Serif"/>
          <w:b w:val="false"/>
          <w:i w:val="false"/>
          <w:caps w:val="false"/>
          <w:smallCaps w:val="false"/>
          <w:sz w:val="20"/>
        </w:rPr>
        <w:t>702 and $</w:t>
      </w:r>
      <w:bookmarkStart w:id="289" w:name="xdx_902_eus-gaap--AdvertisingExpense_pn3"/>
      <w:bookmarkEnd w:id="289"/>
      <w:r>
        <w:rPr>
          <w:rFonts w:ascii="Times New Roman;Times;Serif" w:hAnsi="Times New Roman;Times;Serif"/>
          <w:b w:val="false"/>
          <w:i w:val="false"/>
          <w:caps w:val="false"/>
          <w:smallCaps w:val="false"/>
          <w:sz w:val="20"/>
        </w:rPr>
        <w:t>606,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290" w:name="xdx_869_zVsE1Kfwnbh3"/>
      <w:bookmarkStart w:id="291" w:name="xdx_840_eus-gaap--ConcentrationRiskCredi"/>
      <w:bookmarkEnd w:id="290"/>
      <w:bookmarkEnd w:id="291"/>
      <w:r>
        <w:rPr>
          <w:rFonts w:ascii="Times New Roman;Times;Serif" w:hAnsi="Times New Roman;Times;Serif"/>
          <w:b/>
          <w:i w:val="false"/>
          <w:caps w:val="false"/>
          <w:smallCaps w:val="false"/>
          <w:sz w:val="20"/>
        </w:rPr>
        <w:t>Concentrations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Sales. </w:t>
      </w:r>
      <w:r>
        <w:rPr>
          <w:rFonts w:ascii="Times New Roman;Times;Serif" w:hAnsi="Times New Roman;Times;Serif"/>
          <w:b w:val="false"/>
          <w:i w:val="false"/>
          <w:caps w:val="false"/>
          <w:smallCaps w:val="false"/>
          <w:sz w:val="20"/>
        </w:rPr>
        <w:t xml:space="preserve">During the three months ended June 30, 2021, two customers accounted for </w:t>
      </w:r>
      <w:bookmarkStart w:id="292" w:name="xdx_90A_eus-gaap--ConcentrationRiskPerce"/>
      <w:bookmarkEnd w:id="292"/>
      <w:r>
        <w:rPr>
          <w:rFonts w:ascii="Times New Roman;Times;Serif" w:hAnsi="Times New Roman;Times;Serif"/>
          <w:b w:val="false"/>
          <w:i w:val="false"/>
          <w:caps w:val="false"/>
          <w:smallCaps w:val="false"/>
          <w:sz w:val="20"/>
        </w:rPr>
        <w:t xml:space="preserve">19% and </w:t>
      </w:r>
      <w:bookmarkStart w:id="293" w:name="xdx_90F_eus-gaap--ConcentrationRiskPerce"/>
      <w:bookmarkEnd w:id="293"/>
      <w:r>
        <w:rPr>
          <w:rFonts w:ascii="Times New Roman;Times;Serif" w:hAnsi="Times New Roman;Times;Serif"/>
          <w:b w:val="false"/>
          <w:i w:val="false"/>
          <w:caps w:val="false"/>
          <w:smallCaps w:val="false"/>
          <w:sz w:val="20"/>
        </w:rPr>
        <w:t xml:space="preserve">12% of gross billing, respectively, and during the six months ended June 30, 2021, two customers accounted for </w:t>
      </w:r>
      <w:bookmarkStart w:id="294" w:name="xdx_907_eus-gaap--ConcentrationRiskPerce"/>
      <w:bookmarkEnd w:id="294"/>
      <w:r>
        <w:rPr>
          <w:rFonts w:ascii="Times New Roman;Times;Serif" w:hAnsi="Times New Roman;Times;Serif"/>
          <w:b w:val="false"/>
          <w:i w:val="false"/>
          <w:caps w:val="false"/>
          <w:smallCaps w:val="false"/>
          <w:sz w:val="20"/>
        </w:rPr>
        <w:t xml:space="preserve">20% and </w:t>
      </w:r>
      <w:bookmarkStart w:id="295" w:name="xdx_90F_eus-gaap--ConcentrationRiskPerce"/>
      <w:bookmarkEnd w:id="295"/>
      <w:r>
        <w:rPr>
          <w:rFonts w:ascii="Times New Roman;Times;Serif" w:hAnsi="Times New Roman;Times;Serif"/>
          <w:b w:val="false"/>
          <w:i w:val="false"/>
          <w:caps w:val="false"/>
          <w:smallCaps w:val="false"/>
          <w:sz w:val="20"/>
        </w:rPr>
        <w:t xml:space="preserve">12% of gross billing, respectively. During the three months ended June 30, 2020, two customers accounted for </w:t>
      </w:r>
      <w:bookmarkStart w:id="296" w:name="xdx_904_eus-gaap--ConcentrationRiskPerce"/>
      <w:bookmarkEnd w:id="296"/>
      <w:r>
        <w:rPr>
          <w:rFonts w:ascii="Times New Roman;Times;Serif" w:hAnsi="Times New Roman;Times;Serif"/>
          <w:b w:val="false"/>
          <w:i w:val="false"/>
          <w:caps w:val="false"/>
          <w:smallCaps w:val="false"/>
          <w:sz w:val="20"/>
        </w:rPr>
        <w:t xml:space="preserve">26% and </w:t>
      </w:r>
      <w:bookmarkStart w:id="297" w:name="xdx_90B_eus-gaap--ConcentrationRiskPerce"/>
      <w:bookmarkEnd w:id="297"/>
      <w:r>
        <w:rPr>
          <w:rFonts w:ascii="Times New Roman;Times;Serif" w:hAnsi="Times New Roman;Times;Serif"/>
          <w:b w:val="false"/>
          <w:i w:val="false"/>
          <w:caps w:val="false"/>
          <w:smallCaps w:val="false"/>
          <w:sz w:val="20"/>
        </w:rPr>
        <w:t xml:space="preserve">13% of gross billing, respectively, and during the six months ended June 30, 2020, two customers accounted for </w:t>
      </w:r>
      <w:bookmarkStart w:id="298" w:name="xdx_90F_eus-gaap--ConcentrationRiskPerce"/>
      <w:bookmarkEnd w:id="298"/>
      <w:r>
        <w:rPr>
          <w:rFonts w:ascii="Times New Roman;Times;Serif" w:hAnsi="Times New Roman;Times;Serif"/>
          <w:b w:val="false"/>
          <w:i w:val="false"/>
          <w:caps w:val="false"/>
          <w:smallCaps w:val="false"/>
          <w:sz w:val="20"/>
        </w:rPr>
        <w:t xml:space="preserve">25% and </w:t>
      </w:r>
      <w:bookmarkStart w:id="299" w:name="xdx_90D_eus-gaap--ConcentrationRiskPerce"/>
      <w:bookmarkEnd w:id="299"/>
      <w:r>
        <w:rPr>
          <w:rFonts w:ascii="Times New Roman;Times;Serif" w:hAnsi="Times New Roman;Times;Serif"/>
          <w:b w:val="false"/>
          <w:i w:val="false"/>
          <w:caps w:val="false"/>
          <w:smallCaps w:val="false"/>
          <w:sz w:val="20"/>
        </w:rPr>
        <w:t xml:space="preserve">14% of gross billing, respectively. No other customers exceeded </w:t>
      </w:r>
      <w:bookmarkStart w:id="300" w:name="xdx_90D_eus-gaap--ConcentrationRiskPerce"/>
      <w:bookmarkEnd w:id="300"/>
      <w:r>
        <w:rPr>
          <w:rFonts w:ascii="Times New Roman;Times;Serif" w:hAnsi="Times New Roman;Times;Serif"/>
          <w:b w:val="false"/>
          <w:i w:val="false"/>
          <w:caps w:val="false"/>
          <w:smallCaps w:val="false"/>
          <w:sz w:val="20"/>
        </w:rPr>
        <w:t>10% of sales in either period.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receivable.</w:t>
      </w:r>
      <w:r>
        <w:rPr>
          <w:rFonts w:ascii="Times New Roman;Times;Serif" w:hAnsi="Times New Roman;Times;Serif"/>
          <w:b w:val="false"/>
          <w:i w:val="false"/>
          <w:caps w:val="false"/>
          <w:smallCaps w:val="false"/>
          <w:sz w:val="20"/>
        </w:rPr>
        <w:t xml:space="preserve"> As of June 30, 2021, the Company had accounts receivable from one customer which comprised </w:t>
      </w:r>
      <w:bookmarkStart w:id="301" w:name="xdx_908_eus-gaap--ConcentrationRiskPerce"/>
      <w:bookmarkEnd w:id="301"/>
      <w:r>
        <w:rPr>
          <w:rFonts w:ascii="Times New Roman;Times;Serif" w:hAnsi="Times New Roman;Times;Serif"/>
          <w:b w:val="false"/>
          <w:i w:val="false"/>
          <w:caps w:val="false"/>
          <w:smallCaps w:val="false"/>
          <w:sz w:val="20"/>
        </w:rPr>
        <w:t xml:space="preserve">12% of its gross accounts receivable. As of December 31, 2020, the Company had accounts receivable from one customer which comprised </w:t>
      </w:r>
      <w:bookmarkStart w:id="302" w:name="xdx_909_eus-gaap--ConcentrationRiskPerce"/>
      <w:bookmarkEnd w:id="302"/>
      <w:r>
        <w:rPr>
          <w:rFonts w:ascii="Times New Roman;Times;Serif" w:hAnsi="Times New Roman;Times;Serif"/>
          <w:b w:val="false"/>
          <w:i w:val="false"/>
          <w:caps w:val="false"/>
          <w:smallCaps w:val="false"/>
          <w:sz w:val="20"/>
        </w:rPr>
        <w:t xml:space="preserve">23% of its gross accounts receivable. No other customers exceeded </w:t>
      </w:r>
      <w:bookmarkStart w:id="303" w:name="xdx_90C_eus-gaap--ConcentrationRiskPerce"/>
      <w:bookmarkEnd w:id="303"/>
      <w:r>
        <w:rPr>
          <w:rFonts w:ascii="Times New Roman;Times;Serif" w:hAnsi="Times New Roman;Times;Serif"/>
          <w:b w:val="false"/>
          <w:i w:val="false"/>
          <w:caps w:val="false"/>
          <w:smallCaps w:val="false"/>
          <w:sz w:val="20"/>
        </w:rPr>
        <w:t>10% of gross accounts receivable in either period.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Purchases from vendors.</w:t>
      </w:r>
      <w:r>
        <w:rPr>
          <w:rFonts w:ascii="Times New Roman;Times;Serif" w:hAnsi="Times New Roman;Times;Serif"/>
          <w:b w:val="false"/>
          <w:i w:val="false"/>
          <w:caps w:val="false"/>
          <w:smallCaps w:val="false"/>
          <w:sz w:val="20"/>
        </w:rPr>
        <w:t xml:space="preserve"> During the three months ended June 30, 2021, two vendors accounted for </w:t>
      </w:r>
      <w:bookmarkStart w:id="304" w:name="xdx_900_eus-gaap--ConcentrationRiskPerce"/>
      <w:bookmarkEnd w:id="304"/>
      <w:r>
        <w:rPr>
          <w:rFonts w:ascii="Times New Roman;Times;Serif" w:hAnsi="Times New Roman;Times;Serif"/>
          <w:b w:val="false"/>
          <w:i w:val="false"/>
          <w:caps w:val="false"/>
          <w:smallCaps w:val="false"/>
          <w:sz w:val="20"/>
        </w:rPr>
        <w:t xml:space="preserve">13% and </w:t>
      </w:r>
      <w:bookmarkStart w:id="305" w:name="xdx_909_eus-gaap--ConcentrationRiskPerce"/>
      <w:bookmarkEnd w:id="305"/>
      <w:r>
        <w:rPr>
          <w:rFonts w:ascii="Times New Roman;Times;Serif" w:hAnsi="Times New Roman;Times;Serif"/>
          <w:b w:val="false"/>
          <w:i w:val="false"/>
          <w:caps w:val="false"/>
          <w:smallCaps w:val="false"/>
          <w:sz w:val="20"/>
        </w:rPr>
        <w:t xml:space="preserve">12% of all purchases, respectively. During the six months ended June 30, 2021, two vendors accounted for </w:t>
      </w:r>
      <w:bookmarkStart w:id="306" w:name="xdx_902_eus-gaap--ConcentrationRiskPerce"/>
      <w:bookmarkEnd w:id="306"/>
      <w:r>
        <w:rPr>
          <w:rFonts w:ascii="Times New Roman;Times;Serif" w:hAnsi="Times New Roman;Times;Serif"/>
          <w:b w:val="false"/>
          <w:i w:val="false"/>
          <w:caps w:val="false"/>
          <w:smallCaps w:val="false"/>
          <w:sz w:val="20"/>
        </w:rPr>
        <w:t xml:space="preserve">13% and </w:t>
      </w:r>
      <w:bookmarkStart w:id="307" w:name="xdx_907_eus-gaap--ConcentrationRiskPerce"/>
      <w:bookmarkEnd w:id="307"/>
      <w:r>
        <w:rPr>
          <w:rFonts w:ascii="Times New Roman;Times;Serif" w:hAnsi="Times New Roman;Times;Serif"/>
          <w:b w:val="false"/>
          <w:i w:val="false"/>
          <w:caps w:val="false"/>
          <w:smallCaps w:val="false"/>
          <w:sz w:val="20"/>
        </w:rPr>
        <w:t xml:space="preserve">12% of all purchases, respectively. During the three months ended June 30, 2020, no vendor exceeded </w:t>
      </w:r>
      <w:bookmarkStart w:id="308" w:name="xdx_90D_eus-gaap--ConcentrationRiskPerce"/>
      <w:bookmarkEnd w:id="308"/>
      <w:r>
        <w:rPr>
          <w:rFonts w:ascii="Times New Roman;Times;Serif" w:hAnsi="Times New Roman;Times;Serif"/>
          <w:b w:val="false"/>
          <w:i w:val="false"/>
          <w:caps w:val="false"/>
          <w:smallCaps w:val="false"/>
          <w:sz w:val="20"/>
        </w:rPr>
        <w:t xml:space="preserve">10% of all purchases. During the six months ended June 30, 2020, one vendor accounted for </w:t>
      </w:r>
      <w:bookmarkStart w:id="309" w:name="xdx_900_eus-gaap--ConcentrationRiskPerce"/>
      <w:bookmarkEnd w:id="309"/>
      <w:r>
        <w:rPr>
          <w:rFonts w:ascii="Times New Roman;Times;Serif" w:hAnsi="Times New Roman;Times;Serif"/>
          <w:b w:val="false"/>
          <w:i w:val="false"/>
          <w:caps w:val="false"/>
          <w:smallCaps w:val="false"/>
          <w:sz w:val="20"/>
        </w:rPr>
        <w:t xml:space="preserve">11% of all purchases. No other vendors exceeded </w:t>
      </w:r>
      <w:bookmarkStart w:id="310" w:name="xdx_901_eus-gaap--ConcentrationRiskPerce"/>
      <w:bookmarkEnd w:id="310"/>
      <w:r>
        <w:rPr>
          <w:rFonts w:ascii="Times New Roman;Times;Serif" w:hAnsi="Times New Roman;Times;Serif"/>
          <w:b w:val="false"/>
          <w:i w:val="false"/>
          <w:caps w:val="false"/>
          <w:smallCaps w:val="false"/>
          <w:sz w:val="20"/>
        </w:rPr>
        <w:t>10% of all purchases in either period.</w:t>
      </w:r>
    </w:p>
    <w:p>
      <w:pPr>
        <w:pStyle w:val="TextBody"/>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F-8</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Accounts payable.</w:t>
      </w:r>
      <w:r>
        <w:rPr>
          <w:rFonts w:ascii="Times New Roman;Times;Serif" w:hAnsi="Times New Roman;Times;Serif"/>
          <w:b w:val="false"/>
          <w:i w:val="false"/>
          <w:caps w:val="false"/>
          <w:smallCaps w:val="false"/>
          <w:sz w:val="20"/>
        </w:rPr>
        <w:t xml:space="preserve"> As of June 30, 2021, the Company’s four largest vendors accounted for </w:t>
      </w:r>
      <w:bookmarkStart w:id="311" w:name="xdx_90B_eus-gaap--ConcentrationRiskPerce"/>
      <w:bookmarkEnd w:id="311"/>
      <w:r>
        <w:rPr>
          <w:rFonts w:ascii="Times New Roman;Times;Serif" w:hAnsi="Times New Roman;Times;Serif"/>
          <w:b w:val="false"/>
          <w:i w:val="false"/>
          <w:caps w:val="false"/>
          <w:smallCaps w:val="false"/>
          <w:sz w:val="20"/>
        </w:rPr>
        <w:t xml:space="preserve">13%, </w:t>
      </w:r>
      <w:bookmarkStart w:id="312" w:name="xdx_90C_eus-gaap--ConcentrationRiskPerce"/>
      <w:bookmarkEnd w:id="312"/>
      <w:r>
        <w:rPr>
          <w:rFonts w:ascii="Times New Roman;Times;Serif" w:hAnsi="Times New Roman;Times;Serif"/>
          <w:b w:val="false"/>
          <w:i w:val="false"/>
          <w:caps w:val="false"/>
          <w:smallCaps w:val="false"/>
          <w:sz w:val="20"/>
        </w:rPr>
        <w:t xml:space="preserve">11%, </w:t>
      </w:r>
      <w:bookmarkStart w:id="313" w:name="xdx_90E_eus-gaap--ConcentrationRiskPerce"/>
      <w:bookmarkEnd w:id="313"/>
      <w:r>
        <w:rPr>
          <w:rFonts w:ascii="Times New Roman;Times;Serif" w:hAnsi="Times New Roman;Times;Serif"/>
          <w:b w:val="false"/>
          <w:i w:val="false"/>
          <w:caps w:val="false"/>
          <w:smallCaps w:val="false"/>
          <w:sz w:val="20"/>
        </w:rPr>
        <w:t xml:space="preserve">10% and </w:t>
      </w:r>
      <w:bookmarkStart w:id="314" w:name="xdx_90A_eus-gaap--ConcentrationRiskPerce"/>
      <w:bookmarkEnd w:id="314"/>
      <w:r>
        <w:rPr>
          <w:rFonts w:ascii="Times New Roman;Times;Serif" w:hAnsi="Times New Roman;Times;Serif"/>
          <w:b w:val="false"/>
          <w:i w:val="false"/>
          <w:caps w:val="false"/>
          <w:smallCaps w:val="false"/>
          <w:sz w:val="20"/>
        </w:rPr>
        <w:t xml:space="preserve">10% of the total accounts payable, respectively. As of December 31, 2020 the Company’s largest two vendors accounted for </w:t>
      </w:r>
      <w:bookmarkStart w:id="315" w:name="xdx_90A_eus-gaap--ConcentrationRiskPerce"/>
      <w:bookmarkEnd w:id="315"/>
      <w:r>
        <w:rPr>
          <w:rFonts w:ascii="Times New Roman;Times;Serif" w:hAnsi="Times New Roman;Times;Serif"/>
          <w:b w:val="false"/>
          <w:i w:val="false"/>
          <w:caps w:val="false"/>
          <w:smallCaps w:val="false"/>
          <w:sz w:val="20"/>
        </w:rPr>
        <w:t xml:space="preserve">12% and </w:t>
      </w:r>
      <w:bookmarkStart w:id="316" w:name="xdx_90A_eus-gaap--ConcentrationRiskPerce"/>
      <w:bookmarkEnd w:id="316"/>
      <w:r>
        <w:rPr>
          <w:rFonts w:ascii="Times New Roman;Times;Serif" w:hAnsi="Times New Roman;Times;Serif"/>
          <w:b w:val="false"/>
          <w:i w:val="false"/>
          <w:caps w:val="false"/>
          <w:smallCaps w:val="false"/>
          <w:sz w:val="20"/>
        </w:rPr>
        <w:t xml:space="preserve">10% of the total accounts payable, respectively. No other vendors exceeded </w:t>
      </w:r>
      <w:bookmarkStart w:id="317" w:name="xdx_90B_eus-gaap--ConcentrationRiskPerce"/>
      <w:bookmarkEnd w:id="317"/>
      <w:r>
        <w:rPr>
          <w:rFonts w:ascii="Times New Roman;Times;Serif" w:hAnsi="Times New Roman;Times;Serif"/>
          <w:b w:val="false"/>
          <w:i w:val="false"/>
          <w:caps w:val="false"/>
          <w:smallCaps w:val="false"/>
          <w:sz w:val="20"/>
        </w:rPr>
        <w:t>10% of gross accounts payable in either period.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18" w:name="xdx_869_zk6ocWq9Iltd"/>
      <w:bookmarkStart w:id="319" w:name="xdx_84C_eus-gaap--FairValueOfFinancialIn"/>
      <w:bookmarkEnd w:id="318"/>
      <w:bookmarkEnd w:id="319"/>
      <w:r>
        <w:rPr>
          <w:rFonts w:ascii="Times New Roman;Times;Serif" w:hAnsi="Times New Roman;Times;Serif"/>
          <w:b/>
          <w:i w:val="false"/>
          <w:caps w:val="false"/>
          <w:smallCaps w:val="false"/>
          <w:sz w:val="20"/>
        </w:rPr>
        <w:t>Fair Value of Financial Instruments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the quoted prices in active markets, that are observable either directly or indirectly.</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based on the Company’s assumptions.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20" w:name="xdx_867_zQgx2VQR8Kb7"/>
      <w:bookmarkStart w:id="321" w:name="xdx_842_eus-gaap--NewAccountingPronounce"/>
      <w:bookmarkEnd w:id="320"/>
      <w:bookmarkEnd w:id="321"/>
      <w:r>
        <w:rPr>
          <w:rFonts w:ascii="Times New Roman;Times;Serif" w:hAnsi="Times New Roman;Times;Serif"/>
          <w:b/>
          <w:i w:val="false"/>
          <w:caps w:val="false"/>
          <w:smallCaps w:val="false"/>
          <w:sz w:val="20"/>
        </w:rPr>
        <w:t>Recent Accounting Pronouncements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2016, the FASB issued ASU 2016-13, </w:t>
      </w:r>
      <w:r>
        <w:rPr>
          <w:rFonts w:ascii="Times New Roman;Times;Serif" w:hAnsi="Times New Roman;Times;Serif"/>
          <w:b w:val="false"/>
          <w:i/>
          <w:caps w:val="false"/>
          <w:smallCaps w:val="false"/>
          <w:sz w:val="20"/>
        </w:rPr>
        <w:t>Measurement of Credit Losses on Financial Instruments</w:t>
      </w:r>
      <w:r>
        <w:rPr>
          <w:rFonts w:ascii="Times New Roman;Times;Serif" w:hAnsi="Times New Roman;Times;Serif"/>
          <w:b w:val="false"/>
          <w:i w:val="false"/>
          <w:caps w:val="false"/>
          <w:smallCaps w:val="false"/>
          <w:sz w:val="20"/>
        </w:rPr>
        <w:t>.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January 1, 2024, for the Company and the provisions of this update can be adopted using either the modified retrospective method or a fully retrospective method. Early adoption is permitted, but no earlier than January 1, 2021, including interim periods within that year. Effective January 1, 2021, the Company early adopted ASU 2020-06 and that adoption did not have an impact on our financial statements and related disclosures.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jc w:val="both"/>
        <w:rPr>
          <w:caps w:val="false"/>
          <w:smallCaps w:val="false"/>
        </w:rPr>
      </w:pPr>
      <w:bookmarkStart w:id="322" w:name="xdx_858_z1ZyX4TCaNn6"/>
      <w:bookmarkEnd w:id="322"/>
      <w:r>
        <w:rPr>
          <w:caps w:val="false"/>
          <w:smallCaps w:val="false"/>
        </w:rPr>
        <w:t> </w:t>
      </w:r>
    </w:p>
    <w:p>
      <w:pPr>
        <w:pStyle w:val="TextBody"/>
        <w:jc w:val="both"/>
        <w:rPr>
          <w:rFonts w:ascii="Times New Roman;Times;Serif" w:hAnsi="Times New Roman;Times;Serif"/>
          <w:b/>
          <w:i w:val="false"/>
          <w:caps w:val="false"/>
          <w:smallCaps w:val="false"/>
          <w:sz w:val="20"/>
        </w:rPr>
      </w:pPr>
      <w:bookmarkStart w:id="323" w:name="xdx_801_eus-gaap--InventoryDisclosureTex"/>
      <w:bookmarkEnd w:id="323"/>
      <w:r>
        <w:rPr>
          <w:rFonts w:ascii="Times New Roman;Times;Serif" w:hAnsi="Times New Roman;Times;Serif"/>
          <w:b/>
          <w:i w:val="false"/>
          <w:caps w:val="false"/>
          <w:smallCaps w:val="false"/>
          <w:sz w:val="20"/>
        </w:rPr>
        <w:t xml:space="preserve">3. </w:t>
      </w:r>
      <w:bookmarkStart w:id="324" w:name="xdx_82C_zVZisPrvvqJ8"/>
      <w:bookmarkEnd w:id="324"/>
      <w:r>
        <w:rPr>
          <w:rFonts w:ascii="Times New Roman;Times;Serif" w:hAnsi="Times New Roman;Times;Serif"/>
          <w:b/>
          <w:i w:val="false"/>
          <w:caps w:val="false"/>
          <w:smallCaps w:val="false"/>
          <w:sz w:val="20"/>
        </w:rPr>
        <w:t>Inventory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bookmarkStart w:id="325" w:name="xdx_89B_eus-gaap--ScheduleOfInventoryCur"/>
      <w:bookmarkEnd w:id="325"/>
      <w:r>
        <w:rPr>
          <w:rFonts w:ascii="Times New Roman;Times;Serif" w:hAnsi="Times New Roman;Times;Serif"/>
          <w:b w:val="false"/>
          <w:i w:val="false"/>
          <w:caps w:val="false"/>
          <w:smallCaps w:val="false"/>
          <w:sz w:val="20"/>
        </w:rPr>
        <w:t>Inventory is valued at the lower of cost (first-in, first-out) or net realizable value, and net of reserves is comprised of the following (in thousands):</w:t>
      </w:r>
    </w:p>
    <w:p>
      <w:pPr>
        <w:pStyle w:val="TextBody"/>
        <w:rPr>
          <w:rFonts w:ascii="Times New Roman;Times;Serif" w:hAnsi="Times New Roman;Times;Serif"/>
          <w:b w:val="false"/>
          <w:i w:val="false"/>
          <w:caps w:val="false"/>
          <w:smallCaps w:val="false"/>
          <w:sz w:val="20"/>
        </w:rPr>
      </w:pPr>
      <w:bookmarkStart w:id="326" w:name="xdx_8BC_zL4Wf3woDur3"/>
      <w:bookmarkEnd w:id="326"/>
      <w:r>
        <w:rPr>
          <w:rFonts w:ascii="Times New Roman;Times;Serif" w:hAnsi="Times New Roman;Times;Serif"/>
          <w:b w:val="false"/>
          <w:i w:val="false"/>
          <w:caps w:val="false"/>
          <w:smallCaps w:val="false"/>
          <w:sz w:val="20"/>
        </w:rPr>
        <w:t>Schedule of Inventory </w:t>
      </w:r>
    </w:p>
    <w:tbl>
      <w:tblPr>
        <w:tblW w:w="5074" w:type="dxa"/>
        <w:jc w:val="left"/>
        <w:tblInd w:w="0" w:type="dxa"/>
        <w:tblCellMar>
          <w:top w:w="0" w:type="dxa"/>
          <w:left w:w="0" w:type="dxa"/>
          <w:bottom w:w="0" w:type="dxa"/>
          <w:right w:w="0" w:type="dxa"/>
        </w:tblCellMar>
      </w:tblPr>
      <w:tblGrid>
        <w:gridCol w:w="2825"/>
        <w:gridCol w:w="60"/>
        <w:gridCol w:w="140"/>
        <w:gridCol w:w="680"/>
        <w:gridCol w:w="60"/>
        <w:gridCol w:w="60"/>
        <w:gridCol w:w="200"/>
        <w:gridCol w:w="974"/>
        <w:gridCol w:w="75"/>
      </w:tblGrid>
      <w:tr>
        <w:trPr/>
        <w:tc>
          <w:tcPr>
            <w:tcW w:w="28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27" w:name="xdx_490_20210630_zf0l6TxXM4sd"/>
            <w:bookmarkEnd w:id="327"/>
          </w:p>
        </w:tc>
        <w:tc>
          <w:tcPr>
            <w:tcW w:w="820"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28" w:name="xdx_49E_20201231_zs7b9TQqOJVk"/>
            <w:bookmarkEnd w:id="328"/>
          </w:p>
        </w:tc>
        <w:tc>
          <w:tcPr>
            <w:tcW w:w="117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75" w:type="dxa"/>
            <w:tcBorders/>
            <w:shd w:fill="auto" w:val="clear"/>
            <w:vAlign w:val="center"/>
          </w:tcPr>
          <w:p>
            <w:pPr>
              <w:pStyle w:val="TableContents"/>
              <w:spacing w:before="0" w:after="283"/>
              <w:rPr/>
            </w:pPr>
            <w:r>
              <w:rPr/>
              <w:t> </w:t>
            </w:r>
            <w:bookmarkStart w:id="329" w:name="xdx_404_eus-gaap--InventoryRawMaterials_"/>
            <w:bookmarkEnd w:id="329"/>
          </w:p>
        </w:tc>
      </w:tr>
      <w:tr>
        <w:trPr/>
        <w:tc>
          <w:tcPr>
            <w:tcW w:w="2825" w:type="dxa"/>
            <w:tcBorders/>
            <w:shd w:fill="CCEEFF" w:val="clear"/>
            <w:vAlign w:val="center"/>
          </w:tcPr>
          <w:p>
            <w:pPr>
              <w:pStyle w:val="TableContents"/>
              <w:spacing w:before="0" w:after="283"/>
              <w:jc w:val="left"/>
              <w:rPr/>
            </w:pPr>
            <w:r>
              <w:rPr/>
              <w:t>Raw materials and packaging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9,038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jc w:val="left"/>
              <w:rPr/>
            </w:pPr>
            <w:r>
              <w:rPr/>
              <w:t>$</w:t>
            </w:r>
          </w:p>
        </w:tc>
        <w:tc>
          <w:tcPr>
            <w:tcW w:w="974" w:type="dxa"/>
            <w:tcBorders/>
            <w:shd w:fill="CCEEFF" w:val="clear"/>
            <w:vAlign w:val="center"/>
          </w:tcPr>
          <w:p>
            <w:pPr>
              <w:pStyle w:val="TableContents"/>
              <w:spacing w:before="0" w:after="283"/>
              <w:jc w:val="right"/>
              <w:rPr/>
            </w:pPr>
            <w:r>
              <w:rPr/>
              <w:t>6,793</w:t>
            </w:r>
          </w:p>
        </w:tc>
        <w:tc>
          <w:tcPr>
            <w:tcW w:w="75" w:type="dxa"/>
            <w:tcBorders/>
            <w:shd w:fill="CCEEFF" w:val="clear"/>
            <w:vAlign w:val="center"/>
          </w:tcPr>
          <w:p>
            <w:pPr>
              <w:pStyle w:val="TableContents"/>
              <w:spacing w:before="0" w:after="283"/>
              <w:jc w:val="left"/>
              <w:rPr/>
            </w:pPr>
            <w:r>
              <w:rPr/>
              <w:t> </w:t>
            </w:r>
            <w:bookmarkStart w:id="330" w:name="xdx_408_eus-gaap--InventoryFinishedGoods"/>
            <w:bookmarkEnd w:id="330"/>
          </w:p>
        </w:tc>
      </w:tr>
      <w:tr>
        <w:trPr/>
        <w:tc>
          <w:tcPr>
            <w:tcW w:w="2825" w:type="dxa"/>
            <w:tcBorders/>
            <w:shd w:fill="FFFFFF" w:val="clear"/>
            <w:vAlign w:val="center"/>
          </w:tcPr>
          <w:p>
            <w:pPr>
              <w:pStyle w:val="TableContents"/>
              <w:spacing w:before="0" w:after="283"/>
              <w:jc w:val="left"/>
              <w:rPr/>
            </w:pPr>
            <w:r>
              <w:rPr/>
              <w:t>Finished products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4,663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74" w:type="dxa"/>
            <w:tcBorders>
              <w:bottom w:val="single" w:sz="12" w:space="0" w:color="000000"/>
            </w:tcBorders>
            <w:shd w:fill="FFFFFF" w:val="clear"/>
            <w:tcMar>
              <w:bottom w:w="28" w:type="dxa"/>
            </w:tcMar>
            <w:vAlign w:val="center"/>
          </w:tcPr>
          <w:p>
            <w:pPr>
              <w:pStyle w:val="TableContents"/>
              <w:spacing w:before="0" w:after="283"/>
              <w:jc w:val="right"/>
              <w:rPr/>
            </w:pPr>
            <w:r>
              <w:rPr/>
              <w:t>4,326</w:t>
            </w:r>
          </w:p>
        </w:tc>
        <w:tc>
          <w:tcPr>
            <w:tcW w:w="75" w:type="dxa"/>
            <w:tcBorders/>
            <w:shd w:fill="FFFFFF" w:val="clear"/>
            <w:vAlign w:val="center"/>
          </w:tcPr>
          <w:p>
            <w:pPr>
              <w:pStyle w:val="TableContents"/>
              <w:spacing w:before="0" w:after="283"/>
              <w:jc w:val="left"/>
              <w:rPr/>
            </w:pPr>
            <w:r>
              <w:rPr/>
              <w:t> </w:t>
            </w:r>
            <w:bookmarkStart w:id="331" w:name="xdx_406_eus-gaap--InventoryNet_iTI_pn3n3"/>
            <w:bookmarkEnd w:id="331"/>
          </w:p>
        </w:tc>
      </w:tr>
      <w:tr>
        <w:trPr/>
        <w:tc>
          <w:tcPr>
            <w:tcW w:w="2825" w:type="dxa"/>
            <w:tcBorders/>
            <w:shd w:fill="CCEEFF" w:val="clear"/>
            <w:vAlign w:val="center"/>
          </w:tcPr>
          <w:p>
            <w:pPr>
              <w:pStyle w:val="TableContents"/>
              <w:spacing w:before="0" w:after="283"/>
              <w:rPr/>
            </w:pPr>
            <w:r>
              <w:rPr/>
              <w:t>Total</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spacing w:before="0" w:after="283"/>
              <w:jc w:val="right"/>
              <w:rPr/>
            </w:pPr>
            <w:r>
              <w:rPr/>
              <w:t>13,701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974" w:type="dxa"/>
            <w:tcBorders>
              <w:bottom w:val="double" w:sz="6" w:space="0" w:color="000000"/>
            </w:tcBorders>
            <w:shd w:fill="CCEEFF" w:val="clear"/>
            <w:tcMar>
              <w:bottom w:w="28" w:type="dxa"/>
            </w:tcMar>
            <w:vAlign w:val="center"/>
          </w:tcPr>
          <w:p>
            <w:pPr>
              <w:pStyle w:val="TableContents"/>
              <w:spacing w:before="0" w:after="283"/>
              <w:jc w:val="right"/>
              <w:rPr/>
            </w:pPr>
            <w:r>
              <w:rPr/>
              <w:t>11,119</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bookmarkStart w:id="332" w:name="xdx_8AB_ziHXeioRP6ha"/>
      <w:bookmarkEnd w:id="332"/>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recorded a reserve for slow moving and potentially obsolete inventory. The reserve at June 30, 2021, and December 31, 2020, was $</w:t>
      </w:r>
      <w:bookmarkStart w:id="333" w:name="xdx_90B_eus-gaap--InventoryValuationRese"/>
      <w:bookmarkEnd w:id="333"/>
      <w:r>
        <w:rPr>
          <w:rFonts w:ascii="Times New Roman;Times;Serif" w:hAnsi="Times New Roman;Times;Serif"/>
          <w:b w:val="false"/>
          <w:i w:val="false"/>
          <w:caps w:val="false"/>
          <w:smallCaps w:val="false"/>
          <w:sz w:val="20"/>
        </w:rPr>
        <w:t>164 and $</w:t>
      </w:r>
      <w:bookmarkStart w:id="334" w:name="xdx_90D_eus-gaap--InventoryValuationRese"/>
      <w:bookmarkEnd w:id="334"/>
      <w:r>
        <w:rPr>
          <w:rFonts w:ascii="Times New Roman;Times;Serif" w:hAnsi="Times New Roman;Times;Serif"/>
          <w:b w:val="false"/>
          <w:i w:val="false"/>
          <w:caps w:val="false"/>
          <w:smallCaps w:val="false"/>
          <w:sz w:val="20"/>
        </w:rPr>
        <w:t>194, respectively.</w:t>
      </w:r>
    </w:p>
    <w:p>
      <w:pPr>
        <w:pStyle w:val="TextBody"/>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F-9</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bookmarkStart w:id="335" w:name="xdx_800_eus-gaap--PropertyPlantAndEquipm"/>
      <w:bookmarkEnd w:id="335"/>
      <w:r>
        <w:rPr>
          <w:rFonts w:ascii="Times New Roman;Times;Serif" w:hAnsi="Times New Roman;Times;Serif"/>
          <w:b/>
          <w:i w:val="false"/>
          <w:caps w:val="false"/>
          <w:smallCaps w:val="false"/>
          <w:sz w:val="20"/>
        </w:rPr>
        <w:t xml:space="preserve">4. </w:t>
      </w:r>
      <w:bookmarkStart w:id="336" w:name="xdx_82C_zSbpWheksuOh"/>
      <w:bookmarkEnd w:id="336"/>
      <w:r>
        <w:rPr>
          <w:rFonts w:ascii="Times New Roman;Times;Serif" w:hAnsi="Times New Roman;Times;Serif"/>
          <w:b/>
          <w:i w:val="false"/>
          <w:caps w:val="false"/>
          <w:smallCaps w:val="false"/>
          <w:sz w:val="20"/>
        </w:rPr>
        <w:t>Property and Equipment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bookmarkStart w:id="337" w:name="xdx_89C_eus-gaap--PropertyPlantAndEquipm"/>
      <w:bookmarkEnd w:id="337"/>
      <w:r>
        <w:rPr>
          <w:rFonts w:ascii="Times New Roman;Times;Serif" w:hAnsi="Times New Roman;Times;Serif"/>
          <w:b w:val="false"/>
          <w:i w:val="false"/>
          <w:caps w:val="false"/>
          <w:smallCaps w:val="false"/>
          <w:sz w:val="20"/>
        </w:rPr>
        <w:t>Property and equipment is comprised of the following (in thousands):</w:t>
      </w:r>
    </w:p>
    <w:p>
      <w:pPr>
        <w:pStyle w:val="TextBody"/>
        <w:jc w:val="both"/>
        <w:rPr>
          <w:caps w:val="false"/>
          <w:smallCaps w:val="false"/>
        </w:rPr>
      </w:pPr>
      <w:r>
        <w:rPr>
          <w:caps w:val="false"/>
          <w:smallCaps w:val="false"/>
        </w:rPr>
        <w:t> </w:t>
      </w:r>
      <w:bookmarkStart w:id="338" w:name="xdx_8BC_znwhaxJod2gg"/>
      <w:bookmarkEnd w:id="338"/>
      <w:r>
        <w:rPr>
          <w:rFonts w:ascii="Times New Roman;Times;Serif" w:hAnsi="Times New Roman;Times;Serif"/>
          <w:b w:val="false"/>
          <w:i w:val="false"/>
          <w:caps w:val="false"/>
          <w:smallCaps w:val="false"/>
          <w:sz w:val="20"/>
        </w:rPr>
        <w:t>Schedule of Property and Equipment</w:t>
      </w:r>
    </w:p>
    <w:tbl>
      <w:tblPr>
        <w:tblW w:w="6370" w:type="dxa"/>
        <w:jc w:val="left"/>
        <w:tblInd w:w="0" w:type="dxa"/>
        <w:tblCellMar>
          <w:top w:w="0" w:type="dxa"/>
          <w:left w:w="0" w:type="dxa"/>
          <w:bottom w:w="0" w:type="dxa"/>
          <w:right w:w="0" w:type="dxa"/>
        </w:tblCellMar>
      </w:tblPr>
      <w:tblGrid>
        <w:gridCol w:w="4145"/>
        <w:gridCol w:w="60"/>
        <w:gridCol w:w="145"/>
        <w:gridCol w:w="580"/>
        <w:gridCol w:w="95"/>
        <w:gridCol w:w="60"/>
        <w:gridCol w:w="235"/>
        <w:gridCol w:w="940"/>
        <w:gridCol w:w="110"/>
      </w:tblGrid>
      <w:tr>
        <w:trPr/>
        <w:tc>
          <w:tcPr>
            <w:tcW w:w="41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39" w:name="xdx_495_20210630_zMa00XayVCyg"/>
            <w:bookmarkEnd w:id="339"/>
          </w:p>
        </w:tc>
        <w:tc>
          <w:tcPr>
            <w:tcW w:w="725"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40" w:name="xdx_49F_20201231_zqohZKa9M6u7"/>
            <w:bookmarkEnd w:id="340"/>
          </w:p>
        </w:tc>
        <w:tc>
          <w:tcPr>
            <w:tcW w:w="1175"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110" w:type="dxa"/>
            <w:tcBorders/>
            <w:shd w:fill="auto" w:val="clear"/>
            <w:vAlign w:val="center"/>
          </w:tcPr>
          <w:p>
            <w:pPr>
              <w:pStyle w:val="TableContents"/>
              <w:spacing w:before="0" w:after="283"/>
              <w:rPr/>
            </w:pPr>
            <w:r>
              <w:rPr/>
              <w:t> </w:t>
            </w:r>
          </w:p>
        </w:tc>
      </w:tr>
      <w:tr>
        <w:trPr/>
        <w:tc>
          <w:tcPr>
            <w:tcW w:w="4145" w:type="dxa"/>
            <w:tcBorders/>
            <w:shd w:fill="CCEEFF" w:val="clear"/>
            <w:vAlign w:val="center"/>
          </w:tcPr>
          <w:p>
            <w:pPr>
              <w:pStyle w:val="TableContents"/>
              <w:spacing w:before="0" w:after="283"/>
              <w:jc w:val="left"/>
              <w:rPr/>
            </w:pPr>
            <w:r>
              <w:rPr/>
              <w:t>Right-of-use assets under operating leases</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w:t>
            </w:r>
            <w:bookmarkStart w:id="341" w:name="xdx_987_eus-gaap--PropertyPlantAndEquipm"/>
            <w:bookmarkEnd w:id="341"/>
          </w:p>
        </w:tc>
        <w:tc>
          <w:tcPr>
            <w:tcW w:w="580" w:type="dxa"/>
            <w:tcBorders/>
            <w:shd w:fill="CCEEFF" w:val="clear"/>
            <w:vAlign w:val="center"/>
          </w:tcPr>
          <w:p>
            <w:pPr>
              <w:pStyle w:val="TableContents"/>
              <w:spacing w:before="0" w:after="283"/>
              <w:jc w:val="right"/>
              <w:rPr/>
            </w:pPr>
            <w:r>
              <w:rPr/>
              <w:t>724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jc w:val="left"/>
              <w:rPr/>
            </w:pPr>
            <w:r>
              <w:rPr/>
              <w:t>$</w:t>
            </w:r>
            <w:bookmarkStart w:id="342" w:name="xdx_989_eus-gaap--PropertyPlantAndEquipm"/>
            <w:bookmarkEnd w:id="342"/>
          </w:p>
        </w:tc>
        <w:tc>
          <w:tcPr>
            <w:tcW w:w="940" w:type="dxa"/>
            <w:tcBorders/>
            <w:shd w:fill="CCEEFF" w:val="clear"/>
            <w:vAlign w:val="center"/>
          </w:tcPr>
          <w:p>
            <w:pPr>
              <w:pStyle w:val="TableContents"/>
              <w:spacing w:before="0" w:after="283"/>
              <w:jc w:val="right"/>
              <w:rPr/>
            </w:pPr>
            <w:r>
              <w:rPr/>
              <w:t>724</w:t>
            </w:r>
          </w:p>
        </w:tc>
        <w:tc>
          <w:tcPr>
            <w:tcW w:w="110" w:type="dxa"/>
            <w:tcBorders/>
            <w:shd w:fill="CCEEFF" w:val="clear"/>
            <w:vAlign w:val="center"/>
          </w:tcPr>
          <w:p>
            <w:pPr>
              <w:pStyle w:val="TableContents"/>
              <w:spacing w:before="0" w:after="283"/>
              <w:jc w:val="left"/>
              <w:rPr/>
            </w:pPr>
            <w:r>
              <w:rPr/>
              <w:t> </w:t>
            </w:r>
          </w:p>
        </w:tc>
      </w:tr>
      <w:tr>
        <w:trPr/>
        <w:tc>
          <w:tcPr>
            <w:tcW w:w="4145" w:type="dxa"/>
            <w:tcBorders/>
            <w:shd w:fill="FFFFFF" w:val="clear"/>
            <w:vAlign w:val="center"/>
          </w:tcPr>
          <w:p>
            <w:pPr>
              <w:pStyle w:val="TableContents"/>
              <w:spacing w:before="0" w:after="283"/>
              <w:jc w:val="left"/>
              <w:rPr/>
            </w:pPr>
            <w:r>
              <w:rPr/>
              <w:t>Right-of-use assets under finance leases</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jc w:val="left"/>
              <w:rPr/>
            </w:pPr>
            <w:r>
              <w:rPr/>
              <w:t> </w:t>
            </w:r>
            <w:bookmarkStart w:id="343" w:name="xdx_989_eus-gaap--PropertyPlantAndEquipm"/>
            <w:bookmarkEnd w:id="343"/>
          </w:p>
        </w:tc>
        <w:tc>
          <w:tcPr>
            <w:tcW w:w="58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5" w:type="dxa"/>
            <w:tcBorders/>
            <w:shd w:fill="FFFFFF" w:val="clear"/>
            <w:vAlign w:val="center"/>
          </w:tcPr>
          <w:p>
            <w:pPr>
              <w:pStyle w:val="TableContents"/>
              <w:spacing w:before="0" w:after="283"/>
              <w:jc w:val="left"/>
              <w:rPr/>
            </w:pPr>
            <w:r>
              <w:rPr/>
              <w:t> </w:t>
            </w:r>
            <w:bookmarkStart w:id="344" w:name="xdx_987_eus-gaap--PropertyPlantAndEquipm"/>
            <w:bookmarkEnd w:id="344"/>
          </w:p>
        </w:tc>
        <w:tc>
          <w:tcPr>
            <w:tcW w:w="940" w:type="dxa"/>
            <w:tcBorders/>
            <w:shd w:fill="FFFFFF" w:val="clear"/>
            <w:vAlign w:val="center"/>
          </w:tcPr>
          <w:p>
            <w:pPr>
              <w:pStyle w:val="TableContents"/>
              <w:spacing w:before="0" w:after="283"/>
              <w:jc w:val="right"/>
              <w:rPr/>
            </w:pPr>
            <w:r>
              <w:rPr/>
              <w:t>54</w:t>
            </w:r>
          </w:p>
        </w:tc>
        <w:tc>
          <w:tcPr>
            <w:tcW w:w="110" w:type="dxa"/>
            <w:tcBorders/>
            <w:shd w:fill="FFFFFF" w:val="clear"/>
            <w:vAlign w:val="center"/>
          </w:tcPr>
          <w:p>
            <w:pPr>
              <w:pStyle w:val="TableContents"/>
              <w:spacing w:before="0" w:after="283"/>
              <w:jc w:val="left"/>
              <w:rPr/>
            </w:pPr>
            <w:r>
              <w:rPr/>
              <w:t> </w:t>
            </w:r>
          </w:p>
        </w:tc>
      </w:tr>
      <w:tr>
        <w:trPr/>
        <w:tc>
          <w:tcPr>
            <w:tcW w:w="4145" w:type="dxa"/>
            <w:tcBorders/>
            <w:shd w:fill="CCEEFF" w:val="clear"/>
            <w:vAlign w:val="center"/>
          </w:tcPr>
          <w:p>
            <w:pPr>
              <w:pStyle w:val="TableContents"/>
              <w:spacing w:before="0" w:after="283"/>
              <w:jc w:val="left"/>
              <w:rPr/>
            </w:pPr>
            <w:r>
              <w:rPr/>
              <w:t>Computer hardware and software</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bookmarkStart w:id="345" w:name="xdx_986_eus-gaap--PropertyPlantAndEquipm"/>
            <w:bookmarkEnd w:id="345"/>
          </w:p>
        </w:tc>
        <w:tc>
          <w:tcPr>
            <w:tcW w:w="580" w:type="dxa"/>
            <w:tcBorders/>
            <w:shd w:fill="CCEEFF" w:val="clear"/>
            <w:vAlign w:val="center"/>
          </w:tcPr>
          <w:p>
            <w:pPr>
              <w:pStyle w:val="TableContents"/>
              <w:spacing w:before="0" w:after="283"/>
              <w:jc w:val="right"/>
              <w:rPr/>
            </w:pPr>
            <w:r>
              <w:rPr/>
              <w:t>400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jc w:val="left"/>
              <w:rPr/>
            </w:pPr>
            <w:r>
              <w:rPr/>
              <w:t> </w:t>
            </w:r>
            <w:bookmarkStart w:id="346" w:name="xdx_981_eus-gaap--PropertyPlantAndEquipm"/>
            <w:bookmarkEnd w:id="346"/>
          </w:p>
        </w:tc>
        <w:tc>
          <w:tcPr>
            <w:tcW w:w="940" w:type="dxa"/>
            <w:tcBorders/>
            <w:shd w:fill="CCEEFF" w:val="clear"/>
            <w:vAlign w:val="center"/>
          </w:tcPr>
          <w:p>
            <w:pPr>
              <w:pStyle w:val="TableContents"/>
              <w:spacing w:before="0" w:after="283"/>
              <w:jc w:val="right"/>
              <w:rPr/>
            </w:pPr>
            <w:r>
              <w:rPr/>
              <w:t>400</w:t>
            </w:r>
          </w:p>
        </w:tc>
        <w:tc>
          <w:tcPr>
            <w:tcW w:w="110" w:type="dxa"/>
            <w:tcBorders/>
            <w:shd w:fill="CCEEFF" w:val="clear"/>
            <w:vAlign w:val="center"/>
          </w:tcPr>
          <w:p>
            <w:pPr>
              <w:pStyle w:val="TableContents"/>
              <w:spacing w:before="0" w:after="283"/>
              <w:jc w:val="left"/>
              <w:rPr/>
            </w:pPr>
            <w:r>
              <w:rPr/>
              <w:t> </w:t>
            </w:r>
          </w:p>
        </w:tc>
      </w:tr>
      <w:tr>
        <w:trPr/>
        <w:tc>
          <w:tcPr>
            <w:tcW w:w="4145" w:type="dxa"/>
            <w:tcBorders/>
            <w:shd w:fill="FFFFFF" w:val="clear"/>
            <w:vAlign w:val="center"/>
          </w:tcPr>
          <w:p>
            <w:pPr>
              <w:pStyle w:val="TableContents"/>
              <w:spacing w:before="0" w:after="283"/>
              <w:jc w:val="left"/>
              <w:rPr/>
            </w:pPr>
            <w:r>
              <w:rPr/>
              <w:t>Machinery and equipment</w:t>
            </w:r>
          </w:p>
        </w:tc>
        <w:tc>
          <w:tcPr>
            <w:tcW w:w="60"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347" w:name="xdx_981_eus-gaap--PropertyPlantAndEquipm"/>
            <w:bookmarkEnd w:id="347"/>
          </w:p>
        </w:tc>
        <w:tc>
          <w:tcPr>
            <w:tcW w:w="580" w:type="dxa"/>
            <w:tcBorders>
              <w:bottom w:val="single" w:sz="12" w:space="0" w:color="000000"/>
            </w:tcBorders>
            <w:shd w:fill="FFFFFF" w:val="clear"/>
            <w:tcMar>
              <w:bottom w:w="28" w:type="dxa"/>
            </w:tcMar>
            <w:vAlign w:val="center"/>
          </w:tcPr>
          <w:p>
            <w:pPr>
              <w:pStyle w:val="TableContents"/>
              <w:spacing w:before="0" w:after="283"/>
              <w:jc w:val="right"/>
              <w:rPr/>
            </w:pPr>
            <w:r>
              <w:rPr/>
              <w:t>197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5"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348" w:name="xdx_98A_eus-gaap--PropertyPlantAndEquipm"/>
            <w:bookmarkEnd w:id="348"/>
          </w:p>
        </w:tc>
        <w:tc>
          <w:tcPr>
            <w:tcW w:w="940" w:type="dxa"/>
            <w:tcBorders>
              <w:bottom w:val="single" w:sz="12" w:space="0" w:color="000000"/>
            </w:tcBorders>
            <w:shd w:fill="FFFFFF" w:val="clear"/>
            <w:tcMar>
              <w:bottom w:w="28" w:type="dxa"/>
            </w:tcMar>
            <w:vAlign w:val="center"/>
          </w:tcPr>
          <w:p>
            <w:pPr>
              <w:pStyle w:val="TableContents"/>
              <w:spacing w:before="0" w:after="283"/>
              <w:jc w:val="right"/>
              <w:rPr/>
            </w:pPr>
            <w:r>
              <w:rPr/>
              <w:t>103</w:t>
            </w:r>
          </w:p>
        </w:tc>
        <w:tc>
          <w:tcPr>
            <w:tcW w:w="110" w:type="dxa"/>
            <w:tcBorders/>
            <w:shd w:fill="FFFFFF" w:val="clear"/>
            <w:vAlign w:val="center"/>
          </w:tcPr>
          <w:p>
            <w:pPr>
              <w:pStyle w:val="TableContents"/>
              <w:spacing w:before="0" w:after="283"/>
              <w:jc w:val="left"/>
              <w:rPr/>
            </w:pPr>
            <w:r>
              <w:rPr/>
              <w:t> </w:t>
            </w:r>
            <w:bookmarkStart w:id="349" w:name="xdx_407_eus-gaap--PropertyPlantAndEquipm"/>
            <w:bookmarkEnd w:id="349"/>
          </w:p>
        </w:tc>
      </w:tr>
      <w:tr>
        <w:trPr/>
        <w:tc>
          <w:tcPr>
            <w:tcW w:w="4145" w:type="dxa"/>
            <w:tcBorders/>
            <w:shd w:fill="CCEEFF" w:val="clear"/>
            <w:vAlign w:val="center"/>
          </w:tcPr>
          <w:p>
            <w:pPr>
              <w:pStyle w:val="TableContents"/>
              <w:spacing w:before="0" w:after="283"/>
              <w:jc w:val="left"/>
              <w:rPr/>
            </w:pPr>
            <w:r>
              <w:rPr/>
              <w:t>Total cost</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580" w:type="dxa"/>
            <w:tcBorders/>
            <w:shd w:fill="CCEEFF" w:val="clear"/>
            <w:vAlign w:val="center"/>
          </w:tcPr>
          <w:p>
            <w:pPr>
              <w:pStyle w:val="TableContents"/>
              <w:spacing w:before="0" w:after="283"/>
              <w:jc w:val="right"/>
              <w:rPr/>
            </w:pPr>
            <w:r>
              <w:rPr/>
              <w:t>1,321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jc w:val="left"/>
              <w:rPr/>
            </w:pPr>
            <w:r>
              <w:rPr/>
              <w:t> </w:t>
            </w:r>
          </w:p>
        </w:tc>
        <w:tc>
          <w:tcPr>
            <w:tcW w:w="940" w:type="dxa"/>
            <w:tcBorders/>
            <w:shd w:fill="CCEEFF" w:val="clear"/>
            <w:vAlign w:val="center"/>
          </w:tcPr>
          <w:p>
            <w:pPr>
              <w:pStyle w:val="TableContents"/>
              <w:spacing w:before="0" w:after="283"/>
              <w:jc w:val="right"/>
              <w:rPr/>
            </w:pPr>
            <w:r>
              <w:rPr/>
              <w:t>1,281</w:t>
            </w:r>
          </w:p>
        </w:tc>
        <w:tc>
          <w:tcPr>
            <w:tcW w:w="110" w:type="dxa"/>
            <w:tcBorders/>
            <w:shd w:fill="CCEEFF" w:val="clear"/>
            <w:vAlign w:val="center"/>
          </w:tcPr>
          <w:p>
            <w:pPr>
              <w:pStyle w:val="TableContents"/>
              <w:spacing w:before="0" w:after="283"/>
              <w:jc w:val="left"/>
              <w:rPr/>
            </w:pPr>
            <w:r>
              <w:rPr/>
              <w:t> </w:t>
            </w:r>
            <w:bookmarkStart w:id="350" w:name="xdx_407_eus-gaap--AccumulatedDepreciatio"/>
            <w:bookmarkEnd w:id="350"/>
          </w:p>
        </w:tc>
      </w:tr>
      <w:tr>
        <w:trPr/>
        <w:tc>
          <w:tcPr>
            <w:tcW w:w="4145" w:type="dxa"/>
            <w:tcBorders/>
            <w:shd w:fill="FFFFFF" w:val="clear"/>
            <w:vAlign w:val="center"/>
          </w:tcPr>
          <w:p>
            <w:pPr>
              <w:pStyle w:val="TableContents"/>
              <w:spacing w:before="0" w:after="283"/>
              <w:jc w:val="left"/>
              <w:rPr/>
            </w:pPr>
            <w:r>
              <w:rPr/>
              <w:t>Accumulated depreciation and amortization</w:t>
            </w:r>
          </w:p>
        </w:tc>
        <w:tc>
          <w:tcPr>
            <w:tcW w:w="60" w:type="dxa"/>
            <w:tcBorders/>
            <w:shd w:fill="FFFFFF" w:val="clear"/>
            <w:vAlign w:val="center"/>
          </w:tcPr>
          <w:p>
            <w:pPr>
              <w:pStyle w:val="TableContents"/>
              <w:spacing w:before="0" w:after="283"/>
              <w:rPr/>
            </w:pPr>
            <w:r>
              <w:rPr/>
              <w:t> </w:t>
            </w:r>
          </w:p>
        </w:tc>
        <w:tc>
          <w:tcPr>
            <w:tcW w:w="14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80" w:type="dxa"/>
            <w:tcBorders>
              <w:bottom w:val="single" w:sz="12" w:space="0" w:color="000000"/>
            </w:tcBorders>
            <w:shd w:fill="FFFFFF" w:val="clear"/>
            <w:tcMar>
              <w:bottom w:w="28" w:type="dxa"/>
            </w:tcMar>
            <w:vAlign w:val="center"/>
          </w:tcPr>
          <w:p>
            <w:pPr>
              <w:pStyle w:val="TableContents"/>
              <w:spacing w:before="0" w:after="283"/>
              <w:jc w:val="right"/>
              <w:rPr/>
            </w:pPr>
            <w:r>
              <w:rPr/>
              <w:t>(435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23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940" w:type="dxa"/>
            <w:tcBorders>
              <w:bottom w:val="single" w:sz="12" w:space="0" w:color="000000"/>
            </w:tcBorders>
            <w:shd w:fill="FFFFFF" w:val="clear"/>
            <w:tcMar>
              <w:bottom w:w="28" w:type="dxa"/>
            </w:tcMar>
            <w:vAlign w:val="center"/>
          </w:tcPr>
          <w:p>
            <w:pPr>
              <w:pStyle w:val="TableContents"/>
              <w:spacing w:before="0" w:after="283"/>
              <w:jc w:val="right"/>
              <w:rPr/>
            </w:pPr>
            <w:r>
              <w:rPr/>
              <w:t>(361</w:t>
            </w:r>
          </w:p>
        </w:tc>
        <w:tc>
          <w:tcPr>
            <w:tcW w:w="110" w:type="dxa"/>
            <w:tcBorders/>
            <w:shd w:fill="FFFFFF" w:val="clear"/>
            <w:vAlign w:val="center"/>
          </w:tcPr>
          <w:p>
            <w:pPr>
              <w:pStyle w:val="TableContents"/>
              <w:spacing w:before="0" w:after="283"/>
              <w:jc w:val="left"/>
              <w:rPr/>
            </w:pPr>
            <w:r>
              <w:rPr/>
              <w:t>)</w:t>
            </w:r>
            <w:bookmarkStart w:id="351" w:name="xdx_409_eus-gaap--PropertyPlantAndEquipm"/>
            <w:bookmarkEnd w:id="351"/>
          </w:p>
        </w:tc>
      </w:tr>
      <w:tr>
        <w:trPr/>
        <w:tc>
          <w:tcPr>
            <w:tcW w:w="4145" w:type="dxa"/>
            <w:tcBorders/>
            <w:shd w:fill="CCEEFF" w:val="clear"/>
            <w:vAlign w:val="center"/>
          </w:tcPr>
          <w:p>
            <w:pPr>
              <w:pStyle w:val="TableContents"/>
              <w:spacing w:before="0" w:after="283"/>
              <w:rPr/>
            </w:pPr>
            <w:r>
              <w:rPr/>
              <w:t>Net book value</w:t>
            </w:r>
          </w:p>
        </w:tc>
        <w:tc>
          <w:tcPr>
            <w:tcW w:w="60" w:type="dxa"/>
            <w:tcBorders/>
            <w:shd w:fill="CCEEFF" w:val="clear"/>
            <w:vAlign w:val="center"/>
          </w:tcPr>
          <w:p>
            <w:pPr>
              <w:pStyle w:val="TableContents"/>
              <w:spacing w:before="0" w:after="283"/>
              <w:rPr/>
            </w:pPr>
            <w:r>
              <w:rPr/>
              <w:t> </w:t>
            </w:r>
          </w:p>
        </w:tc>
        <w:tc>
          <w:tcPr>
            <w:tcW w:w="14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580" w:type="dxa"/>
            <w:tcBorders>
              <w:bottom w:val="double" w:sz="6" w:space="0" w:color="000000"/>
            </w:tcBorders>
            <w:shd w:fill="CCEEFF" w:val="clear"/>
            <w:tcMar>
              <w:bottom w:w="28" w:type="dxa"/>
            </w:tcMar>
            <w:vAlign w:val="center"/>
          </w:tcPr>
          <w:p>
            <w:pPr>
              <w:pStyle w:val="TableContents"/>
              <w:spacing w:before="0" w:after="283"/>
              <w:jc w:val="right"/>
              <w:rPr/>
            </w:pPr>
            <w:r>
              <w:rPr/>
              <w:t>886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940" w:type="dxa"/>
            <w:tcBorders>
              <w:bottom w:val="double" w:sz="6" w:space="0" w:color="000000"/>
            </w:tcBorders>
            <w:shd w:fill="CCEEFF" w:val="clear"/>
            <w:tcMar>
              <w:bottom w:w="28" w:type="dxa"/>
            </w:tcMar>
            <w:vAlign w:val="center"/>
          </w:tcPr>
          <w:p>
            <w:pPr>
              <w:pStyle w:val="TableContents"/>
              <w:spacing w:before="0" w:after="283"/>
              <w:jc w:val="right"/>
              <w:rPr/>
            </w:pPr>
            <w:r>
              <w:rPr/>
              <w:t>920</w:t>
            </w:r>
          </w:p>
        </w:tc>
        <w:tc>
          <w:tcPr>
            <w:tcW w:w="110"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bookmarkStart w:id="352" w:name="xdx_8A7_z7wqanGTewh8"/>
      <w:bookmarkEnd w:id="352"/>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six months ended June 30, 2021 and 2020 was $</w:t>
      </w:r>
      <w:bookmarkStart w:id="353" w:name="xdx_906_eus-gaap--Depreciation_pn3n3_c20"/>
      <w:bookmarkEnd w:id="353"/>
      <w:r>
        <w:rPr>
          <w:rFonts w:ascii="Times New Roman;Times;Serif" w:hAnsi="Times New Roman;Times;Serif"/>
          <w:b w:val="false"/>
          <w:i w:val="false"/>
          <w:caps w:val="false"/>
          <w:smallCaps w:val="false"/>
          <w:sz w:val="20"/>
        </w:rPr>
        <w:t>48 and $</w:t>
      </w:r>
      <w:bookmarkStart w:id="354" w:name="xdx_90B_eus-gaap--Depreciation_pn3n3_c20"/>
      <w:bookmarkEnd w:id="354"/>
      <w:r>
        <w:rPr>
          <w:rFonts w:ascii="Times New Roman;Times;Serif" w:hAnsi="Times New Roman;Times;Serif"/>
          <w:b w:val="false"/>
          <w:i w:val="false"/>
          <w:caps w:val="false"/>
          <w:smallCaps w:val="false"/>
          <w:sz w:val="20"/>
        </w:rPr>
        <w:t>24, respectively, and amortization of right-of-use assets for the six months ended June 30, 2021 and 2020 was $</w:t>
      </w:r>
      <w:bookmarkStart w:id="355" w:name="xdx_900_ecustom--RightOfUseAssetAmortiza"/>
      <w:bookmarkEnd w:id="355"/>
      <w:r>
        <w:rPr>
          <w:rFonts w:ascii="Times New Roman;Times;Serif" w:hAnsi="Times New Roman;Times;Serif"/>
          <w:b w:val="false"/>
          <w:i w:val="false"/>
          <w:caps w:val="false"/>
          <w:smallCaps w:val="false"/>
          <w:sz w:val="20"/>
        </w:rPr>
        <w:t>69 and $</w:t>
      </w:r>
      <w:bookmarkStart w:id="356" w:name="xdx_900_ecustom--RightOfUseAssetAmortiza"/>
      <w:bookmarkEnd w:id="356"/>
      <w:r>
        <w:rPr>
          <w:rFonts w:ascii="Times New Roman;Times;Serif" w:hAnsi="Times New Roman;Times;Serif"/>
          <w:b w:val="false"/>
          <w:i w:val="false"/>
          <w:caps w:val="false"/>
          <w:smallCaps w:val="false"/>
          <w:sz w:val="20"/>
        </w:rPr>
        <w:t>62, respectively. During the six months ended June 30, 2021, the Company disposed of right-of-use assets under finance leases with a cost of $</w:t>
      </w:r>
      <w:bookmarkStart w:id="357" w:name="xdx_90D_eus-gaap--PropertyPlantAndEquipm"/>
      <w:bookmarkEnd w:id="357"/>
      <w:r>
        <w:rPr>
          <w:rFonts w:ascii="Times New Roman;Times;Serif" w:hAnsi="Times New Roman;Times;Serif"/>
          <w:b w:val="false"/>
          <w:i w:val="false"/>
          <w:caps w:val="false"/>
          <w:smallCaps w:val="false"/>
          <w:sz w:val="20"/>
        </w:rPr>
        <w:t>48 and accumulated amortization of $</w:t>
      </w:r>
      <w:bookmarkStart w:id="358" w:name="xdx_907_eus-gaap--AdjustmentForAmortizat"/>
      <w:bookmarkEnd w:id="358"/>
      <w:r>
        <w:rPr>
          <w:rFonts w:ascii="Times New Roman;Times;Serif" w:hAnsi="Times New Roman;Times;Serif"/>
          <w:b w:val="false"/>
          <w:i w:val="false"/>
          <w:caps w:val="false"/>
          <w:smallCaps w:val="false"/>
          <w:sz w:val="20"/>
        </w:rPr>
        <w:t>38 and terminated $</w:t>
      </w:r>
      <w:bookmarkStart w:id="359" w:name="xdx_90D_eus-gaap--PropertyPlantAndEquipm"/>
      <w:bookmarkEnd w:id="359"/>
      <w:r>
        <w:rPr>
          <w:rFonts w:ascii="Times New Roman;Times;Serif" w:hAnsi="Times New Roman;Times;Serif"/>
          <w:b w:val="false"/>
          <w:i w:val="false"/>
          <w:caps w:val="false"/>
          <w:smallCaps w:val="false"/>
          <w:sz w:val="20"/>
        </w:rPr>
        <w:t>13 of related finance leases payable (see Note 8).</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bookmarkStart w:id="360" w:name="xdx_89A_eus-gaap--DisclosureOfLongLivedA"/>
      <w:bookmarkEnd w:id="360"/>
      <w:r>
        <w:rPr>
          <w:rFonts w:ascii="Times New Roman;Times;Serif" w:hAnsi="Times New Roman;Times;Serif"/>
          <w:b w:val="false"/>
          <w:i w:val="false"/>
          <w:caps w:val="false"/>
          <w:smallCaps w:val="false"/>
          <w:sz w:val="20"/>
        </w:rPr>
        <w:t>Equipment held for sale consists of the following (in thousands):</w:t>
      </w:r>
    </w:p>
    <w:p>
      <w:pPr>
        <w:pStyle w:val="TextBody"/>
        <w:jc w:val="both"/>
        <w:rPr>
          <w:caps w:val="false"/>
          <w:smallCaps w:val="false"/>
        </w:rPr>
      </w:pPr>
      <w:r>
        <w:rPr>
          <w:caps w:val="false"/>
          <w:smallCaps w:val="false"/>
        </w:rPr>
        <w:t> </w:t>
      </w:r>
      <w:bookmarkStart w:id="361" w:name="xdx_8BD_zqcUKHoZucWh"/>
      <w:bookmarkEnd w:id="361"/>
      <w:r>
        <w:rPr>
          <w:rFonts w:ascii="Times New Roman;Times;Serif" w:hAnsi="Times New Roman;Times;Serif"/>
          <w:b w:val="false"/>
          <w:i w:val="false"/>
          <w:caps w:val="false"/>
          <w:smallCaps w:val="false"/>
          <w:sz w:val="20"/>
        </w:rPr>
        <w:t>Schedule of Equipment Held for Sale</w:t>
      </w:r>
    </w:p>
    <w:tbl>
      <w:tblPr>
        <w:tblW w:w="4508" w:type="dxa"/>
        <w:jc w:val="left"/>
        <w:tblInd w:w="0" w:type="dxa"/>
        <w:tblCellMar>
          <w:top w:w="0" w:type="dxa"/>
          <w:left w:w="0" w:type="dxa"/>
          <w:bottom w:w="0" w:type="dxa"/>
          <w:right w:w="0" w:type="dxa"/>
        </w:tblCellMar>
      </w:tblPr>
      <w:tblGrid>
        <w:gridCol w:w="2285"/>
        <w:gridCol w:w="60"/>
        <w:gridCol w:w="195"/>
        <w:gridCol w:w="529"/>
        <w:gridCol w:w="95"/>
        <w:gridCol w:w="60"/>
        <w:gridCol w:w="315"/>
        <w:gridCol w:w="859"/>
        <w:gridCol w:w="110"/>
      </w:tblGrid>
      <w:tr>
        <w:trPr/>
        <w:tc>
          <w:tcPr>
            <w:tcW w:w="22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62" w:name="xdx_49C_20210630_zPa9MwC7pkk3"/>
            <w:bookmarkEnd w:id="362"/>
          </w:p>
        </w:tc>
        <w:tc>
          <w:tcPr>
            <w:tcW w:w="72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63" w:name="xdx_494_20201231_znxpBbmfpRyg"/>
            <w:bookmarkEnd w:id="363"/>
          </w:p>
        </w:tc>
        <w:tc>
          <w:tcPr>
            <w:tcW w:w="117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110" w:type="dxa"/>
            <w:tcBorders/>
            <w:shd w:fill="auto" w:val="clear"/>
            <w:vAlign w:val="center"/>
          </w:tcPr>
          <w:p>
            <w:pPr>
              <w:pStyle w:val="TableContents"/>
              <w:spacing w:before="0" w:after="283"/>
              <w:rPr/>
            </w:pPr>
            <w:r>
              <w:rPr/>
              <w:t> </w:t>
            </w:r>
            <w:bookmarkStart w:id="364" w:name="xdx_406_eus-gaap--DisposalGroupIncluding"/>
            <w:bookmarkEnd w:id="364"/>
          </w:p>
        </w:tc>
      </w:tr>
      <w:tr>
        <w:trPr/>
        <w:tc>
          <w:tcPr>
            <w:tcW w:w="2285" w:type="dxa"/>
            <w:tcBorders/>
            <w:shd w:fill="CCEEFF" w:val="clear"/>
            <w:vAlign w:val="center"/>
          </w:tcPr>
          <w:p>
            <w:pPr>
              <w:pStyle w:val="TableContents"/>
              <w:spacing w:before="0" w:after="283"/>
              <w:jc w:val="left"/>
              <w:rPr/>
            </w:pPr>
            <w:r>
              <w:rPr/>
              <w:t>Equipment held for sale</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jc w:val="left"/>
              <w:rPr/>
            </w:pPr>
            <w:r>
              <w:rPr/>
              <w:t>$</w:t>
            </w:r>
          </w:p>
        </w:tc>
        <w:tc>
          <w:tcPr>
            <w:tcW w:w="529" w:type="dxa"/>
            <w:tcBorders/>
            <w:shd w:fill="CCEEFF" w:val="clear"/>
            <w:vAlign w:val="center"/>
          </w:tcPr>
          <w:p>
            <w:pPr>
              <w:pStyle w:val="TableContents"/>
              <w:spacing w:before="0" w:after="283"/>
              <w:jc w:val="right"/>
              <w:rPr/>
            </w:pPr>
            <w:r>
              <w:rPr/>
              <w:t>163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5" w:type="dxa"/>
            <w:tcBorders/>
            <w:shd w:fill="CCEEFF" w:val="clear"/>
            <w:vAlign w:val="center"/>
          </w:tcPr>
          <w:p>
            <w:pPr>
              <w:pStyle w:val="TableContents"/>
              <w:spacing w:before="0" w:after="283"/>
              <w:jc w:val="left"/>
              <w:rPr/>
            </w:pPr>
            <w:r>
              <w:rPr/>
              <w:t>$</w:t>
            </w:r>
          </w:p>
        </w:tc>
        <w:tc>
          <w:tcPr>
            <w:tcW w:w="859" w:type="dxa"/>
            <w:tcBorders/>
            <w:shd w:fill="CCEEFF" w:val="clear"/>
            <w:vAlign w:val="center"/>
          </w:tcPr>
          <w:p>
            <w:pPr>
              <w:pStyle w:val="TableContents"/>
              <w:spacing w:before="0" w:after="283"/>
              <w:jc w:val="right"/>
              <w:rPr/>
            </w:pPr>
            <w:r>
              <w:rPr/>
              <w:t>163</w:t>
            </w:r>
          </w:p>
        </w:tc>
        <w:tc>
          <w:tcPr>
            <w:tcW w:w="110" w:type="dxa"/>
            <w:tcBorders/>
            <w:shd w:fill="CCEEFF" w:val="clear"/>
            <w:vAlign w:val="center"/>
          </w:tcPr>
          <w:p>
            <w:pPr>
              <w:pStyle w:val="TableContents"/>
              <w:spacing w:before="0" w:after="283"/>
              <w:jc w:val="left"/>
              <w:rPr/>
            </w:pPr>
            <w:r>
              <w:rPr/>
              <w:t> </w:t>
            </w:r>
            <w:bookmarkStart w:id="365" w:name="xdx_40D_eus-gaap--RestructuringReserve_i"/>
            <w:bookmarkEnd w:id="365"/>
          </w:p>
        </w:tc>
      </w:tr>
      <w:tr>
        <w:trPr/>
        <w:tc>
          <w:tcPr>
            <w:tcW w:w="2285" w:type="dxa"/>
            <w:tcBorders/>
            <w:shd w:fill="FFFFFF" w:val="clear"/>
            <w:vAlign w:val="center"/>
          </w:tcPr>
          <w:p>
            <w:pPr>
              <w:pStyle w:val="TableContents"/>
              <w:spacing w:before="0" w:after="283"/>
              <w:rPr/>
            </w:pPr>
            <w:r>
              <w:rPr/>
              <w:t>Reserve</w:t>
            </w:r>
          </w:p>
        </w:tc>
        <w:tc>
          <w:tcPr>
            <w:tcW w:w="60" w:type="dxa"/>
            <w:tcBorders/>
            <w:shd w:fill="FFFFFF" w:val="clear"/>
            <w:vAlign w:val="center"/>
          </w:tcPr>
          <w:p>
            <w:pPr>
              <w:pStyle w:val="TableContents"/>
              <w:spacing w:before="0" w:after="283"/>
              <w:rPr/>
            </w:pPr>
            <w:r>
              <w:rPr/>
              <w:t> </w:t>
            </w:r>
          </w:p>
        </w:tc>
        <w:tc>
          <w:tcPr>
            <w:tcW w:w="19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29" w:type="dxa"/>
            <w:tcBorders>
              <w:bottom w:val="single" w:sz="12" w:space="0" w:color="000000"/>
            </w:tcBorders>
            <w:shd w:fill="FFFFFF" w:val="clear"/>
            <w:tcMar>
              <w:bottom w:w="28" w:type="dxa"/>
            </w:tcMar>
            <w:vAlign w:val="center"/>
          </w:tcPr>
          <w:p>
            <w:pPr>
              <w:pStyle w:val="TableContents"/>
              <w:spacing w:before="0" w:after="283"/>
              <w:jc w:val="right"/>
              <w:rPr/>
            </w:pPr>
            <w:r>
              <w:rPr/>
              <w:t>(96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3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spacing w:before="0" w:after="283"/>
              <w:jc w:val="right"/>
              <w:rPr/>
            </w:pPr>
            <w:r>
              <w:rPr/>
              <w:t>(96</w:t>
            </w:r>
          </w:p>
        </w:tc>
        <w:tc>
          <w:tcPr>
            <w:tcW w:w="110" w:type="dxa"/>
            <w:tcBorders/>
            <w:shd w:fill="FFFFFF" w:val="clear"/>
            <w:vAlign w:val="center"/>
          </w:tcPr>
          <w:p>
            <w:pPr>
              <w:pStyle w:val="TableContents"/>
              <w:spacing w:before="0" w:after="283"/>
              <w:jc w:val="left"/>
              <w:rPr/>
            </w:pPr>
            <w:r>
              <w:rPr/>
              <w:t>)</w:t>
            </w:r>
            <w:bookmarkStart w:id="366" w:name="xdx_40A_eus-gaap--AssetsHeldForSaleNotPa"/>
            <w:bookmarkEnd w:id="366"/>
          </w:p>
        </w:tc>
      </w:tr>
      <w:tr>
        <w:trPr/>
        <w:tc>
          <w:tcPr>
            <w:tcW w:w="2285" w:type="dxa"/>
            <w:tcBorders/>
            <w:shd w:fill="CCEEFF" w:val="clear"/>
            <w:vAlign w:val="center"/>
          </w:tcPr>
          <w:p>
            <w:pPr>
              <w:pStyle w:val="TableContents"/>
              <w:spacing w:before="0" w:after="283"/>
              <w:rPr/>
            </w:pPr>
            <w:r>
              <w:rPr/>
              <w:t>Net book value</w:t>
            </w:r>
          </w:p>
        </w:tc>
        <w:tc>
          <w:tcPr>
            <w:tcW w:w="60" w:type="dxa"/>
            <w:tcBorders/>
            <w:shd w:fill="CCEEFF" w:val="clear"/>
            <w:vAlign w:val="center"/>
          </w:tcPr>
          <w:p>
            <w:pPr>
              <w:pStyle w:val="TableContents"/>
              <w:spacing w:before="0" w:after="283"/>
              <w:rPr/>
            </w:pPr>
            <w:r>
              <w:rPr/>
              <w:t> </w:t>
            </w:r>
          </w:p>
        </w:tc>
        <w:tc>
          <w:tcPr>
            <w:tcW w:w="19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529" w:type="dxa"/>
            <w:tcBorders>
              <w:bottom w:val="double" w:sz="6" w:space="0" w:color="000000"/>
            </w:tcBorders>
            <w:shd w:fill="CCEEFF" w:val="clear"/>
            <w:tcMar>
              <w:bottom w:w="28" w:type="dxa"/>
            </w:tcMar>
            <w:vAlign w:val="center"/>
          </w:tcPr>
          <w:p>
            <w:pPr>
              <w:pStyle w:val="TableContents"/>
              <w:spacing w:before="0" w:after="283"/>
              <w:jc w:val="right"/>
              <w:rPr/>
            </w:pPr>
            <w:r>
              <w:rPr/>
              <w:t>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859" w:type="dxa"/>
            <w:tcBorders>
              <w:bottom w:val="double" w:sz="6" w:space="0" w:color="000000"/>
            </w:tcBorders>
            <w:shd w:fill="CCEEFF" w:val="clear"/>
            <w:tcMar>
              <w:bottom w:w="28" w:type="dxa"/>
            </w:tcMar>
            <w:vAlign w:val="center"/>
          </w:tcPr>
          <w:p>
            <w:pPr>
              <w:pStyle w:val="TableContents"/>
              <w:spacing w:before="0" w:after="283"/>
              <w:jc w:val="right"/>
              <w:rPr/>
            </w:pPr>
            <w:r>
              <w:rPr/>
              <w:t>67</w:t>
            </w:r>
          </w:p>
        </w:tc>
        <w:tc>
          <w:tcPr>
            <w:tcW w:w="110"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bookmarkStart w:id="367" w:name="xdx_8AC_zfe2q2j5ME99"/>
      <w:bookmarkEnd w:id="367"/>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as of June 30, 2021, and December 31, 2020, consists of residual manufacturing equipment, at estimated net realizable value, which management anticipates selling during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68" w:name="xdx_80E_eus-gaap--IntangibleAssetsDisclo"/>
      <w:bookmarkEnd w:id="368"/>
      <w:r>
        <w:rPr>
          <w:rFonts w:ascii="Times New Roman;Times;Serif" w:hAnsi="Times New Roman;Times;Serif"/>
          <w:b/>
          <w:i w:val="false"/>
          <w:caps w:val="false"/>
          <w:smallCaps w:val="false"/>
          <w:sz w:val="20"/>
        </w:rPr>
        <w:t xml:space="preserve">5. </w:t>
      </w:r>
      <w:bookmarkStart w:id="369" w:name="xdx_82A_zSyOfBAZ7WK7"/>
      <w:bookmarkEnd w:id="369"/>
      <w:r>
        <w:rPr>
          <w:rFonts w:ascii="Times New Roman;Times;Serif" w:hAnsi="Times New Roman;Times;Serif"/>
          <w:b/>
          <w:i w:val="false"/>
          <w:caps w:val="false"/>
          <w:smallCaps w:val="false"/>
          <w:sz w:val="20"/>
        </w:rPr>
        <w:t>Intangible Assets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are comprised of brand names acquired, specifically Virgil’s, and costs related to trademarks. They have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assessment, there were </w:t>
      </w:r>
      <w:bookmarkStart w:id="370" w:name="xdx_909_eus-gaap--ImpairmentOfIntangible"/>
      <w:bookmarkEnd w:id="370"/>
      <w:r>
        <w:rPr>
          <w:rFonts w:ascii="Times New Roman;Times;Serif" w:hAnsi="Times New Roman;Times;Serif"/>
          <w:b w:val="false"/>
          <w:i w:val="false"/>
          <w:caps w:val="false"/>
          <w:smallCaps w:val="false"/>
          <w:sz w:val="20"/>
        </w:rPr>
        <w:t>no indications of impairment at June 30,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2021, the Company capitalized costs of $</w:t>
      </w:r>
      <w:bookmarkStart w:id="371" w:name="xdx_903_eus-gaap--FiniteLivedIntangibleA"/>
      <w:bookmarkEnd w:id="371"/>
      <w:r>
        <w:rPr>
          <w:rFonts w:ascii="Times New Roman;Times;Serif" w:hAnsi="Times New Roman;Times;Serif"/>
          <w:b w:val="false"/>
          <w:i w:val="false"/>
          <w:caps w:val="false"/>
          <w:smallCaps w:val="false"/>
          <w:sz w:val="20"/>
        </w:rPr>
        <w:t>6 pertaining to legal and other fees incurred in applying for international trademarks for Reeds and Virgil’s brands.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bookmarkStart w:id="372" w:name="xdx_897_eus-gaap--ScheduleOfIndefiniteLi"/>
      <w:bookmarkEnd w:id="372"/>
      <w:r>
        <w:rPr>
          <w:rFonts w:ascii="Times New Roman;Times;Serif" w:hAnsi="Times New Roman;Times;Serif"/>
          <w:b w:val="false"/>
          <w:i w:val="false"/>
          <w:caps w:val="false"/>
          <w:smallCaps w:val="false"/>
          <w:sz w:val="20"/>
        </w:rPr>
        <w:t>Intangible assets consist of the following (in thousands):</w:t>
      </w:r>
    </w:p>
    <w:p>
      <w:pPr>
        <w:pStyle w:val="TextBody"/>
        <w:jc w:val="both"/>
        <w:rPr>
          <w:rFonts w:ascii="Times New Roman;Times;Serif" w:hAnsi="Times New Roman;Times;Serif"/>
          <w:b w:val="false"/>
          <w:i w:val="false"/>
          <w:caps w:val="false"/>
          <w:smallCaps w:val="false"/>
          <w:sz w:val="20"/>
        </w:rPr>
      </w:pPr>
      <w:bookmarkStart w:id="373" w:name="xdx_8BD_zfyokh24jGE8"/>
      <w:bookmarkEnd w:id="373"/>
      <w:r>
        <w:rPr>
          <w:rFonts w:ascii="Times New Roman;Times;Serif" w:hAnsi="Times New Roman;Times;Serif"/>
          <w:b w:val="false"/>
          <w:i w:val="false"/>
          <w:caps w:val="false"/>
          <w:smallCaps w:val="false"/>
          <w:sz w:val="20"/>
        </w:rPr>
        <w:t>Summary of Intangible Assets </w:t>
      </w:r>
    </w:p>
    <w:tbl>
      <w:tblPr>
        <w:tblW w:w="3433" w:type="dxa"/>
        <w:jc w:val="left"/>
        <w:tblInd w:w="0" w:type="dxa"/>
        <w:tblCellMar>
          <w:top w:w="0" w:type="dxa"/>
          <w:left w:w="0" w:type="dxa"/>
          <w:bottom w:w="0" w:type="dxa"/>
          <w:right w:w="0" w:type="dxa"/>
        </w:tblCellMar>
      </w:tblPr>
      <w:tblGrid>
        <w:gridCol w:w="1280"/>
        <w:gridCol w:w="60"/>
        <w:gridCol w:w="195"/>
        <w:gridCol w:w="529"/>
        <w:gridCol w:w="60"/>
        <w:gridCol w:w="60"/>
        <w:gridCol w:w="315"/>
        <w:gridCol w:w="859"/>
        <w:gridCol w:w="75"/>
      </w:tblGrid>
      <w:tr>
        <w:trPr/>
        <w:tc>
          <w:tcPr>
            <w:tcW w:w="12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74" w:name="xdx_493_20210630_zlfExezh7zJk"/>
            <w:bookmarkEnd w:id="374"/>
          </w:p>
        </w:tc>
        <w:tc>
          <w:tcPr>
            <w:tcW w:w="72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75" w:name="xdx_498_20201231_zW1x8im0TPeh"/>
            <w:bookmarkEnd w:id="375"/>
          </w:p>
        </w:tc>
        <w:tc>
          <w:tcPr>
            <w:tcW w:w="117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75" w:type="dxa"/>
            <w:tcBorders/>
            <w:shd w:fill="auto" w:val="clear"/>
            <w:vAlign w:val="center"/>
          </w:tcPr>
          <w:p>
            <w:pPr>
              <w:pStyle w:val="TableContents"/>
              <w:spacing w:before="0" w:after="283"/>
              <w:rPr/>
            </w:pPr>
            <w:r>
              <w:rPr/>
              <w:t> </w:t>
            </w:r>
            <w:bookmarkStart w:id="376" w:name="xdx_408_eus-gaap--IndefiniteLivedTradeNa"/>
            <w:bookmarkEnd w:id="376"/>
          </w:p>
        </w:tc>
      </w:tr>
      <w:tr>
        <w:trPr/>
        <w:tc>
          <w:tcPr>
            <w:tcW w:w="1280" w:type="dxa"/>
            <w:tcBorders/>
            <w:shd w:fill="CCEEFF" w:val="clear"/>
            <w:vAlign w:val="center"/>
          </w:tcPr>
          <w:p>
            <w:pPr>
              <w:pStyle w:val="TableContents"/>
              <w:spacing w:before="0" w:after="283"/>
              <w:jc w:val="left"/>
              <w:rPr/>
            </w:pPr>
            <w:r>
              <w:rPr/>
              <w:t>Brand names</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jc w:val="left"/>
              <w:rPr/>
            </w:pPr>
            <w:r>
              <w:rPr/>
              <w:t>$</w:t>
            </w:r>
          </w:p>
        </w:tc>
        <w:tc>
          <w:tcPr>
            <w:tcW w:w="529" w:type="dxa"/>
            <w:tcBorders/>
            <w:shd w:fill="CCEEFF" w:val="clear"/>
            <w:vAlign w:val="center"/>
          </w:tcPr>
          <w:p>
            <w:pPr>
              <w:pStyle w:val="TableContents"/>
              <w:spacing w:before="0" w:after="283"/>
              <w:jc w:val="right"/>
              <w:rPr/>
            </w:pPr>
            <w:r>
              <w:rPr/>
              <w:t>576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5" w:type="dxa"/>
            <w:tcBorders/>
            <w:shd w:fill="CCEEFF" w:val="clear"/>
            <w:vAlign w:val="center"/>
          </w:tcPr>
          <w:p>
            <w:pPr>
              <w:pStyle w:val="TableContents"/>
              <w:spacing w:before="0" w:after="283"/>
              <w:jc w:val="left"/>
              <w:rPr/>
            </w:pPr>
            <w:r>
              <w:rPr/>
              <w:t>$</w:t>
            </w:r>
          </w:p>
        </w:tc>
        <w:tc>
          <w:tcPr>
            <w:tcW w:w="859" w:type="dxa"/>
            <w:tcBorders/>
            <w:shd w:fill="CCEEFF" w:val="clear"/>
            <w:vAlign w:val="center"/>
          </w:tcPr>
          <w:p>
            <w:pPr>
              <w:pStyle w:val="TableContents"/>
              <w:spacing w:before="0" w:after="283"/>
              <w:jc w:val="right"/>
              <w:rPr/>
            </w:pPr>
            <w:r>
              <w:rPr/>
              <w:t>576</w:t>
            </w:r>
          </w:p>
        </w:tc>
        <w:tc>
          <w:tcPr>
            <w:tcW w:w="75" w:type="dxa"/>
            <w:tcBorders/>
            <w:shd w:fill="CCEEFF" w:val="clear"/>
            <w:vAlign w:val="center"/>
          </w:tcPr>
          <w:p>
            <w:pPr>
              <w:pStyle w:val="TableContents"/>
              <w:spacing w:before="0" w:after="283"/>
              <w:jc w:val="left"/>
              <w:rPr/>
            </w:pPr>
            <w:r>
              <w:rPr/>
              <w:t> </w:t>
            </w:r>
            <w:bookmarkStart w:id="377" w:name="xdx_400_eus-gaap--IndefiniteLivedTradema"/>
            <w:bookmarkEnd w:id="377"/>
          </w:p>
        </w:tc>
      </w:tr>
      <w:tr>
        <w:trPr/>
        <w:tc>
          <w:tcPr>
            <w:tcW w:w="1280" w:type="dxa"/>
            <w:tcBorders/>
            <w:shd w:fill="FFFFFF" w:val="clear"/>
            <w:vAlign w:val="center"/>
          </w:tcPr>
          <w:p>
            <w:pPr>
              <w:pStyle w:val="TableContents"/>
              <w:spacing w:before="0" w:after="283"/>
              <w:rPr/>
            </w:pPr>
            <w:r>
              <w:rPr/>
              <w:t>Trademarks</w:t>
            </w:r>
          </w:p>
        </w:tc>
        <w:tc>
          <w:tcPr>
            <w:tcW w:w="60" w:type="dxa"/>
            <w:tcBorders/>
            <w:shd w:fill="FFFFFF" w:val="clear"/>
            <w:vAlign w:val="center"/>
          </w:tcPr>
          <w:p>
            <w:pPr>
              <w:pStyle w:val="TableContents"/>
              <w:spacing w:before="0" w:after="283"/>
              <w:rPr/>
            </w:pPr>
            <w:r>
              <w:rPr/>
              <w:t> </w:t>
            </w:r>
          </w:p>
        </w:tc>
        <w:tc>
          <w:tcPr>
            <w:tcW w:w="19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29" w:type="dxa"/>
            <w:tcBorders>
              <w:bottom w:val="single" w:sz="12" w:space="0" w:color="000000"/>
            </w:tcBorders>
            <w:shd w:fill="FFFFFF" w:val="clear"/>
            <w:tcMar>
              <w:bottom w:w="28" w:type="dxa"/>
            </w:tcMar>
            <w:vAlign w:val="center"/>
          </w:tcPr>
          <w:p>
            <w:pPr>
              <w:pStyle w:val="TableContents"/>
              <w:spacing w:before="0" w:after="283"/>
              <w:jc w:val="right"/>
              <w:rPr/>
            </w:pPr>
            <w:r>
              <w:rPr/>
              <w:t>45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15"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859" w:type="dxa"/>
            <w:tcBorders>
              <w:bottom w:val="single" w:sz="12" w:space="0" w:color="000000"/>
            </w:tcBorders>
            <w:shd w:fill="FFFFFF" w:val="clear"/>
            <w:tcMar>
              <w:bottom w:w="28" w:type="dxa"/>
            </w:tcMar>
            <w:vAlign w:val="center"/>
          </w:tcPr>
          <w:p>
            <w:pPr>
              <w:pStyle w:val="TableContents"/>
              <w:spacing w:before="0" w:after="283"/>
              <w:jc w:val="right"/>
              <w:rPr/>
            </w:pPr>
            <w:r>
              <w:rPr/>
              <w:t>39</w:t>
            </w:r>
          </w:p>
        </w:tc>
        <w:tc>
          <w:tcPr>
            <w:tcW w:w="75" w:type="dxa"/>
            <w:tcBorders/>
            <w:shd w:fill="FFFFFF" w:val="clear"/>
            <w:vAlign w:val="center"/>
          </w:tcPr>
          <w:p>
            <w:pPr>
              <w:pStyle w:val="TableContents"/>
              <w:spacing w:before="0" w:after="283"/>
              <w:jc w:val="left"/>
              <w:rPr/>
            </w:pPr>
            <w:r>
              <w:rPr/>
              <w:t> </w:t>
            </w:r>
            <w:bookmarkStart w:id="378" w:name="xdx_40B_eus-gaap--IndefiniteLivedIntangi"/>
            <w:bookmarkEnd w:id="378"/>
          </w:p>
        </w:tc>
      </w:tr>
      <w:tr>
        <w:trPr/>
        <w:tc>
          <w:tcPr>
            <w:tcW w:w="1280" w:type="dxa"/>
            <w:tcBorders/>
            <w:shd w:fill="CCEEFF" w:val="clear"/>
            <w:vAlign w:val="center"/>
          </w:tcPr>
          <w:p>
            <w:pPr>
              <w:pStyle w:val="TableContents"/>
              <w:spacing w:before="0" w:after="283"/>
              <w:rPr/>
            </w:pPr>
            <w:r>
              <w:rPr/>
              <w:t>Total</w:t>
            </w:r>
          </w:p>
        </w:tc>
        <w:tc>
          <w:tcPr>
            <w:tcW w:w="60" w:type="dxa"/>
            <w:tcBorders/>
            <w:shd w:fill="CCEEFF" w:val="clear"/>
            <w:vAlign w:val="center"/>
          </w:tcPr>
          <w:p>
            <w:pPr>
              <w:pStyle w:val="TableContents"/>
              <w:spacing w:before="0" w:after="283"/>
              <w:rPr/>
            </w:pPr>
            <w:r>
              <w:rPr/>
              <w:t> </w:t>
            </w:r>
          </w:p>
        </w:tc>
        <w:tc>
          <w:tcPr>
            <w:tcW w:w="19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529" w:type="dxa"/>
            <w:tcBorders>
              <w:bottom w:val="double" w:sz="6" w:space="0" w:color="000000"/>
            </w:tcBorders>
            <w:shd w:fill="CCEEFF" w:val="clear"/>
            <w:tcMar>
              <w:bottom w:w="28" w:type="dxa"/>
            </w:tcMar>
            <w:vAlign w:val="center"/>
          </w:tcPr>
          <w:p>
            <w:pPr>
              <w:pStyle w:val="TableContents"/>
              <w:spacing w:before="0" w:after="283"/>
              <w:jc w:val="right"/>
              <w:rPr/>
            </w:pPr>
            <w:r>
              <w:rPr/>
              <w:t>621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1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859" w:type="dxa"/>
            <w:tcBorders>
              <w:bottom w:val="double" w:sz="6" w:space="0" w:color="000000"/>
            </w:tcBorders>
            <w:shd w:fill="CCEEFF" w:val="clear"/>
            <w:tcMar>
              <w:bottom w:w="28" w:type="dxa"/>
            </w:tcMar>
            <w:vAlign w:val="center"/>
          </w:tcPr>
          <w:p>
            <w:pPr>
              <w:pStyle w:val="TableContents"/>
              <w:spacing w:before="0" w:after="283"/>
              <w:jc w:val="right"/>
              <w:rPr/>
            </w:pPr>
            <w:r>
              <w:rPr/>
              <w:t>615</w:t>
            </w:r>
          </w:p>
        </w:tc>
        <w:tc>
          <w:tcPr>
            <w:tcW w:w="75" w:type="dxa"/>
            <w:tcBorders/>
            <w:shd w:fill="CCEEFF" w:val="clear"/>
            <w:vAlign w:val="center"/>
          </w:tcPr>
          <w:p>
            <w:pPr>
              <w:pStyle w:val="TableContents"/>
              <w:spacing w:before="0" w:after="283"/>
              <w:jc w:val="left"/>
              <w:rPr/>
            </w:pPr>
            <w:r>
              <w:rPr/>
              <w:t> </w:t>
            </w:r>
          </w:p>
        </w:tc>
      </w:tr>
    </w:tbl>
    <w:p>
      <w:pPr>
        <w:pStyle w:val="TextBody"/>
        <w:jc w:val="center"/>
        <w:rPr>
          <w:caps w:val="false"/>
          <w:smallCaps w:val="false"/>
        </w:rPr>
      </w:pPr>
      <w:bookmarkStart w:id="379" w:name="xdx_8A1_zmo15MrP5JU2"/>
      <w:bookmarkEnd w:id="379"/>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F-10</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380" w:name="xdx_809_eus-gaap--ShortTermDebtTextBlock"/>
      <w:bookmarkEnd w:id="380"/>
      <w:r>
        <w:rPr>
          <w:rFonts w:ascii="Times New Roman;Times;Serif" w:hAnsi="Times New Roman;Times;Serif"/>
          <w:b/>
          <w:i w:val="false"/>
          <w:caps w:val="false"/>
          <w:smallCaps w:val="false"/>
          <w:sz w:val="20"/>
        </w:rPr>
        <w:t xml:space="preserve">6. </w:t>
      </w:r>
      <w:bookmarkStart w:id="381" w:name="xdx_827_zp5gnERGYuvg"/>
      <w:bookmarkEnd w:id="381"/>
      <w:r>
        <w:rPr>
          <w:rFonts w:ascii="Times New Roman;Times;Serif" w:hAnsi="Times New Roman;Times;Serif"/>
          <w:b/>
          <w:i w:val="false"/>
          <w:caps w:val="false"/>
          <w:smallCaps w:val="false"/>
          <w:sz w:val="20"/>
        </w:rPr>
        <w:t>Line of Credit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bookmarkStart w:id="382" w:name="xdx_89E_eus-gaap--ScheduleOfLineOfCredit"/>
      <w:bookmarkEnd w:id="382"/>
      <w:r>
        <w:rPr>
          <w:rFonts w:ascii="Times New Roman;Times;Serif" w:hAnsi="Times New Roman;Times;Serif"/>
          <w:b w:val="false"/>
          <w:i w:val="false"/>
          <w:caps w:val="false"/>
          <w:smallCaps w:val="false"/>
          <w:sz w:val="20"/>
        </w:rPr>
        <w:t>Amounts outstanding under the Company’s credit facilities are as follows (in thousands):</w:t>
      </w:r>
    </w:p>
    <w:p>
      <w:pPr>
        <w:pStyle w:val="TextBody"/>
        <w:jc w:val="both"/>
        <w:rPr>
          <w:caps w:val="false"/>
          <w:smallCaps w:val="false"/>
        </w:rPr>
      </w:pPr>
      <w:r>
        <w:rPr>
          <w:caps w:val="false"/>
          <w:smallCaps w:val="false"/>
        </w:rPr>
        <w:t> </w:t>
      </w:r>
      <w:bookmarkStart w:id="383" w:name="xdx_8B9_zg9TmMOUwGlh"/>
      <w:bookmarkEnd w:id="383"/>
      <w:r>
        <w:rPr>
          <w:rFonts w:ascii="Times New Roman;Times;Serif" w:hAnsi="Times New Roman;Times;Serif"/>
          <w:b w:val="false"/>
          <w:i w:val="false"/>
          <w:caps w:val="false"/>
          <w:smallCaps w:val="false"/>
          <w:sz w:val="20"/>
        </w:rPr>
        <w:t>Schedule of Amount Outstanding Under Credit Facilities</w:t>
      </w:r>
    </w:p>
    <w:tbl>
      <w:tblPr>
        <w:tblW w:w="3464" w:type="dxa"/>
        <w:jc w:val="left"/>
        <w:tblInd w:w="0" w:type="dxa"/>
        <w:tblCellMar>
          <w:top w:w="0" w:type="dxa"/>
          <w:left w:w="0" w:type="dxa"/>
          <w:bottom w:w="0" w:type="dxa"/>
          <w:right w:w="0" w:type="dxa"/>
        </w:tblCellMar>
      </w:tblPr>
      <w:tblGrid>
        <w:gridCol w:w="1310"/>
        <w:gridCol w:w="60"/>
        <w:gridCol w:w="145"/>
        <w:gridCol w:w="580"/>
        <w:gridCol w:w="60"/>
        <w:gridCol w:w="60"/>
        <w:gridCol w:w="699"/>
        <w:gridCol w:w="475"/>
        <w:gridCol w:w="75"/>
      </w:tblGrid>
      <w:tr>
        <w:trPr/>
        <w:tc>
          <w:tcPr>
            <w:tcW w:w="13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84" w:name="xdx_498_20210630_zr2hMW84gPt2"/>
            <w:bookmarkEnd w:id="384"/>
          </w:p>
        </w:tc>
        <w:tc>
          <w:tcPr>
            <w:tcW w:w="725"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bookmarkStart w:id="385" w:name="xdx_499_20201231_zQg2LY3c2hkd"/>
            <w:bookmarkEnd w:id="385"/>
          </w:p>
        </w:tc>
        <w:tc>
          <w:tcPr>
            <w:tcW w:w="1174"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75" w:type="dxa"/>
            <w:tcBorders/>
            <w:shd w:fill="auto" w:val="clear"/>
            <w:vAlign w:val="center"/>
          </w:tcPr>
          <w:p>
            <w:pPr>
              <w:pStyle w:val="TableContents"/>
              <w:spacing w:before="0" w:after="283"/>
              <w:rPr/>
            </w:pPr>
            <w:r>
              <w:rPr/>
              <w:t> </w:t>
            </w:r>
            <w:bookmarkStart w:id="386" w:name="xdx_40B_eus-gaap--LinesOfCreditCurrent_i"/>
            <w:bookmarkEnd w:id="386"/>
          </w:p>
        </w:tc>
      </w:tr>
      <w:tr>
        <w:trPr/>
        <w:tc>
          <w:tcPr>
            <w:tcW w:w="1310" w:type="dxa"/>
            <w:tcBorders/>
            <w:shd w:fill="CCEEFF" w:val="clear"/>
            <w:vAlign w:val="center"/>
          </w:tcPr>
          <w:p>
            <w:pPr>
              <w:pStyle w:val="TableContents"/>
              <w:spacing w:before="0" w:after="283"/>
              <w:rPr/>
            </w:pPr>
            <w:r>
              <w:rPr/>
              <w:t>Line of credit</w:t>
            </w:r>
          </w:p>
        </w:tc>
        <w:tc>
          <w:tcPr>
            <w:tcW w:w="60" w:type="dxa"/>
            <w:tcBorders/>
            <w:shd w:fill="CCEEFF" w:val="clear"/>
            <w:vAlign w:val="center"/>
          </w:tcPr>
          <w:p>
            <w:pPr>
              <w:pStyle w:val="TableContents"/>
              <w:spacing w:before="0" w:after="283"/>
              <w:rPr/>
            </w:pPr>
            <w:r>
              <w:rPr/>
              <w:t> </w:t>
            </w:r>
          </w:p>
        </w:tc>
        <w:tc>
          <w:tcPr>
            <w:tcW w:w="145"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580" w:type="dxa"/>
            <w:tcBorders>
              <w:bottom w:val="double" w:sz="6" w:space="0" w:color="000000"/>
            </w:tcBorders>
            <w:shd w:fill="CCEEFF" w:val="clear"/>
            <w:tcMar>
              <w:bottom w:w="28" w:type="dxa"/>
            </w:tcMar>
            <w:vAlign w:val="center"/>
          </w:tcPr>
          <w:p>
            <w:pPr>
              <w:pStyle w:val="TableContents"/>
              <w:spacing w:before="0" w:after="283"/>
              <w:jc w:val="right"/>
              <w:rPr/>
            </w:pPr>
            <w:r>
              <w:rPr/>
              <w:t>2,939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99"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475"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bookmarkStart w:id="387" w:name="xdx_8A5_zPTMF92JlhHb"/>
      <w:bookmarkEnd w:id="387"/>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2018, the Company entered into a financing agreement with Rosenthal &amp; Rosenthal, Inc. (“Rosenthal”). The financing agreement provides a maximum borrowing capacity of $</w:t>
      </w:r>
      <w:bookmarkStart w:id="388" w:name="xdx_902_eus-gaap--LineOfCreditFacilityMa"/>
      <w:bookmarkEnd w:id="388"/>
      <w:r>
        <w:rPr>
          <w:rFonts w:ascii="Times New Roman;Times;Serif" w:hAnsi="Times New Roman;Times;Serif"/>
          <w:b w:val="false"/>
          <w:i w:val="false"/>
          <w:caps w:val="false"/>
          <w:smallCaps w:val="false"/>
          <w:sz w:val="20"/>
        </w:rPr>
        <w:t>13,000. Borrowings are based on a formula of eligible accounts receivable and inventories (the “permitted borrowings”) plus advances (an “over-advance” of up to $</w:t>
      </w:r>
      <w:bookmarkStart w:id="389" w:name="xdx_901_ecustom--LineOfCreditFacilityExc"/>
      <w:bookmarkEnd w:id="389"/>
      <w:r>
        <w:rPr>
          <w:rFonts w:ascii="Times New Roman;Times;Serif" w:hAnsi="Times New Roman;Times;Serif"/>
          <w:b w:val="false"/>
          <w:i w:val="false"/>
          <w:caps w:val="false"/>
          <w:smallCaps w:val="false"/>
          <w:sz w:val="20"/>
        </w:rPr>
        <w:t>4,000) in excess of permitted borrowings. At June 30, 2021, the unused borrowing capacity under the financing agreement was $</w:t>
      </w:r>
      <w:bookmarkStart w:id="390" w:name="xdx_90B_eus-gaap--LineOfCreditFacilityRe"/>
      <w:bookmarkEnd w:id="390"/>
      <w:r>
        <w:rPr>
          <w:rFonts w:ascii="Times New Roman;Times;Serif" w:hAnsi="Times New Roman;Times;Serif"/>
          <w:b w:val="false"/>
          <w:i w:val="false"/>
          <w:caps w:val="false"/>
          <w:smallCaps w:val="false"/>
          <w:sz w:val="20"/>
        </w:rPr>
        <w:t>4,343. The line of credit automatically renews each year until terminated. The line of credit matured on March 30, 2021, and was automatically renewed to mature on March 30, 2022.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Borrowings under the Rosenthal financing agreement bear interest at the greater of prime or </w:t>
      </w:r>
      <w:bookmarkStart w:id="391" w:name="xdx_908_eus-gaap--LineOfCreditFacilityIn"/>
      <w:bookmarkEnd w:id="391"/>
      <w:r>
        <w:rPr>
          <w:rFonts w:ascii="Times New Roman;Times;Serif" w:hAnsi="Times New Roman;Times;Serif"/>
          <w:b w:val="false"/>
          <w:i w:val="false"/>
          <w:caps w:val="false"/>
          <w:smallCaps w:val="false"/>
          <w:sz w:val="20"/>
        </w:rPr>
        <w:t xml:space="preserve">4.75%, plus an additional </w:t>
      </w:r>
      <w:bookmarkStart w:id="392" w:name="xdx_904_eus-gaap--LineOfCreditFacilityIn"/>
      <w:bookmarkEnd w:id="392"/>
      <w:r>
        <w:rPr>
          <w:rFonts w:ascii="Times New Roman;Times;Serif" w:hAnsi="Times New Roman;Times;Serif"/>
          <w:b w:val="false"/>
          <w:i w:val="false"/>
          <w:caps w:val="false"/>
          <w:smallCaps w:val="false"/>
          <w:sz w:val="20"/>
        </w:rPr>
        <w:t xml:space="preserve">2.0% to </w:t>
      </w:r>
      <w:bookmarkStart w:id="393" w:name="xdx_908_eus-gaap--LineOfCreditFacilityIn"/>
      <w:bookmarkEnd w:id="393"/>
      <w:r>
        <w:rPr>
          <w:rFonts w:ascii="Times New Roman;Times;Serif" w:hAnsi="Times New Roman;Times;Serif"/>
          <w:b w:val="false"/>
          <w:i w:val="false"/>
          <w:caps w:val="false"/>
          <w:smallCaps w:val="false"/>
          <w:sz w:val="20"/>
        </w:rPr>
        <w:t>3.5% depending on whether the borrowing is based upon receivables, inventory or is an over-advance. Additionally, the line of credit is subject to monthly facility and administration fees, and aggregate minimum monthly fees (including interest) of $</w:t>
      </w:r>
      <w:bookmarkStart w:id="394" w:name="xdx_90F_ecustom--MinimumMonthlyFees_pn3n"/>
      <w:bookmarkEnd w:id="394"/>
      <w:r>
        <w:rPr>
          <w:rFonts w:ascii="Times New Roman;Times;Serif" w:hAnsi="Times New Roman;Times;Serif"/>
          <w:b w:val="false"/>
          <w:i w:val="false"/>
          <w:caps w:val="false"/>
          <w:smallCaps w:val="false"/>
          <w:sz w:val="20"/>
        </w:rPr>
        <w:t>4.</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line of credit is secured by substantially all of the assets, excluding intellectual property, of the Company. The over-advance is secured by all of Reed’s intellectual property collateral. Additionally, any over-advance was guaranteed by an irrevocable stand-by letter of credit in the amount of $</w:t>
      </w:r>
      <w:bookmarkStart w:id="395" w:name="xdx_900_ecustom--LetterOfCredit_iI_pn3n3"/>
      <w:bookmarkEnd w:id="395"/>
      <w:r>
        <w:rPr>
          <w:rFonts w:ascii="Times New Roman;Times;Serif" w:hAnsi="Times New Roman;Times;Serif"/>
          <w:b w:val="false"/>
          <w:i w:val="false"/>
          <w:caps w:val="false"/>
          <w:smallCaps w:val="false"/>
          <w:sz w:val="20"/>
        </w:rPr>
        <w:t xml:space="preserve">1,500, issued by Daniel J. Doherty III and the Daniel J. Doherty, III 2002 Family Trust, affiliates of Raptor/Harbor Reeds SPV LLC (“Raptor”). </w:t>
      </w:r>
      <w:bookmarkStart w:id="396" w:name="xdx_900_eus-gaap--LineOfCreditFacilityDe"/>
      <w:bookmarkEnd w:id="396"/>
      <w:r>
        <w:rPr>
          <w:rFonts w:ascii="Times New Roman;Times;Serif" w:hAnsi="Times New Roman;Times;Serif"/>
          <w:b w:val="false"/>
          <w:i w:val="false"/>
          <w:caps w:val="false"/>
          <w:smallCaps w:val="false"/>
          <w:sz w:val="20"/>
        </w:rPr>
        <w:t>On March 11, 2021, the Company entered into an amendment to the financing agreement, releasing that irrevocable standby letter of credit of $1,500 by Raptor with a $2,000 pledge of securities to Rosenthal by John J. Bello and Nancy E. Bello, as Co-Trustees of The John and Nancy Bello Revocable Living Trust.</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John J. Bello, current Chairman and former Interim Chief Executive Officer of Reed’s, is a related party. He is also a greater than </w:t>
      </w:r>
      <w:bookmarkStart w:id="397" w:name="xdx_90E_eus-gaap--EquityMethodInvestment"/>
      <w:bookmarkEnd w:id="397"/>
      <w:r>
        <w:rPr>
          <w:rFonts w:ascii="Times New Roman;Times;Serif" w:hAnsi="Times New Roman;Times;Serif"/>
          <w:b w:val="false"/>
          <w:i w:val="false"/>
          <w:caps w:val="false"/>
          <w:smallCaps w:val="false"/>
          <w:sz w:val="20"/>
        </w:rPr>
        <w:t xml:space="preserve">5% beneficial owner of Reed’s common stock. As consideration for the collateral support, Mr. Bello received </w:t>
      </w:r>
      <w:bookmarkStart w:id="398" w:name="xdx_900_eus-gaap--StockIssuedDuringPerio"/>
      <w:bookmarkEnd w:id="398"/>
      <w:r>
        <w:rPr>
          <w:rFonts w:ascii="Times New Roman;Times;Serif" w:hAnsi="Times New Roman;Times;Serif"/>
          <w:b w:val="false"/>
          <w:i w:val="false"/>
          <w:caps w:val="false"/>
          <w:smallCaps w:val="false"/>
          <w:sz w:val="20"/>
        </w:rPr>
        <w:t>400,000 shares of Reed’s restricted stock. The Company determined the fair value of the 400,000 restricted stock to be $</w:t>
      </w:r>
      <w:bookmarkStart w:id="399" w:name="xdx_906_eus-gaap--StockIssuedDuringPerio"/>
      <w:bookmarkEnd w:id="399"/>
      <w:r>
        <w:rPr>
          <w:rFonts w:ascii="Times New Roman;Times;Serif" w:hAnsi="Times New Roman;Times;Serif"/>
          <w:b w:val="false"/>
          <w:i w:val="false"/>
          <w:caps w:val="false"/>
          <w:smallCaps w:val="false"/>
          <w:sz w:val="20"/>
        </w:rPr>
        <w:t>472 which was recorded as a prepaid financing costs and included in prepaid expenses and other current assets on the condensed balance sheet at June 30, 2021. The prepaid financing fee is to be amortized over a twelve month period. During the six months ended June 30, 2021, the company amortized $</w:t>
      </w:r>
      <w:bookmarkStart w:id="400" w:name="xdx_904_eus-gaap--AmortizationOfFinancin"/>
      <w:bookmarkEnd w:id="400"/>
      <w:r>
        <w:rPr>
          <w:rFonts w:ascii="Times New Roman;Times;Serif" w:hAnsi="Times New Roman;Times;Serif"/>
          <w:b w:val="false"/>
          <w:i w:val="false"/>
          <w:caps w:val="false"/>
          <w:smallCaps w:val="false"/>
          <w:sz w:val="20"/>
        </w:rPr>
        <w:t>147 of the prepaid financing costs to interest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agreement with Rosenthal includes customary restrictions that limit our ability to engage in certain types of transactions, including our ability to utilize tangible and intangible assets as collateral for other indebtedness. Additionally, the agreement contains a financial covenant that requires us to meet certain minimum working capital and tangible net worth thresholds as of the end of each quarter. We were in compliance with the terms of our agreement with Rosenthal as of June 30,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annually incurs an additional $</w:t>
      </w:r>
      <w:bookmarkStart w:id="401" w:name="xdx_906_eus-gaap--DebtInstrumentFeeAmoun"/>
      <w:bookmarkEnd w:id="401"/>
      <w:r>
        <w:rPr>
          <w:rFonts w:ascii="Times New Roman;Times;Serif" w:hAnsi="Times New Roman;Times;Serif"/>
          <w:b w:val="false"/>
          <w:i w:val="false"/>
          <w:caps w:val="false"/>
          <w:smallCaps w:val="false"/>
          <w:sz w:val="20"/>
        </w:rPr>
        <w:t xml:space="preserve">130 of fees from the bank, which is equal to </w:t>
      </w:r>
      <w:bookmarkStart w:id="402" w:name="xdx_90D_ecustom--PercentageOfFeesOnBorro"/>
      <w:bookmarkEnd w:id="402"/>
      <w:r>
        <w:rPr>
          <w:rFonts w:ascii="Times New Roman;Times;Serif" w:hAnsi="Times New Roman;Times;Serif"/>
          <w:b w:val="false"/>
          <w:i w:val="false"/>
          <w:caps w:val="false"/>
          <w:smallCaps w:val="false"/>
          <w:sz w:val="20"/>
        </w:rPr>
        <w:t>1% of the $</w:t>
      </w:r>
      <w:bookmarkStart w:id="403" w:name="xdx_90A_eus-gaap--LineOfCredit_iI_pn3n3_"/>
      <w:bookmarkEnd w:id="403"/>
      <w:r>
        <w:rPr>
          <w:rFonts w:ascii="Times New Roman;Times;Serif" w:hAnsi="Times New Roman;Times;Serif"/>
          <w:b w:val="false"/>
          <w:i w:val="false"/>
          <w:caps w:val="false"/>
          <w:smallCaps w:val="false"/>
          <w:sz w:val="20"/>
        </w:rPr>
        <w:t>13,000 borrowing limit. These costs have been capitalized and recorded as a debt discount and are amortized over the remaining life of the Rosenthal agreement. On December 31, 2020, the remaining unamortized debt discount of $</w:t>
      </w:r>
      <w:bookmarkStart w:id="404" w:name="xdx_903_eus-gaap--DebtInstrumentUnamorti"/>
      <w:bookmarkEnd w:id="404"/>
      <w:r>
        <w:rPr>
          <w:rFonts w:ascii="Times New Roman;Times;Serif" w:hAnsi="Times New Roman;Times;Serif"/>
          <w:b w:val="false"/>
          <w:i w:val="false"/>
          <w:caps w:val="false"/>
          <w:smallCaps w:val="false"/>
          <w:sz w:val="20"/>
        </w:rPr>
        <w:t>162 is included in prepaid expense and other current assets on the balance sheet. Amortization of debt discount was $</w:t>
      </w:r>
      <w:bookmarkStart w:id="405" w:name="xdx_909_eus-gaap--AmortizationOfDebtDisc"/>
      <w:bookmarkEnd w:id="405"/>
      <w:r>
        <w:rPr>
          <w:rFonts w:ascii="Times New Roman;Times;Serif" w:hAnsi="Times New Roman;Times;Serif"/>
          <w:b w:val="false"/>
          <w:i w:val="false"/>
          <w:caps w:val="false"/>
          <w:smallCaps w:val="false"/>
          <w:sz w:val="20"/>
        </w:rPr>
        <w:t>162 and $</w:t>
      </w:r>
      <w:bookmarkStart w:id="406" w:name="xdx_90A_eus-gaap--AmortizationOfDebtDisc"/>
      <w:bookmarkEnd w:id="406"/>
      <w:r>
        <w:rPr>
          <w:rFonts w:ascii="Times New Roman;Times;Serif" w:hAnsi="Times New Roman;Times;Serif"/>
          <w:b w:val="false"/>
          <w:i w:val="false"/>
          <w:caps w:val="false"/>
          <w:smallCaps w:val="false"/>
          <w:sz w:val="20"/>
        </w:rPr>
        <w:t xml:space="preserve">193 for the six months ended June 30, 2021 and 2020, respectively. On June 30, 2021, </w:t>
      </w:r>
      <w:bookmarkStart w:id="407" w:name="xdx_90A_eus-gaap--DebtInstrumentUnamorti"/>
      <w:bookmarkEnd w:id="407"/>
      <w:r>
        <w:rPr>
          <w:rFonts w:ascii="Times New Roman;Times;Serif" w:hAnsi="Times New Roman;Times;Serif"/>
          <w:b w:val="false"/>
          <w:i w:val="false"/>
          <w:caps w:val="false"/>
          <w:smallCaps w:val="false"/>
          <w:sz w:val="20"/>
        </w:rPr>
        <w:t>no remaining unamortized debt discount remained.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08" w:name="xdx_80D_eus-gaap--DebtDisclosureTextBloc"/>
      <w:bookmarkEnd w:id="408"/>
      <w:r>
        <w:rPr>
          <w:rFonts w:ascii="Times New Roman;Times;Serif" w:hAnsi="Times New Roman;Times;Serif"/>
          <w:b/>
          <w:i w:val="false"/>
          <w:caps w:val="false"/>
          <w:smallCaps w:val="false"/>
          <w:sz w:val="20"/>
        </w:rPr>
        <w:t xml:space="preserve">7. </w:t>
      </w:r>
      <w:bookmarkStart w:id="409" w:name="xdx_82D_zoAfdMAJuKn4"/>
      <w:bookmarkEnd w:id="409"/>
      <w:r>
        <w:rPr>
          <w:rFonts w:ascii="Times New Roman;Times;Serif" w:hAnsi="Times New Roman;Times;Serif"/>
          <w:b/>
          <w:i w:val="false"/>
          <w:caps w:val="false"/>
          <w:smallCaps w:val="false"/>
          <w:sz w:val="20"/>
        </w:rPr>
        <w:t>Note Payable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20, 2020, the Company was granted a loan (the “PPP loan”) from City National Bank in the aggregate amount of $</w:t>
      </w:r>
      <w:bookmarkStart w:id="410" w:name="xdx_909_eus-gaap--DebtInstrumentFaceAmou"/>
      <w:bookmarkEnd w:id="410"/>
      <w:r>
        <w:rPr>
          <w:rFonts w:ascii="Times New Roman;Times;Serif" w:hAnsi="Times New Roman;Times;Serif"/>
          <w:b w:val="false"/>
          <w:i w:val="false"/>
          <w:caps w:val="false"/>
          <w:smallCaps w:val="false"/>
          <w:sz w:val="20"/>
        </w:rPr>
        <w:t>770, pursuant to the Paycheck Protection Program (the “PPP”) under the CARES Act. At December 31, 2020, the note payable balance was $</w:t>
      </w:r>
      <w:bookmarkStart w:id="411" w:name="xdx_909_eus-gaap--NotesPayable_iI_pn3n3_"/>
      <w:bookmarkEnd w:id="411"/>
      <w:r>
        <w:rPr>
          <w:rFonts w:ascii="Times New Roman;Times;Serif" w:hAnsi="Times New Roman;Times;Serif"/>
          <w:b w:val="false"/>
          <w:i w:val="false"/>
          <w:caps w:val="false"/>
          <w:smallCaps w:val="false"/>
          <w:sz w:val="20"/>
        </w:rPr>
        <w:t>770, of which $</w:t>
      </w:r>
      <w:bookmarkStart w:id="412" w:name="xdx_901_eus-gaap--NotesPayableCurrent_iI"/>
      <w:bookmarkEnd w:id="412"/>
      <w:r>
        <w:rPr>
          <w:rFonts w:ascii="Times New Roman;Times;Serif" w:hAnsi="Times New Roman;Times;Serif"/>
          <w:b w:val="false"/>
          <w:i w:val="false"/>
          <w:caps w:val="false"/>
          <w:smallCaps w:val="false"/>
          <w:sz w:val="20"/>
        </w:rPr>
        <w:t>599 was reflected as the current portion of note payable. During the six months ended June 30, 2021, the Company was notified that its PPP loan forgiveness application was approved. The Company recorded the loan forgiveness as a gain on forgiveness of debt of $</w:t>
      </w:r>
      <w:bookmarkStart w:id="413" w:name="xdx_90A_eus-gaap--NotesAndLoansPayableCu"/>
      <w:bookmarkEnd w:id="413"/>
      <w:r>
        <w:rPr>
          <w:rFonts w:ascii="Times New Roman;Times;Serif" w:hAnsi="Times New Roman;Times;Serif"/>
          <w:b w:val="false"/>
          <w:i w:val="false"/>
          <w:caps w:val="false"/>
          <w:smallCaps w:val="false"/>
          <w:sz w:val="20"/>
        </w:rPr>
        <w:t xml:space="preserve">770, which is included in other income, leaving </w:t>
      </w:r>
      <w:bookmarkStart w:id="414" w:name="xdx_904_eus-gaap--NotesPayable_iI_pn3n3_"/>
      <w:bookmarkEnd w:id="414"/>
      <w:r>
        <w:rPr>
          <w:rFonts w:ascii="Times New Roman;Times;Serif" w:hAnsi="Times New Roman;Times;Serif"/>
          <w:b w:val="false"/>
          <w:i w:val="false"/>
          <w:caps w:val="false"/>
          <w:smallCaps w:val="false"/>
          <w:sz w:val="20"/>
        </w:rPr>
        <w:t>no remaining balance owed at June 30, 2021.</w:t>
      </w:r>
    </w:p>
    <w:p>
      <w:pPr>
        <w:pStyle w:val="TextBody"/>
        <w:jc w:val="center"/>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F-11</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15" w:name="xdx_80C_eus-gaap--LeasesOfLesseeDisclosu"/>
      <w:bookmarkEnd w:id="415"/>
      <w:r>
        <w:rPr>
          <w:rFonts w:ascii="Times New Roman;Times;Serif" w:hAnsi="Times New Roman;Times;Serif"/>
          <w:b/>
          <w:i w:val="false"/>
          <w:caps w:val="false"/>
          <w:smallCaps w:val="false"/>
          <w:sz w:val="20"/>
        </w:rPr>
        <w:t xml:space="preserve">8. </w:t>
      </w:r>
      <w:bookmarkStart w:id="416" w:name="xdx_823_zF4G3EiK4q57"/>
      <w:bookmarkEnd w:id="416"/>
      <w:r>
        <w:rPr>
          <w:rFonts w:ascii="Times New Roman;Times;Serif" w:hAnsi="Times New Roman;Times;Serif"/>
          <w:b/>
          <w:i w:val="false"/>
          <w:caps w:val="false"/>
          <w:smallCaps w:val="false"/>
          <w:sz w:val="20"/>
        </w:rPr>
        <w:t>Leases Liabilities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under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The standard requires a lessee to record a right-of-use asset and a corresponding lease liability at the inception of the lease, initially measured at the present value of the lease payments.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842 requires recognition in the statement of operations of a single lease cost, calculated so that the cost of the lease is allocated over the lease term, generally on a straight-line basis. During the six months ended June 30, 2021, the Company reflected amortization of right of use asset of $</w:t>
      </w:r>
      <w:bookmarkStart w:id="417" w:name="xdx_902_eus-gaap--OperatingLeaseRightOfU"/>
      <w:bookmarkEnd w:id="417"/>
      <w:r>
        <w:rPr>
          <w:rFonts w:ascii="Times New Roman;Times;Serif" w:hAnsi="Times New Roman;Times;Serif"/>
          <w:b w:val="false"/>
          <w:i w:val="false"/>
          <w:caps w:val="false"/>
          <w:smallCaps w:val="false"/>
          <w:sz w:val="20"/>
        </w:rPr>
        <w:t>48 related to these leases, resulting in a net asset balance of $</w:t>
      </w:r>
      <w:bookmarkStart w:id="418" w:name="xdx_909_eus-gaap--OperatingLeaseRightOfU"/>
      <w:bookmarkEnd w:id="418"/>
      <w:r>
        <w:rPr>
          <w:rFonts w:ascii="Times New Roman;Times;Serif" w:hAnsi="Times New Roman;Times;Serif"/>
          <w:b w:val="false"/>
          <w:i w:val="false"/>
          <w:caps w:val="false"/>
          <w:smallCaps w:val="false"/>
          <w:sz w:val="20"/>
        </w:rPr>
        <w:t>724 as of June 30,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842, the right-of-use assets are being amortized over the life of the underlying leases.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lease liabilities totalled $</w:t>
      </w:r>
      <w:bookmarkStart w:id="419" w:name="xdx_906_ecustom--LeaseLiabilities_iI_pn3"/>
      <w:bookmarkEnd w:id="419"/>
      <w:r>
        <w:rPr>
          <w:rFonts w:ascii="Times New Roman;Times;Serif" w:hAnsi="Times New Roman;Times;Serif"/>
          <w:b w:val="false"/>
          <w:i w:val="false"/>
          <w:caps w:val="false"/>
          <w:smallCaps w:val="false"/>
          <w:sz w:val="20"/>
        </w:rPr>
        <w:t>685, made up of finance lease liabilities of $</w:t>
      </w:r>
      <w:bookmarkStart w:id="420" w:name="xdx_909_eus-gaap--FinanceLeaseLiability_"/>
      <w:bookmarkEnd w:id="420"/>
      <w:r>
        <w:rPr>
          <w:rFonts w:ascii="Times New Roman;Times;Serif" w:hAnsi="Times New Roman;Times;Serif"/>
          <w:b w:val="false"/>
          <w:i w:val="false"/>
          <w:caps w:val="false"/>
          <w:smallCaps w:val="false"/>
          <w:sz w:val="20"/>
        </w:rPr>
        <w:t>16 and operating lease liabilities of $</w:t>
      </w:r>
      <w:bookmarkStart w:id="421" w:name="xdx_907_eus-gaap--OperatingLeaseLiabilit"/>
      <w:bookmarkEnd w:id="421"/>
      <w:r>
        <w:rPr>
          <w:rFonts w:ascii="Times New Roman;Times;Serif" w:hAnsi="Times New Roman;Times;Serif"/>
          <w:b w:val="false"/>
          <w:i w:val="false"/>
          <w:caps w:val="false"/>
          <w:smallCaps w:val="false"/>
          <w:sz w:val="20"/>
        </w:rPr>
        <w:t>669. During the six months ended June 30, 2021, the Company terminated $</w:t>
      </w:r>
      <w:bookmarkStart w:id="422" w:name="xdx_905_ecustom--FinanceLeaseTerminated_"/>
      <w:bookmarkEnd w:id="422"/>
      <w:r>
        <w:rPr>
          <w:rFonts w:ascii="Times New Roman;Times;Serif" w:hAnsi="Times New Roman;Times;Serif"/>
          <w:b w:val="false"/>
          <w:i w:val="false"/>
          <w:caps w:val="false"/>
          <w:smallCaps w:val="false"/>
          <w:sz w:val="20"/>
        </w:rPr>
        <w:t>13 of finance leases, and made payments of $</w:t>
      </w:r>
      <w:bookmarkStart w:id="423" w:name="xdx_905_eus-gaap--FinanceLeasePrincipalP"/>
      <w:bookmarkEnd w:id="423"/>
      <w:r>
        <w:rPr>
          <w:rFonts w:ascii="Times New Roman;Times;Serif" w:hAnsi="Times New Roman;Times;Serif"/>
          <w:b w:val="false"/>
          <w:i w:val="false"/>
          <w:caps w:val="false"/>
          <w:smallCaps w:val="false"/>
          <w:sz w:val="20"/>
        </w:rPr>
        <w:t>2 towards its finance lease liability and $</w:t>
      </w:r>
      <w:bookmarkStart w:id="424" w:name="xdx_900_eus-gaap--OperatingLeasePayments"/>
      <w:bookmarkEnd w:id="424"/>
      <w:r>
        <w:rPr>
          <w:rFonts w:ascii="Times New Roman;Times;Serif" w:hAnsi="Times New Roman;Times;Serif"/>
          <w:b w:val="false"/>
          <w:i w:val="false"/>
          <w:caps w:val="false"/>
          <w:smallCaps w:val="false"/>
          <w:sz w:val="20"/>
        </w:rPr>
        <w:t>43 towards its operating lease liability. As of June 30, 2021, operating lease liabilities totalled $</w:t>
      </w:r>
      <w:bookmarkStart w:id="425" w:name="xdx_90C_ecustom--LeaseLiabilities_iI_pn3"/>
      <w:bookmarkEnd w:id="425"/>
      <w:r>
        <w:rPr>
          <w:rFonts w:ascii="Times New Roman;Times;Serif" w:hAnsi="Times New Roman;Times;Serif"/>
          <w:b w:val="false"/>
          <w:i w:val="false"/>
          <w:caps w:val="false"/>
          <w:smallCaps w:val="false"/>
          <w:sz w:val="20"/>
        </w:rPr>
        <w:t>627.</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2021, the weighted average remaining lease terms for operating leases are </w:t>
      </w:r>
      <w:bookmarkStart w:id="426" w:name="xdx_90B_eus-gaap--OperatingLeaseWeighted"/>
      <w:bookmarkEnd w:id="426"/>
      <w:r>
        <w:rPr>
          <w:rFonts w:ascii="Times New Roman;Times;Serif" w:hAnsi="Times New Roman;Times;Serif"/>
          <w:b w:val="false"/>
          <w:i w:val="false"/>
          <w:caps w:val="false"/>
          <w:smallCaps w:val="false"/>
          <w:sz w:val="20"/>
        </w:rPr>
        <w:t xml:space="preserve">3.51 years. The weighted average discount rate for operating leases is </w:t>
      </w:r>
      <w:bookmarkStart w:id="427" w:name="xdx_90E_eus-gaap--OperatingLeaseWeighted"/>
      <w:bookmarkEnd w:id="427"/>
      <w:r>
        <w:rPr>
          <w:rFonts w:ascii="Times New Roman;Times;Serif" w:hAnsi="Times New Roman;Times;Serif"/>
          <w:b w:val="false"/>
          <w:i w:val="false"/>
          <w:caps w:val="false"/>
          <w:smallCaps w:val="false"/>
          <w:sz w:val="20"/>
        </w:rPr>
        <w:t>12.6%.</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28" w:name="xdx_805_eus-gaap--StockholdersEquityNote"/>
      <w:bookmarkEnd w:id="428"/>
      <w:r>
        <w:rPr>
          <w:rFonts w:ascii="Times New Roman;Times;Serif" w:hAnsi="Times New Roman;Times;Serif"/>
          <w:b/>
          <w:i w:val="false"/>
          <w:caps w:val="false"/>
          <w:smallCaps w:val="false"/>
          <w:sz w:val="20"/>
        </w:rPr>
        <w:t xml:space="preserve">9. </w:t>
      </w:r>
      <w:bookmarkStart w:id="429" w:name="xdx_829_zxZAfcxLrHde"/>
      <w:bookmarkEnd w:id="429"/>
      <w:r>
        <w:rPr>
          <w:rFonts w:ascii="Times New Roman;Times;Serif" w:hAnsi="Times New Roman;Times;Serif"/>
          <w:b/>
          <w:i w:val="false"/>
          <w:caps w:val="false"/>
          <w:smallCaps w:val="false"/>
          <w:sz w:val="20"/>
        </w:rPr>
        <w:t>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Common stock issuance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2021, the Company entered into a placement agency agreement with Roth Capital Partners, LLC (the “Placement Agent”) and a securities purchase agreement with a certain purchaser for the purchase of shares of the Company’s common stock, par value $</w:t>
      </w:r>
      <w:bookmarkStart w:id="430" w:name="xdx_90C_eus-gaap--CommonStockParOrStated"/>
      <w:bookmarkEnd w:id="430"/>
      <w:r>
        <w:rPr>
          <w:rFonts w:ascii="Times New Roman;Times;Serif" w:hAnsi="Times New Roman;Times;Serif"/>
          <w:b w:val="false"/>
          <w:i w:val="false"/>
          <w:caps w:val="false"/>
          <w:smallCaps w:val="false"/>
          <w:sz w:val="20"/>
        </w:rPr>
        <w:t xml:space="preserve">0.0001 per share, in an offering of securities registered under an effective registration statement filed with the Securities and Exchange Commission (“SEC”). In the offering, the Company sold </w:t>
      </w:r>
      <w:bookmarkStart w:id="431" w:name="xdx_903_eus-gaap--SaleOfStockNumberOfSha"/>
      <w:bookmarkEnd w:id="431"/>
      <w:r>
        <w:rPr>
          <w:rFonts w:ascii="Times New Roman;Times;Serif" w:hAnsi="Times New Roman;Times;Serif"/>
          <w:b w:val="false"/>
          <w:i w:val="false"/>
          <w:caps w:val="false"/>
          <w:smallCaps w:val="false"/>
          <w:sz w:val="20"/>
        </w:rPr>
        <w:t>6,680,000 shares of common stock, at a price of $</w:t>
      </w:r>
      <w:bookmarkStart w:id="432" w:name="xdx_90C_eus-gaap--SaleOfStockPricePerSha"/>
      <w:bookmarkEnd w:id="432"/>
      <w:r>
        <w:rPr>
          <w:rFonts w:ascii="Times New Roman;Times;Serif" w:hAnsi="Times New Roman;Times;Serif"/>
          <w:b w:val="false"/>
          <w:i w:val="false"/>
          <w:caps w:val="false"/>
          <w:smallCaps w:val="false"/>
          <w:sz w:val="20"/>
        </w:rPr>
        <w:t>1.18 per share. The offering closed on May 7, 2021 and total proceeds received, net of fees, were $</w:t>
      </w:r>
      <w:bookmarkStart w:id="433" w:name="xdx_901_eus-gaap--ProceedsFromIssuanceOf"/>
      <w:bookmarkEnd w:id="433"/>
      <w:r>
        <w:rPr>
          <w:rFonts w:ascii="Times New Roman;Times;Serif" w:hAnsi="Times New Roman;Times;Serif"/>
          <w:b w:val="false"/>
          <w:i w:val="false"/>
          <w:caps w:val="false"/>
          <w:smallCaps w:val="false"/>
          <w:sz w:val="20"/>
        </w:rPr>
        <w:t xml:space="preserve">7,333. </w:t>
      </w:r>
      <w:bookmarkStart w:id="434" w:name="xdx_907_eus-gaap--SaleOfStockDescription"/>
      <w:bookmarkEnd w:id="434"/>
      <w:r>
        <w:rPr>
          <w:rFonts w:ascii="Times New Roman;Times;Serif" w:hAnsi="Times New Roman;Times;Serif"/>
          <w:b w:val="false"/>
          <w:i w:val="false"/>
          <w:caps w:val="false"/>
          <w:smallCaps w:val="false"/>
          <w:sz w:val="20"/>
        </w:rPr>
        <w:t>The Placement Agent was paid a total cash fee at the closing of the Offering equal to 6.5% of the gross cash proceeds received by the Company from the sale of the shares of common stock in the offering.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Common stock repurchases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2021, the Company repurchased </w:t>
      </w:r>
      <w:bookmarkStart w:id="435" w:name="xdx_90A_ecustom--CommonStockSharesRepurc"/>
      <w:bookmarkEnd w:id="435"/>
      <w:r>
        <w:rPr>
          <w:rFonts w:ascii="Times New Roman;Times;Serif" w:hAnsi="Times New Roman;Times;Serif"/>
          <w:b w:val="false"/>
          <w:i w:val="false"/>
          <w:caps w:val="false"/>
          <w:smallCaps w:val="false"/>
          <w:sz w:val="20"/>
        </w:rPr>
        <w:t>13,943 shares of common stock from an officer for $</w:t>
      </w:r>
      <w:bookmarkStart w:id="436" w:name="xdx_900_ecustom--CommonStockValueRepurch"/>
      <w:bookmarkEnd w:id="436"/>
      <w:r>
        <w:rPr>
          <w:rFonts w:ascii="Times New Roman;Times;Serif" w:hAnsi="Times New Roman;Times;Serif"/>
          <w:b w:val="false"/>
          <w:i w:val="false"/>
          <w:caps w:val="false"/>
          <w:smallCaps w:val="false"/>
          <w:sz w:val="20"/>
        </w:rPr>
        <w:t>15 based on the market value of share on the date repurchased. The Company retired the shares.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437" w:name="xdx_80F_eus-gaap--DisclosureOfCompensati"/>
      <w:bookmarkEnd w:id="437"/>
      <w:r>
        <w:rPr>
          <w:rFonts w:ascii="Times New Roman;Times;Serif" w:hAnsi="Times New Roman;Times;Serif"/>
          <w:b/>
          <w:i w:val="false"/>
          <w:caps w:val="false"/>
          <w:smallCaps w:val="false"/>
          <w:sz w:val="20"/>
        </w:rPr>
        <w:t xml:space="preserve">9. </w:t>
      </w:r>
      <w:bookmarkStart w:id="438" w:name="xdx_824_zUgS1sXBHLH1"/>
      <w:bookmarkEnd w:id="438"/>
      <w:r>
        <w:rPr>
          <w:rFonts w:ascii="Times New Roman;Times;Serif" w:hAnsi="Times New Roman;Times;Serif"/>
          <w:b/>
          <w:i w:val="false"/>
          <w:caps w:val="false"/>
          <w:smallCaps w:val="false"/>
          <w:sz w:val="20"/>
        </w:rPr>
        <w:t>Stock-Based Compensation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Restricted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bookmarkStart w:id="439" w:name="xdx_890_eus-gaap--NonvestedRestrictedSto"/>
      <w:bookmarkEnd w:id="439"/>
      <w:r>
        <w:rPr>
          <w:rFonts w:ascii="Times New Roman;Times;Serif" w:hAnsi="Times New Roman;Times;Serif"/>
          <w:b w:val="false"/>
          <w:i w:val="false"/>
          <w:caps w:val="false"/>
          <w:smallCaps w:val="false"/>
          <w:sz w:val="20"/>
        </w:rPr>
        <w:t>The following table summarizes restricted stock activity during the six months ended June 30, 2021:</w:t>
      </w:r>
    </w:p>
    <w:p>
      <w:pPr>
        <w:pStyle w:val="TextBody"/>
        <w:jc w:val="both"/>
        <w:rPr>
          <w:rFonts w:ascii="Times New Roman;Times;Serif" w:hAnsi="Times New Roman;Times;Serif"/>
          <w:b w:val="false"/>
          <w:i w:val="false"/>
          <w:caps w:val="false"/>
          <w:smallCaps w:val="false"/>
          <w:sz w:val="20"/>
        </w:rPr>
      </w:pPr>
      <w:bookmarkStart w:id="440" w:name="xdx_8B3_ziBMd04lBA36"/>
      <w:bookmarkEnd w:id="440"/>
      <w:r>
        <w:rPr>
          <w:rFonts w:ascii="Times New Roman;Times;Serif" w:hAnsi="Times New Roman;Times;Serif"/>
          <w:b w:val="false"/>
          <w:i w:val="false"/>
          <w:caps w:val="false"/>
          <w:smallCaps w:val="false"/>
          <w:sz w:val="20"/>
        </w:rPr>
        <w:t>Summary of Non-vested Restricted Stock Activity </w:t>
      </w:r>
    </w:p>
    <w:tbl>
      <w:tblPr>
        <w:tblW w:w="7583" w:type="dxa"/>
        <w:jc w:val="left"/>
        <w:tblInd w:w="0" w:type="dxa"/>
        <w:tblCellMar>
          <w:top w:w="0" w:type="dxa"/>
          <w:left w:w="0" w:type="dxa"/>
          <w:bottom w:w="0" w:type="dxa"/>
          <w:right w:w="0" w:type="dxa"/>
        </w:tblCellMar>
      </w:tblPr>
      <w:tblGrid>
        <w:gridCol w:w="2795"/>
        <w:gridCol w:w="60"/>
        <w:gridCol w:w="61"/>
        <w:gridCol w:w="904"/>
        <w:gridCol w:w="95"/>
        <w:gridCol w:w="60"/>
        <w:gridCol w:w="60"/>
        <w:gridCol w:w="875"/>
        <w:gridCol w:w="95"/>
        <w:gridCol w:w="60"/>
        <w:gridCol w:w="261"/>
        <w:gridCol w:w="853"/>
        <w:gridCol w:w="95"/>
        <w:gridCol w:w="60"/>
        <w:gridCol w:w="283"/>
        <w:gridCol w:w="891"/>
        <w:gridCol w:w="75"/>
      </w:tblGrid>
      <w:tr>
        <w:trPr/>
        <w:tc>
          <w:tcPr>
            <w:tcW w:w="27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6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Unvested</w:t>
              <w:b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Issuable</w:t>
              <w:b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Fair Value</w:t>
              <w:br/>
              <w:t>at Date of</w:t>
              <w:br/>
              <w:t>Issuance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Weighted</w:t>
              <w:br/>
              <w:t xml:space="preserve">Average </w:t>
              <w:br/>
              <w:t>Grant Date</w:t>
              <w:br/>
              <w:t>Fair Value</w:t>
            </w:r>
          </w:p>
        </w:tc>
        <w:tc>
          <w:tcPr>
            <w:tcW w:w="75" w:type="dxa"/>
            <w:tcBorders/>
            <w:shd w:fill="auto" w:val="clear"/>
            <w:vAlign w:val="center"/>
          </w:tcPr>
          <w:p>
            <w:pPr>
              <w:pStyle w:val="TableContents"/>
              <w:spacing w:before="0" w:after="283"/>
              <w:rPr/>
            </w:pPr>
            <w:r>
              <w:rPr/>
              <w:t> </w:t>
            </w:r>
          </w:p>
        </w:tc>
      </w:tr>
      <w:tr>
        <w:trPr/>
        <w:tc>
          <w:tcPr>
            <w:tcW w:w="2795" w:type="dxa"/>
            <w:tcBorders/>
            <w:shd w:fill="CCEEFF" w:val="clear"/>
            <w:vAlign w:val="center"/>
          </w:tcPr>
          <w:p>
            <w:pPr>
              <w:pStyle w:val="TableContents"/>
              <w:spacing w:before="0" w:after="283"/>
              <w:rPr/>
            </w:pPr>
            <w:r>
              <w:rPr/>
              <w:t>Balance, December 31, 2020</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jc w:val="left"/>
              <w:rPr/>
            </w:pPr>
            <w:r>
              <w:rPr/>
              <w:t> </w:t>
            </w:r>
            <w:bookmarkStart w:id="441" w:name="xdx_986_eus-gaap--SharebasedCompensation"/>
            <w:bookmarkEnd w:id="441"/>
          </w:p>
        </w:tc>
        <w:tc>
          <w:tcPr>
            <w:tcW w:w="904" w:type="dxa"/>
            <w:tcBorders/>
            <w:shd w:fill="CCEEFF" w:val="clear"/>
            <w:vAlign w:val="center"/>
          </w:tcPr>
          <w:p>
            <w:pPr>
              <w:pStyle w:val="TableContents"/>
              <w:spacing w:before="0" w:after="283"/>
              <w:jc w:val="right"/>
              <w:rPr/>
            </w:pPr>
            <w:r>
              <w:rPr/>
              <w:t>150,000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442" w:name="xdx_985_ecustom--SharebasedCompensationA"/>
            <w:bookmarkEnd w:id="442"/>
          </w:p>
        </w:tc>
        <w:tc>
          <w:tcPr>
            <w:tcW w:w="87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jc w:val="left"/>
              <w:rPr/>
            </w:pPr>
            <w:r>
              <w:rPr/>
              <w:t>$</w:t>
            </w:r>
            <w:bookmarkStart w:id="443" w:name="xdx_98B_ecustom--SharebasedCompensationA"/>
            <w:bookmarkEnd w:id="443"/>
          </w:p>
        </w:tc>
        <w:tc>
          <w:tcPr>
            <w:tcW w:w="853" w:type="dxa"/>
            <w:tcBorders/>
            <w:shd w:fill="CCEEFF" w:val="clear"/>
            <w:vAlign w:val="center"/>
          </w:tcPr>
          <w:p>
            <w:pPr>
              <w:pStyle w:val="TableContents"/>
              <w:spacing w:before="0" w:after="283"/>
              <w:jc w:val="right"/>
              <w:rPr/>
            </w:pPr>
            <w:r>
              <w:rPr/>
              <w:t>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bookmarkStart w:id="444" w:name="xdx_986_eus-gaap--SharebasedCompensation"/>
            <w:bookmarkEnd w:id="444"/>
          </w:p>
        </w:tc>
        <w:tc>
          <w:tcPr>
            <w:tcW w:w="891" w:type="dxa"/>
            <w:tcBorders/>
            <w:shd w:fill="CCEEFF" w:val="clear"/>
            <w:vAlign w:val="center"/>
          </w:tcPr>
          <w:p>
            <w:pPr>
              <w:pStyle w:val="TableContents"/>
              <w:spacing w:before="0" w:after="283"/>
              <w:jc w:val="right"/>
              <w:rPr/>
            </w:pPr>
            <w:r>
              <w:rPr/>
              <w:t>0.89</w:t>
            </w:r>
          </w:p>
        </w:tc>
        <w:tc>
          <w:tcPr>
            <w:tcW w:w="75" w:type="dxa"/>
            <w:tcBorders/>
            <w:shd w:fill="CCEEFF" w:val="clear"/>
            <w:vAlign w:val="center"/>
          </w:tcPr>
          <w:p>
            <w:pPr>
              <w:pStyle w:val="TableContents"/>
              <w:spacing w:before="0" w:after="283"/>
              <w:jc w:val="left"/>
              <w:rPr/>
            </w:pPr>
            <w:r>
              <w:rPr/>
              <w:t> </w:t>
            </w:r>
          </w:p>
        </w:tc>
      </w:tr>
      <w:tr>
        <w:trPr/>
        <w:tc>
          <w:tcPr>
            <w:tcW w:w="2795" w:type="dxa"/>
            <w:tcBorders/>
            <w:shd w:fill="FFFFFF" w:val="clear"/>
            <w:vAlign w:val="center"/>
          </w:tcPr>
          <w:p>
            <w:pPr>
              <w:pStyle w:val="TableContents"/>
              <w:spacing w:before="0" w:after="283"/>
              <w:rPr/>
            </w:pPr>
            <w:r>
              <w:rPr/>
              <w:t>Granted</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bookmarkStart w:id="445" w:name="xdx_98E_ecustom--ShareBasedCompensationA"/>
            <w:bookmarkEnd w:id="445"/>
          </w:p>
        </w:tc>
        <w:tc>
          <w:tcPr>
            <w:tcW w:w="904" w:type="dxa"/>
            <w:tcBorders/>
            <w:shd w:fill="FFFFFF" w:val="clear"/>
            <w:vAlign w:val="center"/>
          </w:tcPr>
          <w:p>
            <w:pPr>
              <w:pStyle w:val="TableContents"/>
              <w:spacing w:before="0" w:after="283"/>
              <w:jc w:val="right"/>
              <w:rPr/>
            </w:pPr>
            <w:r>
              <w:rPr/>
              <w:t>245,900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446" w:name="xdx_982_ecustom--ShareBasedCompensationA"/>
            <w:bookmarkEnd w:id="446"/>
          </w:p>
        </w:tc>
        <w:tc>
          <w:tcPr>
            <w:tcW w:w="87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bookmarkStart w:id="447" w:name="xdx_988_ecustom--SharebasedCompensationA"/>
            <w:bookmarkEnd w:id="447"/>
          </w:p>
        </w:tc>
        <w:tc>
          <w:tcPr>
            <w:tcW w:w="853" w:type="dxa"/>
            <w:tcBorders/>
            <w:shd w:fill="FFFFFF" w:val="clear"/>
            <w:vAlign w:val="center"/>
          </w:tcPr>
          <w:p>
            <w:pPr>
              <w:pStyle w:val="TableContents"/>
              <w:spacing w:before="0" w:after="283"/>
              <w:jc w:val="right"/>
              <w:rPr/>
            </w:pPr>
            <w:r>
              <w:rPr/>
              <w:t>226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bookmarkStart w:id="448" w:name="xdx_985_eus-gaap--ShareBasedCompensation"/>
            <w:bookmarkEnd w:id="448"/>
          </w:p>
        </w:tc>
        <w:tc>
          <w:tcPr>
            <w:tcW w:w="891" w:type="dxa"/>
            <w:tcBorders/>
            <w:shd w:fill="FFFFFF" w:val="clear"/>
            <w:vAlign w:val="center"/>
          </w:tcPr>
          <w:p>
            <w:pPr>
              <w:pStyle w:val="TableContents"/>
              <w:spacing w:before="0" w:after="283"/>
              <w:jc w:val="right"/>
              <w:rPr/>
            </w:pPr>
            <w:r>
              <w:rPr/>
              <w:t>0.92</w:t>
            </w:r>
          </w:p>
        </w:tc>
        <w:tc>
          <w:tcPr>
            <w:tcW w:w="75" w:type="dxa"/>
            <w:tcBorders/>
            <w:shd w:fill="FFFFFF" w:val="clear"/>
            <w:vAlign w:val="center"/>
          </w:tcPr>
          <w:p>
            <w:pPr>
              <w:pStyle w:val="TableContents"/>
              <w:spacing w:before="0" w:after="283"/>
              <w:jc w:val="left"/>
              <w:rPr/>
            </w:pPr>
            <w:r>
              <w:rPr/>
              <w:t> </w:t>
            </w:r>
          </w:p>
        </w:tc>
      </w:tr>
      <w:tr>
        <w:trPr/>
        <w:tc>
          <w:tcPr>
            <w:tcW w:w="2795" w:type="dxa"/>
            <w:tcBorders/>
            <w:shd w:fill="CCEEFF" w:val="clear"/>
            <w:vAlign w:val="center"/>
          </w:tcPr>
          <w:p>
            <w:pPr>
              <w:pStyle w:val="TableContents"/>
              <w:spacing w:before="0" w:after="283"/>
              <w:rPr/>
            </w:pPr>
            <w:r>
              <w:rPr/>
              <w:t>Vested</w:t>
            </w:r>
          </w:p>
        </w:tc>
        <w:tc>
          <w:tcPr>
            <w:tcW w:w="60"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jc w:val="left"/>
              <w:rPr/>
            </w:pPr>
            <w:r>
              <w:rPr/>
              <w:t> </w:t>
            </w:r>
            <w:bookmarkStart w:id="449" w:name="xdx_98F_eus-gaap--SharebasedCompensation"/>
            <w:bookmarkEnd w:id="449"/>
          </w:p>
        </w:tc>
        <w:tc>
          <w:tcPr>
            <w:tcW w:w="904" w:type="dxa"/>
            <w:tcBorders/>
            <w:shd w:fill="CCEEFF" w:val="clear"/>
            <w:vAlign w:val="center"/>
          </w:tcPr>
          <w:p>
            <w:pPr>
              <w:pStyle w:val="TableContents"/>
              <w:spacing w:before="0" w:after="283"/>
              <w:jc w:val="right"/>
              <w:rPr/>
            </w:pPr>
            <w:r>
              <w:rPr/>
              <w:t>(159,777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450" w:name="xdx_98B_ecustom--SharebasedCompensationA"/>
            <w:bookmarkEnd w:id="450"/>
          </w:p>
        </w:tc>
        <w:tc>
          <w:tcPr>
            <w:tcW w:w="875" w:type="dxa"/>
            <w:tcBorders/>
            <w:shd w:fill="CCEEFF" w:val="clear"/>
            <w:vAlign w:val="center"/>
          </w:tcPr>
          <w:p>
            <w:pPr>
              <w:pStyle w:val="TableContents"/>
              <w:spacing w:before="0" w:after="283"/>
              <w:jc w:val="right"/>
              <w:rPr/>
            </w:pPr>
            <w:r>
              <w:rPr/>
              <w:t>159,777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jc w:val="left"/>
              <w:rPr/>
            </w:pPr>
            <w:r>
              <w:rPr/>
              <w:t> </w:t>
            </w:r>
            <w:bookmarkStart w:id="451" w:name="xdx_988_eus-gaap--SharebasedCompensation"/>
            <w:bookmarkEnd w:id="451"/>
          </w:p>
        </w:tc>
        <w:tc>
          <w:tcPr>
            <w:tcW w:w="853"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3" w:type="dxa"/>
            <w:tcBorders/>
            <w:shd w:fill="CCEEFF" w:val="clear"/>
            <w:vAlign w:val="center"/>
          </w:tcPr>
          <w:p>
            <w:pPr>
              <w:pStyle w:val="TableContents"/>
              <w:spacing w:before="0" w:after="283"/>
              <w:jc w:val="left"/>
              <w:rPr/>
            </w:pPr>
            <w:r>
              <w:rPr/>
              <w:t> </w:t>
            </w:r>
            <w:bookmarkStart w:id="452" w:name="xdx_986_eus-gaap--SharebasedCompensation"/>
            <w:bookmarkEnd w:id="452"/>
          </w:p>
        </w:tc>
        <w:tc>
          <w:tcPr>
            <w:tcW w:w="891"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2795" w:type="dxa"/>
            <w:tcBorders/>
            <w:shd w:fill="FFFFFF" w:val="clear"/>
            <w:vAlign w:val="center"/>
          </w:tcPr>
          <w:p>
            <w:pPr>
              <w:pStyle w:val="TableContents"/>
              <w:spacing w:before="0" w:after="283"/>
              <w:rPr/>
            </w:pPr>
            <w:r>
              <w:rPr/>
              <w:t>Forfeited</w:t>
            </w:r>
          </w:p>
        </w:tc>
        <w:tc>
          <w:tcPr>
            <w:tcW w:w="60" w:type="dxa"/>
            <w:tcBorders/>
            <w:shd w:fill="FFFFFF" w:val="clear"/>
            <w:vAlign w:val="center"/>
          </w:tcPr>
          <w:p>
            <w:pPr>
              <w:pStyle w:val="TableContents"/>
              <w:spacing w:before="0" w:after="283"/>
              <w:rPr/>
            </w:pPr>
            <w:r>
              <w:rPr/>
              <w:t> </w:t>
            </w:r>
          </w:p>
        </w:tc>
        <w:tc>
          <w:tcPr>
            <w:tcW w:w="61" w:type="dxa"/>
            <w:tcBorders/>
            <w:shd w:fill="FFFFFF" w:val="clear"/>
            <w:vAlign w:val="center"/>
          </w:tcPr>
          <w:p>
            <w:pPr>
              <w:pStyle w:val="TableContents"/>
              <w:spacing w:before="0" w:after="283"/>
              <w:jc w:val="left"/>
              <w:rPr/>
            </w:pPr>
            <w:r>
              <w:rPr/>
              <w:t> </w:t>
            </w:r>
            <w:bookmarkStart w:id="453" w:name="xdx_986_eus-gaap--SharebasedCompensation"/>
            <w:bookmarkEnd w:id="453"/>
          </w:p>
        </w:tc>
        <w:tc>
          <w:tcPr>
            <w:tcW w:w="904" w:type="dxa"/>
            <w:tcBorders/>
            <w:shd w:fill="FFFFFF" w:val="clear"/>
            <w:vAlign w:val="center"/>
          </w:tcPr>
          <w:p>
            <w:pPr>
              <w:pStyle w:val="TableContents"/>
              <w:spacing w:before="0" w:after="283"/>
              <w:jc w:val="right"/>
              <w:rPr/>
            </w:pPr>
            <w:r>
              <w:rPr/>
              <w:t>(2,009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p>
        </w:tc>
        <w:tc>
          <w:tcPr>
            <w:tcW w:w="87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shd w:fill="FFFFFF" w:val="clear"/>
            <w:vAlign w:val="center"/>
          </w:tcPr>
          <w:p>
            <w:pPr>
              <w:pStyle w:val="TableContents"/>
              <w:spacing w:before="0" w:after="283"/>
              <w:jc w:val="left"/>
              <w:rPr/>
            </w:pPr>
            <w:r>
              <w:rPr/>
              <w:t> </w:t>
            </w:r>
          </w:p>
        </w:tc>
        <w:tc>
          <w:tcPr>
            <w:tcW w:w="853"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shd w:fill="FFFFFF" w:val="clear"/>
            <w:vAlign w:val="center"/>
          </w:tcPr>
          <w:p>
            <w:pPr>
              <w:pStyle w:val="TableContents"/>
              <w:spacing w:before="0" w:after="283"/>
              <w:jc w:val="left"/>
              <w:rPr/>
            </w:pPr>
            <w:r>
              <w:rPr/>
              <w:t> </w:t>
            </w:r>
            <w:bookmarkStart w:id="454" w:name="xdx_98A_eus-gaap--SharebasedCompensation"/>
            <w:bookmarkEnd w:id="454"/>
          </w:p>
        </w:tc>
        <w:tc>
          <w:tcPr>
            <w:tcW w:w="891" w:type="dxa"/>
            <w:tcBorders/>
            <w:shd w:fill="FFFFFF" w:val="clear"/>
            <w:vAlign w:val="center"/>
          </w:tcPr>
          <w:p>
            <w:pPr>
              <w:pStyle w:val="TableContents"/>
              <w:spacing w:before="0" w:after="283"/>
              <w:jc w:val="right"/>
              <w:rPr/>
            </w:pPr>
            <w:r>
              <w:rPr/>
              <w:t>0.89</w:t>
            </w:r>
          </w:p>
        </w:tc>
        <w:tc>
          <w:tcPr>
            <w:tcW w:w="75" w:type="dxa"/>
            <w:tcBorders/>
            <w:shd w:fill="FFFFFF" w:val="clear"/>
            <w:vAlign w:val="center"/>
          </w:tcPr>
          <w:p>
            <w:pPr>
              <w:pStyle w:val="TableContents"/>
              <w:spacing w:before="0" w:after="283"/>
              <w:jc w:val="left"/>
              <w:rPr/>
            </w:pPr>
            <w:r>
              <w:rPr/>
              <w:t> </w:t>
            </w:r>
          </w:p>
        </w:tc>
      </w:tr>
      <w:tr>
        <w:trPr/>
        <w:tc>
          <w:tcPr>
            <w:tcW w:w="2795" w:type="dxa"/>
            <w:tcBorders/>
            <w:shd w:fill="CCEEFF" w:val="clear"/>
            <w:vAlign w:val="center"/>
          </w:tcPr>
          <w:p>
            <w:pPr>
              <w:pStyle w:val="TableContents"/>
              <w:spacing w:before="0" w:after="283"/>
              <w:rPr/>
            </w:pPr>
            <w:r>
              <w:rPr/>
              <w:t>Issued</w:t>
            </w:r>
          </w:p>
        </w:tc>
        <w:tc>
          <w:tcPr>
            <w:tcW w:w="60" w:type="dxa"/>
            <w:tcBorders/>
            <w:shd w:fill="CCEEFF" w:val="clear"/>
            <w:vAlign w:val="center"/>
          </w:tcPr>
          <w:p>
            <w:pPr>
              <w:pStyle w:val="TableContents"/>
              <w:spacing w:before="0" w:after="283"/>
              <w:rPr/>
            </w:pPr>
            <w:r>
              <w:rPr/>
              <w:t> </w:t>
            </w:r>
          </w:p>
        </w:tc>
        <w:tc>
          <w:tcPr>
            <w:tcW w:w="61"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455" w:name="xdx_987_eus-gaap--ShareBasedCompensation"/>
            <w:bookmarkEnd w:id="455"/>
          </w:p>
        </w:tc>
        <w:tc>
          <w:tcPr>
            <w:tcW w:w="904"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456" w:name="xdx_982_ecustom--ShareBasedCompensationA"/>
            <w:bookmarkEnd w:id="456"/>
          </w:p>
        </w:tc>
        <w:tc>
          <w:tcPr>
            <w:tcW w:w="875" w:type="dxa"/>
            <w:tcBorders>
              <w:bottom w:val="single" w:sz="12" w:space="0" w:color="000000"/>
            </w:tcBorders>
            <w:shd w:fill="CCEEFF" w:val="clear"/>
            <w:tcMar>
              <w:bottom w:w="28" w:type="dxa"/>
            </w:tcMar>
            <w:vAlign w:val="center"/>
          </w:tcPr>
          <w:p>
            <w:pPr>
              <w:pStyle w:val="TableContents"/>
              <w:spacing w:before="0" w:after="283"/>
              <w:jc w:val="right"/>
              <w:rPr/>
            </w:pPr>
            <w:r>
              <w:rPr/>
              <w:t>(159,777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61"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457" w:name="xdx_986_ecustom--SharebasedCompensationA"/>
            <w:bookmarkEnd w:id="457"/>
          </w:p>
        </w:tc>
        <w:tc>
          <w:tcPr>
            <w:tcW w:w="853" w:type="dxa"/>
            <w:tcBorders>
              <w:bottom w:val="single" w:sz="12" w:space="0" w:color="000000"/>
            </w:tcBorders>
            <w:shd w:fill="CCEEFF" w:val="clear"/>
            <w:tcMar>
              <w:bottom w:w="28" w:type="dxa"/>
            </w:tcMar>
            <w:vAlign w:val="center"/>
          </w:tcPr>
          <w:p>
            <w:pPr>
              <w:pStyle w:val="TableContents"/>
              <w:spacing w:before="0" w:after="283"/>
              <w:jc w:val="right"/>
              <w:rPr/>
            </w:pPr>
            <w:r>
              <w:rPr/>
              <w:t>(171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83"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458" w:name="xdx_985_ecustom--SharebasedCompensationA"/>
            <w:bookmarkEnd w:id="458"/>
          </w:p>
        </w:tc>
        <w:tc>
          <w:tcPr>
            <w:tcW w:w="891"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2795" w:type="dxa"/>
            <w:tcBorders/>
            <w:shd w:fill="FFFFFF" w:val="clear"/>
            <w:vAlign w:val="center"/>
          </w:tcPr>
          <w:p>
            <w:pPr>
              <w:pStyle w:val="TableContents"/>
              <w:spacing w:before="0" w:after="283"/>
              <w:rPr/>
            </w:pPr>
            <w:r>
              <w:rPr/>
              <w:t>Balance, June 30, 2021</w:t>
            </w:r>
          </w:p>
        </w:tc>
        <w:tc>
          <w:tcPr>
            <w:tcW w:w="60" w:type="dxa"/>
            <w:tcBorders/>
            <w:shd w:fill="FFFFFF" w:val="clear"/>
            <w:vAlign w:val="center"/>
          </w:tcPr>
          <w:p>
            <w:pPr>
              <w:pStyle w:val="TableContents"/>
              <w:spacing w:before="0" w:after="283"/>
              <w:rPr/>
            </w:pPr>
            <w:r>
              <w:rPr/>
              <w:t> </w:t>
            </w:r>
          </w:p>
        </w:tc>
        <w:tc>
          <w:tcPr>
            <w:tcW w:w="61"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459" w:name="xdx_985_eus-gaap--SharebasedCompensation"/>
            <w:bookmarkEnd w:id="459"/>
          </w:p>
        </w:tc>
        <w:tc>
          <w:tcPr>
            <w:tcW w:w="904" w:type="dxa"/>
            <w:tcBorders>
              <w:bottom w:val="double" w:sz="6" w:space="0" w:color="000000"/>
            </w:tcBorders>
            <w:shd w:fill="FFFFFF" w:val="clear"/>
            <w:tcMar>
              <w:bottom w:w="28" w:type="dxa"/>
            </w:tcMar>
            <w:vAlign w:val="center"/>
          </w:tcPr>
          <w:p>
            <w:pPr>
              <w:pStyle w:val="TableContents"/>
              <w:spacing w:before="0" w:after="283"/>
              <w:jc w:val="right"/>
              <w:rPr/>
            </w:pPr>
            <w:r>
              <w:rPr/>
              <w:t>234,114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pPr>
            <w:r>
              <w:rPr/>
              <w:t> </w:t>
            </w:r>
            <w:bookmarkStart w:id="460" w:name="xdx_989_ecustom--SharebasedCompensationA"/>
            <w:bookmarkEnd w:id="460"/>
          </w:p>
        </w:tc>
        <w:tc>
          <w:tcPr>
            <w:tcW w:w="875"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61" w:type="dxa"/>
            <w:tcBorders>
              <w:bottom w:val="double" w:sz="6" w:space="0" w:color="000000"/>
            </w:tcBorders>
            <w:shd w:fill="FFFFFF" w:val="clear"/>
            <w:tcMar>
              <w:bottom w:w="28" w:type="dxa"/>
            </w:tcMar>
            <w:vAlign w:val="center"/>
          </w:tcPr>
          <w:p>
            <w:pPr>
              <w:pStyle w:val="TableContents"/>
              <w:spacing w:before="0" w:after="283"/>
              <w:jc w:val="left"/>
              <w:rPr/>
            </w:pPr>
            <w:r>
              <w:rPr/>
              <w:t>$</w:t>
            </w:r>
            <w:bookmarkStart w:id="461" w:name="xdx_985_ecustom--SharebasedCompensationA"/>
            <w:bookmarkEnd w:id="461"/>
          </w:p>
        </w:tc>
        <w:tc>
          <w:tcPr>
            <w:tcW w:w="853" w:type="dxa"/>
            <w:tcBorders>
              <w:bottom w:val="double" w:sz="6" w:space="0" w:color="000000"/>
            </w:tcBorders>
            <w:shd w:fill="FFFFFF" w:val="clear"/>
            <w:tcMar>
              <w:bottom w:w="28" w:type="dxa"/>
            </w:tcMar>
            <w:vAlign w:val="center"/>
          </w:tcPr>
          <w:p>
            <w:pPr>
              <w:pStyle w:val="TableContents"/>
              <w:spacing w:before="0" w:after="283"/>
              <w:jc w:val="right"/>
              <w:rPr/>
            </w:pPr>
            <w:r>
              <w:rPr/>
              <w:t>147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83" w:type="dxa"/>
            <w:tcBorders>
              <w:bottom w:val="double" w:sz="6" w:space="0" w:color="000000"/>
            </w:tcBorders>
            <w:shd w:fill="FFFFFF" w:val="clear"/>
            <w:tcMar>
              <w:bottom w:w="28" w:type="dxa"/>
            </w:tcMar>
            <w:vAlign w:val="center"/>
          </w:tcPr>
          <w:p>
            <w:pPr>
              <w:pStyle w:val="TableContents"/>
              <w:spacing w:before="0" w:after="283"/>
              <w:jc w:val="left"/>
              <w:rPr/>
            </w:pPr>
            <w:r>
              <w:rPr/>
              <w:t>$</w:t>
            </w:r>
            <w:bookmarkStart w:id="462" w:name="xdx_987_eus-gaap--SharebasedCompensation"/>
            <w:bookmarkEnd w:id="462"/>
          </w:p>
        </w:tc>
        <w:tc>
          <w:tcPr>
            <w:tcW w:w="891" w:type="dxa"/>
            <w:tcBorders>
              <w:bottom w:val="double" w:sz="6" w:space="0" w:color="000000"/>
            </w:tcBorders>
            <w:shd w:fill="FFFFFF" w:val="clear"/>
            <w:tcMar>
              <w:bottom w:w="28" w:type="dxa"/>
            </w:tcMar>
            <w:vAlign w:val="center"/>
          </w:tcPr>
          <w:p>
            <w:pPr>
              <w:pStyle w:val="TableContents"/>
              <w:spacing w:before="0" w:after="283"/>
              <w:jc w:val="right"/>
              <w:rPr/>
            </w:pPr>
            <w:r>
              <w:rPr/>
              <w:t>0.89</w:t>
            </w:r>
          </w:p>
        </w:tc>
        <w:tc>
          <w:tcPr>
            <w:tcW w:w="75" w:type="dxa"/>
            <w:tcBorders/>
            <w:shd w:fill="FFFFFF" w:val="clear"/>
            <w:vAlign w:val="center"/>
          </w:tcPr>
          <w:p>
            <w:pPr>
              <w:pStyle w:val="TableContents"/>
              <w:spacing w:before="0" w:after="283"/>
              <w:jc w:val="left"/>
              <w:rPr/>
            </w:pPr>
            <w:r>
              <w:rPr/>
              <w:t> </w:t>
            </w:r>
          </w:p>
        </w:tc>
      </w:tr>
    </w:tbl>
    <w:p>
      <w:pPr>
        <w:pStyle w:val="TextBody"/>
        <w:jc w:val="both"/>
        <w:rPr>
          <w:caps w:val="false"/>
          <w:smallCaps w:val="false"/>
        </w:rPr>
      </w:pPr>
      <w:bookmarkStart w:id="463" w:name="xdx_8AD_ztQOaHXkVHwj"/>
      <w:bookmarkEnd w:id="463"/>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2021, the board of directors of Reed’s, pursuant to a joint recommendation from its governance and compensation committees, set the cash compensation of its non-employee directors at $</w:t>
      </w:r>
      <w:bookmarkStart w:id="464" w:name="xdx_900_eus-gaap--SalariesAndWages_pn3n3"/>
      <w:bookmarkEnd w:id="464"/>
      <w:r>
        <w:rPr>
          <w:rFonts w:ascii="Times New Roman;Times;Serif" w:hAnsi="Times New Roman;Times;Serif"/>
          <w:b w:val="false"/>
          <w:i w:val="false"/>
          <w:caps w:val="false"/>
          <w:smallCaps w:val="false"/>
          <w:sz w:val="20"/>
        </w:rPr>
        <w:t xml:space="preserve">50,000 for fiscal 2021, payable quarterly in accordance with the company’s policies for non-employee director compensation. In addition, the Company granted </w:t>
      </w:r>
      <w:bookmarkStart w:id="465" w:name="xdx_903_eus-gaap--ShareBasedCompensation"/>
      <w:bookmarkEnd w:id="465"/>
      <w:r>
        <w:rPr>
          <w:rFonts w:ascii="Times New Roman;Times;Serif" w:hAnsi="Times New Roman;Times;Serif"/>
          <w:b w:val="false"/>
          <w:i w:val="false"/>
          <w:caps w:val="false"/>
          <w:smallCaps w:val="false"/>
          <w:sz w:val="20"/>
        </w:rPr>
        <w:t xml:space="preserve">245,900 restricted stock awards to five non-employee directors. </w:t>
      </w:r>
      <w:bookmarkStart w:id="466" w:name="xdx_909_eus-gaap--SharebasedCompensation"/>
      <w:bookmarkEnd w:id="466"/>
      <w:r>
        <w:rPr>
          <w:rFonts w:ascii="Times New Roman;Times;Serif" w:hAnsi="Times New Roman;Times;Serif"/>
          <w:b w:val="false"/>
          <w:i w:val="false"/>
          <w:caps w:val="false"/>
          <w:smallCaps w:val="false"/>
          <w:sz w:val="20"/>
        </w:rPr>
        <w:t xml:space="preserve">61,475 of these restricted stock awards vested on February 1, 2021 and May 1, 2021. The remaining </w:t>
      </w:r>
      <w:bookmarkStart w:id="467" w:name="xdx_902_eus-gaap--ShareBasedCompensation"/>
      <w:bookmarkEnd w:id="467"/>
      <w:r>
        <w:rPr>
          <w:rFonts w:ascii="Times New Roman;Times;Serif" w:hAnsi="Times New Roman;Times;Serif"/>
          <w:b w:val="false"/>
          <w:i w:val="false"/>
          <w:caps w:val="false"/>
          <w:smallCaps w:val="false"/>
          <w:sz w:val="20"/>
        </w:rPr>
        <w:t>122,950 restricted stock awards will vest equally on August 1, 2021, and November 1, 2021. The aggregate fair value of the stock awards was $</w:t>
      </w:r>
      <w:bookmarkStart w:id="468" w:name="xdx_904_eus-gaap--StockIssuedDuringPerio"/>
      <w:bookmarkEnd w:id="468"/>
      <w:r>
        <w:rPr>
          <w:rFonts w:ascii="Times New Roman;Times;Serif" w:hAnsi="Times New Roman;Times;Serif"/>
          <w:b w:val="false"/>
          <w:i w:val="false"/>
          <w:caps w:val="false"/>
          <w:smallCaps w:val="false"/>
          <w:sz w:val="20"/>
        </w:rPr>
        <w:t>226 based on the market price of our common stock price which was $</w:t>
      </w:r>
      <w:bookmarkStart w:id="469" w:name="xdx_90E_eus-gaap--ShareBasedCompensation"/>
      <w:bookmarkEnd w:id="469"/>
      <w:r>
        <w:rPr>
          <w:rFonts w:ascii="Times New Roman;Times;Serif" w:hAnsi="Times New Roman;Times;Serif"/>
          <w:b w:val="false"/>
          <w:i w:val="false"/>
          <w:caps w:val="false"/>
          <w:smallCaps w:val="false"/>
          <w:sz w:val="20"/>
        </w:rPr>
        <w:t>0.92 per share on the date of grants and is amortized as shares vest.</w:t>
      </w:r>
    </w:p>
    <w:p>
      <w:pPr>
        <w:pStyle w:val="TextBody"/>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F-12</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fair value of vested restricted common stock vesting during the six months ended June 30, 2021 and 2020 was $</w:t>
      </w:r>
      <w:bookmarkStart w:id="470" w:name="xdx_90D_eus-gaap--StockIssuedDuringPerio"/>
      <w:bookmarkEnd w:id="470"/>
      <w:r>
        <w:rPr>
          <w:rFonts w:ascii="Times New Roman;Times;Serif" w:hAnsi="Times New Roman;Times;Serif"/>
          <w:b w:val="false"/>
          <w:i w:val="false"/>
          <w:caps w:val="false"/>
          <w:smallCaps w:val="false"/>
          <w:sz w:val="20"/>
        </w:rPr>
        <w:t>169 and $</w:t>
      </w:r>
      <w:bookmarkStart w:id="471" w:name="xdx_905_eus-gaap--StockIssuedDuringPerio"/>
      <w:bookmarkEnd w:id="471"/>
      <w:r>
        <w:rPr>
          <w:rFonts w:ascii="Times New Roman;Times;Serif" w:hAnsi="Times New Roman;Times;Serif"/>
          <w:b w:val="false"/>
          <w:i w:val="false"/>
          <w:caps w:val="false"/>
          <w:smallCaps w:val="false"/>
          <w:sz w:val="20"/>
        </w:rPr>
        <w:t>285, respectively, and is included in general and administrative expenses in the accompanying statements of operations. As of June 30, 2021, the amount of unvested compensation related to issuances of restricted common stock was $</w:t>
      </w:r>
      <w:bookmarkStart w:id="472" w:name="xdx_90C_eus-gaap--EmployeeServiceShareBa"/>
      <w:bookmarkEnd w:id="472"/>
      <w:r>
        <w:rPr>
          <w:rFonts w:ascii="Times New Roman;Times;Serif" w:hAnsi="Times New Roman;Times;Serif"/>
          <w:b w:val="false"/>
          <w:i w:val="false"/>
          <w:caps w:val="false"/>
          <w:smallCaps w:val="false"/>
          <w:sz w:val="20"/>
        </w:rPr>
        <w:t>147,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Stock options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bookmarkStart w:id="473" w:name="xdx_898_eus-gaap--ScheduleOfShareBasedCo"/>
      <w:bookmarkEnd w:id="473"/>
      <w:r>
        <w:rPr>
          <w:rFonts w:ascii="Times New Roman;Times;Serif" w:hAnsi="Times New Roman;Times;Serif"/>
          <w:b w:val="false"/>
          <w:i w:val="false"/>
          <w:caps w:val="false"/>
          <w:smallCaps w:val="false"/>
          <w:sz w:val="20"/>
        </w:rPr>
        <w:t>The following table summarizes stock option activity during the six months ended June 30, 2021:</w:t>
      </w:r>
    </w:p>
    <w:p>
      <w:pPr>
        <w:pStyle w:val="TextBody"/>
        <w:jc w:val="both"/>
        <w:rPr>
          <w:rFonts w:ascii="Times New Roman;Times;Serif" w:hAnsi="Times New Roman;Times;Serif"/>
          <w:b w:val="false"/>
          <w:i w:val="false"/>
          <w:caps w:val="false"/>
          <w:smallCaps w:val="false"/>
          <w:sz w:val="20"/>
        </w:rPr>
      </w:pPr>
      <w:bookmarkStart w:id="474" w:name="xdx_8B4_zkONVHiXPxn"/>
      <w:bookmarkEnd w:id="474"/>
      <w:r>
        <w:rPr>
          <w:rFonts w:ascii="Times New Roman;Times;Serif" w:hAnsi="Times New Roman;Times;Serif"/>
          <w:b w:val="false"/>
          <w:i w:val="false"/>
          <w:caps w:val="false"/>
          <w:smallCaps w:val="false"/>
          <w:sz w:val="20"/>
        </w:rPr>
        <w:t>Schedule of Stock Option Activity </w:t>
      </w:r>
    </w:p>
    <w:tbl>
      <w:tblPr>
        <w:tblW w:w="8879" w:type="dxa"/>
        <w:jc w:val="left"/>
        <w:tblInd w:w="0" w:type="dxa"/>
        <w:tblCellMar>
          <w:top w:w="0" w:type="dxa"/>
          <w:left w:w="0" w:type="dxa"/>
          <w:bottom w:w="0" w:type="dxa"/>
          <w:right w:w="0" w:type="dxa"/>
        </w:tblCellMar>
      </w:tblPr>
      <w:tblGrid>
        <w:gridCol w:w="3350"/>
        <w:gridCol w:w="60"/>
        <w:gridCol w:w="60"/>
        <w:gridCol w:w="1100"/>
        <w:gridCol w:w="95"/>
        <w:gridCol w:w="60"/>
        <w:gridCol w:w="352"/>
        <w:gridCol w:w="1107"/>
        <w:gridCol w:w="60"/>
        <w:gridCol w:w="60"/>
        <w:gridCol w:w="150"/>
        <w:gridCol w:w="1100"/>
        <w:gridCol w:w="60"/>
        <w:gridCol w:w="60"/>
        <w:gridCol w:w="226"/>
        <w:gridCol w:w="904"/>
        <w:gridCol w:w="75"/>
      </w:tblGrid>
      <w:tr>
        <w:trPr/>
        <w:tc>
          <w:tcPr>
            <w:tcW w:w="3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5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Weighted-</w:t>
              <w:br/>
              <w:t xml:space="preserve">Average </w:t>
              <w:br/>
              <w:t>Exercise 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Weighted-</w:t>
              <w:br/>
              <w:t>Average</w:t>
              <w:br/>
              <w:t>Remaining</w:t>
              <w:br/>
              <w:t>Contractual</w:t>
              <w:br/>
              <w:t xml:space="preserve">Terms </w:t>
              <w:br/>
              <w:t>(Years)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Aggregate </w:t>
              <w:br/>
              <w:t xml:space="preserve">Intrinsic </w:t>
              <w:br/>
              <w:t>Value</w:t>
            </w:r>
          </w:p>
        </w:tc>
        <w:tc>
          <w:tcPr>
            <w:tcW w:w="75" w:type="dxa"/>
            <w:tcBorders/>
            <w:shd w:fill="auto" w:val="clear"/>
            <w:vAlign w:val="center"/>
          </w:tcPr>
          <w:p>
            <w:pPr>
              <w:pStyle w:val="TableContents"/>
              <w:spacing w:before="0" w:after="283"/>
              <w:rPr/>
            </w:pPr>
            <w:r>
              <w:rPr/>
              <w:t> </w:t>
            </w:r>
          </w:p>
        </w:tc>
      </w:tr>
      <w:tr>
        <w:trPr/>
        <w:tc>
          <w:tcPr>
            <w:tcW w:w="3350" w:type="dxa"/>
            <w:tcBorders/>
            <w:shd w:fill="CCEEFF" w:val="clear"/>
            <w:vAlign w:val="center"/>
          </w:tcPr>
          <w:p>
            <w:pPr>
              <w:pStyle w:val="TableContents"/>
              <w:spacing w:before="0" w:after="283"/>
              <w:rPr/>
            </w:pPr>
            <w:r>
              <w:rPr/>
              <w:t>Outstanding at December 31,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475" w:name="xdx_986_eus-gaap--ShareBasedCompensation"/>
            <w:bookmarkEnd w:id="475"/>
          </w:p>
        </w:tc>
        <w:tc>
          <w:tcPr>
            <w:tcW w:w="1100" w:type="dxa"/>
            <w:tcBorders/>
            <w:shd w:fill="CCEEFF" w:val="clear"/>
            <w:vAlign w:val="center"/>
          </w:tcPr>
          <w:p>
            <w:pPr>
              <w:pStyle w:val="TableContents"/>
              <w:spacing w:before="0" w:after="283"/>
              <w:jc w:val="right"/>
              <w:rPr/>
            </w:pPr>
            <w:r>
              <w:rPr/>
              <w:t>9,417,898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w:t>
            </w:r>
            <w:bookmarkStart w:id="476" w:name="xdx_980_eus-gaap--ShareBasedCompensation"/>
            <w:bookmarkEnd w:id="476"/>
          </w:p>
        </w:tc>
        <w:tc>
          <w:tcPr>
            <w:tcW w:w="1107" w:type="dxa"/>
            <w:tcBorders/>
            <w:shd w:fill="CCEEFF" w:val="clear"/>
            <w:vAlign w:val="center"/>
          </w:tcPr>
          <w:p>
            <w:pPr>
              <w:pStyle w:val="TableContents"/>
              <w:spacing w:before="0" w:after="283"/>
              <w:jc w:val="right"/>
              <w:rPr/>
            </w:pPr>
            <w:r>
              <w:rPr/>
              <w:t>1.19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bookmarkStart w:id="477" w:name="xdx_985_eus-gaap--SharebasedCompensation"/>
            <w:bookmarkEnd w:id="477"/>
          </w:p>
        </w:tc>
        <w:tc>
          <w:tcPr>
            <w:tcW w:w="1100" w:type="dxa"/>
            <w:tcBorders/>
            <w:shd w:fill="CCEEFF" w:val="clear"/>
            <w:vAlign w:val="center"/>
          </w:tcPr>
          <w:p>
            <w:pPr>
              <w:pStyle w:val="TableContents"/>
              <w:spacing w:before="0" w:after="283"/>
              <w:jc w:val="right"/>
              <w:rPr/>
            </w:pPr>
            <w:r>
              <w:rPr/>
              <w:t>6.09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w:t>
            </w:r>
            <w:bookmarkStart w:id="478" w:name="xdx_983_eus-gaap--ShareBasedCompensation"/>
            <w:bookmarkEnd w:id="478"/>
          </w:p>
        </w:tc>
        <w:tc>
          <w:tcPr>
            <w:tcW w:w="904" w:type="dxa"/>
            <w:tcBorders/>
            <w:shd w:fill="CCEEFF" w:val="clear"/>
            <w:vAlign w:val="center"/>
          </w:tcPr>
          <w:p>
            <w:pPr>
              <w:pStyle w:val="TableContents"/>
              <w:spacing w:before="0" w:after="283"/>
              <w:jc w:val="right"/>
              <w:rPr/>
            </w:pPr>
            <w:r>
              <w:rPr/>
              <w:t>78</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rPr/>
            </w:pPr>
            <w:r>
              <w:rPr/>
              <w:t>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479" w:name="xdx_989_eus-gaap--ShareBasedCompensation"/>
            <w:bookmarkEnd w:id="479"/>
          </w:p>
        </w:tc>
        <w:tc>
          <w:tcPr>
            <w:tcW w:w="1100" w:type="dxa"/>
            <w:tcBorders/>
            <w:shd w:fill="FFFFFF" w:val="clear"/>
            <w:vAlign w:val="center"/>
          </w:tcPr>
          <w:p>
            <w:pPr>
              <w:pStyle w:val="TableContents"/>
              <w:spacing w:before="0" w:after="283"/>
              <w:jc w:val="right"/>
              <w:rPr/>
            </w:pPr>
            <w:r>
              <w:rPr/>
              <w:t>3,288,700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pPr>
            <w:r>
              <w:rPr/>
              <w:t>$</w:t>
            </w:r>
            <w:bookmarkStart w:id="480" w:name="xdx_98D_eus-gaap--ShareBasedCompensation"/>
            <w:bookmarkEnd w:id="480"/>
          </w:p>
        </w:tc>
        <w:tc>
          <w:tcPr>
            <w:tcW w:w="1107" w:type="dxa"/>
            <w:tcBorders/>
            <w:shd w:fill="FFFFFF" w:val="clear"/>
            <w:vAlign w:val="center"/>
          </w:tcPr>
          <w:p>
            <w:pPr>
              <w:pStyle w:val="TableContents"/>
              <w:spacing w:before="0" w:after="283"/>
              <w:jc w:val="right"/>
              <w:rPr/>
            </w:pPr>
            <w:r>
              <w:rPr/>
              <w:t>1.06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904"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rPr/>
            </w:pPr>
            <w:r>
              <w:rPr/>
              <w:t>Exercised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481" w:name="xdx_988_eus-gaap--StockIssuedDuringPerio"/>
            <w:bookmarkEnd w:id="481"/>
          </w:p>
        </w:tc>
        <w:tc>
          <w:tcPr>
            <w:tcW w:w="1100" w:type="dxa"/>
            <w:tcBorders/>
            <w:shd w:fill="CCEEFF" w:val="clear"/>
            <w:vAlign w:val="center"/>
          </w:tcPr>
          <w:p>
            <w:pPr>
              <w:pStyle w:val="TableContents"/>
              <w:spacing w:before="0" w:after="283"/>
              <w:jc w:val="right"/>
              <w:rPr/>
            </w:pPr>
            <w:r>
              <w:rPr/>
              <w:t>(58,000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52" w:type="dxa"/>
            <w:tcBorders/>
            <w:shd w:fill="CCEEFF" w:val="clear"/>
            <w:vAlign w:val="center"/>
          </w:tcPr>
          <w:p>
            <w:pPr>
              <w:pStyle w:val="TableContents"/>
              <w:spacing w:before="0" w:after="283"/>
              <w:jc w:val="left"/>
              <w:rPr/>
            </w:pPr>
            <w:r>
              <w:rPr/>
              <w:t>$</w:t>
            </w:r>
            <w:bookmarkStart w:id="482" w:name="xdx_983_eus-gaap--ShareBasedCompensation"/>
            <w:bookmarkEnd w:id="482"/>
          </w:p>
        </w:tc>
        <w:tc>
          <w:tcPr>
            <w:tcW w:w="1107" w:type="dxa"/>
            <w:tcBorders/>
            <w:shd w:fill="CCEEFF" w:val="clear"/>
            <w:vAlign w:val="center"/>
          </w:tcPr>
          <w:p>
            <w:pPr>
              <w:pStyle w:val="TableContents"/>
              <w:spacing w:before="0" w:after="283"/>
              <w:jc w:val="right"/>
              <w:rPr/>
            </w:pPr>
            <w:r>
              <w:rPr/>
              <w:t>0.50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6" w:type="dxa"/>
            <w:tcBorders/>
            <w:shd w:fill="CCEEFF" w:val="clear"/>
            <w:vAlign w:val="center"/>
          </w:tcPr>
          <w:p>
            <w:pPr>
              <w:pStyle w:val="TableContents"/>
              <w:spacing w:before="0" w:after="283"/>
              <w:jc w:val="left"/>
              <w:rPr/>
            </w:pPr>
            <w:r>
              <w:rPr/>
              <w:t> </w:t>
            </w:r>
          </w:p>
        </w:tc>
        <w:tc>
          <w:tcPr>
            <w:tcW w:w="90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jc w:val="left"/>
              <w:rPr/>
            </w:pPr>
            <w:r>
              <w:rPr/>
              <w:t>Unvested forfeited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483" w:name="xdx_982_eus-gaap--ShareBasedCompensation"/>
            <w:bookmarkEnd w:id="483"/>
          </w:p>
        </w:tc>
        <w:tc>
          <w:tcPr>
            <w:tcW w:w="1100" w:type="dxa"/>
            <w:tcBorders/>
            <w:shd w:fill="FFFFFF" w:val="clear"/>
            <w:vAlign w:val="center"/>
          </w:tcPr>
          <w:p>
            <w:pPr>
              <w:pStyle w:val="TableContents"/>
              <w:spacing w:before="0" w:after="283"/>
              <w:jc w:val="right"/>
              <w:rPr/>
            </w:pPr>
            <w:r>
              <w:rPr/>
              <w:t>(419,647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352" w:type="dxa"/>
            <w:tcBorders/>
            <w:shd w:fill="FFFFFF" w:val="clear"/>
            <w:vAlign w:val="center"/>
          </w:tcPr>
          <w:p>
            <w:pPr>
              <w:pStyle w:val="TableContents"/>
              <w:spacing w:before="0" w:after="283"/>
              <w:jc w:val="left"/>
              <w:rPr/>
            </w:pPr>
            <w:r>
              <w:rPr/>
              <w:t>$</w:t>
            </w:r>
            <w:bookmarkStart w:id="484" w:name="xdx_98F_eus-gaap--ShareBasedCompensation"/>
            <w:bookmarkEnd w:id="484"/>
          </w:p>
        </w:tc>
        <w:tc>
          <w:tcPr>
            <w:tcW w:w="1107" w:type="dxa"/>
            <w:tcBorders/>
            <w:shd w:fill="FFFFFF" w:val="clear"/>
            <w:vAlign w:val="center"/>
          </w:tcPr>
          <w:p>
            <w:pPr>
              <w:pStyle w:val="TableContents"/>
              <w:spacing w:before="0" w:after="283"/>
              <w:jc w:val="right"/>
              <w:rPr/>
            </w:pPr>
            <w:r>
              <w:rPr/>
              <w:t>1.74</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shd w:fill="FFFFFF" w:val="clear"/>
            <w:vAlign w:val="center"/>
          </w:tcPr>
          <w:p>
            <w:pPr>
              <w:pStyle w:val="TableContents"/>
              <w:spacing w:before="0" w:after="283"/>
              <w:jc w:val="left"/>
              <w:rPr/>
            </w:pPr>
            <w:r>
              <w:rPr/>
              <w:t> </w:t>
            </w:r>
          </w:p>
        </w:tc>
        <w:tc>
          <w:tcPr>
            <w:tcW w:w="904"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jc w:val="left"/>
              <w:rPr/>
            </w:pPr>
            <w:r>
              <w:rPr/>
              <w:t>Vested forfeited</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485" w:name="xdx_989_ecustom--ShareBasedCompensationA"/>
            <w:bookmarkEnd w:id="485"/>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(55,344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52" w:type="dxa"/>
            <w:tcBorders>
              <w:bottom w:val="single" w:sz="12" w:space="0" w:color="000000"/>
            </w:tcBorders>
            <w:shd w:fill="CCEEFF" w:val="clear"/>
            <w:tcMar>
              <w:bottom w:w="28" w:type="dxa"/>
            </w:tcMar>
            <w:vAlign w:val="center"/>
          </w:tcPr>
          <w:p>
            <w:pPr>
              <w:pStyle w:val="TableContents"/>
              <w:spacing w:before="0" w:after="283"/>
              <w:jc w:val="left"/>
              <w:rPr/>
            </w:pPr>
            <w:r>
              <w:rPr/>
              <w:t>$</w:t>
            </w:r>
            <w:bookmarkStart w:id="486" w:name="xdx_987_ecustom--ShareBasedCompensationA"/>
            <w:bookmarkEnd w:id="486"/>
          </w:p>
        </w:tc>
        <w:tc>
          <w:tcPr>
            <w:tcW w:w="1107" w:type="dxa"/>
            <w:tcBorders>
              <w:bottom w:val="single" w:sz="12" w:space="0" w:color="000000"/>
            </w:tcBorders>
            <w:shd w:fill="CCEEFF" w:val="clear"/>
            <w:tcMar>
              <w:bottom w:w="28" w:type="dxa"/>
            </w:tcMar>
            <w:vAlign w:val="center"/>
          </w:tcPr>
          <w:p>
            <w:pPr>
              <w:pStyle w:val="TableContents"/>
              <w:spacing w:before="0" w:after="283"/>
              <w:jc w:val="right"/>
              <w:rPr/>
            </w:pPr>
            <w:r>
              <w:rPr/>
              <w:t>2.67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50" w:type="dxa"/>
            <w:tcBorders/>
            <w:shd w:fill="FFFFFF" w:val="clear"/>
            <w:vAlign w:val="center"/>
          </w:tcPr>
          <w:p>
            <w:pPr>
              <w:pStyle w:val="TableContents"/>
              <w:spacing w:before="0" w:after="283"/>
              <w:rPr/>
            </w:pPr>
            <w:r>
              <w:rPr/>
              <w:t>Outstanding at June 30, 2021</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487" w:name="xdx_987_eus-gaap--ShareBasedCompensation"/>
            <w:bookmarkEnd w:id="487"/>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12,173,607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52" w:type="dxa"/>
            <w:tcBorders>
              <w:bottom w:val="single" w:sz="12" w:space="0" w:color="000000"/>
            </w:tcBorders>
            <w:shd w:fill="FFFFFF" w:val="clear"/>
            <w:tcMar>
              <w:bottom w:w="28" w:type="dxa"/>
            </w:tcMar>
            <w:vAlign w:val="center"/>
          </w:tcPr>
          <w:p>
            <w:pPr>
              <w:pStyle w:val="TableContents"/>
              <w:spacing w:before="0" w:after="283"/>
              <w:jc w:val="left"/>
              <w:rPr/>
            </w:pPr>
            <w:r>
              <w:rPr/>
              <w:t>$</w:t>
            </w:r>
            <w:bookmarkStart w:id="488" w:name="xdx_986_eus-gaap--ShareBasedCompensation"/>
            <w:bookmarkEnd w:id="488"/>
          </w:p>
        </w:tc>
        <w:tc>
          <w:tcPr>
            <w:tcW w:w="1107" w:type="dxa"/>
            <w:tcBorders>
              <w:bottom w:val="single" w:sz="12" w:space="0" w:color="000000"/>
            </w:tcBorders>
            <w:shd w:fill="FFFFFF" w:val="clear"/>
            <w:tcMar>
              <w:bottom w:w="28" w:type="dxa"/>
            </w:tcMar>
            <w:vAlign w:val="center"/>
          </w:tcPr>
          <w:p>
            <w:pPr>
              <w:pStyle w:val="TableContents"/>
              <w:spacing w:before="0" w:after="283"/>
              <w:jc w:val="right"/>
              <w:rPr/>
            </w:pPr>
            <w:r>
              <w:rPr/>
              <w:t>1.13</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5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489" w:name="xdx_98B_ecustom--SharebasedCompensationA"/>
            <w:bookmarkEnd w:id="489"/>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8.56</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6" w:type="dxa"/>
            <w:tcBorders>
              <w:bottom w:val="single" w:sz="12" w:space="0" w:color="000000"/>
            </w:tcBorders>
            <w:shd w:fill="FFFFFF" w:val="clear"/>
            <w:tcMar>
              <w:bottom w:w="28" w:type="dxa"/>
            </w:tcMar>
            <w:vAlign w:val="center"/>
          </w:tcPr>
          <w:p>
            <w:pPr>
              <w:pStyle w:val="TableContents"/>
              <w:spacing w:before="0" w:after="283"/>
              <w:jc w:val="left"/>
              <w:rPr/>
            </w:pPr>
            <w:r>
              <w:rPr/>
              <w:t>$</w:t>
            </w:r>
            <w:bookmarkStart w:id="490" w:name="xdx_98E_eus-gaap--ShareBasedCompensation"/>
            <w:bookmarkEnd w:id="490"/>
          </w:p>
        </w:tc>
        <w:tc>
          <w:tcPr>
            <w:tcW w:w="904" w:type="dxa"/>
            <w:tcBorders>
              <w:bottom w:val="single" w:sz="12" w:space="0" w:color="000000"/>
            </w:tcBorders>
            <w:shd w:fill="FFFFFF" w:val="clear"/>
            <w:tcMar>
              <w:bottom w:w="28" w:type="dxa"/>
            </w:tcMar>
            <w:vAlign w:val="center"/>
          </w:tcPr>
          <w:p>
            <w:pPr>
              <w:pStyle w:val="TableContents"/>
              <w:spacing w:before="0" w:after="283"/>
              <w:jc w:val="right"/>
              <w:rPr/>
            </w:pPr>
            <w:r>
              <w:rPr/>
              <w:t>1,012</w:t>
            </w:r>
          </w:p>
        </w:tc>
        <w:tc>
          <w:tcPr>
            <w:tcW w:w="75" w:type="dxa"/>
            <w:tcBorders/>
            <w:shd w:fill="FFFFFF" w:val="clear"/>
            <w:vAlign w:val="center"/>
          </w:tcPr>
          <w:p>
            <w:pPr>
              <w:pStyle w:val="TableContents"/>
              <w:spacing w:before="0" w:after="283"/>
              <w:jc w:val="left"/>
              <w:rPr/>
            </w:pPr>
            <w:r>
              <w:rPr/>
              <w:t> </w:t>
            </w:r>
          </w:p>
        </w:tc>
      </w:tr>
      <w:tr>
        <w:trPr/>
        <w:tc>
          <w:tcPr>
            <w:tcW w:w="3350" w:type="dxa"/>
            <w:tcBorders/>
            <w:shd w:fill="CCEEFF" w:val="clear"/>
            <w:vAlign w:val="center"/>
          </w:tcPr>
          <w:p>
            <w:pPr>
              <w:pStyle w:val="TableContents"/>
              <w:spacing w:before="0" w:after="283"/>
              <w:rPr/>
            </w:pPr>
            <w:r>
              <w:rPr/>
              <w:t>Exercisable at June 30, 2021</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491" w:name="xdx_98A_eus-gaap--ShareBasedCompensation"/>
            <w:bookmarkEnd w:id="491"/>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3,122,079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2" w:type="dxa"/>
            <w:tcBorders>
              <w:bottom w:val="double" w:sz="6" w:space="0" w:color="000000"/>
            </w:tcBorders>
            <w:shd w:fill="CCEEFF" w:val="clear"/>
            <w:tcMar>
              <w:bottom w:w="28" w:type="dxa"/>
            </w:tcMar>
            <w:vAlign w:val="center"/>
          </w:tcPr>
          <w:p>
            <w:pPr>
              <w:pStyle w:val="TableContents"/>
              <w:spacing w:before="0" w:after="283"/>
              <w:jc w:val="left"/>
              <w:rPr/>
            </w:pPr>
            <w:r>
              <w:rPr/>
              <w:t>$</w:t>
            </w:r>
            <w:bookmarkStart w:id="492" w:name="xdx_987_eus-gaap--ShareBasedCompensation"/>
            <w:bookmarkEnd w:id="492"/>
          </w:p>
        </w:tc>
        <w:tc>
          <w:tcPr>
            <w:tcW w:w="1107" w:type="dxa"/>
            <w:tcBorders>
              <w:bottom w:val="double" w:sz="6" w:space="0" w:color="000000"/>
            </w:tcBorders>
            <w:shd w:fill="CCEEFF" w:val="clear"/>
            <w:tcMar>
              <w:bottom w:w="28" w:type="dxa"/>
            </w:tcMar>
            <w:vAlign w:val="center"/>
          </w:tcPr>
          <w:p>
            <w:pPr>
              <w:pStyle w:val="TableContents"/>
              <w:spacing w:before="0" w:after="283"/>
              <w:jc w:val="right"/>
              <w:rPr/>
            </w:pPr>
            <w:r>
              <w:rPr/>
              <w:t>1.33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bottom w:val="double" w:sz="6" w:space="0" w:color="000000"/>
            </w:tcBorders>
            <w:shd w:fill="CCEEFF" w:val="clear"/>
            <w:tcMar>
              <w:bottom w:w="28" w:type="dxa"/>
            </w:tcMar>
            <w:vAlign w:val="center"/>
          </w:tcPr>
          <w:p>
            <w:pPr>
              <w:pStyle w:val="TableContents"/>
              <w:spacing w:before="0" w:after="283"/>
              <w:jc w:val="left"/>
              <w:rPr/>
            </w:pPr>
            <w:r>
              <w:rPr/>
              <w:t> </w:t>
            </w:r>
            <w:bookmarkStart w:id="493" w:name="xdx_98B_eus-gaap--SharebasedCompensation"/>
            <w:bookmarkEnd w:id="493"/>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6.65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6" w:type="dxa"/>
            <w:tcBorders>
              <w:bottom w:val="double" w:sz="6" w:space="0" w:color="000000"/>
            </w:tcBorders>
            <w:shd w:fill="CCEEFF" w:val="clear"/>
            <w:tcMar>
              <w:bottom w:w="28" w:type="dxa"/>
            </w:tcMar>
            <w:vAlign w:val="center"/>
          </w:tcPr>
          <w:p>
            <w:pPr>
              <w:pStyle w:val="TableContents"/>
              <w:spacing w:before="0" w:after="283"/>
              <w:jc w:val="left"/>
              <w:rPr/>
            </w:pPr>
            <w:r>
              <w:rPr/>
              <w:t>$</w:t>
            </w:r>
            <w:bookmarkStart w:id="494" w:name="xdx_981_eus-gaap--SharebasedCompensation"/>
            <w:bookmarkEnd w:id="494"/>
          </w:p>
        </w:tc>
        <w:tc>
          <w:tcPr>
            <w:tcW w:w="904" w:type="dxa"/>
            <w:tcBorders>
              <w:bottom w:val="double" w:sz="6" w:space="0" w:color="000000"/>
            </w:tcBorders>
            <w:shd w:fill="CCEEFF" w:val="clear"/>
            <w:tcMar>
              <w:bottom w:w="28" w:type="dxa"/>
            </w:tcMar>
            <w:vAlign w:val="center"/>
          </w:tcPr>
          <w:p>
            <w:pPr>
              <w:pStyle w:val="TableContents"/>
              <w:spacing w:before="0" w:after="283"/>
              <w:jc w:val="right"/>
              <w:rPr/>
            </w:pPr>
            <w:r>
              <w:rPr/>
              <w:t>510</w:t>
            </w:r>
          </w:p>
        </w:tc>
        <w:tc>
          <w:tcPr>
            <w:tcW w:w="75"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bookmarkStart w:id="495" w:name="xdx_8AF_zRIr8ECoGxW3"/>
      <w:bookmarkEnd w:id="495"/>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2021, the Company received proceeds of $</w:t>
      </w:r>
      <w:bookmarkStart w:id="496" w:name="xdx_904_eus-gaap--ProceedsFromStockPlans"/>
      <w:bookmarkEnd w:id="496"/>
      <w:r>
        <w:rPr>
          <w:rFonts w:ascii="Times New Roman;Times;Serif" w:hAnsi="Times New Roman;Times;Serif"/>
          <w:b w:val="false"/>
          <w:i w:val="false"/>
          <w:caps w:val="false"/>
          <w:smallCaps w:val="false"/>
          <w:sz w:val="20"/>
        </w:rPr>
        <w:t xml:space="preserve">29 and issued </w:t>
      </w:r>
      <w:bookmarkStart w:id="497" w:name="xdx_901_eus-gaap--StockIssuedDuringPerio"/>
      <w:bookmarkEnd w:id="497"/>
      <w:r>
        <w:rPr>
          <w:rFonts w:ascii="Times New Roman;Times;Serif" w:hAnsi="Times New Roman;Times;Serif"/>
          <w:b w:val="false"/>
          <w:i w:val="false"/>
          <w:caps w:val="false"/>
          <w:smallCaps w:val="false"/>
          <w:sz w:val="20"/>
        </w:rPr>
        <w:t>58,000 shares of common shares on the exercise of stock options.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2021, the Company approved options exercisable into </w:t>
      </w:r>
      <w:bookmarkStart w:id="498" w:name="xdx_900_eus-gaap--ShareBasedCompensation"/>
      <w:bookmarkEnd w:id="498"/>
      <w:r>
        <w:rPr>
          <w:rFonts w:ascii="Times New Roman;Times;Serif" w:hAnsi="Times New Roman;Times;Serif"/>
          <w:b w:val="false"/>
          <w:i w:val="false"/>
          <w:caps w:val="false"/>
          <w:smallCaps w:val="false"/>
          <w:sz w:val="20"/>
        </w:rPr>
        <w:t xml:space="preserve">3,288,700 shares to be issued pursuant to Reed’s 2020 Equity Incentive Plan. </w:t>
      </w:r>
      <w:bookmarkStart w:id="499" w:name="xdx_90C_eus-gaap--ShareBasedCompensation"/>
      <w:bookmarkEnd w:id="499"/>
      <w:r>
        <w:rPr>
          <w:rFonts w:ascii="Times New Roman;Times;Serif" w:hAnsi="Times New Roman;Times;Serif"/>
          <w:b w:val="false"/>
          <w:i w:val="false"/>
          <w:caps w:val="false"/>
          <w:smallCaps w:val="false"/>
          <w:sz w:val="20"/>
        </w:rPr>
        <w:t xml:space="preserve">3,288,700 options were issued to employees, </w:t>
      </w:r>
      <w:bookmarkStart w:id="500" w:name="xdx_90D_eus-gaap--SharebasedCompensation"/>
      <w:bookmarkEnd w:id="500"/>
      <w:r>
        <w:rPr>
          <w:rFonts w:ascii="Times New Roman;Times;Serif" w:hAnsi="Times New Roman;Times;Serif"/>
          <w:b w:val="false"/>
          <w:i w:val="false"/>
          <w:caps w:val="false"/>
          <w:smallCaps w:val="false"/>
          <w:sz w:val="20"/>
        </w:rPr>
        <w:t xml:space="preserve">1,644,350 options vesting annually over a </w:t>
      </w:r>
      <w:bookmarkStart w:id="501" w:name="xdx_907_eus-gaap--ShareBasedCompensation"/>
      <w:bookmarkEnd w:id="501"/>
      <w:r>
        <w:rPr>
          <w:rFonts w:ascii="Times New Roman;Times;Serif" w:hAnsi="Times New Roman;Times;Serif"/>
          <w:b w:val="false"/>
          <w:i w:val="false"/>
          <w:caps w:val="false"/>
          <w:smallCaps w:val="false"/>
          <w:sz w:val="20"/>
        </w:rPr>
        <w:t xml:space="preserve">four-year vesting period, and </w:t>
      </w:r>
      <w:bookmarkStart w:id="502" w:name="xdx_903_ecustom--SharebasedCompensationA"/>
      <w:bookmarkEnd w:id="502"/>
      <w:r>
        <w:rPr>
          <w:rFonts w:ascii="Times New Roman;Times;Serif" w:hAnsi="Times New Roman;Times;Serif"/>
          <w:b w:val="false"/>
          <w:i w:val="false"/>
          <w:caps w:val="false"/>
          <w:smallCaps w:val="false"/>
          <w:sz w:val="20"/>
        </w:rPr>
        <w:t>1,644,350 options that will vest based on performance criteria to be established by the board of directors.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options are exercisable at prices ranging from $</w:t>
      </w:r>
      <w:bookmarkStart w:id="503" w:name="xdx_908_eus-gaap--SharePrice_iI_pid_uUSD"/>
      <w:bookmarkEnd w:id="503"/>
      <w:r>
        <w:rPr>
          <w:rFonts w:ascii="Times New Roman;Times;Serif" w:hAnsi="Times New Roman;Times;Serif"/>
          <w:b w:val="false"/>
          <w:i w:val="false"/>
          <w:caps w:val="false"/>
          <w:smallCaps w:val="false"/>
          <w:sz w:val="20"/>
        </w:rPr>
        <w:t>0.98 to $</w:t>
      </w:r>
      <w:bookmarkStart w:id="504" w:name="xdx_904_eus-gaap--SharePrice_iI_pid_uUSD"/>
      <w:bookmarkEnd w:id="504"/>
      <w:r>
        <w:rPr>
          <w:rFonts w:ascii="Times New Roman;Times;Serif" w:hAnsi="Times New Roman;Times;Serif"/>
          <w:b w:val="false"/>
          <w:i w:val="false"/>
          <w:caps w:val="false"/>
          <w:smallCaps w:val="false"/>
          <w:sz w:val="20"/>
        </w:rPr>
        <w:t xml:space="preserve">1.18 per share and expire in </w:t>
      </w:r>
      <w:bookmarkStart w:id="505" w:name="xdx_90C_eus-gaap--SharebasedCompensation"/>
      <w:bookmarkEnd w:id="505"/>
      <w:r>
        <w:rPr>
          <w:rFonts w:ascii="Times New Roman;Times;Serif" w:hAnsi="Times New Roman;Times;Serif"/>
          <w:b w:val="false"/>
          <w:i w:val="false"/>
          <w:caps w:val="false"/>
          <w:smallCaps w:val="false"/>
          <w:sz w:val="20"/>
        </w:rPr>
        <w:t>ten years. The total fair value of these options at grant date was approximately $</w:t>
      </w:r>
      <w:bookmarkStart w:id="506" w:name="xdx_902_ecustom--ShareBasedCompensationA"/>
      <w:bookmarkEnd w:id="506"/>
      <w:r>
        <w:rPr>
          <w:rFonts w:ascii="Times New Roman;Times;Serif" w:hAnsi="Times New Roman;Times;Serif"/>
          <w:b w:val="false"/>
          <w:i w:val="false"/>
          <w:caps w:val="false"/>
          <w:smallCaps w:val="false"/>
          <w:sz w:val="20"/>
        </w:rPr>
        <w:t>2,345, which was determined using a Black-Scholes-Merton option pricing model with the following average assumption: stock price of $</w:t>
      </w:r>
      <w:bookmarkStart w:id="507" w:name="xdx_90A_eus-gaap--SharePrice_iI_pid_uUSD"/>
      <w:bookmarkEnd w:id="507"/>
      <w:r>
        <w:rPr>
          <w:rFonts w:ascii="Times New Roman;Times;Serif" w:hAnsi="Times New Roman;Times;Serif"/>
          <w:b w:val="false"/>
          <w:i w:val="false"/>
          <w:caps w:val="false"/>
          <w:smallCaps w:val="false"/>
          <w:sz w:val="20"/>
        </w:rPr>
        <w:t xml:space="preserve">1.06 per share, expected term of </w:t>
      </w:r>
      <w:bookmarkStart w:id="508" w:name="xdx_90E_eus-gaap--SharebasedCompensation"/>
      <w:bookmarkEnd w:id="508"/>
      <w:r>
        <w:rPr>
          <w:rFonts w:ascii="Times New Roman;Times;Serif" w:hAnsi="Times New Roman;Times;Serif"/>
          <w:b w:val="false"/>
          <w:i w:val="false"/>
          <w:caps w:val="false"/>
          <w:smallCaps w:val="false"/>
          <w:sz w:val="20"/>
        </w:rPr>
        <w:t xml:space="preserve">six years, volatility of </w:t>
      </w:r>
      <w:bookmarkStart w:id="509" w:name="xdx_907_eus-gaap--ShareBasedCompensation"/>
      <w:bookmarkEnd w:id="509"/>
      <w:r>
        <w:rPr>
          <w:rFonts w:ascii="Times New Roman;Times;Serif" w:hAnsi="Times New Roman;Times;Serif"/>
          <w:b w:val="false"/>
          <w:i w:val="false"/>
          <w:caps w:val="false"/>
          <w:smallCaps w:val="false"/>
          <w:sz w:val="20"/>
        </w:rPr>
        <w:t xml:space="preserve">79%, dividend rate of </w:t>
      </w:r>
      <w:bookmarkStart w:id="510" w:name="xdx_906_eus-gaap--ShareBasedCompensation"/>
      <w:bookmarkEnd w:id="510"/>
      <w:r>
        <w:rPr>
          <w:rFonts w:ascii="Times New Roman;Times;Serif" w:hAnsi="Times New Roman;Times;Serif"/>
          <w:b w:val="false"/>
          <w:i w:val="false"/>
          <w:caps w:val="false"/>
          <w:smallCaps w:val="false"/>
          <w:sz w:val="20"/>
        </w:rPr>
        <w:t xml:space="preserve">0%, and weighted average risk-free interest rate of </w:t>
      </w:r>
      <w:bookmarkStart w:id="511" w:name="xdx_904_eus-gaap--ShareBasedCompensation"/>
      <w:bookmarkEnd w:id="511"/>
      <w:r>
        <w:rPr>
          <w:rFonts w:ascii="Times New Roman;Times;Serif" w:hAnsi="Times New Roman;Times;Serif"/>
          <w:b w:val="false"/>
          <w:i w:val="false"/>
          <w:caps w:val="false"/>
          <w:smallCaps w:val="false"/>
          <w:sz w:val="20"/>
        </w:rPr>
        <w:t>0.98%.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2021 and 2020, the Company recognized $</w:t>
      </w:r>
      <w:bookmarkStart w:id="512" w:name="xdx_902_eus-gaap--AllocatedShareBasedCom"/>
      <w:bookmarkEnd w:id="512"/>
      <w:r>
        <w:rPr>
          <w:rFonts w:ascii="Times New Roman;Times;Serif" w:hAnsi="Times New Roman;Times;Serif"/>
          <w:b w:val="false"/>
          <w:i w:val="false"/>
          <w:caps w:val="false"/>
          <w:smallCaps w:val="false"/>
          <w:sz w:val="20"/>
        </w:rPr>
        <w:t>828 and $</w:t>
      </w:r>
      <w:bookmarkStart w:id="513" w:name="xdx_906_eus-gaap--AllocatedShareBasedCom"/>
      <w:bookmarkEnd w:id="513"/>
      <w:r>
        <w:rPr>
          <w:rFonts w:ascii="Times New Roman;Times;Serif" w:hAnsi="Times New Roman;Times;Serif"/>
          <w:b w:val="false"/>
          <w:i w:val="false"/>
          <w:caps w:val="false"/>
          <w:smallCaps w:val="false"/>
          <w:sz w:val="20"/>
        </w:rPr>
        <w:t>459 of compensation expense relating to vested stock options. As of June 30, 2021, the aggregate amount of unvested compensation related to stock options was approximately $</w:t>
      </w:r>
      <w:bookmarkStart w:id="514" w:name="xdx_907_eus-gaap--EmployeeServiceShareBa"/>
      <w:bookmarkEnd w:id="514"/>
      <w:r>
        <w:rPr>
          <w:rFonts w:ascii="Times New Roman;Times;Serif" w:hAnsi="Times New Roman;Times;Serif"/>
          <w:b w:val="false"/>
          <w:i w:val="false"/>
          <w:caps w:val="false"/>
          <w:smallCaps w:val="false"/>
          <w:sz w:val="20"/>
        </w:rPr>
        <w:t>4,700 which will be recognized as an expense as the options vest in future periods through March 28, 2025.</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2021, the outstanding and exercisable options have an intrinsic value of $</w:t>
      </w:r>
      <w:bookmarkStart w:id="515" w:name="xdx_90F_eus-gaap--ShareBasedCompensation"/>
      <w:bookmarkEnd w:id="515"/>
      <w:r>
        <w:rPr>
          <w:rFonts w:ascii="Times New Roman;Times;Serif" w:hAnsi="Times New Roman;Times;Serif"/>
          <w:b w:val="false"/>
          <w:i w:val="false"/>
          <w:caps w:val="false"/>
          <w:smallCaps w:val="false"/>
          <w:sz w:val="20"/>
        </w:rPr>
        <w:t>1,012 and $</w:t>
      </w:r>
      <w:bookmarkStart w:id="516" w:name="xdx_90C_eus-gaap--SharebasedCompensation"/>
      <w:bookmarkEnd w:id="516"/>
      <w:r>
        <w:rPr>
          <w:rFonts w:ascii="Times New Roman;Times;Serif" w:hAnsi="Times New Roman;Times;Serif"/>
          <w:b w:val="false"/>
          <w:i w:val="false"/>
          <w:caps w:val="false"/>
          <w:smallCaps w:val="false"/>
          <w:sz w:val="20"/>
        </w:rPr>
        <w:t>510, respectively. The aggregate intrinsic value was calculated as the difference between the closing market price as of June 30, 2021, which was $</w:t>
      </w:r>
      <w:bookmarkStart w:id="517" w:name="xdx_909_eus-gaap--ShareBasedCompensation"/>
      <w:bookmarkEnd w:id="517"/>
      <w:r>
        <w:rPr>
          <w:rFonts w:ascii="Times New Roman;Times;Serif" w:hAnsi="Times New Roman;Times;Serif"/>
          <w:b w:val="false"/>
          <w:i w:val="false"/>
          <w:caps w:val="false"/>
          <w:smallCaps w:val="false"/>
          <w:sz w:val="20"/>
        </w:rPr>
        <w:t>1.02, and the exercise price of the outstanding stock options.</w:t>
      </w:r>
    </w:p>
    <w:p>
      <w:pPr>
        <w:pStyle w:val="TextBody"/>
        <w:jc w:val="center"/>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F-13</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18" w:name="xdx_809_ecustom--StockWarrantsTextBlock_"/>
      <w:bookmarkEnd w:id="518"/>
      <w:r>
        <w:rPr>
          <w:rFonts w:ascii="Times New Roman;Times;Serif" w:hAnsi="Times New Roman;Times;Serif"/>
          <w:b/>
          <w:i w:val="false"/>
          <w:caps w:val="false"/>
          <w:smallCaps w:val="false"/>
          <w:sz w:val="20"/>
        </w:rPr>
        <w:t xml:space="preserve">10. </w:t>
      </w:r>
      <w:bookmarkStart w:id="519" w:name="xdx_822_zr9n0n13kZUk"/>
      <w:bookmarkEnd w:id="519"/>
      <w:r>
        <w:rPr>
          <w:rFonts w:ascii="Times New Roman;Times;Serif" w:hAnsi="Times New Roman;Times;Serif"/>
          <w:b/>
          <w:i w:val="false"/>
          <w:caps w:val="false"/>
          <w:smallCaps w:val="false"/>
          <w:sz w:val="20"/>
        </w:rPr>
        <w:t>Stock Warrants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2021, the Company has issued warrants to purchase an aggregate of 3,362,241 shares of common stock. The Company’s warrant activity during the six months ended June 30, 2021 is as follows:</w:t>
      </w:r>
    </w:p>
    <w:p>
      <w:pPr>
        <w:pStyle w:val="TextBody"/>
        <w:jc w:val="both"/>
        <w:rPr>
          <w:rFonts w:ascii="Times New Roman;Times;Serif" w:hAnsi="Times New Roman;Times;Serif"/>
          <w:b w:val="false"/>
          <w:i w:val="false"/>
          <w:caps w:val="false"/>
          <w:smallCaps w:val="false"/>
          <w:sz w:val="20"/>
        </w:rPr>
      </w:pPr>
      <w:bookmarkStart w:id="520" w:name="xdx_8B0_zAhNajjY9USh"/>
      <w:bookmarkStart w:id="521" w:name="xdx_892_eus-gaap--ScheduleOfStockholders"/>
      <w:bookmarkEnd w:id="520"/>
      <w:bookmarkEnd w:id="521"/>
      <w:r>
        <w:rPr>
          <w:rFonts w:ascii="Times New Roman;Times;Serif" w:hAnsi="Times New Roman;Times;Serif"/>
          <w:b w:val="false"/>
          <w:i w:val="false"/>
          <w:caps w:val="false"/>
          <w:smallCaps w:val="false"/>
          <w:sz w:val="20"/>
        </w:rPr>
        <w:t>Schedule of Warrant Activity </w:t>
      </w:r>
    </w:p>
    <w:tbl>
      <w:tblPr>
        <w:tblW w:w="10205" w:type="dxa"/>
        <w:jc w:val="left"/>
        <w:tblInd w:w="0" w:type="dxa"/>
        <w:tblCellMar>
          <w:top w:w="0" w:type="dxa"/>
          <w:left w:w="0" w:type="dxa"/>
          <w:bottom w:w="0" w:type="dxa"/>
          <w:right w:w="0" w:type="dxa"/>
        </w:tblCellMar>
      </w:tblPr>
      <w:tblGrid>
        <w:gridCol w:w="2419"/>
        <w:gridCol w:w="60"/>
        <w:gridCol w:w="60"/>
        <w:gridCol w:w="980"/>
        <w:gridCol w:w="95"/>
        <w:gridCol w:w="60"/>
        <w:gridCol w:w="362"/>
        <w:gridCol w:w="1141"/>
        <w:gridCol w:w="60"/>
        <w:gridCol w:w="60"/>
        <w:gridCol w:w="327"/>
        <w:gridCol w:w="2419"/>
        <w:gridCol w:w="60"/>
        <w:gridCol w:w="60"/>
        <w:gridCol w:w="528"/>
        <w:gridCol w:w="1436"/>
        <w:gridCol w:w="78"/>
      </w:tblGrid>
      <w:tr>
        <w:trPr/>
        <w:tc>
          <w:tcPr>
            <w:tcW w:w="24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3"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Exercise 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46"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 Contractual Terms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Aggregate Intrinsic Value</w:t>
            </w:r>
          </w:p>
        </w:tc>
        <w:tc>
          <w:tcPr>
            <w:tcW w:w="78" w:type="dxa"/>
            <w:tcBorders/>
            <w:shd w:fill="auto" w:val="clear"/>
            <w:vAlign w:val="center"/>
          </w:tcPr>
          <w:p>
            <w:pPr>
              <w:pStyle w:val="TableContents"/>
              <w:spacing w:before="0" w:after="283"/>
              <w:rPr/>
            </w:pPr>
            <w:r>
              <w:rPr/>
              <w:t> </w:t>
            </w:r>
          </w:p>
        </w:tc>
      </w:tr>
      <w:tr>
        <w:trPr/>
        <w:tc>
          <w:tcPr>
            <w:tcW w:w="24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3"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46"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64" w:type="dxa"/>
            <w:gridSpan w:val="2"/>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r>
      <w:tr>
        <w:trPr/>
        <w:tc>
          <w:tcPr>
            <w:tcW w:w="2419" w:type="dxa"/>
            <w:tcBorders/>
            <w:shd w:fill="CCEEFF" w:val="clear"/>
            <w:vAlign w:val="center"/>
          </w:tcPr>
          <w:p>
            <w:pPr>
              <w:pStyle w:val="TableContents"/>
              <w:spacing w:before="0" w:after="283"/>
              <w:rPr/>
            </w:pPr>
            <w:r>
              <w:rPr/>
              <w:t>Outstanding at December 31,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bookmarkStart w:id="522" w:name="xdx_981_eus-gaap--ClassOfWarrantOrRightN"/>
            <w:bookmarkEnd w:id="522"/>
          </w:p>
        </w:tc>
        <w:tc>
          <w:tcPr>
            <w:tcW w:w="980" w:type="dxa"/>
            <w:tcBorders/>
            <w:shd w:fill="CCEEFF" w:val="clear"/>
            <w:vAlign w:val="center"/>
          </w:tcPr>
          <w:p>
            <w:pPr>
              <w:pStyle w:val="TableContents"/>
              <w:spacing w:before="0" w:after="283"/>
              <w:jc w:val="right"/>
              <w:rPr/>
            </w:pPr>
            <w:r>
              <w:rPr/>
              <w:t>3,362,241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283"/>
              <w:jc w:val="left"/>
              <w:rPr/>
            </w:pPr>
            <w:r>
              <w:rPr/>
              <w:t>$</w:t>
            </w:r>
            <w:bookmarkStart w:id="523" w:name="xdx_984_ecustom--ClassOfWarrantOrRightNu"/>
            <w:bookmarkEnd w:id="523"/>
          </w:p>
        </w:tc>
        <w:tc>
          <w:tcPr>
            <w:tcW w:w="1141" w:type="dxa"/>
            <w:tcBorders/>
            <w:shd w:fill="CCEEFF" w:val="clear"/>
            <w:vAlign w:val="center"/>
          </w:tcPr>
          <w:p>
            <w:pPr>
              <w:pStyle w:val="TableContents"/>
              <w:spacing w:before="0" w:after="283"/>
              <w:jc w:val="right"/>
              <w:rPr/>
            </w:pPr>
            <w:r>
              <w:rPr/>
              <w:t>1.56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27" w:type="dxa"/>
            <w:tcBorders/>
            <w:shd w:fill="CCEEFF" w:val="clear"/>
            <w:vAlign w:val="center"/>
          </w:tcPr>
          <w:p>
            <w:pPr>
              <w:pStyle w:val="TableContents"/>
              <w:spacing w:before="0" w:after="283"/>
              <w:jc w:val="left"/>
              <w:rPr/>
            </w:pPr>
            <w:r>
              <w:rPr/>
              <w:t> </w:t>
            </w:r>
            <w:bookmarkStart w:id="524" w:name="xdx_988_ecustom--ClassOfWarrantOrRightNu"/>
            <w:bookmarkEnd w:id="524"/>
          </w:p>
        </w:tc>
        <w:tc>
          <w:tcPr>
            <w:tcW w:w="2419" w:type="dxa"/>
            <w:tcBorders/>
            <w:shd w:fill="CCEEFF" w:val="clear"/>
            <w:vAlign w:val="center"/>
          </w:tcPr>
          <w:p>
            <w:pPr>
              <w:pStyle w:val="TableContents"/>
              <w:spacing w:before="0" w:after="283"/>
              <w:jc w:val="right"/>
              <w:rPr/>
            </w:pPr>
            <w:r>
              <w:rPr/>
              <w:t>2.49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28" w:type="dxa"/>
            <w:tcBorders/>
            <w:shd w:fill="CCEEFF" w:val="clear"/>
            <w:vAlign w:val="center"/>
          </w:tcPr>
          <w:p>
            <w:pPr>
              <w:pStyle w:val="TableContents"/>
              <w:spacing w:before="0" w:after="283"/>
              <w:jc w:val="left"/>
              <w:rPr/>
            </w:pPr>
            <w:r>
              <w:rPr/>
              <w:t>$</w:t>
            </w:r>
            <w:bookmarkStart w:id="525" w:name="xdx_98A_ecustom--ClassOfWarrantOrRightNu"/>
            <w:bookmarkEnd w:id="525"/>
          </w:p>
        </w:tc>
        <w:tc>
          <w:tcPr>
            <w:tcW w:w="1436" w:type="dxa"/>
            <w:tcBorders/>
            <w:shd w:fill="CCEEFF" w:val="clear"/>
            <w:vAlign w:val="center"/>
          </w:tcPr>
          <w:p>
            <w:pPr>
              <w:pStyle w:val="TableContents"/>
              <w:spacing w:before="0" w:after="283"/>
              <w:jc w:val="right"/>
              <w:rPr/>
            </w:pPr>
            <w:r>
              <w:rPr/>
              <w:t>-</w:t>
            </w:r>
          </w:p>
        </w:tc>
        <w:tc>
          <w:tcPr>
            <w:tcW w:w="78" w:type="dxa"/>
            <w:tcBorders/>
            <w:shd w:fill="CCEEFF" w:val="clear"/>
            <w:vAlign w:val="center"/>
          </w:tcPr>
          <w:p>
            <w:pPr>
              <w:pStyle w:val="TableContents"/>
              <w:spacing w:before="0" w:after="283"/>
              <w:jc w:val="left"/>
              <w:rPr/>
            </w:pPr>
            <w:r>
              <w:rPr/>
              <w:t> </w:t>
            </w:r>
          </w:p>
        </w:tc>
      </w:tr>
      <w:tr>
        <w:trPr/>
        <w:tc>
          <w:tcPr>
            <w:tcW w:w="2419" w:type="dxa"/>
            <w:tcBorders/>
            <w:shd w:fill="FFFFFF" w:val="clear"/>
            <w:vAlign w:val="center"/>
          </w:tcPr>
          <w:p>
            <w:pPr>
              <w:pStyle w:val="TableContents"/>
              <w:spacing w:before="0" w:after="283"/>
              <w:rPr/>
            </w:pPr>
            <w:r>
              <w:rPr/>
              <w:t>Exercised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left"/>
              <w:rPr/>
            </w:pPr>
            <w:r>
              <w:rPr/>
              <w:t> </w:t>
            </w:r>
            <w:bookmarkStart w:id="526" w:name="xdx_988_ecustom--ClassOfWarrantOrRightNu"/>
            <w:bookmarkEnd w:id="526"/>
          </w:p>
        </w:tc>
        <w:tc>
          <w:tcPr>
            <w:tcW w:w="980"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62" w:type="dxa"/>
            <w:tcBorders/>
            <w:shd w:fill="FFFFFF" w:val="clear"/>
            <w:vAlign w:val="center"/>
          </w:tcPr>
          <w:p>
            <w:pPr>
              <w:pStyle w:val="TableContents"/>
              <w:spacing w:before="0" w:after="283"/>
              <w:jc w:val="left"/>
              <w:rPr/>
            </w:pPr>
            <w:r>
              <w:rPr/>
              <w:t> </w:t>
            </w:r>
            <w:bookmarkStart w:id="527" w:name="xdx_987_ecustom--ClassOfWarrantOrRightNu"/>
            <w:bookmarkEnd w:id="527"/>
          </w:p>
        </w:tc>
        <w:tc>
          <w:tcPr>
            <w:tcW w:w="1141" w:type="dxa"/>
            <w:tcBorders/>
            <w:shd w:fill="FFFFFF" w:val="clear"/>
            <w:vAlign w:val="center"/>
          </w:tcPr>
          <w:p>
            <w:pPr>
              <w:pStyle w:val="TableContents"/>
              <w:spacing w:before="0" w:after="283"/>
              <w:jc w:val="right"/>
              <w:rPr/>
            </w:pPr>
            <w:r>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27" w:type="dxa"/>
            <w:tcBorders/>
            <w:shd w:fill="FFFFFF" w:val="clear"/>
            <w:vAlign w:val="center"/>
          </w:tcPr>
          <w:p>
            <w:pPr>
              <w:pStyle w:val="TableContents"/>
              <w:spacing w:before="0" w:after="283"/>
              <w:jc w:val="left"/>
              <w:rPr/>
            </w:pPr>
            <w:r>
              <w:rPr/>
              <w:t> </w:t>
            </w:r>
          </w:p>
        </w:tc>
        <w:tc>
          <w:tcPr>
            <w:tcW w:w="241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28" w:type="dxa"/>
            <w:tcBorders/>
            <w:shd w:fill="FFFFFF" w:val="clear"/>
            <w:vAlign w:val="center"/>
          </w:tcPr>
          <w:p>
            <w:pPr>
              <w:pStyle w:val="TableContents"/>
              <w:spacing w:before="0" w:after="283"/>
              <w:jc w:val="left"/>
              <w:rPr/>
            </w:pPr>
            <w:r>
              <w:rPr/>
              <w:t> </w:t>
            </w:r>
          </w:p>
        </w:tc>
        <w:tc>
          <w:tcPr>
            <w:tcW w:w="1436" w:type="dxa"/>
            <w:tcBorders/>
            <w:shd w:fill="FFFFFF" w:val="clear"/>
            <w:vAlign w:val="center"/>
          </w:tcPr>
          <w:p>
            <w:pPr>
              <w:pStyle w:val="TableContents"/>
              <w:spacing w:before="0" w:after="283"/>
              <w:jc w:val="right"/>
              <w:rPr/>
            </w:pPr>
            <w:r>
              <w:rPr/>
              <w:t> </w:t>
            </w:r>
          </w:p>
        </w:tc>
        <w:tc>
          <w:tcPr>
            <w:tcW w:w="78" w:type="dxa"/>
            <w:tcBorders/>
            <w:shd w:fill="FFFFFF" w:val="clear"/>
            <w:vAlign w:val="center"/>
          </w:tcPr>
          <w:p>
            <w:pPr>
              <w:pStyle w:val="TableContents"/>
              <w:spacing w:before="0" w:after="283"/>
              <w:jc w:val="left"/>
              <w:rPr/>
            </w:pPr>
            <w:r>
              <w:rPr/>
              <w:t> </w:t>
            </w:r>
          </w:p>
        </w:tc>
      </w:tr>
      <w:tr>
        <w:trPr/>
        <w:tc>
          <w:tcPr>
            <w:tcW w:w="2419" w:type="dxa"/>
            <w:tcBorders/>
            <w:shd w:fill="CCEEFF" w:val="clear"/>
            <w:vAlign w:val="center"/>
          </w:tcPr>
          <w:p>
            <w:pPr>
              <w:pStyle w:val="TableContents"/>
              <w:spacing w:before="0" w:after="283"/>
              <w:rPr/>
            </w:pPr>
            <w:r>
              <w:rPr/>
              <w:t>Forfeited</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528" w:name="xdx_986_ecustom--ClassOfWarrantOrRightNu"/>
            <w:bookmarkEnd w:id="528"/>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(273,762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283"/>
              <w:jc w:val="left"/>
              <w:rPr/>
            </w:pPr>
            <w:r>
              <w:rPr/>
              <w:t>$</w:t>
            </w:r>
            <w:bookmarkStart w:id="529" w:name="xdx_98A_ecustom--ClassOfWarrantOrRightNu"/>
            <w:bookmarkEnd w:id="529"/>
          </w:p>
        </w:tc>
        <w:tc>
          <w:tcPr>
            <w:tcW w:w="1141" w:type="dxa"/>
            <w:tcBorders/>
            <w:shd w:fill="CCEEFF" w:val="clear"/>
            <w:vAlign w:val="center"/>
          </w:tcPr>
          <w:p>
            <w:pPr>
              <w:pStyle w:val="TableContents"/>
              <w:spacing w:before="0" w:after="283"/>
              <w:jc w:val="right"/>
              <w:rPr/>
            </w:pPr>
            <w:r>
              <w:rPr/>
              <w:t>4.04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27" w:type="dxa"/>
            <w:tcBorders/>
            <w:shd w:fill="CCEEFF" w:val="clear"/>
            <w:vAlign w:val="center"/>
          </w:tcPr>
          <w:p>
            <w:pPr>
              <w:pStyle w:val="TableContents"/>
              <w:spacing w:before="0" w:after="283"/>
              <w:jc w:val="left"/>
              <w:rPr/>
            </w:pPr>
            <w:r>
              <w:rPr/>
              <w:t> </w:t>
            </w:r>
          </w:p>
        </w:tc>
        <w:tc>
          <w:tcPr>
            <w:tcW w:w="241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28" w:type="dxa"/>
            <w:tcBorders/>
            <w:shd w:fill="CCEEFF" w:val="clear"/>
            <w:vAlign w:val="center"/>
          </w:tcPr>
          <w:p>
            <w:pPr>
              <w:pStyle w:val="TableContents"/>
              <w:spacing w:before="0" w:after="283"/>
              <w:jc w:val="left"/>
              <w:rPr/>
            </w:pPr>
            <w:r>
              <w:rPr/>
              <w:t> </w:t>
            </w:r>
          </w:p>
        </w:tc>
        <w:tc>
          <w:tcPr>
            <w:tcW w:w="1436" w:type="dxa"/>
            <w:tcBorders/>
            <w:shd w:fill="CCEEFF" w:val="clear"/>
            <w:vAlign w:val="center"/>
          </w:tcPr>
          <w:p>
            <w:pPr>
              <w:pStyle w:val="TableContents"/>
              <w:spacing w:before="0" w:after="283"/>
              <w:jc w:val="right"/>
              <w:rPr/>
            </w:pPr>
            <w:r>
              <w:rPr/>
              <w:t> </w:t>
            </w:r>
          </w:p>
        </w:tc>
        <w:tc>
          <w:tcPr>
            <w:tcW w:w="78" w:type="dxa"/>
            <w:tcBorders/>
            <w:shd w:fill="CCEEFF" w:val="clear"/>
            <w:vAlign w:val="center"/>
          </w:tcPr>
          <w:p>
            <w:pPr>
              <w:pStyle w:val="TableContents"/>
              <w:spacing w:before="0" w:after="283"/>
              <w:jc w:val="left"/>
              <w:rPr/>
            </w:pPr>
            <w:r>
              <w:rPr/>
              <w:t> </w:t>
            </w:r>
          </w:p>
        </w:tc>
      </w:tr>
      <w:tr>
        <w:trPr/>
        <w:tc>
          <w:tcPr>
            <w:tcW w:w="2419" w:type="dxa"/>
            <w:tcBorders/>
            <w:shd w:fill="FFFFFF" w:val="clear"/>
            <w:vAlign w:val="center"/>
          </w:tcPr>
          <w:p>
            <w:pPr>
              <w:pStyle w:val="TableContents"/>
              <w:spacing w:before="0" w:after="283"/>
              <w:rPr/>
            </w:pPr>
            <w:r>
              <w:rPr/>
              <w:t>Outstanding at June 30, 2021</w:t>
            </w:r>
          </w:p>
        </w:tc>
        <w:tc>
          <w:tcPr>
            <w:tcW w:w="60" w:type="dxa"/>
            <w:tcBorders/>
            <w:shd w:fill="FFFFFF" w:val="clear"/>
            <w:vAlign w:val="center"/>
          </w:tcPr>
          <w:p>
            <w:pPr>
              <w:pStyle w:val="TableContents"/>
              <w:spacing w:before="0" w:after="283"/>
              <w:rPr/>
            </w:pPr>
            <w:r>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pPr>
            <w:r>
              <w:rPr/>
              <w:t> </w:t>
            </w:r>
            <w:bookmarkStart w:id="530" w:name="xdx_986_eus-gaap--ClassOfWarrantOrRightN"/>
            <w:bookmarkEnd w:id="530"/>
          </w:p>
        </w:tc>
        <w:tc>
          <w:tcPr>
            <w:tcW w:w="980" w:type="dxa"/>
            <w:tcBorders>
              <w:bottom w:val="single" w:sz="12" w:space="0" w:color="000000"/>
            </w:tcBorders>
            <w:shd w:fill="FFFFFF" w:val="clear"/>
            <w:tcMar>
              <w:bottom w:w="28" w:type="dxa"/>
            </w:tcMar>
            <w:vAlign w:val="center"/>
          </w:tcPr>
          <w:p>
            <w:pPr>
              <w:pStyle w:val="TableContents"/>
              <w:spacing w:before="0" w:after="283"/>
              <w:jc w:val="right"/>
              <w:rPr/>
            </w:pPr>
            <w:r>
              <w:rPr/>
              <w:t>3,088,479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62" w:type="dxa"/>
            <w:tcBorders/>
            <w:shd w:fill="FFFFFF" w:val="clear"/>
            <w:vAlign w:val="center"/>
          </w:tcPr>
          <w:p>
            <w:pPr>
              <w:pStyle w:val="TableContents"/>
              <w:spacing w:before="0" w:after="283"/>
              <w:jc w:val="left"/>
              <w:rPr/>
            </w:pPr>
            <w:r>
              <w:rPr/>
              <w:t>$</w:t>
            </w:r>
            <w:bookmarkStart w:id="531" w:name="xdx_982_ecustom--ClassOfWarrantOrRightNu"/>
            <w:bookmarkEnd w:id="531"/>
          </w:p>
        </w:tc>
        <w:tc>
          <w:tcPr>
            <w:tcW w:w="1141" w:type="dxa"/>
            <w:tcBorders/>
            <w:shd w:fill="FFFFFF" w:val="clear"/>
            <w:vAlign w:val="center"/>
          </w:tcPr>
          <w:p>
            <w:pPr>
              <w:pStyle w:val="TableContents"/>
              <w:spacing w:before="0" w:after="283"/>
              <w:jc w:val="right"/>
              <w:rPr/>
            </w:pPr>
            <w:r>
              <w:rPr/>
              <w:t>1.35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27" w:type="dxa"/>
            <w:tcBorders/>
            <w:shd w:fill="FFFFFF" w:val="clear"/>
            <w:vAlign w:val="center"/>
          </w:tcPr>
          <w:p>
            <w:pPr>
              <w:pStyle w:val="TableContents"/>
              <w:spacing w:before="0" w:after="283"/>
              <w:jc w:val="left"/>
              <w:rPr/>
            </w:pPr>
            <w:r>
              <w:rPr/>
              <w:t> </w:t>
            </w:r>
            <w:bookmarkStart w:id="532" w:name="xdx_98B_ecustom--ClassOfWarrantOrRightNu"/>
            <w:bookmarkEnd w:id="532"/>
          </w:p>
        </w:tc>
        <w:tc>
          <w:tcPr>
            <w:tcW w:w="2419" w:type="dxa"/>
            <w:tcBorders/>
            <w:shd w:fill="FFFFFF" w:val="clear"/>
            <w:vAlign w:val="center"/>
          </w:tcPr>
          <w:p>
            <w:pPr>
              <w:pStyle w:val="TableContents"/>
              <w:spacing w:before="0" w:after="283"/>
              <w:jc w:val="right"/>
              <w:rPr/>
            </w:pPr>
            <w:r>
              <w:rPr/>
              <w:t>2.17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528" w:type="dxa"/>
            <w:tcBorders/>
            <w:shd w:fill="FFFFFF" w:val="clear"/>
            <w:vAlign w:val="center"/>
          </w:tcPr>
          <w:p>
            <w:pPr>
              <w:pStyle w:val="TableContents"/>
              <w:spacing w:before="0" w:after="283"/>
              <w:jc w:val="left"/>
              <w:rPr/>
            </w:pPr>
            <w:r>
              <w:rPr/>
              <w:t>$</w:t>
            </w:r>
            <w:bookmarkStart w:id="533" w:name="xdx_980_ecustom--ClassOfWarrantOrRightNu"/>
            <w:bookmarkEnd w:id="533"/>
          </w:p>
        </w:tc>
        <w:tc>
          <w:tcPr>
            <w:tcW w:w="1436" w:type="dxa"/>
            <w:tcBorders/>
            <w:shd w:fill="FFFFFF" w:val="clear"/>
            <w:vAlign w:val="center"/>
          </w:tcPr>
          <w:p>
            <w:pPr>
              <w:pStyle w:val="TableContents"/>
              <w:spacing w:before="0" w:after="283"/>
              <w:jc w:val="right"/>
              <w:rPr/>
            </w:pPr>
            <w:r>
              <w:rPr/>
              <w:t>376</w:t>
            </w:r>
          </w:p>
        </w:tc>
        <w:tc>
          <w:tcPr>
            <w:tcW w:w="78" w:type="dxa"/>
            <w:tcBorders/>
            <w:shd w:fill="FFFFFF" w:val="clear"/>
            <w:vAlign w:val="center"/>
          </w:tcPr>
          <w:p>
            <w:pPr>
              <w:pStyle w:val="TableContents"/>
              <w:spacing w:before="0" w:after="283"/>
              <w:jc w:val="left"/>
              <w:rPr/>
            </w:pPr>
            <w:r>
              <w:rPr/>
              <w:t> </w:t>
            </w:r>
          </w:p>
        </w:tc>
      </w:tr>
      <w:tr>
        <w:trPr/>
        <w:tc>
          <w:tcPr>
            <w:tcW w:w="2419" w:type="dxa"/>
            <w:tcBorders/>
            <w:shd w:fill="CCEEFF" w:val="clear"/>
            <w:vAlign w:val="center"/>
          </w:tcPr>
          <w:p>
            <w:pPr>
              <w:pStyle w:val="TableContents"/>
              <w:spacing w:before="0" w:after="283"/>
              <w:rPr/>
            </w:pPr>
            <w:r>
              <w:rPr/>
              <w:t>Exercisable at June 30, 2021</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bookmarkStart w:id="534" w:name="xdx_98D_ecustom--ClassOfWarrantOrRightNu"/>
            <w:bookmarkEnd w:id="534"/>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3,088,479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2" w:type="dxa"/>
            <w:tcBorders/>
            <w:shd w:fill="CCEEFF" w:val="clear"/>
            <w:vAlign w:val="center"/>
          </w:tcPr>
          <w:p>
            <w:pPr>
              <w:pStyle w:val="TableContents"/>
              <w:spacing w:before="0" w:after="283"/>
              <w:jc w:val="left"/>
              <w:rPr/>
            </w:pPr>
            <w:r>
              <w:rPr/>
              <w:t>$</w:t>
            </w:r>
            <w:bookmarkStart w:id="535" w:name="xdx_983_ecustom--ClassOfWarrantOrRightNu"/>
            <w:bookmarkEnd w:id="535"/>
          </w:p>
        </w:tc>
        <w:tc>
          <w:tcPr>
            <w:tcW w:w="1141" w:type="dxa"/>
            <w:tcBorders/>
            <w:shd w:fill="CCEEFF" w:val="clear"/>
            <w:vAlign w:val="center"/>
          </w:tcPr>
          <w:p>
            <w:pPr>
              <w:pStyle w:val="TableContents"/>
              <w:spacing w:before="0" w:after="283"/>
              <w:jc w:val="right"/>
              <w:rPr/>
            </w:pPr>
            <w:r>
              <w:rPr/>
              <w:t>1.35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27" w:type="dxa"/>
            <w:tcBorders/>
            <w:shd w:fill="CCEEFF" w:val="clear"/>
            <w:vAlign w:val="center"/>
          </w:tcPr>
          <w:p>
            <w:pPr>
              <w:pStyle w:val="TableContents"/>
              <w:spacing w:before="0" w:after="283"/>
              <w:jc w:val="left"/>
              <w:rPr/>
            </w:pPr>
            <w:r>
              <w:rPr/>
              <w:t> </w:t>
            </w:r>
            <w:bookmarkStart w:id="536" w:name="xdx_983_ecustom--ClassOfWarrantOrRightNu"/>
            <w:bookmarkEnd w:id="536"/>
          </w:p>
        </w:tc>
        <w:tc>
          <w:tcPr>
            <w:tcW w:w="2419" w:type="dxa"/>
            <w:tcBorders/>
            <w:shd w:fill="CCEEFF" w:val="clear"/>
            <w:vAlign w:val="center"/>
          </w:tcPr>
          <w:p>
            <w:pPr>
              <w:pStyle w:val="TableContents"/>
              <w:spacing w:before="0" w:after="283"/>
              <w:jc w:val="right"/>
              <w:rPr/>
            </w:pPr>
            <w:r>
              <w:rPr/>
              <w:t>2.17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528" w:type="dxa"/>
            <w:tcBorders/>
            <w:shd w:fill="CCEEFF" w:val="clear"/>
            <w:vAlign w:val="center"/>
          </w:tcPr>
          <w:p>
            <w:pPr>
              <w:pStyle w:val="TableContents"/>
              <w:spacing w:before="0" w:after="283"/>
              <w:jc w:val="left"/>
              <w:rPr/>
            </w:pPr>
            <w:r>
              <w:rPr/>
              <w:t>$</w:t>
            </w:r>
            <w:bookmarkStart w:id="537" w:name="xdx_98F_ecustom--ClassOfWarrantOrRightNu"/>
            <w:bookmarkEnd w:id="537"/>
          </w:p>
        </w:tc>
        <w:tc>
          <w:tcPr>
            <w:tcW w:w="1436" w:type="dxa"/>
            <w:tcBorders/>
            <w:shd w:fill="CCEEFF" w:val="clear"/>
            <w:vAlign w:val="center"/>
          </w:tcPr>
          <w:p>
            <w:pPr>
              <w:pStyle w:val="TableContents"/>
              <w:spacing w:before="0" w:after="283"/>
              <w:jc w:val="right"/>
              <w:rPr/>
            </w:pPr>
            <w:r>
              <w:rPr/>
              <w:t>376</w:t>
            </w:r>
          </w:p>
        </w:tc>
        <w:tc>
          <w:tcPr>
            <w:tcW w:w="78" w:type="dxa"/>
            <w:tcBorders/>
            <w:shd w:fill="CCEEFF" w:val="clear"/>
            <w:vAlign w:val="center"/>
          </w:tcPr>
          <w:p>
            <w:pPr>
              <w:pStyle w:val="TableContents"/>
              <w:spacing w:before="0" w:after="283"/>
              <w:jc w:val="left"/>
              <w:rPr/>
            </w:pPr>
            <w:r>
              <w:rPr/>
              <w:t> </w:t>
            </w:r>
          </w:p>
        </w:tc>
      </w:tr>
    </w:tbl>
    <w:p>
      <w:pPr>
        <w:pStyle w:val="TextBody"/>
        <w:jc w:val="both"/>
        <w:rPr>
          <w:caps w:val="false"/>
          <w:smallCaps w:val="false"/>
        </w:rPr>
      </w:pPr>
      <w:bookmarkStart w:id="538" w:name="xdx_8A5_zverhmWuHGW3"/>
      <w:bookmarkEnd w:id="538"/>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539" w:name="xdx_901_eus-gaap--ShareBasedCompensation"/>
      <w:bookmarkEnd w:id="539"/>
      <w:r>
        <w:rPr>
          <w:rFonts w:ascii="Times New Roman;Times;Serif" w:hAnsi="Times New Roman;Times;Serif"/>
          <w:b w:val="false"/>
          <w:i w:val="false"/>
          <w:caps w:val="false"/>
          <w:smallCaps w:val="false"/>
          <w:sz w:val="20"/>
        </w:rPr>
        <w:t>no warrant transactions during the six months ended June 30, 2021. As of June 30, 2021, the outstanding and exercisable warrants have an intrinsic value of $</w:t>
      </w:r>
      <w:bookmarkStart w:id="540" w:name="xdx_908_ecustom--ClassOfWarrantsOrRightN"/>
      <w:bookmarkEnd w:id="540"/>
      <w:r>
        <w:rPr>
          <w:rFonts w:ascii="Times New Roman;Times;Serif" w:hAnsi="Times New Roman;Times;Serif"/>
          <w:b w:val="false"/>
          <w:i w:val="false"/>
          <w:caps w:val="false"/>
          <w:smallCaps w:val="false"/>
          <w:sz w:val="20"/>
        </w:rPr>
        <w:t>376. The intrinsic value was calculated as the difference between the closing market price as of June 30, 2021, which was $</w:t>
      </w:r>
      <w:bookmarkStart w:id="541" w:name="xdx_904_eus-gaap--SharePrice_iI_pid_c202"/>
      <w:bookmarkEnd w:id="541"/>
      <w:r>
        <w:rPr>
          <w:rFonts w:ascii="Times New Roman;Times;Serif" w:hAnsi="Times New Roman;Times;Serif"/>
          <w:b w:val="false"/>
          <w:i w:val="false"/>
          <w:caps w:val="false"/>
          <w:smallCaps w:val="false"/>
          <w:sz w:val="20"/>
        </w:rPr>
        <w:t>1.02, and the exercise price of the Company’s warrants to purchase common stock.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42" w:name="xdx_801_eus-gaap--RelatedPartyTransactio"/>
      <w:bookmarkEnd w:id="542"/>
      <w:r>
        <w:rPr>
          <w:rFonts w:ascii="Times New Roman;Times;Serif" w:hAnsi="Times New Roman;Times;Serif"/>
          <w:b/>
          <w:i w:val="false"/>
          <w:caps w:val="false"/>
          <w:smallCaps w:val="false"/>
          <w:sz w:val="20"/>
        </w:rPr>
        <w:t xml:space="preserve">11. </w:t>
      </w:r>
      <w:bookmarkStart w:id="543" w:name="xdx_826_zeYtRJ3nc6ed"/>
      <w:bookmarkEnd w:id="543"/>
      <w:r>
        <w:rPr>
          <w:rFonts w:ascii="Times New Roman;Times;Serif" w:hAnsi="Times New Roman;Times;Serif"/>
          <w:b/>
          <w:i w:val="false"/>
          <w:caps w:val="false"/>
          <w:smallCaps w:val="false"/>
          <w:sz w:val="20"/>
        </w:rPr>
        <w:t>Related Party Activities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2018, the Company completed the sale of its Los Angeles manufacturing plant to California Custom Beverage, LLC (“CCB”), an entity owned by Christopher J. Reed, a related party, and CCB assumed the monthly payments on our lease obligation for the Los Angeles manufacturing plant. Our release from the obligation by the lessor, however, is dependent upon CCB’s deposit of $</w:t>
      </w:r>
      <w:bookmarkStart w:id="544" w:name="xdx_90B_eus-gaap--SecurityDeposit_iI_pn3"/>
      <w:bookmarkEnd w:id="544"/>
      <w:r>
        <w:rPr>
          <w:rFonts w:ascii="Times New Roman;Times;Serif" w:hAnsi="Times New Roman;Times;Serif"/>
          <w:b w:val="false"/>
          <w:i w:val="false"/>
          <w:caps w:val="false"/>
          <w:smallCaps w:val="false"/>
          <w:sz w:val="20"/>
        </w:rPr>
        <w:t>1,200 of security with the lessor. The deposit is secured by Mr. Reed’s pledge of common stock to the lessor and guaranteed personally by Mr. Reed and his wife. As of June 30, 2021, $</w:t>
      </w:r>
      <w:bookmarkStart w:id="545" w:name="xdx_90A_eus-gaap--SecurityDeposit_iI_pn3"/>
      <w:bookmarkEnd w:id="545"/>
      <w:r>
        <w:rPr>
          <w:rFonts w:ascii="Times New Roman;Times;Serif" w:hAnsi="Times New Roman;Times;Serif"/>
          <w:b w:val="false"/>
          <w:i w:val="false"/>
          <w:caps w:val="false"/>
          <w:smallCaps w:val="false"/>
          <w:sz w:val="20"/>
        </w:rPr>
        <w:t xml:space="preserve">800 has been deposited with the lessor and Mr. Reed has placed approximately </w:t>
      </w:r>
      <w:bookmarkStart w:id="546" w:name="xdx_90C_eus-gaap--StockIssuedDuringPerio"/>
      <w:bookmarkEnd w:id="546"/>
      <w:r>
        <w:rPr>
          <w:rFonts w:ascii="Times New Roman;Times;Serif" w:hAnsi="Times New Roman;Times;Serif"/>
          <w:b w:val="false"/>
          <w:i w:val="false"/>
          <w:caps w:val="false"/>
          <w:smallCaps w:val="false"/>
          <w:sz w:val="20"/>
        </w:rPr>
        <w:t>363,000 pledged shares valued at $</w:t>
      </w:r>
      <w:bookmarkStart w:id="547" w:name="xdx_905_eus-gaap--StockIssuedDuringPerio"/>
      <w:bookmarkEnd w:id="547"/>
      <w:r>
        <w:rPr>
          <w:rFonts w:ascii="Times New Roman;Times;Serif" w:hAnsi="Times New Roman;Times;Serif"/>
          <w:b w:val="false"/>
          <w:i w:val="false"/>
          <w:caps w:val="false"/>
          <w:smallCaps w:val="false"/>
          <w:sz w:val="20"/>
        </w:rPr>
        <w:t>370 that remain in escrow with the lessor.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Beginning in 2019, we are to receive a </w:t>
      </w:r>
      <w:bookmarkStart w:id="548" w:name="xdx_90D_ecustom--RoyaltyPercentage_iI_pi"/>
      <w:bookmarkEnd w:id="548"/>
      <w:r>
        <w:rPr>
          <w:rFonts w:ascii="Times New Roman;Times;Serif" w:hAnsi="Times New Roman;Times;Serif"/>
          <w:b w:val="false"/>
          <w:i w:val="false"/>
          <w:caps w:val="false"/>
          <w:smallCaps w:val="false"/>
          <w:sz w:val="20"/>
        </w:rPr>
        <w:t xml:space="preserve">5% royalty on CCB’s private label sales to existing customers for three years and a </w:t>
      </w:r>
      <w:bookmarkStart w:id="549" w:name="xdx_90B_ecustom--ReferralFeePercentage_i"/>
      <w:bookmarkEnd w:id="549"/>
      <w:r>
        <w:rPr>
          <w:rFonts w:ascii="Times New Roman;Times;Serif" w:hAnsi="Times New Roman;Times;Serif"/>
          <w:b w:val="false"/>
          <w:i w:val="false"/>
          <w:caps w:val="false"/>
          <w:smallCaps w:val="false"/>
          <w:sz w:val="20"/>
        </w:rPr>
        <w:t>5% referral fee on CCB’s private label sales to referred customers for three years. During the six months ended June 30, 2021 and 2020, the Company recorded royalty revenue from CCB of $</w:t>
      </w:r>
      <w:bookmarkStart w:id="550" w:name="xdx_90B_eus-gaap--RevenueFromContractWit"/>
      <w:bookmarkEnd w:id="550"/>
      <w:r>
        <w:rPr>
          <w:rFonts w:ascii="Times New Roman;Times;Serif" w:hAnsi="Times New Roman;Times;Serif"/>
          <w:b w:val="false"/>
          <w:i w:val="false"/>
          <w:caps w:val="false"/>
          <w:smallCaps w:val="false"/>
          <w:sz w:val="20"/>
        </w:rPr>
        <w:t>3 and $</w:t>
      </w:r>
      <w:bookmarkStart w:id="551" w:name="xdx_90C_eus-gaap--RevenueFromContractWit"/>
      <w:bookmarkEnd w:id="551"/>
      <w:r>
        <w:rPr>
          <w:rFonts w:ascii="Times New Roman;Times;Serif" w:hAnsi="Times New Roman;Times;Serif"/>
          <w:b w:val="false"/>
          <w:i w:val="false"/>
          <w:caps w:val="false"/>
          <w:smallCaps w:val="false"/>
          <w:sz w:val="20"/>
        </w:rPr>
        <w:t>5,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2020, the Company had an aggregate receivable balance from CCB of $</w:t>
      </w:r>
      <w:bookmarkStart w:id="552" w:name="xdx_907_eus-gaap--AccountsReceivableRela"/>
      <w:bookmarkEnd w:id="552"/>
      <w:r>
        <w:rPr>
          <w:rFonts w:ascii="Times New Roman;Times;Serif" w:hAnsi="Times New Roman;Times;Serif"/>
          <w:b w:val="false"/>
          <w:i w:val="false"/>
          <w:caps w:val="false"/>
          <w:smallCaps w:val="false"/>
          <w:sz w:val="20"/>
        </w:rPr>
        <w:t>682 at December 31, 2020. During the six months ended June 30, 2021, the Company recorded royalty revenue receivable of $</w:t>
      </w:r>
      <w:bookmarkStart w:id="553" w:name="xdx_901_ecustom--RoyaltyRevenueReceivabl"/>
      <w:bookmarkEnd w:id="553"/>
      <w:r>
        <w:rPr>
          <w:rFonts w:ascii="Times New Roman;Times;Serif" w:hAnsi="Times New Roman;Times;Serif"/>
          <w:b w:val="false"/>
          <w:i w:val="false"/>
          <w:caps w:val="false"/>
          <w:smallCaps w:val="false"/>
          <w:sz w:val="20"/>
        </w:rPr>
        <w:t>3, and advanced expenses of $</w:t>
      </w:r>
      <w:bookmarkStart w:id="554" w:name="xdx_90E_ecustom--InventoryAdvances_pn3n3"/>
      <w:bookmarkEnd w:id="554"/>
      <w:r>
        <w:rPr>
          <w:rFonts w:ascii="Times New Roman;Times;Serif" w:hAnsi="Times New Roman;Times;Serif"/>
          <w:b w:val="false"/>
          <w:i w:val="false"/>
          <w:caps w:val="false"/>
          <w:smallCaps w:val="false"/>
          <w:sz w:val="20"/>
        </w:rPr>
        <w:t>55, leaving an aggregate receivable balance of $</w:t>
      </w:r>
      <w:bookmarkStart w:id="555" w:name="xdx_903_eus-gaap--AccountsReceivableRela"/>
      <w:bookmarkEnd w:id="555"/>
      <w:r>
        <w:rPr>
          <w:rFonts w:ascii="Times New Roman;Times;Serif" w:hAnsi="Times New Roman;Times;Serif"/>
          <w:b w:val="false"/>
          <w:i w:val="false"/>
          <w:caps w:val="false"/>
          <w:smallCaps w:val="false"/>
          <w:sz w:val="20"/>
        </w:rPr>
        <w:t>740 at June 30, 2021.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over-advance on the Company’s line of credit with Rosenthal was guaranteed by an irrevocable stand-by letter of credit in the amount of $</w:t>
      </w:r>
      <w:bookmarkStart w:id="556" w:name="xdx_902_ecustom--LetterOfCredit_iI_pn3n3"/>
      <w:bookmarkEnd w:id="556"/>
      <w:r>
        <w:rPr>
          <w:rFonts w:ascii="Times New Roman;Times;Serif" w:hAnsi="Times New Roman;Times;Serif"/>
          <w:b w:val="false"/>
          <w:i w:val="false"/>
          <w:caps w:val="false"/>
          <w:smallCaps w:val="false"/>
          <w:sz w:val="20"/>
        </w:rPr>
        <w:t xml:space="preserve">1,500, issued by Daniel J. Doherty III and the Daniel J. Doherty, III 2002 Family Trust, affiliates of Raptor/Harbor Reeds SPV LLC (“Raptor”). </w:t>
      </w:r>
      <w:bookmarkStart w:id="557" w:name="xdx_902_eus-gaap--LineOfCreditFacilityDe"/>
      <w:bookmarkEnd w:id="557"/>
      <w:r>
        <w:rPr>
          <w:rFonts w:ascii="Times New Roman;Times;Serif" w:hAnsi="Times New Roman;Times;Serif"/>
          <w:b w:val="false"/>
          <w:i w:val="false"/>
          <w:caps w:val="false"/>
          <w:smallCaps w:val="false"/>
          <w:sz w:val="20"/>
        </w:rPr>
        <w:t>On March 11, 2021, the Company entered into an amendment to the financing agreement, releasing that irrevocable standby letter of credit of $1,500 by Raptor with a $2,000 pledge of securities to Rosenthal by John J. Bello and Nancy E. Bello, as Co-Trustees of The John and Nancy Bello Revocable Living Trust.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John J. Bello, current Chairman and former Interim Chief Executive Officer of Reed’s, is a related party. He is also a greater than </w:t>
      </w:r>
      <w:bookmarkStart w:id="558" w:name="xdx_904_eus-gaap--EquityMethodInvestment"/>
      <w:bookmarkEnd w:id="558"/>
      <w:r>
        <w:rPr>
          <w:rFonts w:ascii="Times New Roman;Times;Serif" w:hAnsi="Times New Roman;Times;Serif"/>
          <w:b w:val="false"/>
          <w:i w:val="false"/>
          <w:caps w:val="false"/>
          <w:smallCaps w:val="false"/>
          <w:sz w:val="20"/>
        </w:rPr>
        <w:t xml:space="preserve">5% beneficial owner of Reed’s common stock. As consideration for the collateral support, Mr. Bello received </w:t>
      </w:r>
      <w:bookmarkStart w:id="559" w:name="xdx_900_eus-gaap--StockIssuedDuringPerio"/>
      <w:bookmarkEnd w:id="559"/>
      <w:r>
        <w:rPr>
          <w:rFonts w:ascii="Times New Roman;Times;Serif" w:hAnsi="Times New Roman;Times;Serif"/>
          <w:b w:val="false"/>
          <w:i w:val="false"/>
          <w:caps w:val="false"/>
          <w:smallCaps w:val="false"/>
          <w:sz w:val="20"/>
        </w:rPr>
        <w:t>400,000 shares of Reed’s restricted stock.</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2021 and December 31, 2020, the Company had accounts payable due to CCB of $</w:t>
      </w:r>
      <w:bookmarkStart w:id="560" w:name="xdx_902_eus-gaap--AccountsPayableRelated"/>
      <w:bookmarkEnd w:id="560"/>
      <w:r>
        <w:rPr>
          <w:rFonts w:ascii="Times New Roman;Times;Serif" w:hAnsi="Times New Roman;Times;Serif"/>
          <w:b w:val="false"/>
          <w:i w:val="false"/>
          <w:caps w:val="false"/>
          <w:smallCaps w:val="false"/>
          <w:sz w:val="20"/>
        </w:rPr>
        <w:t>799 and $</w:t>
      </w:r>
      <w:bookmarkStart w:id="561" w:name="xdx_90E_eus-gaap--AccountsPayableRelated"/>
      <w:bookmarkEnd w:id="561"/>
      <w:r>
        <w:rPr>
          <w:rFonts w:ascii="Times New Roman;Times;Serif" w:hAnsi="Times New Roman;Times;Serif"/>
          <w:b w:val="false"/>
          <w:i w:val="false"/>
          <w:caps w:val="false"/>
          <w:smallCaps w:val="false"/>
          <w:sz w:val="20"/>
        </w:rPr>
        <w:t>577,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Martin, daughter of a director of the Company, is employed as Vice President of Marketing. Ms. Martin was paid approximately $</w:t>
      </w:r>
      <w:bookmarkStart w:id="562" w:name="xdx_907_eus-gaap--RelatedPartyCosts_pn3n"/>
      <w:bookmarkEnd w:id="562"/>
      <w:r>
        <w:rPr>
          <w:rFonts w:ascii="Times New Roman;Times;Serif" w:hAnsi="Times New Roman;Times;Serif"/>
          <w:b w:val="false"/>
          <w:i w:val="false"/>
          <w:caps w:val="false"/>
          <w:smallCaps w:val="false"/>
          <w:sz w:val="20"/>
        </w:rPr>
        <w:t>133 and $</w:t>
      </w:r>
      <w:bookmarkStart w:id="563" w:name="xdx_90E_eus-gaap--RelatedPartyCosts_pn3n"/>
      <w:bookmarkEnd w:id="563"/>
      <w:r>
        <w:rPr>
          <w:rFonts w:ascii="Times New Roman;Times;Serif" w:hAnsi="Times New Roman;Times;Serif"/>
          <w:b w:val="false"/>
          <w:i w:val="false"/>
          <w:caps w:val="false"/>
          <w:smallCaps w:val="false"/>
          <w:sz w:val="20"/>
        </w:rPr>
        <w:t>87, respectively, for her services during the six months ended June 30, 2021 and 2020, respectively.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64" w:name="xdx_80F_eus-gaap--SubsequentEventsTextBl"/>
      <w:bookmarkEnd w:id="564"/>
      <w:r>
        <w:rPr>
          <w:rFonts w:ascii="Times New Roman;Times;Serif" w:hAnsi="Times New Roman;Times;Serif"/>
          <w:b/>
          <w:i w:val="false"/>
          <w:caps w:val="false"/>
          <w:smallCaps w:val="false"/>
          <w:sz w:val="20"/>
        </w:rPr>
        <w:t xml:space="preserve">13. </w:t>
      </w:r>
      <w:bookmarkStart w:id="565" w:name="xdx_82D_zv5kEiXzTf6e"/>
      <w:bookmarkEnd w:id="565"/>
      <w:r>
        <w:rPr>
          <w:rFonts w:ascii="Times New Roman;Times;Serif" w:hAnsi="Times New Roman;Times;Serif"/>
          <w:b/>
          <w:i w:val="false"/>
          <w:caps w:val="false"/>
          <w:smallCaps w:val="false"/>
          <w:sz w:val="20"/>
        </w:rPr>
        <w:t>Subsequent Events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June 30, 2021, the Company issued </w:t>
      </w:r>
      <w:bookmarkStart w:id="566" w:name="xdx_902_eus-gaap--StockIssuedDuringPerio"/>
      <w:bookmarkEnd w:id="566"/>
      <w:r>
        <w:rPr>
          <w:rFonts w:ascii="Times New Roman;Times;Serif" w:hAnsi="Times New Roman;Times;Serif"/>
          <w:b w:val="false"/>
          <w:i w:val="false"/>
          <w:caps w:val="false"/>
          <w:smallCaps w:val="false"/>
          <w:sz w:val="20"/>
        </w:rPr>
        <w:t xml:space="preserve">5,000 shares of common stock on the exercise of stock options, and </w:t>
      </w:r>
      <w:bookmarkStart w:id="567" w:name="xdx_905_eus-gaap--StockIssuedDuringPerio"/>
      <w:bookmarkEnd w:id="567"/>
      <w:r>
        <w:rPr>
          <w:rFonts w:ascii="Times New Roman;Times;Serif" w:hAnsi="Times New Roman;Times;Serif"/>
          <w:b w:val="false"/>
          <w:i w:val="false"/>
          <w:caps w:val="false"/>
          <w:smallCaps w:val="false"/>
          <w:sz w:val="20"/>
        </w:rPr>
        <w:t>61,475 shares of common stock to its directors.</w:t>
      </w:r>
    </w:p>
    <w:p>
      <w:pPr>
        <w:pStyle w:val="TextBody"/>
        <w:jc w:val="both"/>
        <w:rPr>
          <w:caps w:val="false"/>
          <w:smallCaps w:val="false"/>
        </w:rPr>
      </w:pPr>
      <w:bookmarkStart w:id="568" w:name="xdx_815_zZRIEMDNv9Ul"/>
      <w:bookmarkEnd w:id="568"/>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F-14</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69" w:name="ar_008"/>
      <w:bookmarkEnd w:id="56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financial statements and the related notes appearing elsewhere in this report.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2021, the Company fully utilized their expanded network of co-packers and continues to adhere to strict set of quality protocols. In addition to our traditional sales channels, the Company is expanding in the club, drug, convenience and ecommerce channels including their branded web sites and Amazon to offer its line of shots, ginger candy and drinks packaged in cans.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remains focused on driving sales growth and improving margin.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 However, the Company experienced elevated raw material and transportation costs over the prior year and anticipates these costs to remain elevated for the balance of the year. Plans have been developed to mitigate the impact of these costs.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COVID-19 Considerations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June 30, 2021, the COVID-19 pandemic has impacted our operating results and the Company anticipates a continued impact for the balance of the year. In addition,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June 30, 2021, the Company has experienced higher transportation expenses as the capacity in the freight market has not kept up with demand. The Company believes that costs will continue to increase throughout the year. In addition, the Company experienced increases in the pricing of several of its raw materials and delays in procuring several of these items. However, mitigation plans are being implemented to manage this risk.</w:t>
      </w:r>
    </w:p>
    <w:p>
      <w:pPr>
        <w:pStyle w:val="TextBody"/>
        <w:shd w:fill="FFFFFF" w:val="clear"/>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1</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without significant incremental negative operational impact from the COVID-19 pandemic will in part depend on our ability to protect our employees and our supply chain. The Company has endeavored to follow the recommended actions of government and health authorities to protect our employees. Since the inception of the COVID-19 pandemic and through June 30, 2021,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six months ended June 30, 2021 were up 15% from the prior year period. Through June 30, 2021,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June 30, 2021</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three months ended June 30, 2021 and 2020, respectively, in thousands.</w:t>
      </w:r>
    </w:p>
    <w:p>
      <w:pPr>
        <w:pStyle w:val="TextBody"/>
        <w:jc w:val="both"/>
        <w:rPr>
          <w:caps w:val="false"/>
          <w:smallCaps w:val="false"/>
        </w:rPr>
      </w:pPr>
      <w:r>
        <w:rPr>
          <w:caps w:val="false"/>
          <w:smallCaps w:val="false"/>
        </w:rPr>
        <w:t> </w:t>
      </w:r>
    </w:p>
    <w:tbl>
      <w:tblPr>
        <w:tblW w:w="9366" w:type="dxa"/>
        <w:jc w:val="left"/>
        <w:tblInd w:w="0" w:type="dxa"/>
        <w:tblCellMar>
          <w:top w:w="0" w:type="dxa"/>
          <w:left w:w="0" w:type="dxa"/>
          <w:bottom w:w="0" w:type="dxa"/>
          <w:right w:w="0" w:type="dxa"/>
        </w:tblCellMar>
      </w:tblPr>
      <w:tblGrid>
        <w:gridCol w:w="5165"/>
        <w:gridCol w:w="60"/>
        <w:gridCol w:w="146"/>
        <w:gridCol w:w="1151"/>
        <w:gridCol w:w="225"/>
        <w:gridCol w:w="62"/>
        <w:gridCol w:w="146"/>
        <w:gridCol w:w="1151"/>
        <w:gridCol w:w="215"/>
        <w:gridCol w:w="60"/>
        <w:gridCol w:w="87"/>
        <w:gridCol w:w="668"/>
        <w:gridCol w:w="230"/>
      </w:tblGrid>
      <w:tr>
        <w:trPr/>
        <w:tc>
          <w:tcPr>
            <w:tcW w:w="516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881" w:type="dxa"/>
            <w:gridSpan w:val="6"/>
            <w:tcBorders>
              <w:bottom w:val="single" w:sz="12" w:space="0" w:color="000000"/>
            </w:tcBorders>
            <w:shd w:fill="auto" w:val="clear"/>
            <w:tcMar>
              <w:bottom w:w="28" w:type="dxa"/>
            </w:tcMar>
            <w:vAlign w:val="center"/>
          </w:tcPr>
          <w:p>
            <w:pPr>
              <w:pStyle w:val="TableContents"/>
              <w:spacing w:before="0" w:after="283"/>
              <w:jc w:val="center"/>
              <w:rPr/>
            </w:pPr>
            <w:r>
              <w:rPr/>
              <w:t>Three Months Ended June 30,</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gridSpan w:val="2"/>
            <w:tcBorders/>
            <w:shd w:fill="auto" w:val="clear"/>
            <w:vAlign w:val="center"/>
          </w:tcPr>
          <w:p>
            <w:pPr>
              <w:pStyle w:val="TableContents"/>
              <w:spacing w:before="0" w:after="283"/>
              <w:jc w:val="center"/>
              <w:rPr/>
            </w:pPr>
            <w:r>
              <w:rPr/>
              <w:t>Pct.</w:t>
            </w:r>
          </w:p>
        </w:tc>
        <w:tc>
          <w:tcPr>
            <w:tcW w:w="230" w:type="dxa"/>
            <w:tcBorders/>
            <w:shd w:fill="auto" w:val="clear"/>
            <w:vAlign w:val="center"/>
          </w:tcPr>
          <w:p>
            <w:pPr>
              <w:pStyle w:val="TableContents"/>
              <w:spacing w:before="0" w:after="283"/>
              <w:rPr/>
            </w:pPr>
            <w:r>
              <w:rPr/>
              <w:t> </w:t>
            </w:r>
          </w:p>
        </w:tc>
      </w:tr>
      <w:tr>
        <w:trPr/>
        <w:tc>
          <w:tcPr>
            <w:tcW w:w="51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7"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2021</w:t>
            </w:r>
          </w:p>
        </w:tc>
        <w:tc>
          <w:tcPr>
            <w:tcW w:w="225"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97" w:type="dxa"/>
            <w:gridSpan w:val="2"/>
            <w:tcBorders>
              <w:bottom w:val="single" w:sz="12" w:space="0" w:color="000000"/>
            </w:tcBorders>
            <w:shd w:fill="auto" w:val="clear"/>
            <w:tcMar>
              <w:bottom w:w="28" w:type="dxa"/>
            </w:tcMar>
            <w:vAlign w:val="center"/>
          </w:tcPr>
          <w:p>
            <w:pPr>
              <w:pStyle w:val="TableContents"/>
              <w:spacing w:before="0" w:after="283"/>
              <w:jc w:val="center"/>
              <w:rPr/>
            </w:pPr>
            <w:r>
              <w:rPr/>
              <w:t>2020</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center"/>
          </w:tcPr>
          <w:p>
            <w:pPr>
              <w:pStyle w:val="TableContents"/>
              <w:spacing w:before="0" w:after="283"/>
              <w:jc w:val="center"/>
              <w:rPr/>
            </w:pPr>
            <w:r>
              <w:rPr/>
              <w:t>Change</w:t>
            </w:r>
          </w:p>
        </w:tc>
        <w:tc>
          <w:tcPr>
            <w:tcW w:w="230" w:type="dxa"/>
            <w:tcBorders/>
            <w:shd w:fill="auto" w:val="clear"/>
            <w:vAlign w:val="center"/>
          </w:tcPr>
          <w:p>
            <w:pPr>
              <w:pStyle w:val="TableContents"/>
              <w:spacing w:before="0" w:after="283"/>
              <w:rPr/>
            </w:pPr>
            <w:r>
              <w:rPr/>
              <w:t> </w:t>
            </w:r>
          </w:p>
        </w:tc>
      </w:tr>
      <w:tr>
        <w:trPr/>
        <w:tc>
          <w:tcPr>
            <w:tcW w:w="5165" w:type="dxa"/>
            <w:tcBorders/>
            <w:shd w:fill="CCEEFF" w:val="clear"/>
            <w:vAlign w:val="center"/>
          </w:tcPr>
          <w:p>
            <w:pPr>
              <w:pStyle w:val="TableContents"/>
              <w:spacing w:before="0" w:after="283"/>
              <w:jc w:val="left"/>
              <w:rPr/>
            </w:pPr>
            <w:r>
              <w:rPr/>
              <w:t>Gross billing (A)</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w:t>
            </w:r>
          </w:p>
        </w:tc>
        <w:tc>
          <w:tcPr>
            <w:tcW w:w="1151" w:type="dxa"/>
            <w:tcBorders/>
            <w:shd w:fill="CCEEFF" w:val="clear"/>
            <w:vAlign w:val="center"/>
          </w:tcPr>
          <w:p>
            <w:pPr>
              <w:pStyle w:val="TableContents"/>
              <w:spacing w:before="0" w:after="283"/>
              <w:jc w:val="right"/>
              <w:rPr/>
            </w:pPr>
            <w:r>
              <w:rPr/>
              <w:t>12,626</w:t>
            </w:r>
          </w:p>
        </w:tc>
        <w:tc>
          <w:tcPr>
            <w:tcW w:w="225"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w:t>
            </w:r>
          </w:p>
        </w:tc>
        <w:tc>
          <w:tcPr>
            <w:tcW w:w="1151" w:type="dxa"/>
            <w:tcBorders/>
            <w:shd w:fill="CCEEFF" w:val="clear"/>
            <w:vAlign w:val="center"/>
          </w:tcPr>
          <w:p>
            <w:pPr>
              <w:pStyle w:val="TableContents"/>
              <w:spacing w:before="0" w:after="283"/>
              <w:jc w:val="right"/>
              <w:rPr/>
            </w:pPr>
            <w:r>
              <w:rPr/>
              <w:t>12,229</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3</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jc w:val="left"/>
              <w:rPr/>
            </w:pPr>
            <w:r>
              <w:rPr/>
              <w:t>Less: Promotional and other allowances (B)</w:t>
            </w:r>
          </w:p>
        </w:tc>
        <w:tc>
          <w:tcPr>
            <w:tcW w:w="60"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1" w:type="dxa"/>
            <w:tcBorders>
              <w:bottom w:val="single" w:sz="12" w:space="0" w:color="000000"/>
            </w:tcBorders>
            <w:shd w:fill="FFFFFF" w:val="clear"/>
            <w:tcMar>
              <w:bottom w:w="28" w:type="dxa"/>
            </w:tcMar>
            <w:vAlign w:val="center"/>
          </w:tcPr>
          <w:p>
            <w:pPr>
              <w:pStyle w:val="TableContents"/>
              <w:spacing w:before="0" w:after="283"/>
              <w:jc w:val="right"/>
              <w:rPr/>
            </w:pPr>
            <w:r>
              <w:rPr/>
              <w:t>1,356</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1" w:type="dxa"/>
            <w:tcBorders>
              <w:bottom w:val="single" w:sz="12" w:space="0" w:color="000000"/>
            </w:tcBorders>
            <w:shd w:fill="FFFFFF" w:val="clear"/>
            <w:tcMar>
              <w:bottom w:w="28" w:type="dxa"/>
            </w:tcMar>
            <w:vAlign w:val="center"/>
          </w:tcPr>
          <w:p>
            <w:pPr>
              <w:pStyle w:val="TableContents"/>
              <w:spacing w:before="0" w:after="283"/>
              <w:jc w:val="right"/>
              <w:rPr/>
            </w:pPr>
            <w:r>
              <w:rPr/>
              <w:t>1,376</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-1</w:t>
            </w:r>
          </w:p>
        </w:tc>
        <w:tc>
          <w:tcPr>
            <w:tcW w:w="230" w:type="dxa"/>
            <w:tcBorders/>
            <w:shd w:fill="FFFFFF" w:val="clear"/>
            <w:vAlign w:val="center"/>
          </w:tcPr>
          <w:p>
            <w:pPr>
              <w:pStyle w:val="TableContents"/>
              <w:spacing w:before="0" w:after="283"/>
              <w:jc w:val="left"/>
              <w:rPr/>
            </w:pPr>
            <w:r>
              <w:rPr/>
              <w:t>%</w:t>
            </w:r>
          </w:p>
        </w:tc>
      </w:tr>
      <w:tr>
        <w:trPr/>
        <w:tc>
          <w:tcPr>
            <w:tcW w:w="5165" w:type="dxa"/>
            <w:tcBorders/>
            <w:shd w:fill="CCEEFF" w:val="clear"/>
            <w:vAlign w:val="center"/>
          </w:tcPr>
          <w:p>
            <w:pPr>
              <w:pStyle w:val="TableContents"/>
              <w:spacing w:before="0" w:after="283"/>
              <w:jc w:val="left"/>
              <w:rPr/>
            </w:pPr>
            <w:r>
              <w:rPr/>
              <w:t>Net sales</w:t>
            </w:r>
          </w:p>
        </w:tc>
        <w:tc>
          <w:tcPr>
            <w:tcW w:w="60"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51" w:type="dxa"/>
            <w:tcBorders>
              <w:bottom w:val="single" w:sz="12" w:space="0" w:color="000000"/>
            </w:tcBorders>
            <w:shd w:fill="CCEEFF" w:val="clear"/>
            <w:tcMar>
              <w:bottom w:w="28" w:type="dxa"/>
            </w:tcMar>
            <w:vAlign w:val="center"/>
          </w:tcPr>
          <w:p>
            <w:pPr>
              <w:pStyle w:val="TableContents"/>
              <w:spacing w:before="0" w:after="283"/>
              <w:jc w:val="right"/>
              <w:rPr/>
            </w:pPr>
            <w:r>
              <w:rPr/>
              <w:t>11,270</w:t>
            </w:r>
          </w:p>
        </w:tc>
        <w:tc>
          <w:tcPr>
            <w:tcW w:w="225"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51" w:type="dxa"/>
            <w:tcBorders>
              <w:bottom w:val="single" w:sz="12" w:space="0" w:color="000000"/>
            </w:tcBorders>
            <w:shd w:fill="CCEEFF" w:val="clear"/>
            <w:tcMar>
              <w:bottom w:w="28" w:type="dxa"/>
            </w:tcMar>
            <w:vAlign w:val="center"/>
          </w:tcPr>
          <w:p>
            <w:pPr>
              <w:pStyle w:val="TableContents"/>
              <w:spacing w:before="0" w:after="283"/>
              <w:jc w:val="right"/>
              <w:rPr/>
            </w:pPr>
            <w:r>
              <w:rPr/>
              <w:t>10,853</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4</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Cost of goods sold</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pPr>
            <w:r>
              <w:rPr/>
              <w:t>8,001</w:t>
            </w:r>
          </w:p>
        </w:tc>
        <w:tc>
          <w:tcPr>
            <w:tcW w:w="225"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pPr>
            <w:r>
              <w:rPr/>
              <w:t>7,865</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2</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i/>
              </w:rPr>
            </w:pPr>
            <w:r>
              <w:rPr>
                <w:i/>
              </w:rPr>
              <w:t>% of Gross billing</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i/>
              </w:rPr>
            </w:pPr>
            <w:r>
              <w:rPr>
                <w:i/>
              </w:rPr>
              <w:t>63</w:t>
            </w:r>
          </w:p>
        </w:tc>
        <w:tc>
          <w:tcPr>
            <w:tcW w:w="225" w:type="dxa"/>
            <w:tcBorders/>
            <w:shd w:fill="FFFFFF" w:val="clear"/>
            <w:vAlign w:val="center"/>
          </w:tcPr>
          <w:p>
            <w:pPr>
              <w:pStyle w:val="TableContents"/>
              <w:spacing w:before="0" w:after="283"/>
              <w:jc w:val="left"/>
              <w:rPr>
                <w:i/>
              </w:rPr>
            </w:pPr>
            <w:r>
              <w:rPr>
                <w:i/>
              </w:rPr>
              <w:t>%</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i/>
              </w:rPr>
            </w:pPr>
            <w:r>
              <w:rPr>
                <w:i/>
              </w:rPr>
              <w:t>64</w:t>
            </w:r>
          </w:p>
        </w:tc>
        <w:tc>
          <w:tcPr>
            <w:tcW w:w="215" w:type="dxa"/>
            <w:tcBorders/>
            <w:shd w:fill="FFFFFF" w:val="clear"/>
            <w:vAlign w:val="center"/>
          </w:tcPr>
          <w:p>
            <w:pPr>
              <w:pStyle w:val="TableContents"/>
              <w:spacing w:before="0" w:after="283"/>
              <w:jc w:val="left"/>
              <w:rPr>
                <w:i/>
              </w:rPr>
            </w:pPr>
            <w:r>
              <w:rPr>
                <w:i/>
              </w:rPr>
              <w:t>%</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rPr>
                <w:i/>
              </w:rPr>
            </w:pPr>
            <w:r>
              <w:rPr>
                <w:i/>
              </w:rPr>
              <w:t>% of Net sales</w:t>
            </w:r>
          </w:p>
        </w:tc>
        <w:tc>
          <w:tcPr>
            <w:tcW w:w="60"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spacing w:before="0" w:after="283"/>
              <w:jc w:val="right"/>
              <w:rPr>
                <w:i/>
              </w:rPr>
            </w:pPr>
            <w:r>
              <w:rPr>
                <w:i/>
              </w:rPr>
              <w:t>71</w:t>
            </w:r>
          </w:p>
        </w:tc>
        <w:tc>
          <w:tcPr>
            <w:tcW w:w="225" w:type="dxa"/>
            <w:tcBorders/>
            <w:shd w:fill="CCEEFF" w:val="clear"/>
            <w:vAlign w:val="center"/>
          </w:tcPr>
          <w:p>
            <w:pPr>
              <w:pStyle w:val="TableContents"/>
              <w:spacing w:before="0" w:after="283"/>
              <w:jc w:val="left"/>
              <w:rPr>
                <w:i/>
              </w:rPr>
            </w:pPr>
            <w:r>
              <w:rPr>
                <w:i/>
              </w:rPr>
              <w:t>%</w:t>
            </w:r>
          </w:p>
        </w:tc>
        <w:tc>
          <w:tcPr>
            <w:tcW w:w="62"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spacing w:before="0" w:after="283"/>
              <w:jc w:val="right"/>
              <w:rPr>
                <w:i/>
              </w:rPr>
            </w:pPr>
            <w:r>
              <w:rPr>
                <w:i/>
              </w:rPr>
              <w:t>72</w:t>
            </w:r>
          </w:p>
        </w:tc>
        <w:tc>
          <w:tcPr>
            <w:tcW w:w="215" w:type="dxa"/>
            <w:tcBorders/>
            <w:shd w:fill="CCEEFF" w:val="clear"/>
            <w:vAlign w:val="center"/>
          </w:tcPr>
          <w:p>
            <w:pPr>
              <w:pStyle w:val="TableContents"/>
              <w:spacing w:before="0" w:after="283"/>
              <w:jc w:val="left"/>
              <w:rPr>
                <w:i/>
              </w:rPr>
            </w:pPr>
            <w:r>
              <w:rPr>
                <w:i/>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jc w:val="left"/>
              <w:rPr/>
            </w:pPr>
            <w:r>
              <w:rPr/>
              <w:t>Gross profit</w:t>
            </w:r>
          </w:p>
        </w:tc>
        <w:tc>
          <w:tcPr>
            <w:tcW w:w="60"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151" w:type="dxa"/>
            <w:tcBorders>
              <w:bottom w:val="single" w:sz="12" w:space="0" w:color="000000"/>
            </w:tcBorders>
            <w:shd w:fill="FFFFFF" w:val="clear"/>
            <w:tcMar>
              <w:bottom w:w="28" w:type="dxa"/>
            </w:tcMar>
            <w:vAlign w:val="center"/>
          </w:tcPr>
          <w:p>
            <w:pPr>
              <w:pStyle w:val="TableContents"/>
              <w:spacing w:before="0" w:after="283"/>
              <w:jc w:val="right"/>
              <w:rPr/>
            </w:pPr>
            <w:r>
              <w:rPr/>
              <w:t>3,269</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151" w:type="dxa"/>
            <w:tcBorders>
              <w:bottom w:val="single" w:sz="12" w:space="0" w:color="000000"/>
            </w:tcBorders>
            <w:shd w:fill="FFFFFF" w:val="clear"/>
            <w:tcMar>
              <w:bottom w:w="28" w:type="dxa"/>
            </w:tcMar>
            <w:vAlign w:val="center"/>
          </w:tcPr>
          <w:p>
            <w:pPr>
              <w:pStyle w:val="TableContents"/>
              <w:spacing w:before="0" w:after="283"/>
              <w:jc w:val="right"/>
              <w:rPr/>
            </w:pPr>
            <w:r>
              <w:rPr/>
              <w:t>2,988</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9</w:t>
            </w:r>
          </w:p>
        </w:tc>
        <w:tc>
          <w:tcPr>
            <w:tcW w:w="230" w:type="dxa"/>
            <w:tcBorders/>
            <w:shd w:fill="FFFFFF" w:val="clear"/>
            <w:vAlign w:val="center"/>
          </w:tcPr>
          <w:p>
            <w:pPr>
              <w:pStyle w:val="TableContents"/>
              <w:spacing w:before="0" w:after="283"/>
              <w:jc w:val="left"/>
              <w:rPr/>
            </w:pPr>
            <w:r>
              <w:rPr/>
              <w:t>%</w:t>
            </w:r>
          </w:p>
        </w:tc>
      </w:tr>
      <w:tr>
        <w:trPr/>
        <w:tc>
          <w:tcPr>
            <w:tcW w:w="5165" w:type="dxa"/>
            <w:tcBorders/>
            <w:shd w:fill="CCEEFF" w:val="clear"/>
            <w:vAlign w:val="center"/>
          </w:tcPr>
          <w:p>
            <w:pPr>
              <w:pStyle w:val="TableContents"/>
              <w:spacing w:before="0" w:after="283"/>
              <w:rPr>
                <w:i/>
              </w:rPr>
            </w:pPr>
            <w:r>
              <w:rPr>
                <w:i/>
              </w:rPr>
              <w:t>% of Net sales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i/>
              </w:rPr>
            </w:pPr>
            <w:r>
              <w:rPr>
                <w:i/>
              </w:rPr>
              <w:t>29</w:t>
            </w:r>
          </w:p>
        </w:tc>
        <w:tc>
          <w:tcPr>
            <w:tcW w:w="225" w:type="dxa"/>
            <w:tcBorders/>
            <w:shd w:fill="CCEEFF" w:val="clear"/>
            <w:vAlign w:val="center"/>
          </w:tcPr>
          <w:p>
            <w:pPr>
              <w:pStyle w:val="TableContents"/>
              <w:spacing w:before="0" w:after="283"/>
              <w:jc w:val="left"/>
              <w:rPr>
                <w:i/>
              </w:rPr>
            </w:pPr>
            <w:r>
              <w:rPr>
                <w:i/>
              </w:rPr>
              <w:t>%</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i/>
              </w:rPr>
            </w:pPr>
            <w:r>
              <w:rPr>
                <w:i/>
              </w:rPr>
              <w:t>28</w:t>
            </w:r>
          </w:p>
        </w:tc>
        <w:tc>
          <w:tcPr>
            <w:tcW w:w="215" w:type="dxa"/>
            <w:tcBorders/>
            <w:shd w:fill="CCEEFF" w:val="clear"/>
            <w:vAlign w:val="center"/>
          </w:tcPr>
          <w:p>
            <w:pPr>
              <w:pStyle w:val="TableContents"/>
              <w:spacing w:before="0" w:after="283"/>
              <w:jc w:val="left"/>
              <w:rPr>
                <w:i/>
              </w:rPr>
            </w:pPr>
            <w:r>
              <w:rPr>
                <w:i/>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rPr/>
            </w:pPr>
            <w:r>
              <w:rPr/>
              <w:t>Expenses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pPr>
            <w:r>
              <w:rPr/>
              <w:t> </w:t>
            </w:r>
          </w:p>
        </w:tc>
        <w:tc>
          <w:tcPr>
            <w:tcW w:w="225"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jc w:val="left"/>
              <w:rPr/>
            </w:pPr>
            <w:r>
              <w:rPr/>
              <w:t>Delivery and handling</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w:t>
            </w:r>
          </w:p>
        </w:tc>
        <w:tc>
          <w:tcPr>
            <w:tcW w:w="1151" w:type="dxa"/>
            <w:tcBorders/>
            <w:shd w:fill="FFFFFF" w:val="clear"/>
            <w:vAlign w:val="center"/>
          </w:tcPr>
          <w:p>
            <w:pPr>
              <w:pStyle w:val="TableContents"/>
              <w:spacing w:before="0" w:after="283"/>
              <w:jc w:val="right"/>
              <w:rPr/>
            </w:pPr>
            <w:r>
              <w:rPr/>
              <w:t>2,508</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w:t>
            </w:r>
          </w:p>
        </w:tc>
        <w:tc>
          <w:tcPr>
            <w:tcW w:w="1151" w:type="dxa"/>
            <w:tcBorders/>
            <w:shd w:fill="FFFFFF" w:val="clear"/>
            <w:vAlign w:val="center"/>
          </w:tcPr>
          <w:p>
            <w:pPr>
              <w:pStyle w:val="TableContents"/>
              <w:spacing w:before="0" w:after="283"/>
              <w:jc w:val="right"/>
              <w:rPr/>
            </w:pPr>
            <w:r>
              <w:rPr/>
              <w:t>1,480</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70</w:t>
            </w:r>
          </w:p>
        </w:tc>
        <w:tc>
          <w:tcPr>
            <w:tcW w:w="230" w:type="dxa"/>
            <w:tcBorders/>
            <w:shd w:fill="FFFFFF" w:val="clear"/>
            <w:vAlign w:val="center"/>
          </w:tcPr>
          <w:p>
            <w:pPr>
              <w:pStyle w:val="TableContents"/>
              <w:spacing w:before="0" w:after="283"/>
              <w:jc w:val="left"/>
              <w:rPr/>
            </w:pPr>
            <w:r>
              <w:rPr/>
              <w:t>%</w:t>
            </w:r>
          </w:p>
        </w:tc>
      </w:tr>
      <w:tr>
        <w:trPr/>
        <w:tc>
          <w:tcPr>
            <w:tcW w:w="5165" w:type="dxa"/>
            <w:tcBorders/>
            <w:shd w:fill="CCEEFF" w:val="clear"/>
            <w:vAlign w:val="center"/>
          </w:tcPr>
          <w:p>
            <w:pPr>
              <w:pStyle w:val="TableContents"/>
              <w:spacing w:before="0" w:after="283"/>
              <w:rPr>
                <w:i/>
              </w:rPr>
            </w:pPr>
            <w:r>
              <w:rPr>
                <w:i/>
              </w:rPr>
              <w:t>% of Net sales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i/>
              </w:rPr>
            </w:pPr>
            <w:r>
              <w:rPr>
                <w:i/>
              </w:rPr>
              <w:t>22</w:t>
            </w:r>
          </w:p>
        </w:tc>
        <w:tc>
          <w:tcPr>
            <w:tcW w:w="225" w:type="dxa"/>
            <w:tcBorders/>
            <w:shd w:fill="CCEEFF" w:val="clear"/>
            <w:vAlign w:val="center"/>
          </w:tcPr>
          <w:p>
            <w:pPr>
              <w:pStyle w:val="TableContents"/>
              <w:spacing w:before="0" w:after="283"/>
              <w:jc w:val="left"/>
              <w:rPr>
                <w:i/>
              </w:rPr>
            </w:pPr>
            <w:r>
              <w:rPr>
                <w:i/>
              </w:rPr>
              <w:t>%</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i/>
              </w:rPr>
            </w:pPr>
            <w:r>
              <w:rPr>
                <w:i/>
              </w:rPr>
              <w:t>14</w:t>
            </w:r>
          </w:p>
        </w:tc>
        <w:tc>
          <w:tcPr>
            <w:tcW w:w="215" w:type="dxa"/>
            <w:tcBorders/>
            <w:shd w:fill="CCEEFF" w:val="clear"/>
            <w:vAlign w:val="center"/>
          </w:tcPr>
          <w:p>
            <w:pPr>
              <w:pStyle w:val="TableContents"/>
              <w:spacing w:before="0" w:after="283"/>
              <w:jc w:val="left"/>
              <w:rPr>
                <w:i/>
              </w:rPr>
            </w:pPr>
            <w:r>
              <w:rPr>
                <w:i/>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rPr>
                <w:i/>
              </w:rPr>
            </w:pPr>
            <w:r>
              <w:rPr>
                <w:i/>
              </w:rPr>
              <w:t>Dollar per case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i/>
              </w:rPr>
            </w:pPr>
            <w:r>
              <w:rPr>
                <w:i/>
              </w:rPr>
              <w:t>3.53</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i/>
              </w:rPr>
            </w:pPr>
            <w:r>
              <w:rPr>
                <w:i/>
              </w:rPr>
              <w:t>2.27</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Selling and marketing</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pPr>
            <w:r>
              <w:rPr/>
              <w:t>2,634</w:t>
            </w:r>
          </w:p>
        </w:tc>
        <w:tc>
          <w:tcPr>
            <w:tcW w:w="225"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pPr>
            <w:r>
              <w:rPr/>
              <w:t>1,585</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66</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i/>
              </w:rPr>
            </w:pPr>
            <w:r>
              <w:rPr>
                <w:i/>
              </w:rPr>
              <w:t>% of Net sales</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i/>
              </w:rPr>
            </w:pPr>
            <w:r>
              <w:rPr>
                <w:i/>
              </w:rPr>
              <w:t>23</w:t>
            </w:r>
          </w:p>
        </w:tc>
        <w:tc>
          <w:tcPr>
            <w:tcW w:w="225" w:type="dxa"/>
            <w:tcBorders/>
            <w:shd w:fill="FFFFFF" w:val="clear"/>
            <w:vAlign w:val="center"/>
          </w:tcPr>
          <w:p>
            <w:pPr>
              <w:pStyle w:val="TableContents"/>
              <w:spacing w:before="0" w:after="283"/>
              <w:jc w:val="left"/>
              <w:rPr>
                <w:i/>
              </w:rPr>
            </w:pPr>
            <w:r>
              <w:rPr>
                <w:i/>
              </w:rPr>
              <w:t>%</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i/>
              </w:rPr>
            </w:pPr>
            <w:r>
              <w:rPr>
                <w:i/>
              </w:rPr>
              <w:t>15</w:t>
            </w:r>
          </w:p>
        </w:tc>
        <w:tc>
          <w:tcPr>
            <w:tcW w:w="215" w:type="dxa"/>
            <w:tcBorders/>
            <w:shd w:fill="FFFFFF" w:val="clear"/>
            <w:vAlign w:val="center"/>
          </w:tcPr>
          <w:p>
            <w:pPr>
              <w:pStyle w:val="TableContents"/>
              <w:spacing w:before="0" w:after="283"/>
              <w:jc w:val="left"/>
              <w:rPr>
                <w:i/>
              </w:rPr>
            </w:pPr>
            <w:r>
              <w:rPr>
                <w:i/>
              </w:rPr>
              <w:t>%</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pPr>
            <w:r>
              <w:rPr/>
              <w:t>1,836</w:t>
            </w:r>
          </w:p>
        </w:tc>
        <w:tc>
          <w:tcPr>
            <w:tcW w:w="225"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pPr>
            <w:r>
              <w:rPr/>
              <w:t>1,357</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35</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i/>
              </w:rPr>
            </w:pPr>
            <w:r>
              <w:rPr>
                <w:i/>
              </w:rPr>
              <w:t>% of Net sales</w:t>
            </w:r>
          </w:p>
        </w:tc>
        <w:tc>
          <w:tcPr>
            <w:tcW w:w="60"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1" w:type="dxa"/>
            <w:tcBorders>
              <w:bottom w:val="single" w:sz="12" w:space="0" w:color="000000"/>
            </w:tcBorders>
            <w:shd w:fill="FFFFFF" w:val="clear"/>
            <w:tcMar>
              <w:bottom w:w="28" w:type="dxa"/>
            </w:tcMar>
            <w:vAlign w:val="center"/>
          </w:tcPr>
          <w:p>
            <w:pPr>
              <w:pStyle w:val="TableContents"/>
              <w:spacing w:before="0" w:after="283"/>
              <w:jc w:val="right"/>
              <w:rPr>
                <w:i/>
              </w:rPr>
            </w:pPr>
            <w:r>
              <w:rPr>
                <w:i/>
              </w:rPr>
              <w:t>16</w:t>
            </w:r>
          </w:p>
        </w:tc>
        <w:tc>
          <w:tcPr>
            <w:tcW w:w="225" w:type="dxa"/>
            <w:tcBorders/>
            <w:shd w:fill="FFFFFF" w:val="clear"/>
            <w:vAlign w:val="center"/>
          </w:tcPr>
          <w:p>
            <w:pPr>
              <w:pStyle w:val="TableContents"/>
              <w:spacing w:before="0" w:after="283"/>
              <w:jc w:val="left"/>
              <w:rPr>
                <w:i/>
              </w:rPr>
            </w:pPr>
            <w:r>
              <w:rPr>
                <w:i/>
              </w:rPr>
              <w:t>%</w:t>
            </w:r>
          </w:p>
        </w:tc>
        <w:tc>
          <w:tcPr>
            <w:tcW w:w="62" w:type="dxa"/>
            <w:tcBorders/>
            <w:shd w:fill="FFFFFF" w:val="clear"/>
            <w:vAlign w:val="center"/>
          </w:tcPr>
          <w:p>
            <w:pPr>
              <w:pStyle w:val="TableContents"/>
              <w:spacing w:before="0" w:after="283"/>
              <w:rPr/>
            </w:pPr>
            <w:r>
              <w:rPr/>
              <w:t> </w:t>
            </w:r>
          </w:p>
        </w:tc>
        <w:tc>
          <w:tcPr>
            <w:tcW w:w="146"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51" w:type="dxa"/>
            <w:tcBorders>
              <w:bottom w:val="single" w:sz="12" w:space="0" w:color="000000"/>
            </w:tcBorders>
            <w:shd w:fill="FFFFFF" w:val="clear"/>
            <w:tcMar>
              <w:bottom w:w="28" w:type="dxa"/>
            </w:tcMar>
            <w:vAlign w:val="center"/>
          </w:tcPr>
          <w:p>
            <w:pPr>
              <w:pStyle w:val="TableContents"/>
              <w:spacing w:before="0" w:after="283"/>
              <w:jc w:val="right"/>
              <w:rPr>
                <w:i/>
              </w:rPr>
            </w:pPr>
            <w:r>
              <w:rPr>
                <w:i/>
              </w:rPr>
              <w:t>12</w:t>
            </w:r>
          </w:p>
        </w:tc>
        <w:tc>
          <w:tcPr>
            <w:tcW w:w="215" w:type="dxa"/>
            <w:tcBorders/>
            <w:shd w:fill="FFFFFF" w:val="clear"/>
            <w:vAlign w:val="center"/>
          </w:tcPr>
          <w:p>
            <w:pPr>
              <w:pStyle w:val="TableContents"/>
              <w:spacing w:before="0" w:after="283"/>
              <w:jc w:val="left"/>
              <w:rPr>
                <w:i/>
              </w:rPr>
            </w:pPr>
            <w:r>
              <w:rPr>
                <w:i/>
              </w:rPr>
              <w:t>%</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Total operating expenses</w:t>
            </w:r>
          </w:p>
        </w:tc>
        <w:tc>
          <w:tcPr>
            <w:tcW w:w="60"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spacing w:before="0" w:after="283"/>
              <w:jc w:val="right"/>
              <w:rPr/>
            </w:pPr>
            <w:r>
              <w:rPr/>
              <w:t>6,978</w:t>
            </w:r>
          </w:p>
        </w:tc>
        <w:tc>
          <w:tcPr>
            <w:tcW w:w="225"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spacing w:before="0" w:after="283"/>
              <w:jc w:val="right"/>
              <w:rPr/>
            </w:pPr>
            <w:r>
              <w:rPr/>
              <w:t>4,422</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58</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Loss from operations</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w:t>
            </w:r>
          </w:p>
        </w:tc>
        <w:tc>
          <w:tcPr>
            <w:tcW w:w="1151" w:type="dxa"/>
            <w:tcBorders/>
            <w:shd w:fill="CCEEFF" w:val="clear"/>
            <w:vAlign w:val="center"/>
          </w:tcPr>
          <w:p>
            <w:pPr>
              <w:pStyle w:val="TableContents"/>
              <w:spacing w:before="0" w:after="283"/>
              <w:jc w:val="right"/>
              <w:rPr/>
            </w:pPr>
            <w:r>
              <w:rPr/>
              <w:t>(3,709</w:t>
            </w:r>
          </w:p>
        </w:tc>
        <w:tc>
          <w:tcPr>
            <w:tcW w:w="225"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w:t>
            </w:r>
          </w:p>
        </w:tc>
        <w:tc>
          <w:tcPr>
            <w:tcW w:w="1151" w:type="dxa"/>
            <w:tcBorders/>
            <w:shd w:fill="CCEEFF" w:val="clear"/>
            <w:vAlign w:val="center"/>
          </w:tcPr>
          <w:p>
            <w:pPr>
              <w:pStyle w:val="TableContents"/>
              <w:spacing w:before="0" w:after="283"/>
              <w:jc w:val="right"/>
              <w:rPr/>
            </w:pPr>
            <w:r>
              <w:rPr/>
              <w:t>(1,434</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159</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Interest expense and other income (expense)</w:t>
            </w:r>
          </w:p>
        </w:tc>
        <w:tc>
          <w:tcPr>
            <w:tcW w:w="60"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spacing w:before="0" w:after="283"/>
              <w:jc w:val="right"/>
              <w:rPr/>
            </w:pPr>
            <w:r>
              <w:rPr/>
              <w:t>568</w:t>
            </w:r>
          </w:p>
        </w:tc>
        <w:tc>
          <w:tcPr>
            <w:tcW w:w="225"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51" w:type="dxa"/>
            <w:tcBorders>
              <w:bottom w:val="single" w:sz="12" w:space="0" w:color="000000"/>
            </w:tcBorders>
            <w:shd w:fill="CCEEFF" w:val="clear"/>
            <w:tcMar>
              <w:bottom w:w="28" w:type="dxa"/>
            </w:tcMar>
            <w:vAlign w:val="center"/>
          </w:tcPr>
          <w:p>
            <w:pPr>
              <w:pStyle w:val="TableContents"/>
              <w:spacing w:before="0" w:after="283"/>
              <w:jc w:val="right"/>
              <w:rPr/>
            </w:pPr>
            <w:r>
              <w:rPr/>
              <w:t>(316</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-279</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b/>
              </w:rPr>
            </w:pPr>
            <w:r>
              <w:rPr>
                <w:b/>
              </w:rPr>
              <w:t>Net loss</w:t>
            </w:r>
          </w:p>
        </w:tc>
        <w:tc>
          <w:tcPr>
            <w:tcW w:w="60" w:type="dxa"/>
            <w:tcBorders/>
            <w:shd w:fill="CCEEFF" w:val="clear"/>
            <w:vAlign w:val="center"/>
          </w:tcPr>
          <w:p>
            <w:pPr>
              <w:pStyle w:val="TableContents"/>
              <w:spacing w:before="0" w:after="283"/>
              <w:rPr/>
            </w:pPr>
            <w:r>
              <w:rPr/>
              <w:t> </w:t>
            </w:r>
          </w:p>
        </w:tc>
        <w:tc>
          <w:tcPr>
            <w:tcW w:w="146"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51" w:type="dxa"/>
            <w:tcBorders>
              <w:bottom w:val="double" w:sz="6" w:space="0" w:color="000000"/>
            </w:tcBorders>
            <w:shd w:fill="CCEEFF" w:val="clear"/>
            <w:tcMar>
              <w:bottom w:w="28" w:type="dxa"/>
            </w:tcMar>
            <w:vAlign w:val="center"/>
          </w:tcPr>
          <w:p>
            <w:pPr>
              <w:pStyle w:val="TableContents"/>
              <w:spacing w:before="0" w:after="283"/>
              <w:jc w:val="right"/>
              <w:rPr/>
            </w:pPr>
            <w:r>
              <w:rPr/>
              <w:t>(3,141</w:t>
            </w:r>
          </w:p>
        </w:tc>
        <w:tc>
          <w:tcPr>
            <w:tcW w:w="225"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51" w:type="dxa"/>
            <w:tcBorders>
              <w:bottom w:val="double" w:sz="6" w:space="0" w:color="000000"/>
            </w:tcBorders>
            <w:shd w:fill="CCEEFF" w:val="clear"/>
            <w:tcMar>
              <w:bottom w:w="28" w:type="dxa"/>
            </w:tcMar>
            <w:vAlign w:val="center"/>
          </w:tcPr>
          <w:p>
            <w:pPr>
              <w:pStyle w:val="TableContents"/>
              <w:spacing w:before="0" w:after="283"/>
              <w:jc w:val="right"/>
              <w:rPr/>
            </w:pPr>
            <w:r>
              <w:rPr/>
              <w:t>(1,750</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80</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b/>
              </w:rPr>
            </w:pPr>
            <w:r>
              <w:rPr>
                <w:b/>
              </w:rPr>
              <w:t>Loss per share – basic and diluted</w:t>
            </w:r>
          </w:p>
        </w:tc>
        <w:tc>
          <w:tcPr>
            <w:tcW w:w="60"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51" w:type="dxa"/>
            <w:tcBorders>
              <w:bottom w:val="single" w:sz="12" w:space="0" w:color="000000"/>
            </w:tcBorders>
            <w:shd w:fill="CCEEFF" w:val="clear"/>
            <w:tcMar>
              <w:bottom w:w="28" w:type="dxa"/>
            </w:tcMar>
            <w:vAlign w:val="center"/>
          </w:tcPr>
          <w:p>
            <w:pPr>
              <w:pStyle w:val="TableContents"/>
              <w:spacing w:before="0" w:after="283"/>
              <w:jc w:val="right"/>
              <w:rPr/>
            </w:pPr>
            <w:r>
              <w:rPr/>
              <w:t>(0.03</w:t>
            </w:r>
          </w:p>
        </w:tc>
        <w:tc>
          <w:tcPr>
            <w:tcW w:w="225" w:type="dxa"/>
            <w:tcBorders/>
            <w:shd w:fill="CCEEFF" w:val="clear"/>
            <w:vAlign w:val="center"/>
          </w:tcPr>
          <w:p>
            <w:pPr>
              <w:pStyle w:val="TableContents"/>
              <w:spacing w:before="0" w:after="283"/>
              <w:jc w:val="left"/>
              <w:rPr/>
            </w:pPr>
            <w:r>
              <w:rPr/>
              <w:t>)</w:t>
            </w:r>
          </w:p>
        </w:tc>
        <w:tc>
          <w:tcPr>
            <w:tcW w:w="62" w:type="dxa"/>
            <w:tcBorders/>
            <w:shd w:fill="CCEEFF" w:val="clear"/>
            <w:vAlign w:val="center"/>
          </w:tcPr>
          <w:p>
            <w:pPr>
              <w:pStyle w:val="TableContents"/>
              <w:spacing w:before="0" w:after="283"/>
              <w:rPr/>
            </w:pPr>
            <w:r>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51" w:type="dxa"/>
            <w:tcBorders>
              <w:bottom w:val="single" w:sz="12" w:space="0" w:color="000000"/>
            </w:tcBorders>
            <w:shd w:fill="CCEEFF" w:val="clear"/>
            <w:tcMar>
              <w:bottom w:w="28" w:type="dxa"/>
            </w:tcMar>
            <w:vAlign w:val="center"/>
          </w:tcPr>
          <w:p>
            <w:pPr>
              <w:pStyle w:val="TableContents"/>
              <w:spacing w:before="0" w:after="283"/>
              <w:jc w:val="right"/>
              <w:rPr/>
            </w:pPr>
            <w:r>
              <w:rPr/>
              <w:t>(0.03</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18</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25" w:type="dxa"/>
            <w:tcBorders/>
            <w:shd w:fill="FFFFFF" w:val="clear"/>
            <w:vAlign w:val="center"/>
          </w:tcPr>
          <w:p>
            <w:pPr>
              <w:pStyle w:val="TableContents"/>
              <w:spacing w:before="0" w:after="283"/>
              <w:jc w:val="left"/>
              <w:rPr/>
            </w:pPr>
            <w:r>
              <w:rPr/>
              <w:t> </w:t>
            </w:r>
          </w:p>
        </w:tc>
        <w:tc>
          <w:tcPr>
            <w:tcW w:w="62"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jc w:val="left"/>
              <w:rPr/>
            </w:pPr>
            <w:r>
              <w:rPr/>
              <w:t> </w:t>
            </w:r>
          </w:p>
        </w:tc>
        <w:tc>
          <w:tcPr>
            <w:tcW w:w="1151"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87" w:type="dxa"/>
            <w:tcBorders/>
            <w:shd w:fill="FFFFFF" w:val="clear"/>
            <w:vAlign w:val="center"/>
          </w:tcPr>
          <w:p>
            <w:pPr>
              <w:pStyle w:val="TableContents"/>
              <w:spacing w:before="0" w:after="283"/>
              <w:jc w:val="left"/>
              <w:rPr/>
            </w:pPr>
            <w:r>
              <w:rPr/>
              <w:t> </w:t>
            </w:r>
          </w:p>
        </w:tc>
        <w:tc>
          <w:tcPr>
            <w:tcW w:w="66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rPr/>
            </w:pPr>
            <w:r>
              <w:rPr/>
              <w:t>Weighted average shares outstanding - basic &amp; diluted</w:t>
            </w:r>
          </w:p>
        </w:tc>
        <w:tc>
          <w:tcPr>
            <w:tcW w:w="60"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pPr>
            <w:r>
              <w:rPr/>
              <w:t>90,801,842</w:t>
            </w:r>
          </w:p>
        </w:tc>
        <w:tc>
          <w:tcPr>
            <w:tcW w:w="225" w:type="dxa"/>
            <w:tcBorders/>
            <w:shd w:fill="CCEEFF" w:val="clear"/>
            <w:vAlign w:val="center"/>
          </w:tcPr>
          <w:p>
            <w:pPr>
              <w:pStyle w:val="TableContents"/>
              <w:spacing w:before="0" w:after="283"/>
              <w:jc w:val="left"/>
              <w:rPr/>
            </w:pPr>
            <w:r>
              <w:rPr/>
              <w:t> </w:t>
            </w:r>
          </w:p>
        </w:tc>
        <w:tc>
          <w:tcPr>
            <w:tcW w:w="62"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jc w:val="left"/>
              <w:rPr/>
            </w:pPr>
            <w:r>
              <w:rPr/>
              <w:t> </w:t>
            </w:r>
          </w:p>
        </w:tc>
        <w:tc>
          <w:tcPr>
            <w:tcW w:w="1151" w:type="dxa"/>
            <w:tcBorders/>
            <w:shd w:fill="CCEEFF" w:val="clear"/>
            <w:vAlign w:val="center"/>
          </w:tcPr>
          <w:p>
            <w:pPr>
              <w:pStyle w:val="TableContents"/>
              <w:spacing w:before="0" w:after="283"/>
              <w:jc w:val="right"/>
              <w:rPr/>
            </w:pPr>
            <w:r>
              <w:rPr/>
              <w:t>59,514,620</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 w:type="dxa"/>
            <w:tcBorders/>
            <w:shd w:fill="CCEEFF" w:val="clear"/>
            <w:vAlign w:val="center"/>
          </w:tcPr>
          <w:p>
            <w:pPr>
              <w:pStyle w:val="TableContents"/>
              <w:spacing w:before="0" w:after="283"/>
              <w:jc w:val="left"/>
              <w:rPr/>
            </w:pPr>
            <w:r>
              <w:rPr/>
              <w:t> </w:t>
            </w:r>
          </w:p>
        </w:tc>
        <w:tc>
          <w:tcPr>
            <w:tcW w:w="668" w:type="dxa"/>
            <w:tcBorders/>
            <w:shd w:fill="CCEEFF" w:val="clear"/>
            <w:vAlign w:val="center"/>
          </w:tcPr>
          <w:p>
            <w:pPr>
              <w:pStyle w:val="TableContents"/>
              <w:spacing w:before="0" w:after="283"/>
              <w:jc w:val="right"/>
              <w:rPr/>
            </w:pPr>
            <w:r>
              <w:rPr/>
              <w:t>53</w:t>
            </w:r>
          </w:p>
        </w:tc>
        <w:tc>
          <w:tcPr>
            <w:tcW w:w="230" w:type="dxa"/>
            <w:tcBorders/>
            <w:shd w:fill="CCEEFF" w:val="clear"/>
            <w:vAlign w:val="center"/>
          </w:tcPr>
          <w:p>
            <w:pPr>
              <w:pStyle w:val="TableContents"/>
              <w:spacing w:before="0" w:after="283"/>
              <w:jc w:val="left"/>
              <w:rPr/>
            </w:pPr>
            <w:r>
              <w:rPr/>
              <w:t>%</w:t>
            </w:r>
          </w:p>
        </w:tc>
      </w:tr>
    </w:tbl>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Times;Serif" w:hAnsi="Times New Roman;Times;Serif"/>
          <w:b w:val="false"/>
          <w:i w:val="false"/>
          <w:caps w:val="false"/>
          <w:smallCaps w:val="false"/>
          <w:sz w:val="20"/>
        </w:rPr>
        <w:t>.</w:t>
      </w:r>
    </w:p>
    <w:p>
      <w:pPr>
        <w:pStyle w:val="TextBody"/>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Although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key statistics for the transition of the Company’s top line activity from the second quarter of 2020 through the second quarter of 2021.</w:t>
      </w:r>
    </w:p>
    <w:p>
      <w:pPr>
        <w:pStyle w:val="TextBody"/>
        <w:rPr/>
      </w:pPr>
      <w:r>
        <w:rPr/>
        <w:t> </w:t>
      </w:r>
    </w:p>
    <w:tbl>
      <w:tblPr>
        <w:tblW w:w="10205" w:type="dxa"/>
        <w:jc w:val="left"/>
        <w:tblInd w:w="0" w:type="dxa"/>
        <w:tblCellMar>
          <w:top w:w="0" w:type="dxa"/>
          <w:left w:w="0" w:type="dxa"/>
          <w:bottom w:w="0" w:type="dxa"/>
          <w:right w:w="0" w:type="dxa"/>
        </w:tblCellMar>
      </w:tblPr>
      <w:tblGrid>
        <w:gridCol w:w="672"/>
        <w:gridCol w:w="60"/>
        <w:gridCol w:w="505"/>
        <w:gridCol w:w="60"/>
        <w:gridCol w:w="95"/>
        <w:gridCol w:w="425"/>
        <w:gridCol w:w="125"/>
        <w:gridCol w:w="60"/>
        <w:gridCol w:w="95"/>
        <w:gridCol w:w="425"/>
        <w:gridCol w:w="125"/>
        <w:gridCol w:w="60"/>
        <w:gridCol w:w="95"/>
        <w:gridCol w:w="470"/>
        <w:gridCol w:w="125"/>
        <w:gridCol w:w="60"/>
        <w:gridCol w:w="71"/>
        <w:gridCol w:w="290"/>
        <w:gridCol w:w="125"/>
        <w:gridCol w:w="60"/>
        <w:gridCol w:w="73"/>
        <w:gridCol w:w="264"/>
        <w:gridCol w:w="125"/>
        <w:gridCol w:w="60"/>
        <w:gridCol w:w="95"/>
        <w:gridCol w:w="425"/>
        <w:gridCol w:w="125"/>
        <w:gridCol w:w="60"/>
        <w:gridCol w:w="95"/>
        <w:gridCol w:w="425"/>
        <w:gridCol w:w="125"/>
        <w:gridCol w:w="60"/>
        <w:gridCol w:w="95"/>
        <w:gridCol w:w="470"/>
        <w:gridCol w:w="125"/>
        <w:gridCol w:w="60"/>
        <w:gridCol w:w="95"/>
        <w:gridCol w:w="320"/>
        <w:gridCol w:w="65"/>
        <w:gridCol w:w="60"/>
        <w:gridCol w:w="95"/>
        <w:gridCol w:w="320"/>
        <w:gridCol w:w="65"/>
        <w:gridCol w:w="60"/>
        <w:gridCol w:w="63"/>
        <w:gridCol w:w="228"/>
        <w:gridCol w:w="125"/>
        <w:gridCol w:w="60"/>
        <w:gridCol w:w="95"/>
        <w:gridCol w:w="320"/>
        <w:gridCol w:w="65"/>
        <w:gridCol w:w="60"/>
        <w:gridCol w:w="95"/>
        <w:gridCol w:w="320"/>
        <w:gridCol w:w="65"/>
        <w:gridCol w:w="60"/>
        <w:gridCol w:w="60"/>
        <w:gridCol w:w="680"/>
        <w:gridCol w:w="144"/>
      </w:tblGrid>
      <w:tr>
        <w:trPr/>
        <w:tc>
          <w:tcPr>
            <w:tcW w:w="672"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3733" w:type="dxa"/>
            <w:gridSpan w:val="21"/>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2021</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975" w:type="dxa"/>
            <w:gridSpan w:val="10"/>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2020</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371" w:type="dxa"/>
            <w:gridSpan w:val="10"/>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Q2 Per Case</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820" w:type="dxa"/>
            <w:gridSpan w:val="10"/>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H1 Per Case</w:t>
            </w:r>
          </w:p>
        </w:tc>
        <w:tc>
          <w:tcPr>
            <w:tcW w:w="144"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672"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50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5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Q1</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5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Q2</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5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H1</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36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Q2 vs PY</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33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H1 vs PY</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5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Q1</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5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Q2</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5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H1</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4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2021</w:t>
            </w:r>
          </w:p>
        </w:tc>
        <w:tc>
          <w:tcPr>
            <w:tcW w:w="6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4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2020</w:t>
            </w:r>
          </w:p>
        </w:tc>
        <w:tc>
          <w:tcPr>
            <w:tcW w:w="6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9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vs PY</w:t>
            </w:r>
          </w:p>
        </w:tc>
        <w:tc>
          <w:tcPr>
            <w:tcW w:w="12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4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2021</w:t>
            </w:r>
          </w:p>
        </w:tc>
        <w:tc>
          <w:tcPr>
            <w:tcW w:w="6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4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2020</w:t>
            </w:r>
          </w:p>
        </w:tc>
        <w:tc>
          <w:tcPr>
            <w:tcW w:w="6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740" w:type="dxa"/>
            <w:gridSpan w:val="2"/>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vs</w:t>
            </w:r>
          </w:p>
          <w:p>
            <w:pPr>
              <w:pStyle w:val="TableContents"/>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PY</w:t>
            </w:r>
          </w:p>
        </w:tc>
        <w:tc>
          <w:tcPr>
            <w:tcW w:w="144"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67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Reed’s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395</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353</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748</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288</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335</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623</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Virgil’s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339</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347</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686</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9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6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262</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308</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570</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28" w:type="dxa"/>
            <w:tcBorders>
              <w:bottom w:val="single" w:sz="12"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144"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Total Core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734</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700</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1,434</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550</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643</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1,193</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Non Core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Candy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9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6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28" w:type="dxa"/>
            <w:tcBorders>
              <w:bottom w:val="single" w:sz="12"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caps w:val="false"/>
                <w:smallCaps w:val="false"/>
              </w:rPr>
            </w:pPr>
            <w:r>
              <w:rPr>
                <w:caps w:val="false"/>
                <w:smallCaps w:val="false"/>
              </w:rPr>
              <w:t> </w:t>
            </w:r>
          </w:p>
        </w:tc>
        <w:tc>
          <w:tcPr>
            <w:tcW w:w="14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742</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710</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1,452</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560</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651</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1,211</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Gross billing: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12,955</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12,200</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25,155</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10,175</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11,940</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22,115</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17.4</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18.6</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17.5</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18.5</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w:t>
            </w:r>
          </w:p>
        </w:tc>
        <w:tc>
          <w:tcPr>
            <w:tcW w:w="14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672"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Non Core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140</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173</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324</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102</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135</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70.0</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86.4</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w:t>
            </w:r>
          </w:p>
        </w:tc>
        <w:tc>
          <w:tcPr>
            <w:tcW w:w="14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Candy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286</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580</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9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6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274</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256</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530</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35.7</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32.0</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2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36.2</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33.1</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14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672"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13,281</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12,626</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25,907</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10,551</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12,229</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22,780</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17.8</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18.8</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17.8</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18.8</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4"/>
              </w:rPr>
              <w:t>-5</w:t>
            </w:r>
          </w:p>
        </w:tc>
        <w:tc>
          <w:tcPr>
            <w:tcW w:w="14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Discounts: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(1,135</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(1,356</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(2,491</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(1,028</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(1,376</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(2,404</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4"/>
              </w:rPr>
              <w:t>-13 4</w:t>
            </w:r>
          </w:p>
        </w:tc>
        <w:tc>
          <w:tcPr>
            <w:tcW w:w="14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COGS: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Core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(8,122</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(7,849</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(15,971</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(6,414</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(7,674</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(14,088</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(11.2</w:t>
            </w:r>
          </w:p>
        </w:tc>
        <w:tc>
          <w:tcPr>
            <w:tcW w:w="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(11.9</w:t>
            </w:r>
          </w:p>
        </w:tc>
        <w:tc>
          <w:tcPr>
            <w:tcW w:w="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(11.1</w:t>
            </w:r>
          </w:p>
        </w:tc>
        <w:tc>
          <w:tcPr>
            <w:tcW w:w="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(11.8</w:t>
            </w:r>
          </w:p>
        </w:tc>
        <w:tc>
          <w:tcPr>
            <w:tcW w:w="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w:t>
            </w:r>
          </w:p>
        </w:tc>
        <w:tc>
          <w:tcPr>
            <w:tcW w:w="14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672"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Non Core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(13</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-57</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-83</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(59</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(74</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(6.4</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(37.0</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-83</w:t>
            </w:r>
          </w:p>
        </w:tc>
        <w:tc>
          <w:tcPr>
            <w:tcW w:w="14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Candy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(165</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(143</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(308</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9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6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(180</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2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(176</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(356</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(17.8</w:t>
            </w:r>
          </w:p>
        </w:tc>
        <w:tc>
          <w:tcPr>
            <w:tcW w:w="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(22.0</w:t>
            </w:r>
          </w:p>
        </w:tc>
        <w:tc>
          <w:tcPr>
            <w:tcW w:w="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28"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(19.2</w:t>
            </w:r>
          </w:p>
        </w:tc>
        <w:tc>
          <w:tcPr>
            <w:tcW w:w="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32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(22.3</w:t>
            </w:r>
          </w:p>
        </w:tc>
        <w:tc>
          <w:tcPr>
            <w:tcW w:w="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w:t>
            </w:r>
          </w:p>
        </w:tc>
        <w:tc>
          <w:tcPr>
            <w:tcW w:w="14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672"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(8,293</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(7,998</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(16,291</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(6,653</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(7,865</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(14,518</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(11.3</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(12.1</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(11.2</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(12.0</w:t>
            </w:r>
          </w:p>
        </w:tc>
        <w:tc>
          <w:tcPr>
            <w:tcW w:w="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w:t>
            </w:r>
          </w:p>
        </w:tc>
        <w:tc>
          <w:tcPr>
            <w:tcW w:w="14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6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Gross Profit: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0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3,853</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3,260</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7,113</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21</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2,870</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2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2,988</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4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5,858</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4.6</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0</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4.9</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3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4.8</w:t>
            </w:r>
          </w:p>
        </w:tc>
        <w:tc>
          <w:tcPr>
            <w:tcW w:w="6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w:t>
            </w:r>
          </w:p>
        </w:tc>
        <w:tc>
          <w:tcPr>
            <w:tcW w:w="14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r>
      <w:tr>
        <w:trPr/>
        <w:tc>
          <w:tcPr>
            <w:tcW w:w="67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as % Net Sales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32</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7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6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28</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44"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beverage volume for the three months ended June 30, 2021, represents 99% of all beverage volume.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brand gross billing increased by 2% to $12,200 compared to the same period last year, driven by Reed’s volume growth of 5% and Virgil’s volume growth of 13%. The result is an increase in total gross billing of 3%, to $12,626 in the three months ended June 30, 2021, from $12,229 during the three months ended June 30, 2020. Price on our core brands decreased 6% to $17.43 per case due to a shift in mix to lower priced, higher margin products.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billing were 11% for the three months ended June 30, 2021 and 2020. Net sales revenue grew 4% in the three months ended June 30, 2021 to $11,270, compared to $10,853 in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$136 during the three months ended June 30, 2021 as compared to the same period last year. As a percentage of net sales, cost of goods sold for the three months ended June 30, 2021 was 71% as compared to 72% for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decreased to $11.27 per case in the three months ended June 30, 2021 from $12.08 per case for the same period last year. The cost of goods sold per case on core brands was $11.22 during the three months ended June, 2021, compared to $11.93 for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increased to 29% for the three months ended June 30, 2021, compared to 28% for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increased by $1,028 in the three months ended June 30, 2021 to $2,508 from $1,480 in the same period last year, driven by increased volumes, ecommerce fulfilment costs, and increasing freight rates due to Covid-19. Delivery costs in the three months ended June 30, 2021 were 22% of net sales and $3.53 per case, compared to 14% of net sales and $2.27 per case during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were $2,634 during the three months ended June 30, 2021, compared to $1,585 during the same period last year. As a percentage of net sales, selling and marketing costs increased to 23% during the three months ended June 30, 2021, as compared to 15% during the same period last year. The increase was driven by an increase in sales force headcount and stock compensation.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increased in the three months ended June 30, 2021 to $1,836 from $1,357, an increase of $479 over the same period last year. The increase was primarily driven by higher employee costs and stock compensation.</w:t>
      </w:r>
    </w:p>
    <w:p>
      <w:pPr>
        <w:pStyle w:val="TextBody"/>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$3,709 for the three months ended June 30, 2021, as compared to a loss of $1,434 in the same period last year driven by increased gross profit offset by increases in operating expenses discussed above.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Income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for the three months ended June 30, 2021, consisted of $202 of interest expense offset by $770 gain on forgiveness of debt. During the same period last year, interest and other expense consisted of $303 of interest expense and by the change in fair value of our warrant liability of $13.</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Modified EBITDA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Modified EBITDA for the three months ended June 30, 2021 and 2020 (unaudited; in thousands):</w:t>
      </w:r>
    </w:p>
    <w:p>
      <w:pPr>
        <w:pStyle w:val="TextBody"/>
        <w:rPr>
          <w:caps w:val="false"/>
          <w:smallCaps w:val="false"/>
        </w:rPr>
      </w:pPr>
      <w:r>
        <w:rPr>
          <w:caps w:val="false"/>
          <w:smallCaps w:val="false"/>
        </w:rPr>
        <w:t> </w:t>
      </w:r>
    </w:p>
    <w:tbl>
      <w:tblPr>
        <w:tblW w:w="7676" w:type="dxa"/>
        <w:jc w:val="left"/>
        <w:tblInd w:w="0" w:type="dxa"/>
        <w:tblCellMar>
          <w:top w:w="0" w:type="dxa"/>
          <w:left w:w="0" w:type="dxa"/>
          <w:bottom w:w="0" w:type="dxa"/>
          <w:right w:w="0" w:type="dxa"/>
        </w:tblCellMar>
      </w:tblPr>
      <w:tblGrid>
        <w:gridCol w:w="4385"/>
        <w:gridCol w:w="60"/>
        <w:gridCol w:w="256"/>
        <w:gridCol w:w="1163"/>
        <w:gridCol w:w="174"/>
        <w:gridCol w:w="109"/>
        <w:gridCol w:w="256"/>
        <w:gridCol w:w="1163"/>
        <w:gridCol w:w="110"/>
      </w:tblGrid>
      <w:tr>
        <w:trPr/>
        <w:tc>
          <w:tcPr>
            <w:tcW w:w="43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21"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Three Months Ended June 30,</w:t>
            </w:r>
          </w:p>
        </w:tc>
        <w:tc>
          <w:tcPr>
            <w:tcW w:w="110" w:type="dxa"/>
            <w:tcBorders/>
            <w:shd w:fill="auto" w:val="clear"/>
            <w:vAlign w:val="center"/>
          </w:tcPr>
          <w:p>
            <w:pPr>
              <w:pStyle w:val="TableContents"/>
              <w:spacing w:before="0" w:after="283"/>
              <w:rPr/>
            </w:pPr>
            <w:r>
              <w:rPr/>
              <w:t> </w:t>
            </w:r>
          </w:p>
        </w:tc>
      </w:tr>
      <w:tr>
        <w:trPr/>
        <w:tc>
          <w:tcPr>
            <w:tcW w:w="438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1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74"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41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rPr/>
            </w:pPr>
            <w:r>
              <w:rPr/>
              <w:t> </w:t>
            </w:r>
          </w:p>
        </w:tc>
      </w:tr>
      <w:tr>
        <w:trPr/>
        <w:tc>
          <w:tcPr>
            <w:tcW w:w="4385"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w:t>
            </w:r>
          </w:p>
        </w:tc>
        <w:tc>
          <w:tcPr>
            <w:tcW w:w="1163" w:type="dxa"/>
            <w:tcBorders/>
            <w:shd w:fill="CCEEFF" w:val="clear"/>
            <w:vAlign w:val="center"/>
          </w:tcPr>
          <w:p>
            <w:pPr>
              <w:pStyle w:val="TableContents"/>
              <w:spacing w:before="0" w:after="283"/>
              <w:jc w:val="right"/>
              <w:rPr/>
            </w:pPr>
            <w:r>
              <w:rPr/>
              <w:t>(3,141</w:t>
            </w:r>
          </w:p>
        </w:tc>
        <w:tc>
          <w:tcPr>
            <w:tcW w:w="174" w:type="dxa"/>
            <w:tcBorders/>
            <w:shd w:fill="CCEEFF" w:val="clear"/>
            <w:vAlign w:val="center"/>
          </w:tcPr>
          <w:p>
            <w:pPr>
              <w:pStyle w:val="TableContents"/>
              <w:spacing w:before="0" w:after="283"/>
              <w:jc w:val="left"/>
              <w:rPr/>
            </w:pPr>
            <w:r>
              <w:rPr/>
              <w:t>)</w:t>
            </w:r>
          </w:p>
        </w:tc>
        <w:tc>
          <w:tcPr>
            <w:tcW w:w="109"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w:t>
            </w:r>
          </w:p>
        </w:tc>
        <w:tc>
          <w:tcPr>
            <w:tcW w:w="1163" w:type="dxa"/>
            <w:tcBorders/>
            <w:shd w:fill="CCEEFF" w:val="clear"/>
            <w:vAlign w:val="center"/>
          </w:tcPr>
          <w:p>
            <w:pPr>
              <w:pStyle w:val="TableContents"/>
              <w:spacing w:before="0" w:after="283"/>
              <w:jc w:val="right"/>
              <w:rPr/>
            </w:pPr>
            <w:r>
              <w:rPr/>
              <w:t>(1,750</w:t>
            </w:r>
          </w:p>
        </w:tc>
        <w:tc>
          <w:tcPr>
            <w:tcW w:w="110" w:type="dxa"/>
            <w:tcBorders/>
            <w:shd w:fill="CCEEFF" w:val="clear"/>
            <w:vAlign w:val="center"/>
          </w:tcPr>
          <w:p>
            <w:pPr>
              <w:pStyle w:val="TableContents"/>
              <w:spacing w:before="0" w:after="283"/>
              <w:jc w:val="left"/>
              <w:rPr/>
            </w:pPr>
            <w:r>
              <w:rPr/>
              <w:t>)</w:t>
            </w:r>
          </w:p>
        </w:tc>
      </w:tr>
      <w:tr>
        <w:trPr/>
        <w:tc>
          <w:tcPr>
            <w:tcW w:w="43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174" w:type="dxa"/>
            <w:tcBorders/>
            <w:shd w:fill="FFFFFF" w:val="clear"/>
            <w:vAlign w:val="center"/>
          </w:tcPr>
          <w:p>
            <w:pPr>
              <w:pStyle w:val="TableContents"/>
              <w:spacing w:before="0" w:after="283"/>
              <w:jc w:val="left"/>
              <w:rPr/>
            </w:pPr>
            <w:r>
              <w:rPr/>
              <w:t> </w:t>
            </w:r>
          </w:p>
        </w:tc>
        <w:tc>
          <w:tcPr>
            <w:tcW w:w="109"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385" w:type="dxa"/>
            <w:tcBorders/>
            <w:shd w:fill="CCEEFF" w:val="clear"/>
            <w:vAlign w:val="center"/>
          </w:tcPr>
          <w:p>
            <w:pPr>
              <w:pStyle w:val="TableContents"/>
              <w:spacing w:before="0" w:after="283"/>
              <w:jc w:val="left"/>
              <w:rPr/>
            </w:pPr>
            <w:r>
              <w:rPr/>
              <w:t>Modified EBITDA adjustments:</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174"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385" w:type="dxa"/>
            <w:tcBorders/>
            <w:shd w:fill="FFFFFF" w:val="clear"/>
            <w:vAlign w:val="center"/>
          </w:tcPr>
          <w:p>
            <w:pPr>
              <w:pStyle w:val="TableContents"/>
              <w:spacing w:before="0" w:after="283"/>
              <w:jc w:val="left"/>
              <w:rPr/>
            </w:pPr>
            <w:r>
              <w:rPr/>
              <w:t>Depreciation and amortization</w:t>
            </w:r>
          </w:p>
        </w:tc>
        <w:tc>
          <w:tcPr>
            <w:tcW w:w="60"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61</w:t>
            </w:r>
          </w:p>
        </w:tc>
        <w:tc>
          <w:tcPr>
            <w:tcW w:w="174" w:type="dxa"/>
            <w:tcBorders/>
            <w:shd w:fill="FFFFFF" w:val="clear"/>
            <w:vAlign w:val="center"/>
          </w:tcPr>
          <w:p>
            <w:pPr>
              <w:pStyle w:val="TableContents"/>
              <w:spacing w:before="0" w:after="283"/>
              <w:jc w:val="left"/>
              <w:rPr/>
            </w:pPr>
            <w:r>
              <w:rPr/>
              <w:t> </w:t>
            </w:r>
          </w:p>
        </w:tc>
        <w:tc>
          <w:tcPr>
            <w:tcW w:w="109"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37</w:t>
            </w:r>
          </w:p>
        </w:tc>
        <w:tc>
          <w:tcPr>
            <w:tcW w:w="110" w:type="dxa"/>
            <w:tcBorders/>
            <w:shd w:fill="FFFFFF" w:val="clear"/>
            <w:vAlign w:val="center"/>
          </w:tcPr>
          <w:p>
            <w:pPr>
              <w:pStyle w:val="TableContents"/>
              <w:spacing w:before="0" w:after="283"/>
              <w:jc w:val="left"/>
              <w:rPr/>
            </w:pPr>
            <w:r>
              <w:rPr/>
              <w:t> </w:t>
            </w:r>
          </w:p>
        </w:tc>
      </w:tr>
      <w:tr>
        <w:trPr/>
        <w:tc>
          <w:tcPr>
            <w:tcW w:w="4385" w:type="dxa"/>
            <w:tcBorders/>
            <w:shd w:fill="CCEEFF" w:val="clear"/>
            <w:vAlign w:val="center"/>
          </w:tcPr>
          <w:p>
            <w:pPr>
              <w:pStyle w:val="TableContents"/>
              <w:spacing w:before="0" w:after="283"/>
              <w:jc w:val="left"/>
              <w:rPr/>
            </w:pPr>
            <w:r>
              <w:rPr/>
              <w:t>Interest expense</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202</w:t>
            </w:r>
          </w:p>
        </w:tc>
        <w:tc>
          <w:tcPr>
            <w:tcW w:w="174"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303</w:t>
            </w:r>
          </w:p>
        </w:tc>
        <w:tc>
          <w:tcPr>
            <w:tcW w:w="110" w:type="dxa"/>
            <w:tcBorders/>
            <w:shd w:fill="CCEEFF" w:val="clear"/>
            <w:vAlign w:val="center"/>
          </w:tcPr>
          <w:p>
            <w:pPr>
              <w:pStyle w:val="TableContents"/>
              <w:spacing w:before="0" w:after="283"/>
              <w:jc w:val="left"/>
              <w:rPr/>
            </w:pPr>
            <w:r>
              <w:rPr/>
              <w:t> </w:t>
            </w:r>
          </w:p>
        </w:tc>
      </w:tr>
      <w:tr>
        <w:trPr/>
        <w:tc>
          <w:tcPr>
            <w:tcW w:w="4385" w:type="dxa"/>
            <w:tcBorders/>
            <w:shd w:fill="FFFFFF" w:val="clear"/>
            <w:vAlign w:val="center"/>
          </w:tcPr>
          <w:p>
            <w:pPr>
              <w:pStyle w:val="TableContents"/>
              <w:spacing w:before="0" w:after="283"/>
              <w:jc w:val="left"/>
              <w:rPr/>
            </w:pPr>
            <w:r>
              <w:rPr/>
              <w:t>Stock option and other noncash compensation</w:t>
            </w:r>
          </w:p>
        </w:tc>
        <w:tc>
          <w:tcPr>
            <w:tcW w:w="60"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599</w:t>
            </w:r>
          </w:p>
        </w:tc>
        <w:tc>
          <w:tcPr>
            <w:tcW w:w="174" w:type="dxa"/>
            <w:tcBorders/>
            <w:shd w:fill="FFFFFF" w:val="clear"/>
            <w:vAlign w:val="center"/>
          </w:tcPr>
          <w:p>
            <w:pPr>
              <w:pStyle w:val="TableContents"/>
              <w:spacing w:before="0" w:after="283"/>
              <w:jc w:val="left"/>
              <w:rPr/>
            </w:pPr>
            <w:r>
              <w:rPr/>
              <w:t> </w:t>
            </w:r>
          </w:p>
        </w:tc>
        <w:tc>
          <w:tcPr>
            <w:tcW w:w="109"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(36</w:t>
            </w:r>
          </w:p>
        </w:tc>
        <w:tc>
          <w:tcPr>
            <w:tcW w:w="110" w:type="dxa"/>
            <w:tcBorders/>
            <w:shd w:fill="FFFFFF" w:val="clear"/>
            <w:vAlign w:val="center"/>
          </w:tcPr>
          <w:p>
            <w:pPr>
              <w:pStyle w:val="TableContents"/>
              <w:spacing w:before="0" w:after="283"/>
              <w:jc w:val="left"/>
              <w:rPr/>
            </w:pPr>
            <w:r>
              <w:rPr/>
              <w:t>)</w:t>
            </w:r>
          </w:p>
        </w:tc>
      </w:tr>
      <w:tr>
        <w:trPr/>
        <w:tc>
          <w:tcPr>
            <w:tcW w:w="4385" w:type="dxa"/>
            <w:tcBorders/>
            <w:shd w:fill="CCEEFF" w:val="clear"/>
            <w:vAlign w:val="center"/>
          </w:tcPr>
          <w:p>
            <w:pPr>
              <w:pStyle w:val="TableContents"/>
              <w:spacing w:before="0" w:after="283"/>
              <w:jc w:val="left"/>
              <w:rPr/>
            </w:pPr>
            <w:r>
              <w:rPr/>
              <w:t>Change in fair value of warrant liability</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w:t>
            </w:r>
          </w:p>
        </w:tc>
        <w:tc>
          <w:tcPr>
            <w:tcW w:w="174"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13</w:t>
            </w:r>
          </w:p>
        </w:tc>
        <w:tc>
          <w:tcPr>
            <w:tcW w:w="110" w:type="dxa"/>
            <w:tcBorders/>
            <w:shd w:fill="CCEEFF" w:val="clear"/>
            <w:vAlign w:val="center"/>
          </w:tcPr>
          <w:p>
            <w:pPr>
              <w:pStyle w:val="TableContents"/>
              <w:spacing w:before="0" w:after="283"/>
              <w:jc w:val="left"/>
              <w:rPr/>
            </w:pPr>
            <w:r>
              <w:rPr/>
              <w:t> </w:t>
            </w:r>
          </w:p>
        </w:tc>
      </w:tr>
      <w:tr>
        <w:trPr/>
        <w:tc>
          <w:tcPr>
            <w:tcW w:w="4385" w:type="dxa"/>
            <w:tcBorders/>
            <w:shd w:fill="FFFFFF" w:val="clear"/>
            <w:vAlign w:val="center"/>
          </w:tcPr>
          <w:p>
            <w:pPr>
              <w:pStyle w:val="TableContents"/>
              <w:spacing w:before="0" w:after="283"/>
              <w:jc w:val="left"/>
              <w:rPr/>
            </w:pPr>
            <w:r>
              <w:rPr/>
              <w:t>Gain on forgiveness of PPP note payable</w:t>
            </w:r>
          </w:p>
        </w:tc>
        <w:tc>
          <w:tcPr>
            <w:tcW w:w="60"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(770</w:t>
            </w:r>
          </w:p>
        </w:tc>
        <w:tc>
          <w:tcPr>
            <w:tcW w:w="174" w:type="dxa"/>
            <w:tcBorders/>
            <w:shd w:fill="FFFFFF" w:val="clear"/>
            <w:vAlign w:val="center"/>
          </w:tcPr>
          <w:p>
            <w:pPr>
              <w:pStyle w:val="TableContents"/>
              <w:spacing w:before="0" w:after="283"/>
              <w:jc w:val="left"/>
              <w:rPr/>
            </w:pPr>
            <w:r>
              <w:rPr/>
              <w:t>)</w:t>
            </w:r>
          </w:p>
        </w:tc>
        <w:tc>
          <w:tcPr>
            <w:tcW w:w="109" w:type="dxa"/>
            <w:tcBorders/>
            <w:shd w:fill="FFFFFF" w:val="clear"/>
            <w:vAlign w:val="center"/>
          </w:tcPr>
          <w:p>
            <w:pPr>
              <w:pStyle w:val="TableContents"/>
              <w:spacing w:before="0" w:after="283"/>
              <w:rPr/>
            </w:pPr>
            <w:r>
              <w:rPr/>
              <w:t> </w:t>
            </w:r>
          </w:p>
        </w:tc>
        <w:tc>
          <w:tcPr>
            <w:tcW w:w="256" w:type="dxa"/>
            <w:tcBorders/>
            <w:shd w:fill="FFFFFF" w:val="clear"/>
            <w:vAlign w:val="center"/>
          </w:tcPr>
          <w:p>
            <w:pPr>
              <w:pStyle w:val="TableContents"/>
              <w:spacing w:before="0" w:after="283"/>
              <w:jc w:val="left"/>
              <w:rPr/>
            </w:pPr>
            <w:r>
              <w:rPr/>
              <w:t> </w:t>
            </w:r>
          </w:p>
        </w:tc>
        <w:tc>
          <w:tcPr>
            <w:tcW w:w="1163"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385" w:type="dxa"/>
            <w:tcBorders/>
            <w:shd w:fill="CCEEFF" w:val="clear"/>
            <w:vAlign w:val="center"/>
          </w:tcPr>
          <w:p>
            <w:pPr>
              <w:pStyle w:val="TableContents"/>
              <w:spacing w:before="0" w:after="283"/>
              <w:jc w:val="left"/>
              <w:rPr/>
            </w:pPr>
            <w:r>
              <w:rPr/>
              <w:t>Legal settlements</w:t>
            </w:r>
          </w:p>
        </w:tc>
        <w:tc>
          <w:tcPr>
            <w:tcW w:w="60" w:type="dxa"/>
            <w:tcBorders/>
            <w:shd w:fill="CCEEFF" w:val="clear"/>
            <w:vAlign w:val="center"/>
          </w:tcPr>
          <w:p>
            <w:pPr>
              <w:pStyle w:val="TableContents"/>
              <w:spacing w:before="0" w:after="283"/>
              <w:rPr/>
            </w:pPr>
            <w:r>
              <w:rPr/>
              <w:t> </w:t>
            </w:r>
          </w:p>
        </w:tc>
        <w:tc>
          <w:tcPr>
            <w:tcW w:w="25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spacing w:before="0" w:after="283"/>
              <w:jc w:val="right"/>
              <w:rPr/>
            </w:pPr>
            <w:r>
              <w:rPr/>
              <w:t>(8</w:t>
            </w:r>
          </w:p>
        </w:tc>
        <w:tc>
          <w:tcPr>
            <w:tcW w:w="174" w:type="dxa"/>
            <w:tcBorders/>
            <w:shd w:fill="CCEEFF" w:val="clear"/>
            <w:vAlign w:val="center"/>
          </w:tcPr>
          <w:p>
            <w:pPr>
              <w:pStyle w:val="TableContents"/>
              <w:spacing w:before="0" w:after="283"/>
              <w:jc w:val="left"/>
              <w:rPr/>
            </w:pPr>
            <w:r>
              <w:rPr/>
              <w:t>)</w:t>
            </w:r>
          </w:p>
        </w:tc>
        <w:tc>
          <w:tcPr>
            <w:tcW w:w="109" w:type="dxa"/>
            <w:tcBorders/>
            <w:shd w:fill="CCEEFF" w:val="clear"/>
            <w:vAlign w:val="center"/>
          </w:tcPr>
          <w:p>
            <w:pPr>
              <w:pStyle w:val="TableContents"/>
              <w:spacing w:before="0" w:after="283"/>
              <w:rPr/>
            </w:pPr>
            <w:r>
              <w:rPr/>
              <w:t> </w:t>
            </w:r>
          </w:p>
        </w:tc>
        <w:tc>
          <w:tcPr>
            <w:tcW w:w="25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385" w:type="dxa"/>
            <w:tcBorders/>
            <w:shd w:fill="FFFFFF" w:val="clear"/>
            <w:vAlign w:val="center"/>
          </w:tcPr>
          <w:p>
            <w:pPr>
              <w:pStyle w:val="TableContents"/>
              <w:spacing w:before="0" w:after="283"/>
              <w:jc w:val="left"/>
              <w:rPr/>
            </w:pPr>
            <w:r>
              <w:rPr/>
              <w:t>Total EBITDA adjustments</w:t>
            </w:r>
          </w:p>
        </w:tc>
        <w:tc>
          <w:tcPr>
            <w:tcW w:w="60" w:type="dxa"/>
            <w:tcBorders/>
            <w:shd w:fill="FFFFFF" w:val="clear"/>
            <w:vAlign w:val="center"/>
          </w:tcPr>
          <w:p>
            <w:pPr>
              <w:pStyle w:val="TableContents"/>
              <w:spacing w:before="0" w:after="283"/>
              <w:rPr/>
            </w:pPr>
            <w:r>
              <w:rPr/>
              <w:t> </w:t>
            </w:r>
          </w:p>
        </w:tc>
        <w:tc>
          <w:tcPr>
            <w:tcW w:w="256"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163" w:type="dxa"/>
            <w:tcBorders>
              <w:bottom w:val="single" w:sz="12" w:space="0" w:color="000000"/>
            </w:tcBorders>
            <w:shd w:fill="FFFFFF" w:val="clear"/>
            <w:tcMar>
              <w:bottom w:w="28" w:type="dxa"/>
            </w:tcMar>
            <w:vAlign w:val="center"/>
          </w:tcPr>
          <w:p>
            <w:pPr>
              <w:pStyle w:val="TableContents"/>
              <w:spacing w:before="0" w:after="283"/>
              <w:jc w:val="right"/>
              <w:rPr/>
            </w:pPr>
            <w:r>
              <w:rPr/>
              <w:t>84</w:t>
            </w:r>
          </w:p>
        </w:tc>
        <w:tc>
          <w:tcPr>
            <w:tcW w:w="174" w:type="dxa"/>
            <w:tcBorders/>
            <w:shd w:fill="FFFFFF" w:val="clear"/>
            <w:vAlign w:val="center"/>
          </w:tcPr>
          <w:p>
            <w:pPr>
              <w:pStyle w:val="TableContents"/>
              <w:spacing w:before="0" w:after="283"/>
              <w:jc w:val="left"/>
              <w:rPr/>
            </w:pPr>
            <w:r>
              <w:rPr/>
              <w:t> </w:t>
            </w:r>
          </w:p>
        </w:tc>
        <w:tc>
          <w:tcPr>
            <w:tcW w:w="109" w:type="dxa"/>
            <w:tcBorders/>
            <w:shd w:fill="FFFFFF" w:val="clear"/>
            <w:vAlign w:val="center"/>
          </w:tcPr>
          <w:p>
            <w:pPr>
              <w:pStyle w:val="TableContents"/>
              <w:spacing w:before="0" w:after="283"/>
              <w:rPr/>
            </w:pPr>
            <w:r>
              <w:rPr/>
              <w:t> </w:t>
            </w:r>
          </w:p>
        </w:tc>
        <w:tc>
          <w:tcPr>
            <w:tcW w:w="256"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163" w:type="dxa"/>
            <w:tcBorders>
              <w:bottom w:val="single" w:sz="12" w:space="0" w:color="000000"/>
            </w:tcBorders>
            <w:shd w:fill="FFFFFF" w:val="clear"/>
            <w:tcMar>
              <w:bottom w:w="28" w:type="dxa"/>
            </w:tcMar>
            <w:vAlign w:val="center"/>
          </w:tcPr>
          <w:p>
            <w:pPr>
              <w:pStyle w:val="TableContents"/>
              <w:spacing w:before="0" w:after="283"/>
              <w:jc w:val="right"/>
              <w:rPr/>
            </w:pPr>
            <w:r>
              <w:rPr/>
              <w:t>317</w:t>
            </w:r>
          </w:p>
        </w:tc>
        <w:tc>
          <w:tcPr>
            <w:tcW w:w="110" w:type="dxa"/>
            <w:tcBorders/>
            <w:shd w:fill="FFFFFF" w:val="clear"/>
            <w:vAlign w:val="center"/>
          </w:tcPr>
          <w:p>
            <w:pPr>
              <w:pStyle w:val="TableContents"/>
              <w:spacing w:before="0" w:after="283"/>
              <w:jc w:val="left"/>
              <w:rPr/>
            </w:pPr>
            <w:r>
              <w:rPr/>
              <w:t> </w:t>
            </w:r>
          </w:p>
        </w:tc>
      </w:tr>
      <w:tr>
        <w:trPr/>
        <w:tc>
          <w:tcPr>
            <w:tcW w:w="43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174" w:type="dxa"/>
            <w:tcBorders/>
            <w:shd w:fill="CCEEFF" w:val="clear"/>
            <w:vAlign w:val="center"/>
          </w:tcPr>
          <w:p>
            <w:pPr>
              <w:pStyle w:val="TableContents"/>
              <w:spacing w:before="0" w:after="283"/>
              <w:jc w:val="left"/>
              <w:rPr/>
            </w:pPr>
            <w:r>
              <w:rPr/>
              <w:t> </w:t>
            </w:r>
          </w:p>
        </w:tc>
        <w:tc>
          <w:tcPr>
            <w:tcW w:w="109" w:type="dxa"/>
            <w:tcBorders/>
            <w:shd w:fill="CCEEFF" w:val="clear"/>
            <w:vAlign w:val="center"/>
          </w:tcPr>
          <w:p>
            <w:pPr>
              <w:pStyle w:val="TableContents"/>
              <w:spacing w:before="0" w:after="283"/>
              <w:rPr/>
            </w:pPr>
            <w:r>
              <w:rPr/>
              <w:t> </w:t>
            </w:r>
          </w:p>
        </w:tc>
        <w:tc>
          <w:tcPr>
            <w:tcW w:w="256" w:type="dxa"/>
            <w:tcBorders/>
            <w:shd w:fill="CCEEFF" w:val="clear"/>
            <w:vAlign w:val="center"/>
          </w:tcPr>
          <w:p>
            <w:pPr>
              <w:pStyle w:val="TableContents"/>
              <w:spacing w:before="0" w:after="283"/>
              <w:jc w:val="left"/>
              <w:rPr/>
            </w:pPr>
            <w:r>
              <w:rPr/>
              <w:t> </w:t>
            </w:r>
          </w:p>
        </w:tc>
        <w:tc>
          <w:tcPr>
            <w:tcW w:w="1163"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385" w:type="dxa"/>
            <w:tcBorders/>
            <w:shd w:fill="FFFFFF" w:val="clear"/>
            <w:vAlign w:val="center"/>
          </w:tcPr>
          <w:p>
            <w:pPr>
              <w:pStyle w:val="TableContents"/>
              <w:spacing w:before="0" w:after="283"/>
              <w:jc w:val="left"/>
              <w:rPr/>
            </w:pPr>
            <w:r>
              <w:rPr/>
              <w:t>Modified EBITDA</w:t>
            </w:r>
          </w:p>
        </w:tc>
        <w:tc>
          <w:tcPr>
            <w:tcW w:w="60" w:type="dxa"/>
            <w:tcBorders/>
            <w:shd w:fill="FFFFFF" w:val="clear"/>
            <w:vAlign w:val="center"/>
          </w:tcPr>
          <w:p>
            <w:pPr>
              <w:pStyle w:val="TableContents"/>
              <w:spacing w:before="0" w:after="283"/>
              <w:rPr/>
            </w:pPr>
            <w:r>
              <w:rPr/>
              <w:t> </w:t>
            </w:r>
          </w:p>
        </w:tc>
        <w:tc>
          <w:tcPr>
            <w:tcW w:w="256"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63" w:type="dxa"/>
            <w:tcBorders>
              <w:bottom w:val="double" w:sz="6" w:space="0" w:color="000000"/>
            </w:tcBorders>
            <w:shd w:fill="FFFFFF" w:val="clear"/>
            <w:tcMar>
              <w:bottom w:w="28" w:type="dxa"/>
            </w:tcMar>
            <w:vAlign w:val="center"/>
          </w:tcPr>
          <w:p>
            <w:pPr>
              <w:pStyle w:val="TableContents"/>
              <w:spacing w:before="0" w:after="283"/>
              <w:jc w:val="right"/>
              <w:rPr/>
            </w:pPr>
            <w:r>
              <w:rPr/>
              <w:t>(3,057</w:t>
            </w:r>
          </w:p>
        </w:tc>
        <w:tc>
          <w:tcPr>
            <w:tcW w:w="174" w:type="dxa"/>
            <w:tcBorders/>
            <w:shd w:fill="FFFFFF" w:val="clear"/>
            <w:vAlign w:val="center"/>
          </w:tcPr>
          <w:p>
            <w:pPr>
              <w:pStyle w:val="TableContents"/>
              <w:spacing w:before="0" w:after="283"/>
              <w:jc w:val="left"/>
              <w:rPr/>
            </w:pPr>
            <w:r>
              <w:rPr/>
              <w:t>)</w:t>
            </w:r>
          </w:p>
        </w:tc>
        <w:tc>
          <w:tcPr>
            <w:tcW w:w="109" w:type="dxa"/>
            <w:tcBorders/>
            <w:shd w:fill="FFFFFF" w:val="clear"/>
            <w:vAlign w:val="center"/>
          </w:tcPr>
          <w:p>
            <w:pPr>
              <w:pStyle w:val="TableContents"/>
              <w:spacing w:before="0" w:after="283"/>
              <w:rPr/>
            </w:pPr>
            <w:r>
              <w:rPr/>
              <w:t> </w:t>
            </w:r>
          </w:p>
        </w:tc>
        <w:tc>
          <w:tcPr>
            <w:tcW w:w="256"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63" w:type="dxa"/>
            <w:tcBorders>
              <w:bottom w:val="double" w:sz="6" w:space="0" w:color="000000"/>
            </w:tcBorders>
            <w:shd w:fill="FFFFFF" w:val="clear"/>
            <w:tcMar>
              <w:bottom w:w="28" w:type="dxa"/>
            </w:tcMar>
            <w:vAlign w:val="center"/>
          </w:tcPr>
          <w:p>
            <w:pPr>
              <w:pStyle w:val="TableContents"/>
              <w:spacing w:before="0" w:after="283"/>
              <w:jc w:val="right"/>
              <w:rPr/>
            </w:pPr>
            <w:r>
              <w:rPr/>
              <w:t>(1,433</w:t>
            </w:r>
          </w:p>
        </w:tc>
        <w:tc>
          <w:tcPr>
            <w:tcW w:w="110" w:type="dxa"/>
            <w:tcBorders/>
            <w:shd w:fill="FFFFFF" w:val="clear"/>
            <w:vAlign w:val="center"/>
          </w:tcPr>
          <w:p>
            <w:pPr>
              <w:pStyle w:val="TableContents"/>
              <w:spacing w:before="0" w:after="283"/>
              <w:jc w:val="left"/>
              <w:rPr/>
            </w:pPr>
            <w:r>
              <w:rPr/>
              <w:t>)</w:t>
            </w:r>
          </w:p>
        </w:tc>
      </w:tr>
    </w:tbl>
    <w:p>
      <w:pPr>
        <w:pStyle w:val="TextBody"/>
        <w:jc w:val="center"/>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9"/>
        <w:gridCol w:w="9931"/>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our cash expenditures, or future requirements, for capital expenditures or contractual commitments;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 </w:t>
            </w:r>
          </w:p>
        </w:tc>
        <w:tc>
          <w:tcPr>
            <w:tcW w:w="993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changes in, or cash requirements for, our working capital needs;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 </w:t>
            </w:r>
          </w:p>
        </w:tc>
        <w:tc>
          <w:tcPr>
            <w:tcW w:w="993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future interest expense, or the cash requirements necessary to service interest or principal payments, on our debts;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 </w:t>
            </w:r>
          </w:p>
        </w:tc>
        <w:tc>
          <w:tcPr>
            <w:tcW w:w="993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 xml:space="preserve">● </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Six months ended June 30, 2020</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key statistics for the six months ended June 30, 2021 and 2020, respectively, in thousands.</w:t>
      </w:r>
    </w:p>
    <w:p>
      <w:pPr>
        <w:pStyle w:val="TextBody"/>
        <w:jc w:val="both"/>
        <w:rPr>
          <w:caps w:val="false"/>
          <w:smallCaps w:val="false"/>
        </w:rPr>
      </w:pPr>
      <w:r>
        <w:rPr>
          <w:caps w:val="false"/>
          <w:smallCaps w:val="false"/>
        </w:rPr>
        <w:t> </w:t>
      </w:r>
    </w:p>
    <w:tbl>
      <w:tblPr>
        <w:tblW w:w="9366" w:type="dxa"/>
        <w:jc w:val="left"/>
        <w:tblInd w:w="0" w:type="dxa"/>
        <w:tblCellMar>
          <w:top w:w="0" w:type="dxa"/>
          <w:left w:w="0" w:type="dxa"/>
          <w:bottom w:w="0" w:type="dxa"/>
          <w:right w:w="0" w:type="dxa"/>
        </w:tblCellMar>
      </w:tblPr>
      <w:tblGrid>
        <w:gridCol w:w="5165"/>
        <w:gridCol w:w="60"/>
        <w:gridCol w:w="143"/>
        <w:gridCol w:w="1127"/>
        <w:gridCol w:w="220"/>
        <w:gridCol w:w="61"/>
        <w:gridCol w:w="143"/>
        <w:gridCol w:w="1127"/>
        <w:gridCol w:w="215"/>
        <w:gridCol w:w="60"/>
        <w:gridCol w:w="94"/>
        <w:gridCol w:w="721"/>
        <w:gridCol w:w="230"/>
      </w:tblGrid>
      <w:tr>
        <w:trPr/>
        <w:tc>
          <w:tcPr>
            <w:tcW w:w="516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821"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Six Months Ended June 30,</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shd w:fill="auto" w:val="clear"/>
            <w:vAlign w:val="center"/>
          </w:tcPr>
          <w:p>
            <w:pPr>
              <w:pStyle w:val="TableContents"/>
              <w:spacing w:before="0" w:after="283"/>
              <w:jc w:val="center"/>
              <w:rPr>
                <w:b/>
              </w:rPr>
            </w:pPr>
            <w:r>
              <w:rPr>
                <w:b/>
              </w:rPr>
              <w:t>Pct.</w:t>
            </w:r>
          </w:p>
        </w:tc>
        <w:tc>
          <w:tcPr>
            <w:tcW w:w="230" w:type="dxa"/>
            <w:tcBorders/>
            <w:shd w:fill="auto" w:val="clear"/>
            <w:vAlign w:val="center"/>
          </w:tcPr>
          <w:p>
            <w:pPr>
              <w:pStyle w:val="TableContents"/>
              <w:spacing w:before="0" w:after="283"/>
              <w:rPr/>
            </w:pPr>
            <w:r>
              <w:rPr/>
              <w:t> </w:t>
            </w:r>
          </w:p>
        </w:tc>
      </w:tr>
      <w:tr>
        <w:trPr/>
        <w:tc>
          <w:tcPr>
            <w:tcW w:w="516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7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2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27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Change</w:t>
            </w:r>
          </w:p>
        </w:tc>
        <w:tc>
          <w:tcPr>
            <w:tcW w:w="230" w:type="dxa"/>
            <w:tcBorders/>
            <w:shd w:fill="auto" w:val="clear"/>
            <w:vAlign w:val="center"/>
          </w:tcPr>
          <w:p>
            <w:pPr>
              <w:pStyle w:val="TableContents"/>
              <w:spacing w:before="0" w:after="283"/>
              <w:rPr/>
            </w:pPr>
            <w:r>
              <w:rPr/>
              <w:t> </w:t>
            </w:r>
          </w:p>
        </w:tc>
      </w:tr>
      <w:tr>
        <w:trPr/>
        <w:tc>
          <w:tcPr>
            <w:tcW w:w="5165" w:type="dxa"/>
            <w:tcBorders/>
            <w:shd w:fill="CCEEFF" w:val="clear"/>
            <w:vAlign w:val="center"/>
          </w:tcPr>
          <w:p>
            <w:pPr>
              <w:pStyle w:val="TableContents"/>
              <w:spacing w:before="0" w:after="283"/>
              <w:jc w:val="left"/>
              <w:rPr/>
            </w:pPr>
            <w:r>
              <w:rPr/>
              <w:t>Gross billing (A)</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w:t>
            </w:r>
          </w:p>
        </w:tc>
        <w:tc>
          <w:tcPr>
            <w:tcW w:w="1127" w:type="dxa"/>
            <w:tcBorders/>
            <w:shd w:fill="CCEEFF" w:val="clear"/>
            <w:vAlign w:val="center"/>
          </w:tcPr>
          <w:p>
            <w:pPr>
              <w:pStyle w:val="TableContents"/>
              <w:spacing w:before="0" w:after="283"/>
              <w:jc w:val="right"/>
              <w:rPr/>
            </w:pPr>
            <w:r>
              <w:rPr/>
              <w:t>25,907</w:t>
            </w:r>
          </w:p>
        </w:tc>
        <w:tc>
          <w:tcPr>
            <w:tcW w:w="220"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w:t>
            </w:r>
          </w:p>
        </w:tc>
        <w:tc>
          <w:tcPr>
            <w:tcW w:w="1127" w:type="dxa"/>
            <w:tcBorders/>
            <w:shd w:fill="CCEEFF" w:val="clear"/>
            <w:vAlign w:val="center"/>
          </w:tcPr>
          <w:p>
            <w:pPr>
              <w:pStyle w:val="TableContents"/>
              <w:spacing w:before="0" w:after="283"/>
              <w:jc w:val="right"/>
              <w:rPr/>
            </w:pPr>
            <w:r>
              <w:rPr/>
              <w:t>22,781</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14</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jc w:val="left"/>
              <w:rPr/>
            </w:pPr>
            <w:r>
              <w:rPr/>
              <w:t>Less: Promotional and other allowances (B)</w:t>
            </w:r>
          </w:p>
        </w:tc>
        <w:tc>
          <w:tcPr>
            <w:tcW w:w="60" w:type="dxa"/>
            <w:tcBorders/>
            <w:shd w:fill="FFFFFF" w:val="clear"/>
            <w:vAlign w:val="center"/>
          </w:tcPr>
          <w:p>
            <w:pPr>
              <w:pStyle w:val="TableContents"/>
              <w:spacing w:before="0" w:after="283"/>
              <w:rPr/>
            </w:pPr>
            <w:r>
              <w:rPr/>
              <w:t> </w:t>
            </w:r>
          </w:p>
        </w:tc>
        <w:tc>
          <w:tcPr>
            <w:tcW w:w="14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spacing w:before="0" w:after="283"/>
              <w:jc w:val="right"/>
              <w:rPr/>
            </w:pPr>
            <w:r>
              <w:rPr/>
              <w:t>2,491</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spacing w:before="0" w:after="283"/>
              <w:jc w:val="right"/>
              <w:rPr/>
            </w:pPr>
            <w:r>
              <w:rPr/>
              <w:t>2,405</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4</w:t>
            </w:r>
          </w:p>
        </w:tc>
        <w:tc>
          <w:tcPr>
            <w:tcW w:w="230" w:type="dxa"/>
            <w:tcBorders/>
            <w:shd w:fill="FFFFFF" w:val="clear"/>
            <w:vAlign w:val="center"/>
          </w:tcPr>
          <w:p>
            <w:pPr>
              <w:pStyle w:val="TableContents"/>
              <w:spacing w:before="0" w:after="283"/>
              <w:jc w:val="left"/>
              <w:rPr/>
            </w:pPr>
            <w:r>
              <w:rPr/>
              <w:t>%</w:t>
            </w:r>
          </w:p>
        </w:tc>
      </w:tr>
      <w:tr>
        <w:trPr/>
        <w:tc>
          <w:tcPr>
            <w:tcW w:w="5165" w:type="dxa"/>
            <w:tcBorders/>
            <w:shd w:fill="CCEEFF" w:val="clear"/>
            <w:vAlign w:val="center"/>
          </w:tcPr>
          <w:p>
            <w:pPr>
              <w:pStyle w:val="TableContents"/>
              <w:spacing w:before="0" w:after="283"/>
              <w:jc w:val="left"/>
              <w:rPr/>
            </w:pPr>
            <w:r>
              <w:rPr/>
              <w:t>Net sales</w:t>
            </w:r>
          </w:p>
        </w:tc>
        <w:tc>
          <w:tcPr>
            <w:tcW w:w="60"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27" w:type="dxa"/>
            <w:tcBorders>
              <w:bottom w:val="single" w:sz="12" w:space="0" w:color="000000"/>
            </w:tcBorders>
            <w:shd w:fill="CCEEFF" w:val="clear"/>
            <w:tcMar>
              <w:bottom w:w="28" w:type="dxa"/>
            </w:tcMar>
            <w:vAlign w:val="center"/>
          </w:tcPr>
          <w:p>
            <w:pPr>
              <w:pStyle w:val="TableContents"/>
              <w:spacing w:before="0" w:after="283"/>
              <w:jc w:val="right"/>
              <w:rPr/>
            </w:pPr>
            <w:r>
              <w:rPr/>
              <w:t>23,416</w:t>
            </w:r>
          </w:p>
        </w:tc>
        <w:tc>
          <w:tcPr>
            <w:tcW w:w="220"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27" w:type="dxa"/>
            <w:tcBorders>
              <w:bottom w:val="single" w:sz="12" w:space="0" w:color="000000"/>
            </w:tcBorders>
            <w:shd w:fill="CCEEFF" w:val="clear"/>
            <w:tcMar>
              <w:bottom w:w="28" w:type="dxa"/>
            </w:tcMar>
            <w:vAlign w:val="center"/>
          </w:tcPr>
          <w:p>
            <w:pPr>
              <w:pStyle w:val="TableContents"/>
              <w:spacing w:before="0" w:after="283"/>
              <w:jc w:val="right"/>
              <w:rPr/>
            </w:pPr>
            <w:r>
              <w:rPr/>
              <w:t>20,376</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15</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Cost of goods sold</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pPr>
            <w:r>
              <w:rPr/>
              <w:t>16,294</w:t>
            </w:r>
          </w:p>
        </w:tc>
        <w:tc>
          <w:tcPr>
            <w:tcW w:w="220"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pPr>
            <w:r>
              <w:rPr/>
              <w:t>14,518</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12</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i/>
              </w:rPr>
            </w:pPr>
            <w:r>
              <w:rPr>
                <w:i/>
              </w:rPr>
              <w:t>% of Gross billing</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i/>
              </w:rPr>
            </w:pPr>
            <w:r>
              <w:rPr>
                <w:i/>
              </w:rPr>
              <w:t>63</w:t>
            </w:r>
          </w:p>
        </w:tc>
        <w:tc>
          <w:tcPr>
            <w:tcW w:w="220" w:type="dxa"/>
            <w:tcBorders/>
            <w:shd w:fill="FFFFFF" w:val="clear"/>
            <w:vAlign w:val="center"/>
          </w:tcPr>
          <w:p>
            <w:pPr>
              <w:pStyle w:val="TableContents"/>
              <w:spacing w:before="0" w:after="283"/>
              <w:jc w:val="left"/>
              <w:rPr>
                <w:i/>
              </w:rPr>
            </w:pPr>
            <w:r>
              <w:rPr>
                <w:i/>
              </w:rPr>
              <w:t>%</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i/>
              </w:rPr>
            </w:pPr>
            <w:r>
              <w:rPr>
                <w:i/>
              </w:rPr>
              <w:t>64</w:t>
            </w:r>
          </w:p>
        </w:tc>
        <w:tc>
          <w:tcPr>
            <w:tcW w:w="215" w:type="dxa"/>
            <w:tcBorders/>
            <w:shd w:fill="FFFFFF" w:val="clear"/>
            <w:vAlign w:val="center"/>
          </w:tcPr>
          <w:p>
            <w:pPr>
              <w:pStyle w:val="TableContents"/>
              <w:spacing w:before="0" w:after="283"/>
              <w:jc w:val="left"/>
              <w:rPr>
                <w:i/>
              </w:rPr>
            </w:pPr>
            <w:r>
              <w:rPr>
                <w:i/>
              </w:rPr>
              <w:t>%</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rPr>
                <w:i/>
              </w:rPr>
            </w:pPr>
            <w:r>
              <w:rPr>
                <w:i/>
              </w:rPr>
              <w:t>% of Net sales</w:t>
            </w:r>
          </w:p>
        </w:tc>
        <w:tc>
          <w:tcPr>
            <w:tcW w:w="60"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spacing w:before="0" w:after="283"/>
              <w:jc w:val="right"/>
              <w:rPr>
                <w:i/>
              </w:rPr>
            </w:pPr>
            <w:r>
              <w:rPr>
                <w:i/>
              </w:rPr>
              <w:t>70</w:t>
            </w:r>
          </w:p>
        </w:tc>
        <w:tc>
          <w:tcPr>
            <w:tcW w:w="220" w:type="dxa"/>
            <w:tcBorders/>
            <w:shd w:fill="CCEEFF" w:val="clear"/>
            <w:vAlign w:val="center"/>
          </w:tcPr>
          <w:p>
            <w:pPr>
              <w:pStyle w:val="TableContents"/>
              <w:spacing w:before="0" w:after="283"/>
              <w:jc w:val="left"/>
              <w:rPr>
                <w:i/>
              </w:rPr>
            </w:pPr>
            <w:r>
              <w:rPr>
                <w:i/>
              </w:rPr>
              <w:t>%</w:t>
            </w:r>
          </w:p>
        </w:tc>
        <w:tc>
          <w:tcPr>
            <w:tcW w:w="61"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spacing w:before="0" w:after="283"/>
              <w:jc w:val="right"/>
              <w:rPr>
                <w:i/>
              </w:rPr>
            </w:pPr>
            <w:r>
              <w:rPr>
                <w:i/>
              </w:rPr>
              <w:t>71</w:t>
            </w:r>
          </w:p>
        </w:tc>
        <w:tc>
          <w:tcPr>
            <w:tcW w:w="215" w:type="dxa"/>
            <w:tcBorders/>
            <w:shd w:fill="CCEEFF" w:val="clear"/>
            <w:vAlign w:val="center"/>
          </w:tcPr>
          <w:p>
            <w:pPr>
              <w:pStyle w:val="TableContents"/>
              <w:spacing w:before="0" w:after="283"/>
              <w:jc w:val="left"/>
              <w:rPr>
                <w:i/>
              </w:rPr>
            </w:pPr>
            <w:r>
              <w:rPr>
                <w:i/>
              </w:rPr>
              <w:t>%</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jc w:val="left"/>
              <w:rPr/>
            </w:pPr>
            <w:r>
              <w:rPr/>
              <w:t>Gross profit</w:t>
            </w:r>
          </w:p>
        </w:tc>
        <w:tc>
          <w:tcPr>
            <w:tcW w:w="60" w:type="dxa"/>
            <w:tcBorders/>
            <w:shd w:fill="FFFFFF" w:val="clear"/>
            <w:vAlign w:val="center"/>
          </w:tcPr>
          <w:p>
            <w:pPr>
              <w:pStyle w:val="TableContents"/>
              <w:spacing w:before="0" w:after="283"/>
              <w:rPr/>
            </w:pPr>
            <w:r>
              <w:rPr/>
              <w:t> </w:t>
            </w:r>
          </w:p>
        </w:tc>
        <w:tc>
          <w:tcPr>
            <w:tcW w:w="143"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127" w:type="dxa"/>
            <w:tcBorders>
              <w:bottom w:val="single" w:sz="12" w:space="0" w:color="000000"/>
            </w:tcBorders>
            <w:shd w:fill="FFFFFF" w:val="clear"/>
            <w:tcMar>
              <w:bottom w:w="28" w:type="dxa"/>
            </w:tcMar>
            <w:vAlign w:val="center"/>
          </w:tcPr>
          <w:p>
            <w:pPr>
              <w:pStyle w:val="TableContents"/>
              <w:spacing w:before="0" w:after="283"/>
              <w:jc w:val="right"/>
              <w:rPr/>
            </w:pPr>
            <w:r>
              <w:rPr/>
              <w:t>7,122</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127" w:type="dxa"/>
            <w:tcBorders>
              <w:bottom w:val="single" w:sz="12" w:space="0" w:color="000000"/>
            </w:tcBorders>
            <w:shd w:fill="FFFFFF" w:val="clear"/>
            <w:tcMar>
              <w:bottom w:w="28" w:type="dxa"/>
            </w:tcMar>
            <w:vAlign w:val="center"/>
          </w:tcPr>
          <w:p>
            <w:pPr>
              <w:pStyle w:val="TableContents"/>
              <w:spacing w:before="0" w:after="283"/>
              <w:jc w:val="right"/>
              <w:rPr/>
            </w:pPr>
            <w:r>
              <w:rPr/>
              <w:t>5,858</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22</w:t>
            </w:r>
          </w:p>
        </w:tc>
        <w:tc>
          <w:tcPr>
            <w:tcW w:w="230" w:type="dxa"/>
            <w:tcBorders/>
            <w:shd w:fill="FFFFFF" w:val="clear"/>
            <w:vAlign w:val="center"/>
          </w:tcPr>
          <w:p>
            <w:pPr>
              <w:pStyle w:val="TableContents"/>
              <w:spacing w:before="0" w:after="283"/>
              <w:jc w:val="left"/>
              <w:rPr/>
            </w:pPr>
            <w:r>
              <w:rPr/>
              <w:t>%</w:t>
            </w:r>
          </w:p>
        </w:tc>
      </w:tr>
      <w:tr>
        <w:trPr/>
        <w:tc>
          <w:tcPr>
            <w:tcW w:w="5165" w:type="dxa"/>
            <w:tcBorders/>
            <w:shd w:fill="CCEEFF" w:val="clear"/>
            <w:vAlign w:val="center"/>
          </w:tcPr>
          <w:p>
            <w:pPr>
              <w:pStyle w:val="TableContents"/>
              <w:spacing w:before="0" w:after="283"/>
              <w:rPr>
                <w:i/>
              </w:rPr>
            </w:pPr>
            <w:r>
              <w:rPr>
                <w:i/>
              </w:rPr>
              <w:t>% of Net sales</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i/>
              </w:rPr>
            </w:pPr>
            <w:r>
              <w:rPr>
                <w:i/>
              </w:rPr>
              <w:t>30</w:t>
            </w:r>
          </w:p>
        </w:tc>
        <w:tc>
          <w:tcPr>
            <w:tcW w:w="220" w:type="dxa"/>
            <w:tcBorders/>
            <w:shd w:fill="CCEEFF" w:val="clear"/>
            <w:vAlign w:val="center"/>
          </w:tcPr>
          <w:p>
            <w:pPr>
              <w:pStyle w:val="TableContents"/>
              <w:spacing w:before="0" w:after="283"/>
              <w:jc w:val="left"/>
              <w:rPr>
                <w:i/>
              </w:rPr>
            </w:pPr>
            <w:r>
              <w:rPr>
                <w:i/>
              </w:rPr>
              <w:t>%</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i/>
              </w:rPr>
            </w:pPr>
            <w:r>
              <w:rPr>
                <w:i/>
              </w:rPr>
              <w:t>29</w:t>
            </w:r>
          </w:p>
        </w:tc>
        <w:tc>
          <w:tcPr>
            <w:tcW w:w="215" w:type="dxa"/>
            <w:tcBorders/>
            <w:shd w:fill="CCEEFF" w:val="clear"/>
            <w:vAlign w:val="center"/>
          </w:tcPr>
          <w:p>
            <w:pPr>
              <w:pStyle w:val="TableContents"/>
              <w:spacing w:before="0" w:after="283"/>
              <w:jc w:val="left"/>
              <w:rPr>
                <w:i/>
              </w:rPr>
            </w:pPr>
            <w:r>
              <w:rPr>
                <w:i/>
              </w:rPr>
              <w:t>%</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rPr/>
            </w:pPr>
            <w:r>
              <w:rPr/>
              <w:t>Expenses</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pPr>
            <w:r>
              <w:rPr/>
              <w:t> </w:t>
            </w:r>
          </w:p>
        </w:tc>
        <w:tc>
          <w:tcPr>
            <w:tcW w:w="220"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jc w:val="left"/>
              <w:rPr/>
            </w:pPr>
            <w:r>
              <w:rPr/>
              <w:t>Delivery and handling</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w:t>
            </w:r>
          </w:p>
        </w:tc>
        <w:tc>
          <w:tcPr>
            <w:tcW w:w="1127" w:type="dxa"/>
            <w:tcBorders/>
            <w:shd w:fill="FFFFFF" w:val="clear"/>
            <w:vAlign w:val="center"/>
          </w:tcPr>
          <w:p>
            <w:pPr>
              <w:pStyle w:val="TableContents"/>
              <w:spacing w:before="0" w:after="283"/>
              <w:jc w:val="right"/>
              <w:rPr/>
            </w:pPr>
            <w:r>
              <w:rPr/>
              <w:t>5,795</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w:t>
            </w:r>
          </w:p>
        </w:tc>
        <w:tc>
          <w:tcPr>
            <w:tcW w:w="1127" w:type="dxa"/>
            <w:tcBorders/>
            <w:shd w:fill="FFFFFF" w:val="clear"/>
            <w:vAlign w:val="center"/>
          </w:tcPr>
          <w:p>
            <w:pPr>
              <w:pStyle w:val="TableContents"/>
              <w:spacing w:before="0" w:after="283"/>
              <w:jc w:val="right"/>
              <w:rPr/>
            </w:pPr>
            <w:r>
              <w:rPr/>
              <w:t>2,743</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111</w:t>
            </w:r>
          </w:p>
        </w:tc>
        <w:tc>
          <w:tcPr>
            <w:tcW w:w="230" w:type="dxa"/>
            <w:tcBorders/>
            <w:shd w:fill="FFFFFF" w:val="clear"/>
            <w:vAlign w:val="center"/>
          </w:tcPr>
          <w:p>
            <w:pPr>
              <w:pStyle w:val="TableContents"/>
              <w:spacing w:before="0" w:after="283"/>
              <w:jc w:val="left"/>
              <w:rPr/>
            </w:pPr>
            <w:r>
              <w:rPr/>
              <w:t>%</w:t>
            </w:r>
          </w:p>
        </w:tc>
      </w:tr>
      <w:tr>
        <w:trPr/>
        <w:tc>
          <w:tcPr>
            <w:tcW w:w="5165" w:type="dxa"/>
            <w:tcBorders/>
            <w:shd w:fill="CCEEFF" w:val="clear"/>
            <w:vAlign w:val="center"/>
          </w:tcPr>
          <w:p>
            <w:pPr>
              <w:pStyle w:val="TableContents"/>
              <w:spacing w:before="0" w:after="283"/>
              <w:rPr>
                <w:i/>
              </w:rPr>
            </w:pPr>
            <w:r>
              <w:rPr>
                <w:i/>
              </w:rPr>
              <w:t>% of Net sales</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i/>
              </w:rPr>
            </w:pPr>
            <w:r>
              <w:rPr>
                <w:i/>
              </w:rPr>
              <w:t>25</w:t>
            </w:r>
          </w:p>
        </w:tc>
        <w:tc>
          <w:tcPr>
            <w:tcW w:w="220" w:type="dxa"/>
            <w:tcBorders/>
            <w:shd w:fill="CCEEFF" w:val="clear"/>
            <w:vAlign w:val="center"/>
          </w:tcPr>
          <w:p>
            <w:pPr>
              <w:pStyle w:val="TableContents"/>
              <w:spacing w:before="0" w:after="283"/>
              <w:jc w:val="left"/>
              <w:rPr>
                <w:i/>
              </w:rPr>
            </w:pPr>
            <w:r>
              <w:rPr>
                <w:i/>
              </w:rPr>
              <w:t>%</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i/>
              </w:rPr>
            </w:pPr>
            <w:r>
              <w:rPr>
                <w:i/>
              </w:rPr>
              <w:t>13</w:t>
            </w:r>
          </w:p>
        </w:tc>
        <w:tc>
          <w:tcPr>
            <w:tcW w:w="215" w:type="dxa"/>
            <w:tcBorders/>
            <w:shd w:fill="CCEEFF" w:val="clear"/>
            <w:vAlign w:val="center"/>
          </w:tcPr>
          <w:p>
            <w:pPr>
              <w:pStyle w:val="TableContents"/>
              <w:spacing w:before="0" w:after="283"/>
              <w:jc w:val="left"/>
              <w:rPr>
                <w:i/>
              </w:rPr>
            </w:pPr>
            <w:r>
              <w:rPr>
                <w:i/>
              </w:rPr>
              <w:t>%</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165" w:type="dxa"/>
            <w:tcBorders/>
            <w:shd w:fill="FFFFFF" w:val="clear"/>
            <w:vAlign w:val="center"/>
          </w:tcPr>
          <w:p>
            <w:pPr>
              <w:pStyle w:val="TableContents"/>
              <w:spacing w:before="0" w:after="283"/>
              <w:rPr>
                <w:i/>
              </w:rPr>
            </w:pPr>
            <w:r>
              <w:rPr>
                <w:i/>
              </w:rPr>
              <w:t>Dollar per case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i/>
              </w:rPr>
            </w:pPr>
            <w:r>
              <w:rPr>
                <w:i/>
              </w:rPr>
              <w:t>3.99</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i/>
              </w:rPr>
            </w:pPr>
            <w:r>
              <w:rPr>
                <w:i/>
              </w:rPr>
              <w:t>2.47</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Selling and marketing</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pPr>
            <w:r>
              <w:rPr/>
              <w:t>4,849</w:t>
            </w:r>
          </w:p>
        </w:tc>
        <w:tc>
          <w:tcPr>
            <w:tcW w:w="220"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pPr>
            <w:r>
              <w:rPr/>
              <w:t>3,510</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38</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i/>
              </w:rPr>
            </w:pPr>
            <w:r>
              <w:rPr>
                <w:i/>
              </w:rPr>
              <w:t>% of Net sales</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i/>
              </w:rPr>
            </w:pPr>
            <w:r>
              <w:rPr>
                <w:i/>
              </w:rPr>
              <w:t>21</w:t>
            </w:r>
          </w:p>
        </w:tc>
        <w:tc>
          <w:tcPr>
            <w:tcW w:w="220" w:type="dxa"/>
            <w:tcBorders/>
            <w:shd w:fill="FFFFFF" w:val="clear"/>
            <w:vAlign w:val="center"/>
          </w:tcPr>
          <w:p>
            <w:pPr>
              <w:pStyle w:val="TableContents"/>
              <w:spacing w:before="0" w:after="283"/>
              <w:jc w:val="left"/>
              <w:rPr>
                <w:i/>
              </w:rPr>
            </w:pPr>
            <w:r>
              <w:rPr>
                <w:i/>
              </w:rPr>
              <w:t>%</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i/>
              </w:rPr>
            </w:pPr>
            <w:r>
              <w:rPr>
                <w:i/>
              </w:rPr>
              <w:t>17</w:t>
            </w:r>
          </w:p>
        </w:tc>
        <w:tc>
          <w:tcPr>
            <w:tcW w:w="215" w:type="dxa"/>
            <w:tcBorders/>
            <w:shd w:fill="FFFFFF" w:val="clear"/>
            <w:vAlign w:val="center"/>
          </w:tcPr>
          <w:p>
            <w:pPr>
              <w:pStyle w:val="TableContents"/>
              <w:spacing w:before="0" w:after="283"/>
              <w:jc w:val="left"/>
              <w:rPr>
                <w:i/>
              </w:rPr>
            </w:pPr>
            <w:r>
              <w:rPr>
                <w:i/>
              </w:rPr>
              <w:t>%</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pPr>
            <w:r>
              <w:rPr/>
              <w:t>4,439</w:t>
            </w:r>
          </w:p>
        </w:tc>
        <w:tc>
          <w:tcPr>
            <w:tcW w:w="220"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pPr>
            <w:r>
              <w:rPr/>
              <w:t>3,289</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35</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i/>
              </w:rPr>
            </w:pPr>
            <w:r>
              <w:rPr>
                <w:i/>
              </w:rPr>
              <w:t>% of Net sales</w:t>
            </w:r>
          </w:p>
        </w:tc>
        <w:tc>
          <w:tcPr>
            <w:tcW w:w="60" w:type="dxa"/>
            <w:tcBorders/>
            <w:shd w:fill="FFFFFF" w:val="clear"/>
            <w:vAlign w:val="center"/>
          </w:tcPr>
          <w:p>
            <w:pPr>
              <w:pStyle w:val="TableContents"/>
              <w:spacing w:before="0" w:after="283"/>
              <w:rPr/>
            </w:pPr>
            <w:r>
              <w:rPr/>
              <w:t> </w:t>
            </w:r>
          </w:p>
        </w:tc>
        <w:tc>
          <w:tcPr>
            <w:tcW w:w="14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spacing w:before="0" w:after="283"/>
              <w:jc w:val="right"/>
              <w:rPr>
                <w:i/>
              </w:rPr>
            </w:pPr>
            <w:r>
              <w:rPr>
                <w:i/>
              </w:rPr>
              <w:t>19</w:t>
            </w:r>
          </w:p>
        </w:tc>
        <w:tc>
          <w:tcPr>
            <w:tcW w:w="220" w:type="dxa"/>
            <w:tcBorders/>
            <w:shd w:fill="FFFFFF" w:val="clear"/>
            <w:vAlign w:val="center"/>
          </w:tcPr>
          <w:p>
            <w:pPr>
              <w:pStyle w:val="TableContents"/>
              <w:spacing w:before="0" w:after="283"/>
              <w:jc w:val="left"/>
              <w:rPr>
                <w:i/>
              </w:rPr>
            </w:pPr>
            <w:r>
              <w:rPr>
                <w:i/>
              </w:rPr>
              <w:t>%</w:t>
            </w:r>
          </w:p>
        </w:tc>
        <w:tc>
          <w:tcPr>
            <w:tcW w:w="61" w:type="dxa"/>
            <w:tcBorders/>
            <w:shd w:fill="FFFFFF" w:val="clear"/>
            <w:vAlign w:val="center"/>
          </w:tcPr>
          <w:p>
            <w:pPr>
              <w:pStyle w:val="TableContents"/>
              <w:spacing w:before="0" w:after="283"/>
              <w:rPr/>
            </w:pPr>
            <w:r>
              <w:rPr/>
              <w:t> </w:t>
            </w:r>
          </w:p>
        </w:tc>
        <w:tc>
          <w:tcPr>
            <w:tcW w:w="143"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27" w:type="dxa"/>
            <w:tcBorders>
              <w:bottom w:val="single" w:sz="12" w:space="0" w:color="000000"/>
            </w:tcBorders>
            <w:shd w:fill="FFFFFF" w:val="clear"/>
            <w:tcMar>
              <w:bottom w:w="28" w:type="dxa"/>
            </w:tcMar>
            <w:vAlign w:val="center"/>
          </w:tcPr>
          <w:p>
            <w:pPr>
              <w:pStyle w:val="TableContents"/>
              <w:spacing w:before="0" w:after="283"/>
              <w:jc w:val="right"/>
              <w:rPr>
                <w:i/>
              </w:rPr>
            </w:pPr>
            <w:r>
              <w:rPr>
                <w:i/>
              </w:rPr>
              <w:t>16</w:t>
            </w:r>
          </w:p>
        </w:tc>
        <w:tc>
          <w:tcPr>
            <w:tcW w:w="215" w:type="dxa"/>
            <w:tcBorders/>
            <w:shd w:fill="FFFFFF" w:val="clear"/>
            <w:vAlign w:val="center"/>
          </w:tcPr>
          <w:p>
            <w:pPr>
              <w:pStyle w:val="TableContents"/>
              <w:spacing w:before="0" w:after="283"/>
              <w:jc w:val="left"/>
              <w:rPr>
                <w:i/>
              </w:rPr>
            </w:pPr>
            <w:r>
              <w:rPr>
                <w:i/>
              </w:rPr>
              <w:t>%</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Total operating expenses</w:t>
            </w:r>
          </w:p>
        </w:tc>
        <w:tc>
          <w:tcPr>
            <w:tcW w:w="60"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spacing w:before="0" w:after="283"/>
              <w:jc w:val="right"/>
              <w:rPr/>
            </w:pPr>
            <w:r>
              <w:rPr/>
              <w:t>15,083</w:t>
            </w:r>
          </w:p>
        </w:tc>
        <w:tc>
          <w:tcPr>
            <w:tcW w:w="220"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spacing w:before="0" w:after="283"/>
              <w:jc w:val="right"/>
              <w:rPr/>
            </w:pPr>
            <w:r>
              <w:rPr/>
              <w:t>9,542</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58</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Loss from operations</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w:t>
            </w:r>
          </w:p>
        </w:tc>
        <w:tc>
          <w:tcPr>
            <w:tcW w:w="1127" w:type="dxa"/>
            <w:tcBorders/>
            <w:shd w:fill="CCEEFF" w:val="clear"/>
            <w:vAlign w:val="center"/>
          </w:tcPr>
          <w:p>
            <w:pPr>
              <w:pStyle w:val="TableContents"/>
              <w:spacing w:before="0" w:after="283"/>
              <w:jc w:val="right"/>
              <w:rPr/>
            </w:pPr>
            <w:r>
              <w:rPr/>
              <w:t>(7,961</w:t>
            </w:r>
          </w:p>
        </w:tc>
        <w:tc>
          <w:tcPr>
            <w:tcW w:w="220" w:type="dxa"/>
            <w:tcBorders/>
            <w:shd w:fill="CCEEFF" w:val="clear"/>
            <w:vAlign w:val="center"/>
          </w:tcPr>
          <w:p>
            <w:pPr>
              <w:pStyle w:val="TableContents"/>
              <w:spacing w:before="0" w:after="283"/>
              <w:jc w:val="left"/>
              <w:rPr/>
            </w:pPr>
            <w:r>
              <w:rPr/>
              <w:t>)</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w:t>
            </w:r>
          </w:p>
        </w:tc>
        <w:tc>
          <w:tcPr>
            <w:tcW w:w="1127" w:type="dxa"/>
            <w:tcBorders/>
            <w:shd w:fill="CCEEFF" w:val="clear"/>
            <w:vAlign w:val="center"/>
          </w:tcPr>
          <w:p>
            <w:pPr>
              <w:pStyle w:val="TableContents"/>
              <w:spacing w:before="0" w:after="283"/>
              <w:jc w:val="right"/>
              <w:rPr/>
            </w:pPr>
            <w:r>
              <w:rPr/>
              <w:t>(3,684</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116</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pPr>
            <w:r>
              <w:rPr/>
              <w:t>Interest expense and other income (expense)</w:t>
            </w:r>
          </w:p>
        </w:tc>
        <w:tc>
          <w:tcPr>
            <w:tcW w:w="60"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spacing w:before="0" w:after="283"/>
              <w:jc w:val="right"/>
              <w:rPr/>
            </w:pPr>
            <w:r>
              <w:rPr/>
              <w:t>312</w:t>
            </w:r>
          </w:p>
        </w:tc>
        <w:tc>
          <w:tcPr>
            <w:tcW w:w="220"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27" w:type="dxa"/>
            <w:tcBorders>
              <w:bottom w:val="single" w:sz="12" w:space="0" w:color="000000"/>
            </w:tcBorders>
            <w:shd w:fill="CCEEFF" w:val="clear"/>
            <w:tcMar>
              <w:bottom w:w="28" w:type="dxa"/>
            </w:tcMar>
            <w:vAlign w:val="center"/>
          </w:tcPr>
          <w:p>
            <w:pPr>
              <w:pStyle w:val="TableContents"/>
              <w:spacing w:before="0" w:after="283"/>
              <w:jc w:val="right"/>
              <w:rPr/>
            </w:pPr>
            <w:r>
              <w:rPr/>
              <w:t>(646</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-148</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b/>
              </w:rPr>
            </w:pPr>
            <w:r>
              <w:rPr>
                <w:b/>
              </w:rPr>
              <w:t>Net loss</w:t>
            </w:r>
          </w:p>
        </w:tc>
        <w:tc>
          <w:tcPr>
            <w:tcW w:w="60" w:type="dxa"/>
            <w:tcBorders/>
            <w:shd w:fill="CCEEFF" w:val="clear"/>
            <w:vAlign w:val="center"/>
          </w:tcPr>
          <w:p>
            <w:pPr>
              <w:pStyle w:val="TableContents"/>
              <w:spacing w:before="0" w:after="283"/>
              <w:rPr/>
            </w:pPr>
            <w:r>
              <w:rPr/>
              <w:t> </w:t>
            </w:r>
          </w:p>
        </w:tc>
        <w:tc>
          <w:tcPr>
            <w:tcW w:w="143"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27" w:type="dxa"/>
            <w:tcBorders>
              <w:bottom w:val="double" w:sz="6" w:space="0" w:color="000000"/>
            </w:tcBorders>
            <w:shd w:fill="CCEEFF" w:val="clear"/>
            <w:tcMar>
              <w:bottom w:w="28" w:type="dxa"/>
            </w:tcMar>
            <w:vAlign w:val="center"/>
          </w:tcPr>
          <w:p>
            <w:pPr>
              <w:pStyle w:val="TableContents"/>
              <w:spacing w:before="0" w:after="283"/>
              <w:jc w:val="right"/>
              <w:rPr/>
            </w:pPr>
            <w:r>
              <w:rPr/>
              <w:t>(7,649</w:t>
            </w:r>
          </w:p>
        </w:tc>
        <w:tc>
          <w:tcPr>
            <w:tcW w:w="220" w:type="dxa"/>
            <w:tcBorders/>
            <w:shd w:fill="CCEEFF" w:val="clear"/>
            <w:vAlign w:val="center"/>
          </w:tcPr>
          <w:p>
            <w:pPr>
              <w:pStyle w:val="TableContents"/>
              <w:spacing w:before="0" w:after="283"/>
              <w:jc w:val="left"/>
              <w:rPr/>
            </w:pPr>
            <w:r>
              <w:rPr/>
              <w:t>)</w:t>
            </w:r>
          </w:p>
        </w:tc>
        <w:tc>
          <w:tcPr>
            <w:tcW w:w="61" w:type="dxa"/>
            <w:tcBorders/>
            <w:shd w:fill="CCEEFF" w:val="clear"/>
            <w:vAlign w:val="center"/>
          </w:tcPr>
          <w:p>
            <w:pPr>
              <w:pStyle w:val="TableContents"/>
              <w:spacing w:before="0" w:after="283"/>
              <w:rPr/>
            </w:pPr>
            <w:r>
              <w:rPr/>
              <w:t> </w:t>
            </w:r>
          </w:p>
        </w:tc>
        <w:tc>
          <w:tcPr>
            <w:tcW w:w="143"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27" w:type="dxa"/>
            <w:tcBorders>
              <w:bottom w:val="double" w:sz="6" w:space="0" w:color="000000"/>
            </w:tcBorders>
            <w:shd w:fill="CCEEFF" w:val="clear"/>
            <w:tcMar>
              <w:bottom w:w="28" w:type="dxa"/>
            </w:tcMar>
            <w:vAlign w:val="center"/>
          </w:tcPr>
          <w:p>
            <w:pPr>
              <w:pStyle w:val="TableContents"/>
              <w:spacing w:before="0" w:after="283"/>
              <w:jc w:val="right"/>
              <w:rPr/>
            </w:pPr>
            <w:r>
              <w:rPr/>
              <w:t>(4,330</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77</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jc w:val="left"/>
              <w:rPr>
                <w:b/>
              </w:rPr>
            </w:pPr>
            <w:r>
              <w:rPr>
                <w:b/>
              </w:rPr>
              <w:t>Loss per share – basic and diluted</w:t>
            </w:r>
          </w:p>
        </w:tc>
        <w:tc>
          <w:tcPr>
            <w:tcW w:w="60"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27" w:type="dxa"/>
            <w:tcBorders>
              <w:bottom w:val="single" w:sz="12" w:space="0" w:color="000000"/>
            </w:tcBorders>
            <w:shd w:fill="CCEEFF" w:val="clear"/>
            <w:tcMar>
              <w:bottom w:w="28" w:type="dxa"/>
            </w:tcMar>
            <w:vAlign w:val="center"/>
          </w:tcPr>
          <w:p>
            <w:pPr>
              <w:pStyle w:val="TableContents"/>
              <w:spacing w:before="0" w:after="283"/>
              <w:jc w:val="right"/>
              <w:rPr/>
            </w:pPr>
            <w:r>
              <w:rPr/>
              <w:t>(0.09</w:t>
            </w:r>
          </w:p>
        </w:tc>
        <w:tc>
          <w:tcPr>
            <w:tcW w:w="220" w:type="dxa"/>
            <w:tcBorders/>
            <w:shd w:fill="CCEEFF" w:val="clear"/>
            <w:vAlign w:val="center"/>
          </w:tcPr>
          <w:p>
            <w:pPr>
              <w:pStyle w:val="TableContents"/>
              <w:spacing w:before="0" w:after="283"/>
              <w:jc w:val="left"/>
              <w:rPr/>
            </w:pPr>
            <w:r>
              <w:rPr/>
              <w:t>)</w:t>
            </w:r>
          </w:p>
        </w:tc>
        <w:tc>
          <w:tcPr>
            <w:tcW w:w="61"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27" w:type="dxa"/>
            <w:tcBorders>
              <w:bottom w:val="single" w:sz="12" w:space="0" w:color="000000"/>
            </w:tcBorders>
            <w:shd w:fill="CCEEFF" w:val="clear"/>
            <w:tcMar>
              <w:bottom w:w="28" w:type="dxa"/>
            </w:tcMar>
            <w:vAlign w:val="center"/>
          </w:tcPr>
          <w:p>
            <w:pPr>
              <w:pStyle w:val="TableContents"/>
              <w:spacing w:before="0" w:after="283"/>
              <w:jc w:val="right"/>
              <w:rPr/>
            </w:pPr>
            <w:r>
              <w:rPr/>
              <w:t>(0.08</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13</w:t>
            </w:r>
          </w:p>
        </w:tc>
        <w:tc>
          <w:tcPr>
            <w:tcW w:w="230" w:type="dxa"/>
            <w:tcBorders/>
            <w:shd w:fill="CCEEFF" w:val="clear"/>
            <w:vAlign w:val="center"/>
          </w:tcPr>
          <w:p>
            <w:pPr>
              <w:pStyle w:val="TableContents"/>
              <w:spacing w:before="0" w:after="283"/>
              <w:jc w:val="left"/>
              <w:rPr/>
            </w:pPr>
            <w:r>
              <w:rPr/>
              <w:t>%</w:t>
            </w:r>
          </w:p>
        </w:tc>
      </w:tr>
      <w:tr>
        <w:trPr/>
        <w:tc>
          <w:tcPr>
            <w:tcW w:w="516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20" w:type="dxa"/>
            <w:tcBorders/>
            <w:shd w:fill="FFFFFF" w:val="clear"/>
            <w:vAlign w:val="center"/>
          </w:tcPr>
          <w:p>
            <w:pPr>
              <w:pStyle w:val="TableContents"/>
              <w:spacing w:before="0" w:after="283"/>
              <w:jc w:val="left"/>
              <w:rPr/>
            </w:pPr>
            <w:r>
              <w:rPr/>
              <w:t> </w:t>
            </w:r>
          </w:p>
        </w:tc>
        <w:tc>
          <w:tcPr>
            <w:tcW w:w="61"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jc w:val="left"/>
              <w:rPr/>
            </w:pPr>
            <w:r>
              <w:rPr/>
              <w:t> </w:t>
            </w:r>
          </w:p>
        </w:tc>
        <w:tc>
          <w:tcPr>
            <w:tcW w:w="112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jc w:val="left"/>
              <w:rPr/>
            </w:pPr>
            <w:r>
              <w:rPr/>
              <w:t> </w:t>
            </w:r>
          </w:p>
        </w:tc>
        <w:tc>
          <w:tcPr>
            <w:tcW w:w="721"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5165" w:type="dxa"/>
            <w:tcBorders/>
            <w:shd w:fill="CCEEFF" w:val="clear"/>
            <w:vAlign w:val="center"/>
          </w:tcPr>
          <w:p>
            <w:pPr>
              <w:pStyle w:val="TableContents"/>
              <w:spacing w:before="0" w:after="283"/>
              <w:rPr/>
            </w:pPr>
            <w:r>
              <w:rPr/>
              <w:t>Weighted average shares outstanding - basic &amp; diluted</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pPr>
            <w:r>
              <w:rPr/>
              <w:t>88,751,896</w:t>
            </w:r>
          </w:p>
        </w:tc>
        <w:tc>
          <w:tcPr>
            <w:tcW w:w="220" w:type="dxa"/>
            <w:tcBorders/>
            <w:shd w:fill="CCEEFF" w:val="clear"/>
            <w:vAlign w:val="center"/>
          </w:tcPr>
          <w:p>
            <w:pPr>
              <w:pStyle w:val="TableContents"/>
              <w:spacing w:before="0" w:after="283"/>
              <w:jc w:val="left"/>
              <w:rPr/>
            </w:pPr>
            <w:r>
              <w:rPr/>
              <w:t> </w:t>
            </w:r>
          </w:p>
        </w:tc>
        <w:tc>
          <w:tcPr>
            <w:tcW w:w="61"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127" w:type="dxa"/>
            <w:tcBorders/>
            <w:shd w:fill="CCEEFF" w:val="clear"/>
            <w:vAlign w:val="center"/>
          </w:tcPr>
          <w:p>
            <w:pPr>
              <w:pStyle w:val="TableContents"/>
              <w:spacing w:before="0" w:after="283"/>
              <w:jc w:val="right"/>
              <w:rPr/>
            </w:pPr>
            <w:r>
              <w:rPr/>
              <w:t>53,554,913</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jc w:val="left"/>
              <w:rPr/>
            </w:pPr>
            <w:r>
              <w:rPr/>
              <w:t> </w:t>
            </w:r>
          </w:p>
        </w:tc>
        <w:tc>
          <w:tcPr>
            <w:tcW w:w="721" w:type="dxa"/>
            <w:tcBorders/>
            <w:shd w:fill="CCEEFF" w:val="clear"/>
            <w:vAlign w:val="center"/>
          </w:tcPr>
          <w:p>
            <w:pPr>
              <w:pStyle w:val="TableContents"/>
              <w:spacing w:before="0" w:after="283"/>
              <w:jc w:val="right"/>
              <w:rPr/>
            </w:pPr>
            <w:r>
              <w:rPr/>
              <w:t>66</w:t>
            </w:r>
          </w:p>
        </w:tc>
        <w:tc>
          <w:tcPr>
            <w:tcW w:w="230" w:type="dxa"/>
            <w:tcBorders/>
            <w:shd w:fill="CCEEFF" w:val="clear"/>
            <w:vAlign w:val="center"/>
          </w:tcPr>
          <w:p>
            <w:pPr>
              <w:pStyle w:val="TableContents"/>
              <w:spacing w:before="0" w:after="283"/>
              <w:jc w:val="left"/>
              <w:rPr/>
            </w:pPr>
            <w:r>
              <w:rPr/>
              <w:t>%</w:t>
            </w:r>
          </w:p>
        </w:tc>
      </w:tr>
    </w:tbl>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have been defined by our internal reporting practices</w:t>
      </w:r>
      <w:r>
        <w:rPr>
          <w:rFonts w:ascii="Times New Roman;Times;Serif" w:hAnsi="Times New Roman;Times;Serif"/>
          <w:b w:val="false"/>
          <w:i w:val="false"/>
          <w:caps w:val="false"/>
          <w:smallCaps w:val="false"/>
          <w:sz w:val="20"/>
        </w:rPr>
        <w:t>.</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We define promotional and other allowances as costs deducted from gross billing which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Cost of Sales, and Gross Margins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beverage volume for the six months ended June 30, 2021, represents 99% of all beverage volume.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brand gross billing increased by 14% to $25,155 compared to the same period last year, driven by Reed’s volume growth of 20% and Virgil’s volume growth of 20%. The result is an increase in total gross billing of 14%, to $25,907 in the six months ended June 30, 2021, from $22,781 during the six months ended June 30, 2020. Price on our core brands decreased 5% to $17.54 per case due to a shift in mix to lower priced, higher margin products.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as a percentage of gross billing decreased to 10% from 11% in the same period last year. As a result, net sales revenue grew 15% in the six months ended June 30, 2021 to $23,416, compared to $20,376 in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Goods Sold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$1,776 during the six months ended June 30, 2021 as compared to the same period last year. As a percentage of net sales, cost of goods sold for the six months ended June 30, 2021 was 70% as compared to 71% for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of goods per case decreased to $11.22 per case in the six months ended June 30, 2021 from $11.99 per case for the same period last year. The cost of goods sold per case on core brands was $11.14 during the six months ended June 30, 2021, compared to $11.81 for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Margin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30% for the six months ended June 30, 2021, compared to 29% for the same period last year.</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and Handling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and handling expenses consist of delivery costs to customers and warehousing costs incurred for handling our finished goods after production. Delivery and handling expenses increased by $3,052 in the six months ended June 30, 2021 to $5,795 from $2,743 in the same period last year, driven by increased volumes, ecommerce fulfilment costs, and increasing freight rates due to Covid-19. Delivery costs in the six months ended June 30, 2021 were 25% of net sales and $3.99 per case, compared to 13% of net sales and $2.27 per case during the same period last year.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expenses consist of direct marketing, marketing labor, and marketing support costs. Selling expenses consist of all other selling-related expenses including personnel and contractor support. Total selling and marketing expenses increased $1,339 to $4,849 during the six months ended June 30, 2021, compared to $3,510 during the same period last year. As a percentage of net sales, selling and marketing costs increased to 21% during the six months ended June 30, 2021, as compared to 17% during the same period last year. The increase was driven by an increase in sales force headcount and stock compensation.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 of executive, administrative, and finance personnel, as well as professional fees. General and administrative expenses increased in the six months ended June 30, 2021 to $4,439 from $3,289 an increase of $1,150 over the same period last year. The increase was driven by legal settlements, employee costs, stock compensation, consulting fees, and public company costs.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Loss from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from operations was $7,961 for the six months ended June 30, 2021, as compared to a loss of $3,684 in the same period last year driven by increased gross profit offset by increases in operating expenses discussed above.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 and Other Income (Expense)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for the six months ended June 30, 2021, consisted of $458 of interest expense offset by $770 gain on forgiveness of debt. During the same period last year, interest and other expense consisted of $639 of interest expense and the change in fair value of our warrant liability of $7.</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Modified EBITDA</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reconciliation of net loss to Modified EBITDA for the six months ended June 30, 2021 and 2020 (unaudited; in thousands):</w:t>
      </w:r>
    </w:p>
    <w:p>
      <w:pPr>
        <w:pStyle w:val="TextBody"/>
        <w:rPr>
          <w:caps w:val="false"/>
          <w:smallCaps w:val="false"/>
        </w:rPr>
      </w:pPr>
      <w:r>
        <w:rPr>
          <w:caps w:val="false"/>
          <w:smallCaps w:val="false"/>
        </w:rPr>
        <w:t> </w:t>
      </w:r>
    </w:p>
    <w:tbl>
      <w:tblPr>
        <w:tblW w:w="7377" w:type="dxa"/>
        <w:jc w:val="left"/>
        <w:tblInd w:w="0" w:type="dxa"/>
        <w:tblCellMar>
          <w:top w:w="0" w:type="dxa"/>
          <w:left w:w="0" w:type="dxa"/>
          <w:bottom w:w="0" w:type="dxa"/>
          <w:right w:w="0" w:type="dxa"/>
        </w:tblCellMar>
      </w:tblPr>
      <w:tblGrid>
        <w:gridCol w:w="4385"/>
        <w:gridCol w:w="60"/>
        <w:gridCol w:w="231"/>
        <w:gridCol w:w="1052"/>
        <w:gridCol w:w="157"/>
        <w:gridCol w:w="99"/>
        <w:gridCol w:w="231"/>
        <w:gridCol w:w="1052"/>
        <w:gridCol w:w="110"/>
      </w:tblGrid>
      <w:tr>
        <w:trPr/>
        <w:tc>
          <w:tcPr>
            <w:tcW w:w="43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22"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Six Months Ended June 30,</w:t>
            </w:r>
          </w:p>
        </w:tc>
        <w:tc>
          <w:tcPr>
            <w:tcW w:w="110" w:type="dxa"/>
            <w:tcBorders/>
            <w:shd w:fill="auto" w:val="clear"/>
            <w:vAlign w:val="center"/>
          </w:tcPr>
          <w:p>
            <w:pPr>
              <w:pStyle w:val="TableContents"/>
              <w:spacing w:before="0" w:after="283"/>
              <w:rPr/>
            </w:pPr>
            <w:r>
              <w:rPr/>
              <w:t> </w:t>
            </w:r>
          </w:p>
        </w:tc>
      </w:tr>
      <w:tr>
        <w:trPr/>
        <w:tc>
          <w:tcPr>
            <w:tcW w:w="438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8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57" w:type="dxa"/>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c>
          <w:tcPr>
            <w:tcW w:w="128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110" w:type="dxa"/>
            <w:tcBorders/>
            <w:shd w:fill="auto" w:val="clear"/>
            <w:vAlign w:val="center"/>
          </w:tcPr>
          <w:p>
            <w:pPr>
              <w:pStyle w:val="TableContents"/>
              <w:spacing w:before="0" w:after="283"/>
              <w:rPr/>
            </w:pPr>
            <w:r>
              <w:rPr/>
              <w:t> </w:t>
            </w:r>
          </w:p>
        </w:tc>
      </w:tr>
      <w:tr>
        <w:trPr/>
        <w:tc>
          <w:tcPr>
            <w:tcW w:w="4385" w:type="dxa"/>
            <w:tcBorders/>
            <w:shd w:fill="CCEEFF" w:val="clear"/>
            <w:vAlign w:val="center"/>
          </w:tcPr>
          <w:p>
            <w:pPr>
              <w:pStyle w:val="TableContents"/>
              <w:spacing w:before="0" w:after="283"/>
              <w:jc w:val="left"/>
              <w:rPr/>
            </w:pPr>
            <w:r>
              <w:rPr/>
              <w:t>Net loss</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w:t>
            </w:r>
          </w:p>
        </w:tc>
        <w:tc>
          <w:tcPr>
            <w:tcW w:w="1052" w:type="dxa"/>
            <w:tcBorders/>
            <w:shd w:fill="CCEEFF" w:val="clear"/>
            <w:vAlign w:val="center"/>
          </w:tcPr>
          <w:p>
            <w:pPr>
              <w:pStyle w:val="TableContents"/>
              <w:spacing w:before="0" w:after="283"/>
              <w:jc w:val="right"/>
              <w:rPr/>
            </w:pPr>
            <w:r>
              <w:rPr/>
              <w:t>(7,649</w:t>
            </w:r>
          </w:p>
        </w:tc>
        <w:tc>
          <w:tcPr>
            <w:tcW w:w="157" w:type="dxa"/>
            <w:tcBorders/>
            <w:shd w:fill="CCEEFF" w:val="clear"/>
            <w:vAlign w:val="center"/>
          </w:tcPr>
          <w:p>
            <w:pPr>
              <w:pStyle w:val="TableContents"/>
              <w:spacing w:before="0" w:after="283"/>
              <w:jc w:val="left"/>
              <w:rPr/>
            </w:pPr>
            <w:r>
              <w:rPr/>
              <w:t>)</w:t>
            </w:r>
          </w:p>
        </w:tc>
        <w:tc>
          <w:tcPr>
            <w:tcW w:w="99"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w:t>
            </w:r>
          </w:p>
        </w:tc>
        <w:tc>
          <w:tcPr>
            <w:tcW w:w="1052" w:type="dxa"/>
            <w:tcBorders/>
            <w:shd w:fill="CCEEFF" w:val="clear"/>
            <w:vAlign w:val="center"/>
          </w:tcPr>
          <w:p>
            <w:pPr>
              <w:pStyle w:val="TableContents"/>
              <w:spacing w:before="0" w:after="283"/>
              <w:jc w:val="right"/>
              <w:rPr/>
            </w:pPr>
            <w:r>
              <w:rPr/>
              <w:t>(4,330</w:t>
            </w:r>
          </w:p>
        </w:tc>
        <w:tc>
          <w:tcPr>
            <w:tcW w:w="110" w:type="dxa"/>
            <w:tcBorders/>
            <w:shd w:fill="CCEEFF" w:val="clear"/>
            <w:vAlign w:val="center"/>
          </w:tcPr>
          <w:p>
            <w:pPr>
              <w:pStyle w:val="TableContents"/>
              <w:spacing w:before="0" w:after="283"/>
              <w:jc w:val="left"/>
              <w:rPr/>
            </w:pPr>
            <w:r>
              <w:rPr/>
              <w:t>)</w:t>
            </w:r>
          </w:p>
        </w:tc>
      </w:tr>
      <w:tr>
        <w:trPr/>
        <w:tc>
          <w:tcPr>
            <w:tcW w:w="43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 </w:t>
            </w:r>
          </w:p>
        </w:tc>
        <w:tc>
          <w:tcPr>
            <w:tcW w:w="157" w:type="dxa"/>
            <w:tcBorders/>
            <w:shd w:fill="FFFFFF" w:val="clear"/>
            <w:vAlign w:val="center"/>
          </w:tcPr>
          <w:p>
            <w:pPr>
              <w:pStyle w:val="TableContents"/>
              <w:spacing w:before="0" w:after="283"/>
              <w:jc w:val="left"/>
              <w:rPr/>
            </w:pPr>
            <w:r>
              <w:rPr/>
              <w:t> </w:t>
            </w:r>
          </w:p>
        </w:tc>
        <w:tc>
          <w:tcPr>
            <w:tcW w:w="99"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385" w:type="dxa"/>
            <w:tcBorders/>
            <w:shd w:fill="CCEEFF" w:val="clear"/>
            <w:vAlign w:val="center"/>
          </w:tcPr>
          <w:p>
            <w:pPr>
              <w:pStyle w:val="TableContents"/>
              <w:spacing w:before="0" w:after="283"/>
              <w:jc w:val="left"/>
              <w:rPr/>
            </w:pPr>
            <w:r>
              <w:rPr/>
              <w:t>Modified EBITDA adjustments:</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 </w:t>
            </w:r>
          </w:p>
        </w:tc>
        <w:tc>
          <w:tcPr>
            <w:tcW w:w="157" w:type="dxa"/>
            <w:tcBorders/>
            <w:shd w:fill="CCEEFF" w:val="clear"/>
            <w:vAlign w:val="center"/>
          </w:tcPr>
          <w:p>
            <w:pPr>
              <w:pStyle w:val="TableContents"/>
              <w:spacing w:before="0" w:after="283"/>
              <w:jc w:val="left"/>
              <w:rPr/>
            </w:pPr>
            <w:r>
              <w:rPr/>
              <w:t> </w:t>
            </w:r>
          </w:p>
        </w:tc>
        <w:tc>
          <w:tcPr>
            <w:tcW w:w="99"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385" w:type="dxa"/>
            <w:tcBorders/>
            <w:shd w:fill="FFFFFF" w:val="clear"/>
            <w:vAlign w:val="center"/>
          </w:tcPr>
          <w:p>
            <w:pPr>
              <w:pStyle w:val="TableContents"/>
              <w:spacing w:before="0" w:after="283"/>
              <w:jc w:val="left"/>
              <w:rPr/>
            </w:pPr>
            <w:r>
              <w:rPr/>
              <w:t>Depreciation and amortization</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118</w:t>
            </w:r>
          </w:p>
        </w:tc>
        <w:tc>
          <w:tcPr>
            <w:tcW w:w="157" w:type="dxa"/>
            <w:tcBorders/>
            <w:shd w:fill="FFFFFF" w:val="clear"/>
            <w:vAlign w:val="center"/>
          </w:tcPr>
          <w:p>
            <w:pPr>
              <w:pStyle w:val="TableContents"/>
              <w:spacing w:before="0" w:after="283"/>
              <w:jc w:val="left"/>
              <w:rPr/>
            </w:pPr>
            <w:r>
              <w:rPr/>
              <w:t> </w:t>
            </w:r>
          </w:p>
        </w:tc>
        <w:tc>
          <w:tcPr>
            <w:tcW w:w="99"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86</w:t>
            </w:r>
          </w:p>
        </w:tc>
        <w:tc>
          <w:tcPr>
            <w:tcW w:w="110" w:type="dxa"/>
            <w:tcBorders/>
            <w:shd w:fill="FFFFFF" w:val="clear"/>
            <w:vAlign w:val="center"/>
          </w:tcPr>
          <w:p>
            <w:pPr>
              <w:pStyle w:val="TableContents"/>
              <w:spacing w:before="0" w:after="283"/>
              <w:jc w:val="left"/>
              <w:rPr/>
            </w:pPr>
            <w:r>
              <w:rPr/>
              <w:t> </w:t>
            </w:r>
          </w:p>
        </w:tc>
      </w:tr>
      <w:tr>
        <w:trPr/>
        <w:tc>
          <w:tcPr>
            <w:tcW w:w="4385" w:type="dxa"/>
            <w:tcBorders/>
            <w:shd w:fill="CCEEFF" w:val="clear"/>
            <w:vAlign w:val="center"/>
          </w:tcPr>
          <w:p>
            <w:pPr>
              <w:pStyle w:val="TableContents"/>
              <w:spacing w:before="0" w:after="283"/>
              <w:jc w:val="left"/>
              <w:rPr/>
            </w:pPr>
            <w:r>
              <w:rPr/>
              <w:t>Interest expense</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458</w:t>
            </w:r>
          </w:p>
        </w:tc>
        <w:tc>
          <w:tcPr>
            <w:tcW w:w="157" w:type="dxa"/>
            <w:tcBorders/>
            <w:shd w:fill="CCEEFF" w:val="clear"/>
            <w:vAlign w:val="center"/>
          </w:tcPr>
          <w:p>
            <w:pPr>
              <w:pStyle w:val="TableContents"/>
              <w:spacing w:before="0" w:after="283"/>
              <w:jc w:val="left"/>
              <w:rPr/>
            </w:pPr>
            <w:r>
              <w:rPr/>
              <w:t> </w:t>
            </w:r>
          </w:p>
        </w:tc>
        <w:tc>
          <w:tcPr>
            <w:tcW w:w="99"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639</w:t>
            </w:r>
          </w:p>
        </w:tc>
        <w:tc>
          <w:tcPr>
            <w:tcW w:w="110" w:type="dxa"/>
            <w:tcBorders/>
            <w:shd w:fill="CCEEFF" w:val="clear"/>
            <w:vAlign w:val="center"/>
          </w:tcPr>
          <w:p>
            <w:pPr>
              <w:pStyle w:val="TableContents"/>
              <w:spacing w:before="0" w:after="283"/>
              <w:jc w:val="left"/>
              <w:rPr/>
            </w:pPr>
            <w:r>
              <w:rPr/>
              <w:t> </w:t>
            </w:r>
          </w:p>
        </w:tc>
      </w:tr>
      <w:tr>
        <w:trPr/>
        <w:tc>
          <w:tcPr>
            <w:tcW w:w="4385" w:type="dxa"/>
            <w:tcBorders/>
            <w:shd w:fill="FFFFFF" w:val="clear"/>
            <w:vAlign w:val="center"/>
          </w:tcPr>
          <w:p>
            <w:pPr>
              <w:pStyle w:val="TableContents"/>
              <w:spacing w:before="0" w:after="283"/>
              <w:jc w:val="left"/>
              <w:rPr/>
            </w:pPr>
            <w:r>
              <w:rPr/>
              <w:t>Stock option and other noncash compensation</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997</w:t>
            </w:r>
          </w:p>
        </w:tc>
        <w:tc>
          <w:tcPr>
            <w:tcW w:w="157" w:type="dxa"/>
            <w:tcBorders/>
            <w:shd w:fill="FFFFFF" w:val="clear"/>
            <w:vAlign w:val="center"/>
          </w:tcPr>
          <w:p>
            <w:pPr>
              <w:pStyle w:val="TableContents"/>
              <w:spacing w:before="0" w:after="283"/>
              <w:jc w:val="left"/>
              <w:rPr/>
            </w:pPr>
            <w:r>
              <w:rPr/>
              <w:t> </w:t>
            </w:r>
          </w:p>
        </w:tc>
        <w:tc>
          <w:tcPr>
            <w:tcW w:w="99"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744</w:t>
            </w:r>
          </w:p>
        </w:tc>
        <w:tc>
          <w:tcPr>
            <w:tcW w:w="110" w:type="dxa"/>
            <w:tcBorders/>
            <w:shd w:fill="FFFFFF" w:val="clear"/>
            <w:vAlign w:val="center"/>
          </w:tcPr>
          <w:p>
            <w:pPr>
              <w:pStyle w:val="TableContents"/>
              <w:spacing w:before="0" w:after="283"/>
              <w:jc w:val="left"/>
              <w:rPr/>
            </w:pPr>
            <w:r>
              <w:rPr/>
              <w:t> </w:t>
            </w:r>
          </w:p>
        </w:tc>
      </w:tr>
      <w:tr>
        <w:trPr/>
        <w:tc>
          <w:tcPr>
            <w:tcW w:w="4385" w:type="dxa"/>
            <w:tcBorders/>
            <w:shd w:fill="CCEEFF" w:val="clear"/>
            <w:vAlign w:val="center"/>
          </w:tcPr>
          <w:p>
            <w:pPr>
              <w:pStyle w:val="TableContents"/>
              <w:spacing w:before="0" w:after="283"/>
              <w:jc w:val="left"/>
              <w:rPr/>
            </w:pPr>
            <w:r>
              <w:rPr/>
              <w:t>Change in fair value of warrant liability</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w:t>
            </w:r>
          </w:p>
        </w:tc>
        <w:tc>
          <w:tcPr>
            <w:tcW w:w="157" w:type="dxa"/>
            <w:tcBorders/>
            <w:shd w:fill="CCEEFF" w:val="clear"/>
            <w:vAlign w:val="center"/>
          </w:tcPr>
          <w:p>
            <w:pPr>
              <w:pStyle w:val="TableContents"/>
              <w:spacing w:before="0" w:after="283"/>
              <w:jc w:val="left"/>
              <w:rPr/>
            </w:pPr>
            <w:r>
              <w:rPr/>
              <w:t> </w:t>
            </w:r>
          </w:p>
        </w:tc>
        <w:tc>
          <w:tcPr>
            <w:tcW w:w="99"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7</w:t>
            </w:r>
          </w:p>
        </w:tc>
        <w:tc>
          <w:tcPr>
            <w:tcW w:w="110" w:type="dxa"/>
            <w:tcBorders/>
            <w:shd w:fill="CCEEFF" w:val="clear"/>
            <w:vAlign w:val="center"/>
          </w:tcPr>
          <w:p>
            <w:pPr>
              <w:pStyle w:val="TableContents"/>
              <w:spacing w:before="0" w:after="283"/>
              <w:jc w:val="left"/>
              <w:rPr/>
            </w:pPr>
            <w:r>
              <w:rPr/>
              <w:t> </w:t>
            </w:r>
          </w:p>
        </w:tc>
      </w:tr>
      <w:tr>
        <w:trPr/>
        <w:tc>
          <w:tcPr>
            <w:tcW w:w="4385" w:type="dxa"/>
            <w:tcBorders/>
            <w:shd w:fill="FFFFFF" w:val="clear"/>
            <w:vAlign w:val="center"/>
          </w:tcPr>
          <w:p>
            <w:pPr>
              <w:pStyle w:val="TableContents"/>
              <w:spacing w:before="0" w:after="283"/>
              <w:jc w:val="left"/>
              <w:rPr/>
            </w:pPr>
            <w:r>
              <w:rPr/>
              <w:t>Gain on forgiveness of PPP note payable</w:t>
            </w:r>
          </w:p>
        </w:tc>
        <w:tc>
          <w:tcPr>
            <w:tcW w:w="60"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(770</w:t>
            </w:r>
          </w:p>
        </w:tc>
        <w:tc>
          <w:tcPr>
            <w:tcW w:w="157" w:type="dxa"/>
            <w:tcBorders/>
            <w:shd w:fill="FFFFFF" w:val="clear"/>
            <w:vAlign w:val="center"/>
          </w:tcPr>
          <w:p>
            <w:pPr>
              <w:pStyle w:val="TableContents"/>
              <w:spacing w:before="0" w:after="283"/>
              <w:jc w:val="left"/>
              <w:rPr/>
            </w:pPr>
            <w:r>
              <w:rPr/>
              <w:t>)</w:t>
            </w:r>
          </w:p>
        </w:tc>
        <w:tc>
          <w:tcPr>
            <w:tcW w:w="99" w:type="dxa"/>
            <w:tcBorders/>
            <w:shd w:fill="FFFFFF" w:val="clear"/>
            <w:vAlign w:val="center"/>
          </w:tcPr>
          <w:p>
            <w:pPr>
              <w:pStyle w:val="TableContents"/>
              <w:spacing w:before="0" w:after="283"/>
              <w:rPr/>
            </w:pPr>
            <w:r>
              <w:rPr/>
              <w:t> </w:t>
            </w:r>
          </w:p>
        </w:tc>
        <w:tc>
          <w:tcPr>
            <w:tcW w:w="231" w:type="dxa"/>
            <w:tcBorders/>
            <w:shd w:fill="FFFFFF" w:val="clear"/>
            <w:vAlign w:val="center"/>
          </w:tcPr>
          <w:p>
            <w:pPr>
              <w:pStyle w:val="TableContents"/>
              <w:spacing w:before="0" w:after="283"/>
              <w:jc w:val="left"/>
              <w:rPr/>
            </w:pPr>
            <w:r>
              <w:rPr/>
              <w:t> </w:t>
            </w:r>
          </w:p>
        </w:tc>
        <w:tc>
          <w:tcPr>
            <w:tcW w:w="1052"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385" w:type="dxa"/>
            <w:tcBorders/>
            <w:shd w:fill="CCEEFF" w:val="clear"/>
            <w:vAlign w:val="center"/>
          </w:tcPr>
          <w:p>
            <w:pPr>
              <w:pStyle w:val="TableContents"/>
              <w:spacing w:before="0" w:after="283"/>
              <w:jc w:val="left"/>
              <w:rPr/>
            </w:pPr>
            <w:r>
              <w:rPr/>
              <w:t>Legal settlements</w:t>
            </w:r>
          </w:p>
        </w:tc>
        <w:tc>
          <w:tcPr>
            <w:tcW w:w="60" w:type="dxa"/>
            <w:tcBorders/>
            <w:shd w:fill="CCEEFF" w:val="clear"/>
            <w:vAlign w:val="center"/>
          </w:tcPr>
          <w:p>
            <w:pPr>
              <w:pStyle w:val="TableContents"/>
              <w:spacing w:before="0" w:after="283"/>
              <w:rPr/>
            </w:pPr>
            <w:r>
              <w:rPr/>
              <w:t> </w:t>
            </w:r>
          </w:p>
        </w:tc>
        <w:tc>
          <w:tcPr>
            <w:tcW w:w="23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spacing w:before="0" w:after="283"/>
              <w:jc w:val="right"/>
              <w:rPr/>
            </w:pPr>
            <w:r>
              <w:rPr/>
              <w:t>345</w:t>
            </w:r>
          </w:p>
        </w:tc>
        <w:tc>
          <w:tcPr>
            <w:tcW w:w="157" w:type="dxa"/>
            <w:tcBorders/>
            <w:shd w:fill="CCEEFF" w:val="clear"/>
            <w:vAlign w:val="center"/>
          </w:tcPr>
          <w:p>
            <w:pPr>
              <w:pStyle w:val="TableContents"/>
              <w:spacing w:before="0" w:after="283"/>
              <w:jc w:val="left"/>
              <w:rPr/>
            </w:pPr>
            <w:r>
              <w:rPr/>
              <w:t> </w:t>
            </w:r>
          </w:p>
        </w:tc>
        <w:tc>
          <w:tcPr>
            <w:tcW w:w="99" w:type="dxa"/>
            <w:tcBorders/>
            <w:shd w:fill="CCEEFF" w:val="clear"/>
            <w:vAlign w:val="center"/>
          </w:tcPr>
          <w:p>
            <w:pPr>
              <w:pStyle w:val="TableContents"/>
              <w:spacing w:before="0" w:after="283"/>
              <w:rPr/>
            </w:pPr>
            <w:r>
              <w:rPr/>
              <w:t> </w:t>
            </w:r>
          </w:p>
        </w:tc>
        <w:tc>
          <w:tcPr>
            <w:tcW w:w="23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385" w:type="dxa"/>
            <w:tcBorders/>
            <w:shd w:fill="FFFFFF" w:val="clear"/>
            <w:vAlign w:val="center"/>
          </w:tcPr>
          <w:p>
            <w:pPr>
              <w:pStyle w:val="TableContents"/>
              <w:spacing w:before="0" w:after="283"/>
              <w:jc w:val="left"/>
              <w:rPr/>
            </w:pPr>
            <w:r>
              <w:rPr/>
              <w:t>Total EBITDA adjustments</w:t>
            </w:r>
          </w:p>
        </w:tc>
        <w:tc>
          <w:tcPr>
            <w:tcW w:w="60" w:type="dxa"/>
            <w:tcBorders/>
            <w:shd w:fill="FFFFFF" w:val="clear"/>
            <w:vAlign w:val="center"/>
          </w:tcPr>
          <w:p>
            <w:pPr>
              <w:pStyle w:val="TableContents"/>
              <w:spacing w:before="0" w:after="283"/>
              <w:rPr/>
            </w:pPr>
            <w:r>
              <w:rPr/>
              <w:t> </w:t>
            </w:r>
          </w:p>
        </w:tc>
        <w:tc>
          <w:tcPr>
            <w:tcW w:w="231"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052" w:type="dxa"/>
            <w:tcBorders>
              <w:bottom w:val="single" w:sz="12" w:space="0" w:color="000000"/>
            </w:tcBorders>
            <w:shd w:fill="FFFFFF" w:val="clear"/>
            <w:tcMar>
              <w:bottom w:w="28" w:type="dxa"/>
            </w:tcMar>
            <w:vAlign w:val="center"/>
          </w:tcPr>
          <w:p>
            <w:pPr>
              <w:pStyle w:val="TableContents"/>
              <w:spacing w:before="0" w:after="283"/>
              <w:jc w:val="right"/>
              <w:rPr/>
            </w:pPr>
            <w:r>
              <w:rPr/>
              <w:t>1,148</w:t>
            </w:r>
          </w:p>
        </w:tc>
        <w:tc>
          <w:tcPr>
            <w:tcW w:w="157" w:type="dxa"/>
            <w:tcBorders/>
            <w:shd w:fill="FFFFFF" w:val="clear"/>
            <w:vAlign w:val="center"/>
          </w:tcPr>
          <w:p>
            <w:pPr>
              <w:pStyle w:val="TableContents"/>
              <w:spacing w:before="0" w:after="283"/>
              <w:jc w:val="left"/>
              <w:rPr/>
            </w:pPr>
            <w:r>
              <w:rPr/>
              <w:t> </w:t>
            </w:r>
          </w:p>
        </w:tc>
        <w:tc>
          <w:tcPr>
            <w:tcW w:w="99" w:type="dxa"/>
            <w:tcBorders/>
            <w:shd w:fill="FFFFFF" w:val="clear"/>
            <w:vAlign w:val="center"/>
          </w:tcPr>
          <w:p>
            <w:pPr>
              <w:pStyle w:val="TableContents"/>
              <w:spacing w:before="0" w:after="283"/>
              <w:rPr/>
            </w:pPr>
            <w:r>
              <w:rPr/>
              <w:t> </w:t>
            </w:r>
          </w:p>
        </w:tc>
        <w:tc>
          <w:tcPr>
            <w:tcW w:w="231"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1052" w:type="dxa"/>
            <w:tcBorders>
              <w:bottom w:val="single" w:sz="12" w:space="0" w:color="000000"/>
            </w:tcBorders>
            <w:shd w:fill="FFFFFF" w:val="clear"/>
            <w:tcMar>
              <w:bottom w:w="28" w:type="dxa"/>
            </w:tcMar>
            <w:vAlign w:val="center"/>
          </w:tcPr>
          <w:p>
            <w:pPr>
              <w:pStyle w:val="TableContents"/>
              <w:spacing w:before="0" w:after="283"/>
              <w:jc w:val="right"/>
              <w:rPr/>
            </w:pPr>
            <w:r>
              <w:rPr/>
              <w:t>1,476</w:t>
            </w:r>
          </w:p>
        </w:tc>
        <w:tc>
          <w:tcPr>
            <w:tcW w:w="110" w:type="dxa"/>
            <w:tcBorders/>
            <w:shd w:fill="FFFFFF" w:val="clear"/>
            <w:vAlign w:val="center"/>
          </w:tcPr>
          <w:p>
            <w:pPr>
              <w:pStyle w:val="TableContents"/>
              <w:spacing w:before="0" w:after="283"/>
              <w:jc w:val="left"/>
              <w:rPr/>
            </w:pPr>
            <w:r>
              <w:rPr/>
              <w:t> </w:t>
            </w:r>
          </w:p>
        </w:tc>
      </w:tr>
      <w:tr>
        <w:trPr/>
        <w:tc>
          <w:tcPr>
            <w:tcW w:w="43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 </w:t>
            </w:r>
          </w:p>
        </w:tc>
        <w:tc>
          <w:tcPr>
            <w:tcW w:w="157" w:type="dxa"/>
            <w:tcBorders/>
            <w:shd w:fill="CCEEFF" w:val="clear"/>
            <w:vAlign w:val="center"/>
          </w:tcPr>
          <w:p>
            <w:pPr>
              <w:pStyle w:val="TableContents"/>
              <w:spacing w:before="0" w:after="283"/>
              <w:jc w:val="left"/>
              <w:rPr/>
            </w:pPr>
            <w:r>
              <w:rPr/>
              <w:t> </w:t>
            </w:r>
          </w:p>
        </w:tc>
        <w:tc>
          <w:tcPr>
            <w:tcW w:w="99"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385" w:type="dxa"/>
            <w:tcBorders/>
            <w:shd w:fill="FFFFFF" w:val="clear"/>
            <w:vAlign w:val="center"/>
          </w:tcPr>
          <w:p>
            <w:pPr>
              <w:pStyle w:val="TableContents"/>
              <w:spacing w:before="0" w:after="283"/>
              <w:jc w:val="left"/>
              <w:rPr/>
            </w:pPr>
            <w:r>
              <w:rPr/>
              <w:t>Modified EBITDA</w:t>
            </w:r>
          </w:p>
        </w:tc>
        <w:tc>
          <w:tcPr>
            <w:tcW w:w="60" w:type="dxa"/>
            <w:tcBorders/>
            <w:shd w:fill="FFFFFF" w:val="clear"/>
            <w:vAlign w:val="center"/>
          </w:tcPr>
          <w:p>
            <w:pPr>
              <w:pStyle w:val="TableContents"/>
              <w:spacing w:before="0" w:after="283"/>
              <w:rPr/>
            </w:pPr>
            <w:r>
              <w:rPr/>
              <w:t> </w:t>
            </w:r>
          </w:p>
        </w:tc>
        <w:tc>
          <w:tcPr>
            <w:tcW w:w="231"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052" w:type="dxa"/>
            <w:tcBorders>
              <w:bottom w:val="double" w:sz="6" w:space="0" w:color="000000"/>
            </w:tcBorders>
            <w:shd w:fill="FFFFFF" w:val="clear"/>
            <w:tcMar>
              <w:bottom w:w="28" w:type="dxa"/>
            </w:tcMar>
            <w:vAlign w:val="center"/>
          </w:tcPr>
          <w:p>
            <w:pPr>
              <w:pStyle w:val="TableContents"/>
              <w:spacing w:before="0" w:after="283"/>
              <w:jc w:val="right"/>
              <w:rPr/>
            </w:pPr>
            <w:r>
              <w:rPr/>
              <w:t>(6,501</w:t>
            </w:r>
          </w:p>
        </w:tc>
        <w:tc>
          <w:tcPr>
            <w:tcW w:w="157" w:type="dxa"/>
            <w:tcBorders/>
            <w:shd w:fill="FFFFFF" w:val="clear"/>
            <w:vAlign w:val="center"/>
          </w:tcPr>
          <w:p>
            <w:pPr>
              <w:pStyle w:val="TableContents"/>
              <w:spacing w:before="0" w:after="283"/>
              <w:jc w:val="left"/>
              <w:rPr/>
            </w:pPr>
            <w:r>
              <w:rPr/>
              <w:t>)</w:t>
            </w:r>
          </w:p>
        </w:tc>
        <w:tc>
          <w:tcPr>
            <w:tcW w:w="99" w:type="dxa"/>
            <w:tcBorders/>
            <w:shd w:fill="FFFFFF" w:val="clear"/>
            <w:vAlign w:val="center"/>
          </w:tcPr>
          <w:p>
            <w:pPr>
              <w:pStyle w:val="TableContents"/>
              <w:spacing w:before="0" w:after="283"/>
              <w:rPr/>
            </w:pPr>
            <w:r>
              <w:rPr/>
              <w:t> </w:t>
            </w:r>
          </w:p>
        </w:tc>
        <w:tc>
          <w:tcPr>
            <w:tcW w:w="231"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052" w:type="dxa"/>
            <w:tcBorders>
              <w:bottom w:val="double" w:sz="6" w:space="0" w:color="000000"/>
            </w:tcBorders>
            <w:shd w:fill="FFFFFF" w:val="clear"/>
            <w:tcMar>
              <w:bottom w:w="28" w:type="dxa"/>
            </w:tcMar>
            <w:vAlign w:val="center"/>
          </w:tcPr>
          <w:p>
            <w:pPr>
              <w:pStyle w:val="TableContents"/>
              <w:spacing w:before="0" w:after="283"/>
              <w:jc w:val="right"/>
              <w:rPr/>
            </w:pPr>
            <w:r>
              <w:rPr/>
              <w:t>(2,854</w:t>
            </w:r>
          </w:p>
        </w:tc>
        <w:tc>
          <w:tcPr>
            <w:tcW w:w="110" w:type="dxa"/>
            <w:tcBorders/>
            <w:shd w:fill="FFFFFF" w:val="clear"/>
            <w:vAlign w:val="center"/>
          </w:tcPr>
          <w:p>
            <w:pPr>
              <w:pStyle w:val="TableContents"/>
              <w:spacing w:before="0" w:after="283"/>
              <w:jc w:val="left"/>
              <w:rPr/>
            </w:pPr>
            <w:r>
              <w:rPr/>
              <w: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99"/>
        <w:gridCol w:w="9931"/>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our cash expenditures, or future requirements, for capital expenditures or contractual commitments;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 </w:t>
            </w:r>
          </w:p>
        </w:tc>
        <w:tc>
          <w:tcPr>
            <w:tcW w:w="993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changes in, or cash requirements for, our working capital needs;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 </w:t>
            </w:r>
          </w:p>
        </w:tc>
        <w:tc>
          <w:tcPr>
            <w:tcW w:w="993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Modified EBITDA does not reflect future interest expense, or the cash requirements necessary to service interest or principal payments, on our debts;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 </w:t>
            </w:r>
          </w:p>
        </w:tc>
        <w:tc>
          <w:tcPr>
            <w:tcW w:w="993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9" w:type="dxa"/>
            <w:tcBorders/>
            <w:shd w:fill="auto" w:val="clear"/>
            <w:vAlign w:val="center"/>
          </w:tcPr>
          <w:p>
            <w:pPr>
              <w:pStyle w:val="TableContents"/>
              <w:spacing w:before="0" w:after="283"/>
              <w:rPr>
                <w:caps w:val="false"/>
                <w:smallCaps w:val="false"/>
              </w:rPr>
            </w:pPr>
            <w:r>
              <w:rPr>
                <w:caps w:val="false"/>
                <w:smallCaps w:val="false"/>
              </w:rPr>
              <w:t xml:space="preserve">● </w:t>
            </w:r>
          </w:p>
        </w:tc>
        <w:tc>
          <w:tcPr>
            <w:tcW w:w="993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Modified EBITDA does not reflect any cash requirements for such replacements.</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Liquidity and Capital Resources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under the assumption that the Company will continue as a going concern. Such assumption contemplates the realization of assets and satisfaction of liabilities in the normal course of business.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2021, the Company recorded a net loss of $7,649 and used cash in operations of $10,309. As of June 30, 2021, we had a cash balance of $654 with borrowing capacity of $4,343, a stockholder’s equity of $11,566 and a working capital of $10,470, compared to a cash balance of $595 with borrowing capacity of $5,166, stockholders’ equity of $10,404 and a working capital of $9,528 at December 31, 2020. Notwithstanding the net loss for the six months ended June 30, 2021, management projects adequate cash from operations and available line of credit to ensure continuation of the Company as a going concern for at least one year from the date of this quarterly report.</w:t>
      </w:r>
    </w:p>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Use of Estimates and Assumptions.</w:t>
      </w:r>
      <w:r>
        <w:rPr>
          <w:rFonts w:ascii="Times New Roman;Times;Serif" w:hAnsi="Times New Roman;Times;Serif"/>
          <w:b w:val="false"/>
          <w:i w:val="false"/>
          <w:caps w:val="false"/>
          <w:smallCaps w:val="false"/>
          <w:sz w:val="20"/>
        </w:rPr>
        <w:t xml:space="preserve"> 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receivables, assumptions used in valuing inventories at net realizable value, impairment testing of recorded long-term tangible and intangible assets, the valuation allowance for deferred tax assets, accruals for potential liabilities, assumptions made in valuing stock instruments issued for services, and assumptions used in valuing warrant liabilities, and assumptions used in the determination of the Company’s liquidity.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Accounts Receivable. </w:t>
      </w:r>
      <w:r>
        <w:rPr>
          <w:rFonts w:ascii="Times New Roman;Times;Serif" w:hAnsi="Times New Roman;Times;Serif"/>
          <w:b w:val="false"/>
          <w:i w:val="false"/>
          <w:caps w:val="false"/>
          <w:smallCaps w:val="false"/>
          <w:sz w:val="20"/>
        </w:rPr>
        <w:t>Accounts receivable are recorded at the invoiced amounts. 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Inventory. </w:t>
      </w:r>
      <w:r>
        <w:rPr>
          <w:rFonts w:ascii="Times New Roman;Times;Serif" w:hAnsi="Times New Roman;Times;Serif"/>
          <w:b w:val="false"/>
          <w:i w:val="false"/>
          <w:caps w:val="false"/>
          <w:smallCaps w:val="false"/>
          <w:sz w:val="20"/>
        </w:rPr>
        <w:t>Inventory is stated at the lower of cost or net realizable value. We regularly review our inventory quantities on hand and record a provision for 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Revenue Recognition</w:t>
      </w:r>
      <w:r>
        <w:rPr>
          <w:rFonts w:ascii="Times New Roman;Times;Serif" w:hAnsi="Times New Roman;Times;Serif"/>
          <w:b w:val="false"/>
          <w:i w:val="false"/>
          <w:caps w:val="false"/>
          <w:smallCaps w:val="false"/>
          <w:sz w:val="20"/>
        </w:rPr>
        <w:t>.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Compensation Expense</w:t>
      </w:r>
      <w:r>
        <w:rPr>
          <w:rFonts w:ascii="Times New Roman;Times;Serif" w:hAnsi="Times New Roman;Times;Serif"/>
          <w:b w:val="false"/>
          <w:i w:val="false"/>
          <w:caps w:val="false"/>
          <w:smallCaps w:val="false"/>
          <w:sz w:val="20"/>
        </w:rPr>
        <w:t>. The Company periodically issues stock options and restricted stock awards to employees and non-employees in non-capital raising transactions for services and for financing costs. The Company accounts for such grants issued and vesting based on ASC 718, Compensation-Stock Compensation whereby the value of the award is measured on the date of grant and recognized as compensation expense on the straight-line basis over the vesting period. The Company recognizes the fair value of stock-based compensation within its Statements of Operations with classification depending on the nature of the services rendered.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of the Notes to Condensed Financial Statements for a discussion of recent accounting pronouncements.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70" w:name="ar_009"/>
      <w:bookmarkEnd w:id="570"/>
      <w:r>
        <w:rPr>
          <w:rFonts w:ascii="Times New Roman;Times;Serif" w:hAnsi="Times New Roman;Times;Serif"/>
          <w:b/>
          <w:i w:val="false"/>
          <w:caps w:val="false"/>
          <w:smallCaps w:val="false"/>
          <w:sz w:val="20"/>
        </w:rPr>
        <w:t>Item 3. Quantitative and Qualitative Disclosures About Market Risk.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smaller reporting company is not required to provide the information required by this Item.</w:t>
      </w:r>
    </w:p>
    <w:p>
      <w:pPr>
        <w:pStyle w:val="TextBody"/>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71" w:name="ar_010"/>
      <w:bookmarkEnd w:id="571"/>
      <w:r>
        <w:rPr>
          <w:rFonts w:ascii="Times New Roman;Times;Serif" w:hAnsi="Times New Roman;Times;Serif"/>
          <w:b/>
          <w:i w:val="false"/>
          <w:caps w:val="false"/>
          <w:smallCaps w:val="false"/>
          <w:sz w:val="20"/>
        </w:rPr>
        <w:t>Item 4. Controls and Procedures.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Evaluation of Disclosure Controls and Procedures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June 30, 2021,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internal control over financial reporting during the three months ended June 30, 2021 that have materially affected, or are reasonably likely to materially affect, the Company’s internal control over financial reporting.</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72" w:name="ar_011"/>
      <w:bookmarkEnd w:id="572"/>
      <w:r>
        <w:rPr>
          <w:rFonts w:ascii="Times New Roman;Times;Serif" w:hAnsi="Times New Roman;Times;Serif"/>
          <w:b/>
          <w:i w:val="false"/>
          <w:caps w:val="false"/>
          <w:smallCaps w:val="false"/>
          <w:sz w:val="20"/>
        </w:rPr>
        <w:t>PART II – OTHER INFORMATION</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73" w:name="ar_012"/>
      <w:bookmarkEnd w:id="573"/>
      <w:r>
        <w:rPr>
          <w:rFonts w:ascii="Times New Roman;Times;Serif" w:hAnsi="Times New Roman;Times;Serif"/>
          <w:b/>
          <w:i w:val="false"/>
          <w:caps w:val="false"/>
          <w:smallCaps w:val="false"/>
          <w:sz w:val="20"/>
        </w:rPr>
        <w:t>Item 1. Legal Proceedings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legal proceedings from time to time in the ordinary course of business, none of which are required to be disclosed under this Item 1.</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74" w:name="ar_013"/>
      <w:bookmarkEnd w:id="574"/>
      <w:r>
        <w:rPr>
          <w:rFonts w:ascii="Times New Roman;Times;Serif" w:hAnsi="Times New Roman;Times;Serif"/>
          <w:b/>
          <w:i w:val="false"/>
          <w:caps w:val="false"/>
          <w:smallCaps w:val="false"/>
          <w:sz w:val="20"/>
        </w:rPr>
        <w:t>Item 1A. Risk Factors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following risk factors and the other information set forth in this Quarterly Report on Form 10-Q, you should carefully consider the risk factors discussed in Part I, Item 1A of our Annual Report on Form 10-K (our Form 10-K) for the year ended December 31, 2020 and any subsequent filings with the Securities and Exchange Commission (SEC) made prior to the date hereof, which could materially affect our business, financial condition, results of operations or future results. The risks and uncertainties discussed below,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The risk factor below updates, and should be read together with, the risk factors disclosed in Part I, Item 1A of our Form 10-K. Please also read the Cautionary Notice Regarding Forward-Looking Statements and Information in Part I, Item 2 of this Quarterly Report on Form 10-Q under the heading “Management’s Discussion and Analysis of Financial Condition and Results of Operations”.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costs of freight may have an adverse impact on our gross and operating margins.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capacity in the freight market has not kept up with demand and increased freight rates. During the six months ended June 30, 2021, we experienced higher transportation expenses. We believe that costs will continue to increase throughout fiscal 2021. We are implementing mitigation plans to manage this risk; however, due to the price sensitivity of our products, we may not be able to pass such increases on to our customers. For a discussion of increased delivery and handling expenses, see “Operating Expenses” under the heading “Management’s Discussion and Analysis of Financial Condition and Results of Operations” in Part I, Item 2 of this Form 10-Q.</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75" w:name="ar_014"/>
      <w:bookmarkEnd w:id="575"/>
      <w:r>
        <w:rPr>
          <w:rFonts w:ascii="Times New Roman;Times;Serif" w:hAnsi="Times New Roman;Times;Serif"/>
          <w:b/>
          <w:i w:val="false"/>
          <w:caps w:val="false"/>
          <w:smallCaps w:val="false"/>
          <w:sz w:val="20"/>
        </w:rPr>
        <w:t>Item 2. Unregistered Sales of Equity Securities and Use of Proceeds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that have not been previously disclosed in a Current Report on Form 8-K.</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76" w:name="ar_015"/>
      <w:bookmarkEnd w:id="576"/>
      <w:r>
        <w:rPr>
          <w:rFonts w:ascii="Times New Roman;Times;Serif" w:hAnsi="Times New Roman;Times;Serif"/>
          <w:b/>
          <w:i w:val="false"/>
          <w:caps w:val="false"/>
          <w:smallCaps w:val="false"/>
          <w:sz w:val="20"/>
        </w:rPr>
        <w:t>Item 3. Defaults Upon Senior Securities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77" w:name="ar_016"/>
      <w:bookmarkEnd w:id="577"/>
      <w:r>
        <w:rPr>
          <w:rFonts w:ascii="Times New Roman;Times;Serif" w:hAnsi="Times New Roman;Times;Serif"/>
          <w:b/>
          <w:i w:val="false"/>
          <w:caps w:val="false"/>
          <w:smallCaps w:val="false"/>
          <w:sz w:val="20"/>
        </w:rPr>
        <w:t>Item 4. Mine Safety Disclosures</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78" w:name="ar_017"/>
      <w:bookmarkEnd w:id="578"/>
      <w:r>
        <w:rPr>
          <w:rFonts w:ascii="Times New Roman;Times;Serif" w:hAnsi="Times New Roman;Times;Serif"/>
          <w:b/>
          <w:i w:val="false"/>
          <w:caps w:val="false"/>
          <w:smallCaps w:val="false"/>
          <w:sz w:val="20"/>
        </w:rPr>
        <w:t>Item 5. Other Information</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bookmarkStart w:id="579" w:name="ar_018"/>
      <w:bookmarkEnd w:id="579"/>
      <w:r>
        <w:rPr>
          <w:rFonts w:ascii="Times New Roman;Times;Serif" w:hAnsi="Times New Roman;Times;Serif"/>
          <w:b/>
          <w:i w:val="false"/>
          <w:caps w:val="false"/>
          <w:smallCaps w:val="false"/>
          <w:sz w:val="20"/>
        </w:rPr>
        <w:t>Item 6. Exhibits</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8"/>
        <w:gridCol w:w="60"/>
        <w:gridCol w:w="6016"/>
        <w:gridCol w:w="60"/>
        <w:gridCol w:w="800"/>
        <w:gridCol w:w="60"/>
        <w:gridCol w:w="500"/>
        <w:gridCol w:w="60"/>
        <w:gridCol w:w="650"/>
        <w:gridCol w:w="60"/>
        <w:gridCol w:w="496"/>
        <w:gridCol w:w="60"/>
        <w:gridCol w:w="665"/>
      </w:tblGrid>
      <w:tr>
        <w:trPr/>
        <w:tc>
          <w:tcPr>
            <w:tcW w:w="718"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16"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491" w:type="dxa"/>
            <w:gridSpan w:val="7"/>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r>
      <w:tr>
        <w:trPr/>
        <w:tc>
          <w:tcPr>
            <w:tcW w:w="718"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16"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80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50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5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496"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6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Filed</w:t>
            </w:r>
          </w:p>
        </w:tc>
      </w:tr>
      <w:tr>
        <w:trPr/>
        <w:tc>
          <w:tcPr>
            <w:tcW w:w="718"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16" w:type="dxa"/>
            <w:tcBorders/>
            <w:shd w:fill="auto" w:val="clear"/>
            <w:vAlign w:val="center"/>
          </w:tcPr>
          <w:p>
            <w:pPr>
              <w:pStyle w:val="TableContents"/>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96"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71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16" w:type="dxa"/>
            <w:tcBorders/>
            <w:shd w:fill="FFFFFF" w:val="clear"/>
            <w:vAlign w:val="center"/>
          </w:tcPr>
          <w:p>
            <w:pPr>
              <w:pStyle w:val="TableContents"/>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5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6"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6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18"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16" w:type="dxa"/>
            <w:tcBorders/>
            <w:shd w:fill="auto" w:val="clear"/>
            <w:vAlign w:val="center"/>
          </w:tcPr>
          <w:p>
            <w:pPr>
              <w:pStyle w:val="TableContents"/>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0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96"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6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71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16" w:type="dxa"/>
            <w:tcBorders/>
            <w:shd w:fill="FFFFFF" w:val="clear"/>
            <w:vAlign w:val="center"/>
          </w:tcPr>
          <w:p>
            <w:pPr>
              <w:pStyle w:val="TableContents"/>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6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1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16"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6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1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16"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 Document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6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1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16"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 Linkbase Document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6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1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16"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 Linkbase Document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6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1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16"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 Linkbase Document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6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18"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16" w:type="dxa"/>
            <w:tcBorders/>
            <w:shd w:fill="FFFFFF"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 Linkbase Document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9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65" w:type="dxa"/>
            <w:tcBorders/>
            <w:shd w:fill="FFFFFF" w:val="clear"/>
            <w:vAlign w:val="center"/>
          </w:tcPr>
          <w:p>
            <w:pPr>
              <w:pStyle w:val="TableContents"/>
              <w:spacing w:before="0" w:after="283"/>
              <w:jc w:val="center"/>
              <w:rPr>
                <w:caps w:val="false"/>
                <w:smallCaps w:val="false"/>
              </w:rPr>
            </w:pPr>
            <w:r>
              <w:rPr>
                <w:caps w:val="false"/>
                <w:smallCaps w:val="false"/>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Release 33-8238, Exhibits 32.1 and 32.2 are being furnished and not filed.</w:t>
      </w:r>
    </w:p>
    <w:p>
      <w:pPr>
        <w:pStyle w:val="TextBody"/>
        <w:ind w:left="0" w:right="0" w:firstLine="72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pStyle w:val="TextBody"/>
        <w:jc w:val="center"/>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p>
      <w:pPr>
        <w:pStyle w:val="TextBody"/>
        <w:spacing w:before="0" w:after="0"/>
        <w:ind w:left="0" w:right="0" w:hanging="0"/>
        <w:rPr/>
      </w:pPr>
      <w:r>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ind w:left="0" w:right="0" w:firstLine="720"/>
        <w:jc w:val="both"/>
        <w:rPr>
          <w:caps w:val="false"/>
          <w:smallCaps w:val="false"/>
        </w:rPr>
      </w:pPr>
      <w:r>
        <w:rPr>
          <w:caps w:val="false"/>
          <w:smallCaps w:val="false"/>
        </w:rPr>
        <w:t> </w:t>
      </w:r>
    </w:p>
    <w:tbl>
      <w:tblPr>
        <w:tblW w:w="4225" w:type="dxa"/>
        <w:jc w:val="left"/>
        <w:tblInd w:w="0" w:type="dxa"/>
        <w:tblCellMar>
          <w:top w:w="0" w:type="dxa"/>
          <w:left w:w="0" w:type="dxa"/>
          <w:bottom w:w="0" w:type="dxa"/>
          <w:right w:w="0" w:type="dxa"/>
        </w:tblCellMar>
      </w:tblPr>
      <w:tblGrid>
        <w:gridCol w:w="1865"/>
        <w:gridCol w:w="2360"/>
      </w:tblGrid>
      <w:tr>
        <w:trPr/>
        <w:tc>
          <w:tcPr>
            <w:tcW w:w="186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 Inc.</w:t>
            </w:r>
          </w:p>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86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8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2021</w:t>
            </w:r>
          </w:p>
        </w:tc>
        <w:tc>
          <w:tcPr>
            <w:tcW w:w="23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Norman E. Snyder, Jr.</w:t>
            </w:r>
          </w:p>
        </w:tc>
      </w:tr>
      <w:tr>
        <w:trPr/>
        <w:tc>
          <w:tcPr>
            <w:tcW w:w="186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w:t>
            </w:r>
          </w:p>
        </w:tc>
      </w:tr>
      <w:tr>
        <w:trPr/>
        <w:tc>
          <w:tcPr>
            <w:tcW w:w="186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6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86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8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2021</w:t>
            </w:r>
          </w:p>
        </w:tc>
        <w:tc>
          <w:tcPr>
            <w:tcW w:w="23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Thomas J. Spisak</w:t>
            </w:r>
          </w:p>
        </w:tc>
      </w:tr>
      <w:tr>
        <w:trPr/>
        <w:tc>
          <w:tcPr>
            <w:tcW w:w="186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J. Spisak</w:t>
            </w:r>
          </w:p>
        </w:tc>
      </w:tr>
      <w:tr>
        <w:trPr/>
        <w:tc>
          <w:tcPr>
            <w:tcW w:w="186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shd w:fill="auto" w:val="clear"/>
            <w:vAlign w:val="center"/>
          </w:tcPr>
          <w:p>
            <w:pPr>
              <w:pStyle w:val="TableContents"/>
              <w:spacing w:before="0" w:after="283"/>
              <w:rPr>
                <w:caps w:val="false"/>
                <w:smallCaps w:val="false"/>
              </w:rPr>
            </w:pPr>
            <w:r>
              <w:rPr>
                <w:caps w:val="false"/>
                <w:smallCaps w:val="false"/>
              </w:rPr>
              <w:t> </w:t>
            </w:r>
          </w:p>
        </w:tc>
        <w:tc>
          <w:tcPr>
            <w:tcW w:w="23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p>
      <w:pPr>
        <w:pStyle w:val="TextBody"/>
        <w:jc w:val="both"/>
        <w:rPr>
          <w:caps w:val="false"/>
          <w:smallCaps w:val="false"/>
        </w:rPr>
      </w:pPr>
      <w:r>
        <w:rPr>
          <w:caps w:val="false"/>
          <w:smallCaps w:val="false"/>
        </w:rPr>
        <w:t>  </w:t>
      </w:r>
      <w:r>
        <w:br w:type="page"/>
      </w:r>
    </w:p>
    <w:p>
      <w:pPr>
        <w:pStyle w:val="TextBody"/>
        <w:jc w:val="both"/>
        <w:rPr>
          <w:caps w:val="false"/>
          <w:smallCaps w:val="false"/>
        </w:rPr>
      </w:pPr>
      <w:bookmarkStart w:id="580" w:name="ex31-1.htm"/>
      <w:bookmarkStart w:id="581" w:name="ksex311"/>
      <w:bookmarkEnd w:id="580"/>
      <w:bookmarkEnd w:id="581"/>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 SECTION 302</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Norman E. Snyder, Jr., certify that:</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4"/>
        <w:gridCol w:w="170"/>
        <w:gridCol w:w="9881"/>
      </w:tblGrid>
      <w:tr>
        <w:trPr/>
        <w:tc>
          <w:tcPr>
            <w:tcW w:w="15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1.</w:t>
            </w:r>
          </w:p>
        </w:tc>
        <w:tc>
          <w:tcPr>
            <w:tcW w:w="10051"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Reed’s, Inc.;</w:t>
            </w:r>
          </w:p>
        </w:tc>
      </w:tr>
      <w:tr>
        <w:trPr/>
        <w:tc>
          <w:tcPr>
            <w:tcW w:w="154" w:type="dxa"/>
            <w:tcBorders/>
            <w:shd w:fill="auto" w:val="clear"/>
            <w:vAlign w:val="center"/>
          </w:tcPr>
          <w:p>
            <w:pPr>
              <w:pStyle w:val="TableContents"/>
              <w:spacing w:before="0" w:after="283"/>
              <w:jc w:val="both"/>
              <w:rPr/>
            </w:pPr>
            <w:r>
              <w:rPr/>
              <w:t> </w:t>
            </w:r>
          </w:p>
        </w:tc>
        <w:tc>
          <w:tcPr>
            <w:tcW w:w="10051" w:type="dxa"/>
            <w:gridSpan w:val="2"/>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2.</w:t>
            </w:r>
          </w:p>
        </w:tc>
        <w:tc>
          <w:tcPr>
            <w:tcW w:w="10051"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4" w:type="dxa"/>
            <w:tcBorders/>
            <w:shd w:fill="auto" w:val="clear"/>
            <w:vAlign w:val="center"/>
          </w:tcPr>
          <w:p>
            <w:pPr>
              <w:pStyle w:val="TableContents"/>
              <w:spacing w:before="0" w:after="283"/>
              <w:jc w:val="both"/>
              <w:rPr/>
            </w:pPr>
            <w:r>
              <w:rPr/>
              <w:t> </w:t>
            </w:r>
          </w:p>
        </w:tc>
        <w:tc>
          <w:tcPr>
            <w:tcW w:w="10051" w:type="dxa"/>
            <w:gridSpan w:val="2"/>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3.</w:t>
            </w:r>
          </w:p>
        </w:tc>
        <w:tc>
          <w:tcPr>
            <w:tcW w:w="10051"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4" w:type="dxa"/>
            <w:tcBorders/>
            <w:shd w:fill="auto" w:val="clear"/>
            <w:vAlign w:val="center"/>
          </w:tcPr>
          <w:p>
            <w:pPr>
              <w:pStyle w:val="TableContents"/>
              <w:spacing w:before="0" w:after="283"/>
              <w:jc w:val="both"/>
              <w:rPr/>
            </w:pPr>
            <w:r>
              <w:rPr/>
              <w:t> </w:t>
            </w:r>
          </w:p>
        </w:tc>
        <w:tc>
          <w:tcPr>
            <w:tcW w:w="10051" w:type="dxa"/>
            <w:gridSpan w:val="2"/>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4.</w:t>
            </w:r>
          </w:p>
        </w:tc>
        <w:tc>
          <w:tcPr>
            <w:tcW w:w="10051"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54" w:type="dxa"/>
            <w:tcBorders/>
            <w:shd w:fill="auto" w:val="clear"/>
            <w:vAlign w:val="center"/>
          </w:tcPr>
          <w:p>
            <w:pPr>
              <w:pStyle w:val="TableContents"/>
              <w:spacing w:before="0" w:after="283"/>
              <w:jc w:val="both"/>
              <w:rPr/>
            </w:pPr>
            <w:r>
              <w:rPr/>
              <w:t> </w:t>
            </w:r>
          </w:p>
        </w:tc>
        <w:tc>
          <w:tcPr>
            <w:tcW w:w="10051" w:type="dxa"/>
            <w:gridSpan w:val="2"/>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81" w:type="dxa"/>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81" w:type="dxa"/>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81" w:type="dxa"/>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81" w:type="dxa"/>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5.</w:t>
            </w:r>
          </w:p>
        </w:tc>
        <w:tc>
          <w:tcPr>
            <w:tcW w:w="10051"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54" w:type="dxa"/>
            <w:tcBorders/>
            <w:shd w:fill="auto" w:val="clear"/>
            <w:vAlign w:val="center"/>
          </w:tcPr>
          <w:p>
            <w:pPr>
              <w:pStyle w:val="TableContents"/>
              <w:spacing w:before="0" w:after="283"/>
              <w:jc w:val="both"/>
              <w:rPr/>
            </w:pPr>
            <w:r>
              <w:rPr/>
              <w:t> </w:t>
            </w:r>
          </w:p>
        </w:tc>
        <w:tc>
          <w:tcPr>
            <w:tcW w:w="10051" w:type="dxa"/>
            <w:gridSpan w:val="2"/>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81" w:type="dxa"/>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ind w:left="0" w:right="0" w:firstLine="720"/>
        <w:rPr>
          <w:caps w:val="false"/>
          <w:smallCaps w:val="false"/>
        </w:rPr>
      </w:pPr>
      <w:r>
        <w:rPr>
          <w:caps w:val="false"/>
          <w:smallCaps w:val="false"/>
        </w:rPr>
        <w:t> </w:t>
      </w:r>
    </w:p>
    <w:tbl>
      <w:tblPr>
        <w:tblW w:w="4225" w:type="dxa"/>
        <w:jc w:val="left"/>
        <w:tblInd w:w="0" w:type="dxa"/>
        <w:tblCellMar>
          <w:top w:w="0" w:type="dxa"/>
          <w:left w:w="0" w:type="dxa"/>
          <w:bottom w:w="0" w:type="dxa"/>
          <w:right w:w="0" w:type="dxa"/>
        </w:tblCellMar>
      </w:tblPr>
      <w:tblGrid>
        <w:gridCol w:w="1865"/>
        <w:gridCol w:w="2360"/>
      </w:tblGrid>
      <w:tr>
        <w:trPr/>
        <w:tc>
          <w:tcPr>
            <w:tcW w:w="18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August 12, 2021</w:t>
            </w:r>
          </w:p>
        </w:tc>
        <w:tc>
          <w:tcPr>
            <w:tcW w:w="236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/s/ Norman E. Snyder, Jr.</w:t>
            </w:r>
          </w:p>
        </w:tc>
      </w:tr>
      <w:tr>
        <w:trPr/>
        <w:tc>
          <w:tcPr>
            <w:tcW w:w="186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Norman E. Snyder, Jr.</w:t>
            </w:r>
          </w:p>
        </w:tc>
      </w:tr>
      <w:tr>
        <w:trPr/>
        <w:tc>
          <w:tcPr>
            <w:tcW w:w="186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shd w:fill="auto" w:val="clear"/>
            <w:vAlign w:val="center"/>
          </w:tcPr>
          <w:p>
            <w:pPr>
              <w:pStyle w:val="TableContents"/>
              <w:spacing w:before="0" w:after="283"/>
              <w:rPr/>
            </w:pPr>
            <w:r>
              <w:rPr/>
              <w:t> </w:t>
            </w:r>
          </w:p>
        </w:tc>
        <w:tc>
          <w:tcPr>
            <w:tcW w:w="23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Executive Officer)</w:t>
            </w:r>
          </w:p>
        </w:tc>
      </w:tr>
    </w:tbl>
    <w:p>
      <w:pPr>
        <w:pStyle w:val="TextBody"/>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r>
        <w:br w:type="page"/>
      </w:r>
    </w:p>
    <w:p>
      <w:pPr>
        <w:pStyle w:val="TextBody"/>
        <w:rPr>
          <w:caps w:val="false"/>
          <w:smallCaps w:val="false"/>
        </w:rPr>
      </w:pPr>
      <w:bookmarkStart w:id="582" w:name="ex31-2.htm"/>
      <w:bookmarkStart w:id="583" w:name="ksex312"/>
      <w:bookmarkEnd w:id="582"/>
      <w:bookmarkEnd w:id="583"/>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 TO SECTION 302</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ind w:left="0" w:right="0" w:firstLine="720"/>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Thomas J. Spisak, certify that:</w:t>
      </w:r>
    </w:p>
    <w:p>
      <w:pPr>
        <w:pStyle w:val="TextBody"/>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4"/>
        <w:gridCol w:w="170"/>
        <w:gridCol w:w="9881"/>
      </w:tblGrid>
      <w:tr>
        <w:trPr/>
        <w:tc>
          <w:tcPr>
            <w:tcW w:w="15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1.</w:t>
            </w:r>
          </w:p>
        </w:tc>
        <w:tc>
          <w:tcPr>
            <w:tcW w:w="10051"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Reed’s, Inc.;</w:t>
            </w:r>
          </w:p>
        </w:tc>
      </w:tr>
      <w:tr>
        <w:trPr/>
        <w:tc>
          <w:tcPr>
            <w:tcW w:w="154" w:type="dxa"/>
            <w:tcBorders/>
            <w:shd w:fill="auto" w:val="clear"/>
            <w:vAlign w:val="center"/>
          </w:tcPr>
          <w:p>
            <w:pPr>
              <w:pStyle w:val="TableContents"/>
              <w:spacing w:before="0" w:after="283"/>
              <w:jc w:val="both"/>
              <w:rPr/>
            </w:pPr>
            <w:r>
              <w:rPr/>
              <w:t> </w:t>
            </w:r>
          </w:p>
        </w:tc>
        <w:tc>
          <w:tcPr>
            <w:tcW w:w="10051" w:type="dxa"/>
            <w:gridSpan w:val="2"/>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2.</w:t>
            </w:r>
          </w:p>
        </w:tc>
        <w:tc>
          <w:tcPr>
            <w:tcW w:w="10051"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4" w:type="dxa"/>
            <w:tcBorders/>
            <w:shd w:fill="auto" w:val="clear"/>
            <w:vAlign w:val="center"/>
          </w:tcPr>
          <w:p>
            <w:pPr>
              <w:pStyle w:val="TableContents"/>
              <w:spacing w:before="0" w:after="283"/>
              <w:jc w:val="both"/>
              <w:rPr/>
            </w:pPr>
            <w:r>
              <w:rPr/>
              <w:t> </w:t>
            </w:r>
          </w:p>
        </w:tc>
        <w:tc>
          <w:tcPr>
            <w:tcW w:w="10051" w:type="dxa"/>
            <w:gridSpan w:val="2"/>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3.</w:t>
            </w:r>
          </w:p>
        </w:tc>
        <w:tc>
          <w:tcPr>
            <w:tcW w:w="10051"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4" w:type="dxa"/>
            <w:tcBorders/>
            <w:shd w:fill="auto" w:val="clear"/>
            <w:vAlign w:val="center"/>
          </w:tcPr>
          <w:p>
            <w:pPr>
              <w:pStyle w:val="TableContents"/>
              <w:spacing w:before="0" w:after="283"/>
              <w:jc w:val="both"/>
              <w:rPr/>
            </w:pPr>
            <w:r>
              <w:rPr/>
              <w:t> </w:t>
            </w:r>
          </w:p>
        </w:tc>
        <w:tc>
          <w:tcPr>
            <w:tcW w:w="10051" w:type="dxa"/>
            <w:gridSpan w:val="2"/>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4.</w:t>
            </w:r>
          </w:p>
        </w:tc>
        <w:tc>
          <w:tcPr>
            <w:tcW w:w="10051"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54" w:type="dxa"/>
            <w:tcBorders/>
            <w:shd w:fill="auto" w:val="clear"/>
            <w:vAlign w:val="center"/>
          </w:tcPr>
          <w:p>
            <w:pPr>
              <w:pStyle w:val="TableContents"/>
              <w:spacing w:before="0" w:after="283"/>
              <w:jc w:val="both"/>
              <w:rPr/>
            </w:pPr>
            <w:r>
              <w:rPr/>
              <w:t> </w:t>
            </w:r>
          </w:p>
        </w:tc>
        <w:tc>
          <w:tcPr>
            <w:tcW w:w="10051" w:type="dxa"/>
            <w:gridSpan w:val="2"/>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81" w:type="dxa"/>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81" w:type="dxa"/>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81" w:type="dxa"/>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81" w:type="dxa"/>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5.</w:t>
            </w:r>
          </w:p>
        </w:tc>
        <w:tc>
          <w:tcPr>
            <w:tcW w:w="10051"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54" w:type="dxa"/>
            <w:tcBorders/>
            <w:shd w:fill="auto" w:val="clear"/>
            <w:vAlign w:val="center"/>
          </w:tcPr>
          <w:p>
            <w:pPr>
              <w:pStyle w:val="TableContents"/>
              <w:spacing w:before="0" w:after="283"/>
              <w:jc w:val="both"/>
              <w:rPr/>
            </w:pPr>
            <w:r>
              <w:rPr/>
              <w:t> </w:t>
            </w:r>
          </w:p>
        </w:tc>
        <w:tc>
          <w:tcPr>
            <w:tcW w:w="10051" w:type="dxa"/>
            <w:gridSpan w:val="2"/>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pPr>
            <w:r>
              <w:rPr/>
              <w:t> </w:t>
            </w:r>
          </w:p>
        </w:tc>
        <w:tc>
          <w:tcPr>
            <w:tcW w:w="9881" w:type="dxa"/>
            <w:tcBorders/>
            <w:shd w:fill="auto" w:val="clear"/>
            <w:vAlign w:val="center"/>
          </w:tcPr>
          <w:p>
            <w:pPr>
              <w:pStyle w:val="TableContents"/>
              <w:spacing w:before="0" w:after="283"/>
              <w:jc w:val="both"/>
              <w:rPr/>
            </w:pPr>
            <w:r>
              <w:rPr/>
              <w:t> </w:t>
            </w:r>
          </w:p>
        </w:tc>
      </w:tr>
      <w:tr>
        <w:trPr/>
        <w:tc>
          <w:tcPr>
            <w:tcW w:w="154"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w:t>
            </w:r>
          </w:p>
        </w:tc>
        <w:tc>
          <w:tcPr>
            <w:tcW w:w="988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ind w:left="0" w:right="0" w:firstLine="720"/>
        <w:rPr>
          <w:caps w:val="false"/>
          <w:smallCaps w:val="false"/>
        </w:rPr>
      </w:pPr>
      <w:r>
        <w:rPr>
          <w:caps w:val="false"/>
          <w:smallCaps w:val="false"/>
        </w:rPr>
        <w:t> </w:t>
      </w:r>
    </w:p>
    <w:tbl>
      <w:tblPr>
        <w:tblW w:w="4165" w:type="dxa"/>
        <w:jc w:val="left"/>
        <w:tblInd w:w="0" w:type="dxa"/>
        <w:tblCellMar>
          <w:top w:w="0" w:type="dxa"/>
          <w:left w:w="0" w:type="dxa"/>
          <w:bottom w:w="0" w:type="dxa"/>
          <w:right w:w="0" w:type="dxa"/>
        </w:tblCellMar>
      </w:tblPr>
      <w:tblGrid>
        <w:gridCol w:w="1865"/>
        <w:gridCol w:w="2300"/>
      </w:tblGrid>
      <w:tr>
        <w:trPr/>
        <w:tc>
          <w:tcPr>
            <w:tcW w:w="18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Date: August 12, 2021</w:t>
            </w:r>
          </w:p>
        </w:tc>
        <w:tc>
          <w:tcPr>
            <w:tcW w:w="2300"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i/>
                <w:sz w:val="20"/>
              </w:rPr>
            </w:pPr>
            <w:r>
              <w:rPr>
                <w:rFonts w:ascii="Times New Roman;Times;Serif" w:hAnsi="Times New Roman;Times;Serif"/>
                <w:i/>
                <w:sz w:val="20"/>
              </w:rPr>
              <w:t>/s/ Thomas J. Spisak</w:t>
            </w:r>
          </w:p>
        </w:tc>
      </w:tr>
      <w:tr>
        <w:trPr/>
        <w:tc>
          <w:tcPr>
            <w:tcW w:w="1865" w:type="dxa"/>
            <w:tcBorders/>
            <w:shd w:fill="auto" w:val="clear"/>
            <w:vAlign w:val="center"/>
          </w:tcPr>
          <w:p>
            <w:pPr>
              <w:pStyle w:val="TableContents"/>
              <w:spacing w:before="0" w:after="283"/>
              <w:jc w:val="both"/>
              <w:rPr/>
            </w:pPr>
            <w:r>
              <w:rPr/>
              <w:t> </w:t>
            </w:r>
          </w:p>
        </w:tc>
        <w:tc>
          <w:tcPr>
            <w:tcW w:w="23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Thomas J. Spisak</w:t>
            </w:r>
          </w:p>
        </w:tc>
      </w:tr>
      <w:tr>
        <w:trPr/>
        <w:tc>
          <w:tcPr>
            <w:tcW w:w="1865" w:type="dxa"/>
            <w:tcBorders/>
            <w:shd w:fill="auto" w:val="clear"/>
            <w:vAlign w:val="center"/>
          </w:tcPr>
          <w:p>
            <w:pPr>
              <w:pStyle w:val="TableContents"/>
              <w:spacing w:before="0" w:after="283"/>
              <w:jc w:val="both"/>
              <w:rPr/>
            </w:pPr>
            <w:r>
              <w:rPr/>
              <w:t> </w:t>
            </w:r>
          </w:p>
        </w:tc>
        <w:tc>
          <w:tcPr>
            <w:tcW w:w="23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shd w:fill="auto" w:val="clear"/>
            <w:vAlign w:val="center"/>
          </w:tcPr>
          <w:p>
            <w:pPr>
              <w:pStyle w:val="TableContents"/>
              <w:spacing w:before="0" w:after="283"/>
              <w:jc w:val="both"/>
              <w:rPr/>
            </w:pPr>
            <w:r>
              <w:rPr/>
              <w:t> </w:t>
            </w:r>
          </w:p>
        </w:tc>
        <w:tc>
          <w:tcPr>
            <w:tcW w:w="23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jc w:val="right"/>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right"/>
        <w:rPr>
          <w:caps w:val="false"/>
          <w:smallCaps w:val="false"/>
        </w:rPr>
      </w:pPr>
      <w:r>
        <w:br w:type="page"/>
      </w:r>
      <w:bookmarkStart w:id="584" w:name="ex32-1.htm"/>
      <w:bookmarkStart w:id="585" w:name="ksex321"/>
      <w:bookmarkEnd w:id="584"/>
      <w:bookmarkEnd w:id="585"/>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PURSUANT TO</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Reed’s, Inc., a Delaware corporation (the “Company”) for the period ending June 30, 2021 as filed with the U.S. Securities and Exchange Commission on the date hereof (the “Report”), Norman E. Snyder, Jr., Chief Executive Officer of the Company, hereby certifies, pursuant to 18 U.S.C. § 1350, as adopted pursuant to § 906 of the Sarbanes-Oxley Act of 2002, that, to the best of his knowledge and belief:</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jc w:val="both"/>
        <w:rPr>
          <w:caps w:val="false"/>
          <w:smallCaps w:val="false"/>
        </w:rPr>
      </w:pPr>
      <w:r>
        <w:rPr>
          <w:caps w:val="false"/>
          <w:smallCaps w:val="false"/>
        </w:rPr>
        <w:t> </w:t>
      </w:r>
    </w:p>
    <w:tbl>
      <w:tblPr>
        <w:tblW w:w="4590" w:type="dxa"/>
        <w:jc w:val="left"/>
        <w:tblInd w:w="0" w:type="dxa"/>
        <w:tblCellMar>
          <w:top w:w="0" w:type="dxa"/>
          <w:left w:w="0" w:type="dxa"/>
          <w:bottom w:w="0" w:type="dxa"/>
          <w:right w:w="0" w:type="dxa"/>
        </w:tblCellMar>
      </w:tblPr>
      <w:tblGrid>
        <w:gridCol w:w="1865"/>
        <w:gridCol w:w="365"/>
        <w:gridCol w:w="2360"/>
      </w:tblGrid>
      <w:tr>
        <w:trPr/>
        <w:tc>
          <w:tcPr>
            <w:tcW w:w="1865" w:type="dxa"/>
            <w:tcBorders/>
            <w:shd w:fill="auto" w:val="clear"/>
            <w:vAlign w:val="center"/>
          </w:tcPr>
          <w:p>
            <w:pPr>
              <w:pStyle w:val="TableContents"/>
              <w:spacing w:before="0" w:after="283"/>
              <w:jc w:val="both"/>
              <w:rPr/>
            </w:pPr>
            <w:r>
              <w:rPr/>
              <w:t> </w:t>
            </w:r>
          </w:p>
        </w:tc>
        <w:tc>
          <w:tcPr>
            <w:tcW w:w="2725"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REED’S, INC.</w:t>
            </w:r>
          </w:p>
        </w:tc>
      </w:tr>
      <w:tr>
        <w:trPr/>
        <w:tc>
          <w:tcPr>
            <w:tcW w:w="186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360" w:type="dxa"/>
            <w:tcBorders/>
            <w:shd w:fill="auto" w:val="clear"/>
            <w:vAlign w:val="center"/>
          </w:tcPr>
          <w:p>
            <w:pPr>
              <w:pStyle w:val="TableContents"/>
              <w:spacing w:before="0" w:after="283"/>
              <w:jc w:val="both"/>
              <w:rPr/>
            </w:pPr>
            <w:r>
              <w:rPr/>
              <w:t> </w:t>
            </w:r>
          </w:p>
        </w:tc>
      </w:tr>
      <w:tr>
        <w:trPr/>
        <w:tc>
          <w:tcPr>
            <w:tcW w:w="18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Date: August 12, 2021</w:t>
            </w:r>
          </w:p>
        </w:tc>
        <w:tc>
          <w:tcPr>
            <w:tcW w:w="3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2360"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i/>
                <w:sz w:val="20"/>
              </w:rPr>
            </w:pPr>
            <w:r>
              <w:rPr>
                <w:rFonts w:ascii="Times New Roman;Times;Serif" w:hAnsi="Times New Roman;Times;Serif"/>
                <w:i/>
                <w:sz w:val="20"/>
              </w:rPr>
              <w:t>/s/ Norman E. Snyder, Jr.</w:t>
            </w:r>
          </w:p>
        </w:tc>
      </w:tr>
      <w:tr>
        <w:trPr/>
        <w:tc>
          <w:tcPr>
            <w:tcW w:w="186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3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Norman E. Snyder, Jr.</w:t>
            </w:r>
          </w:p>
        </w:tc>
      </w:tr>
      <w:tr>
        <w:trPr/>
        <w:tc>
          <w:tcPr>
            <w:tcW w:w="186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3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r>
        <w:trPr/>
        <w:tc>
          <w:tcPr>
            <w:tcW w:w="186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3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jc w:val="both"/>
        <w:rPr>
          <w:caps w:val="false"/>
          <w:smallCaps w:val="false"/>
        </w:rPr>
      </w:pPr>
      <w:r>
        <w:br w:type="page"/>
      </w:r>
      <w:bookmarkStart w:id="586" w:name="ex32-2.htm"/>
      <w:bookmarkStart w:id="587" w:name="ksex322"/>
      <w:bookmarkEnd w:id="586"/>
      <w:bookmarkEnd w:id="587"/>
      <w:r>
        <w:rPr>
          <w:caps w:val="false"/>
          <w:smallCaps w:val="false"/>
        </w:rPr>
        <w:t> </w:t>
      </w:r>
    </w:p>
    <w:p>
      <w:pPr>
        <w:pStyle w:val="TextBody"/>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 PURSUANT TO</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Reed’s, Inc., a Delaware corporation (the “Company”) for the period ending June 30, 2021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jc w:val="both"/>
        <w:rPr>
          <w:caps w:val="false"/>
          <w:smallCaps w:val="false"/>
        </w:rPr>
      </w:pPr>
      <w:r>
        <w:rPr>
          <w:caps w:val="false"/>
          <w:smallCaps w:val="false"/>
        </w:rPr>
        <w:t> </w:t>
      </w:r>
    </w:p>
    <w:tbl>
      <w:tblPr>
        <w:tblW w:w="4530" w:type="dxa"/>
        <w:jc w:val="left"/>
        <w:tblInd w:w="0" w:type="dxa"/>
        <w:tblCellMar>
          <w:top w:w="0" w:type="dxa"/>
          <w:left w:w="0" w:type="dxa"/>
          <w:bottom w:w="0" w:type="dxa"/>
          <w:right w:w="0" w:type="dxa"/>
        </w:tblCellMar>
      </w:tblPr>
      <w:tblGrid>
        <w:gridCol w:w="1865"/>
        <w:gridCol w:w="365"/>
        <w:gridCol w:w="2300"/>
      </w:tblGrid>
      <w:tr>
        <w:trPr/>
        <w:tc>
          <w:tcPr>
            <w:tcW w:w="1865" w:type="dxa"/>
            <w:tcBorders/>
            <w:shd w:fill="auto" w:val="clear"/>
            <w:vAlign w:val="center"/>
          </w:tcPr>
          <w:p>
            <w:pPr>
              <w:pStyle w:val="TableContents"/>
              <w:spacing w:before="0" w:after="283"/>
              <w:jc w:val="both"/>
              <w:rPr/>
            </w:pPr>
            <w:r>
              <w:rPr/>
              <w:t> </w:t>
            </w:r>
          </w:p>
        </w:tc>
        <w:tc>
          <w:tcPr>
            <w:tcW w:w="2665"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REED’S, INC.</w:t>
            </w:r>
          </w:p>
        </w:tc>
      </w:tr>
      <w:tr>
        <w:trPr/>
        <w:tc>
          <w:tcPr>
            <w:tcW w:w="186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300" w:type="dxa"/>
            <w:tcBorders/>
            <w:shd w:fill="auto" w:val="clear"/>
            <w:vAlign w:val="center"/>
          </w:tcPr>
          <w:p>
            <w:pPr>
              <w:pStyle w:val="TableContents"/>
              <w:spacing w:before="0" w:after="283"/>
              <w:jc w:val="both"/>
              <w:rPr/>
            </w:pPr>
            <w:r>
              <w:rPr/>
              <w:t> </w:t>
            </w:r>
          </w:p>
        </w:tc>
      </w:tr>
      <w:tr>
        <w:trPr/>
        <w:tc>
          <w:tcPr>
            <w:tcW w:w="18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Date: August 12, 2021</w:t>
            </w:r>
          </w:p>
        </w:tc>
        <w:tc>
          <w:tcPr>
            <w:tcW w:w="36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2300" w:type="dxa"/>
            <w:tcBorders>
              <w:bottom w:val="single" w:sz="12" w:space="0" w:color="000000"/>
            </w:tcBorders>
            <w:shd w:fill="auto" w:val="clear"/>
            <w:tcMar>
              <w:bottom w:w="28" w:type="dxa"/>
            </w:tcMar>
            <w:vAlign w:val="center"/>
          </w:tcPr>
          <w:p>
            <w:pPr>
              <w:pStyle w:val="TableContents"/>
              <w:spacing w:before="0" w:after="283"/>
              <w:jc w:val="both"/>
              <w:rPr>
                <w:rFonts w:ascii="Times New Roman;Times;Serif" w:hAnsi="Times New Roman;Times;Serif"/>
                <w:i/>
                <w:sz w:val="20"/>
              </w:rPr>
            </w:pPr>
            <w:r>
              <w:rPr>
                <w:rFonts w:ascii="Times New Roman;Times;Serif" w:hAnsi="Times New Roman;Times;Serif"/>
                <w:i/>
                <w:sz w:val="20"/>
              </w:rPr>
              <w:t>/s/ Thomas J. Spisak</w:t>
            </w:r>
          </w:p>
        </w:tc>
      </w:tr>
      <w:tr>
        <w:trPr/>
        <w:tc>
          <w:tcPr>
            <w:tcW w:w="186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3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Thomas J. Spisak</w:t>
            </w:r>
          </w:p>
        </w:tc>
      </w:tr>
      <w:tr>
        <w:trPr/>
        <w:tc>
          <w:tcPr>
            <w:tcW w:w="186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3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shd w:fill="auto" w:val="clear"/>
            <w:vAlign w:val="center"/>
          </w:tcPr>
          <w:p>
            <w:pPr>
              <w:pStyle w:val="TableContents"/>
              <w:spacing w:before="0" w:after="283"/>
              <w:jc w:val="both"/>
              <w:rPr/>
            </w:pPr>
            <w:r>
              <w:rPr/>
              <w:t> </w:t>
            </w:r>
          </w:p>
        </w:tc>
        <w:tc>
          <w:tcPr>
            <w:tcW w:w="365" w:type="dxa"/>
            <w:tcBorders/>
            <w:shd w:fill="auto" w:val="clear"/>
            <w:vAlign w:val="center"/>
          </w:tcPr>
          <w:p>
            <w:pPr>
              <w:pStyle w:val="TableContents"/>
              <w:spacing w:before="0" w:after="283"/>
              <w:jc w:val="both"/>
              <w:rPr/>
            </w:pPr>
            <w:r>
              <w:rPr/>
              <w:t> </w:t>
            </w:r>
          </w:p>
        </w:tc>
        <w:tc>
          <w:tcPr>
            <w:tcW w:w="23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TextBody"/>
        <w:spacing w:before="0" w:after="283"/>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16054</Words>
  <CharactersWithSpaces>103011</CharactersWithSpaces>
  <Paragraphs>7028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