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8.htm"/>
      <w:bookmarkStart w:id="1" w:name="ksforms8"/>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filed with the Securities and Exchange Commission on August 12,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4"/>
        </w:rPr>
        <w:t>Washington, D.C. 20549</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STATEMENT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SECURITIES ACT OF 1933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center"/>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3395"/>
        <w:gridCol w:w="60"/>
        <w:gridCol w:w="1565"/>
      </w:tblGrid>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35-2177773</w:t>
            </w:r>
          </w:p>
        </w:tc>
      </w:tr>
      <w:tr>
        <w:trPr/>
        <w:tc>
          <w:tcPr>
            <w:tcW w:w="339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r>
        <w:trPr/>
        <w:tc>
          <w:tcPr>
            <w:tcW w:w="3395"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501 Merritt 7 PH Norwalk, CT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06851</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Reed’s, Inc. 2026 Equity Incentive Plan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(Full titles of the plans)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Neal M. Cohane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Interim Chief Executive Officer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Reed’s, Inc.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501 Merritt 7 PH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Norwalk, CT 06851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(800) 997-3337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address, including zip code, and telephone number, including area code, of agent for service)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Yvan-Claude Pierre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Courtney M.W. Tygesson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 Pengli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Cooley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 Hudson Yards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(212) 479-6000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REQUIRED IN THE SECTION 10(A) PROSPECTUS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called for by Part I of Form S-8 is omitted from this Registration Statement in accordance with Rule 428 under the Securities Act of 1933, as amended (the “Securities Act”), and the instructions to Form S-8. In accordance with the rules and regulations of the Securities and Exchange Commission (the “Commission”) and the instructions to Form S-8, such documents are not being filed with the Commission either as part of this Registration Statement or as prospectuses or prospectus supplements pursuant to Rule 424 under the Securities Act.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II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REQUIRED IN THE REGISTRATION STATEMENT </w:t>
      </w:r>
    </w:p>
    <w:p>
      <w:pPr>
        <w:pStyle w:val="TextBody"/>
        <w:bidi w:val="0"/>
        <w:spacing w:before="0" w:after="0"/>
        <w:jc w:val="center"/>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620"/>
        <w:gridCol w:w="3650"/>
      </w:tblGrid>
      <w:tr>
        <w:trPr/>
        <w:tc>
          <w:tcPr>
            <w:tcW w:w="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w:t>
            </w:r>
          </w:p>
        </w:tc>
        <w:tc>
          <w:tcPr>
            <w:tcW w:w="36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Incorporation of Documents by Reference.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incorporates by reference into this Registration Statement the following documents previously filed by the Registrant with the Commission: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2"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Registrant’s annual report on </w:t>
            </w:r>
            <w:hyperlink r:id="rId2">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2025, which was filed with the Commission on March 25, 2026 (File No. 001-32501) (the “Annual Report”);</w:t>
            </w:r>
          </w:p>
        </w:tc>
      </w:tr>
      <w:tr>
        <w:trPr/>
        <w:tc>
          <w:tcPr>
            <w:tcW w:w="213" w:type="dxa"/>
            <w:tcBorders/>
            <w:vAlign w:val="center"/>
          </w:tcPr>
          <w:p>
            <w:pPr>
              <w:pStyle w:val="TableContents"/>
              <w:bidi w:val="0"/>
              <w:spacing w:before="0" w:after="283"/>
              <w:jc w:val="both"/>
              <w:rPr>
                <w:caps w:val="false"/>
                <w:smallCaps w:val="false"/>
              </w:rPr>
            </w:pPr>
            <w:r>
              <w:rPr>
                <w:caps w:val="false"/>
                <w:smallCaps w:val="false"/>
              </w:rPr>
              <w:t> </w:t>
            </w:r>
          </w:p>
        </w:tc>
        <w:tc>
          <w:tcPr>
            <w:tcW w:w="99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2" w:type="dxa"/>
            <w:tcBorders/>
            <w:vAlign w:val="center"/>
          </w:tcPr>
          <w:p>
            <w:pPr>
              <w:pStyle w:val="TableContents"/>
              <w:bidi w:val="0"/>
              <w:spacing w:before="0" w:after="0"/>
              <w:ind w:left="0" w:right="0" w:hanging="0"/>
              <w:jc w:val="both"/>
              <w:rPr/>
            </w:pPr>
            <w:r>
              <w:rPr>
                <w:rFonts w:ascii="Times New Roman;Times;Serif" w:hAnsi="Times New Roman;Times;Serif"/>
                <w:b w:val="false"/>
                <w:i w:val="false"/>
                <w:caps w:val="false"/>
                <w:smallCaps w:val="false"/>
                <w:sz w:val="20"/>
              </w:rPr>
              <w:t xml:space="preserve">The Registrant’s Quarterly Reports on Form 10-Q for the quarters ended March 31, 2026 and June 30, 2026, which were filed with the Commission on </w:t>
            </w:r>
            <w:hyperlink r:id="rId3">
              <w:r>
                <w:rPr>
                  <w:rStyle w:val="InternetLink"/>
                  <w:rFonts w:ascii="Times New Roman;Times;Serif" w:hAnsi="Times New Roman;Times;Serif"/>
                  <w:b w:val="false"/>
                  <w:i w:val="false"/>
                  <w:caps w:val="false"/>
                  <w:smallCaps w:val="false"/>
                  <w:sz w:val="20"/>
                </w:rPr>
                <w:t>May 13, 2026</w:t>
              </w:r>
            </w:hyperlink>
            <w:r>
              <w:rPr>
                <w:rFonts w:ascii="Times New Roman;Times;Serif" w:hAnsi="Times New Roman;Times;Serif"/>
                <w:b w:val="false"/>
                <w:i w:val="false"/>
                <w:caps w:val="false"/>
                <w:smallCaps w:val="false"/>
                <w:sz w:val="20"/>
              </w:rPr>
              <w:t xml:space="preserve"> (File No. 001-32501) and </w:t>
            </w:r>
            <w:hyperlink r:id="rId4">
              <w:r>
                <w:rPr>
                  <w:rStyle w:val="InternetLink"/>
                  <w:rFonts w:ascii="Times New Roman;Times;Serif" w:hAnsi="Times New Roman;Times;Serif"/>
                  <w:b w:val="false"/>
                  <w:i w:val="false"/>
                  <w:caps w:val="false"/>
                  <w:smallCaps w:val="false"/>
                  <w:sz w:val="20"/>
                </w:rPr>
                <w:t>August 12, 2026</w:t>
              </w:r>
            </w:hyperlink>
            <w:r>
              <w:rPr>
                <w:rFonts w:ascii="Times New Roman;Times;Serif" w:hAnsi="Times New Roman;Times;Serif"/>
                <w:b w:val="false"/>
                <w:i w:val="false"/>
                <w:caps w:val="false"/>
                <w:smallCaps w:val="false"/>
                <w:sz w:val="20"/>
              </w:rPr>
              <w:t xml:space="preserve"> (File No. 001-32501), respectively;</w:t>
            </w:r>
          </w:p>
        </w:tc>
      </w:tr>
      <w:tr>
        <w:trPr/>
        <w:tc>
          <w:tcPr>
            <w:tcW w:w="213" w:type="dxa"/>
            <w:tcBorders/>
            <w:vAlign w:val="center"/>
          </w:tcPr>
          <w:p>
            <w:pPr>
              <w:pStyle w:val="TableContents"/>
              <w:bidi w:val="0"/>
              <w:spacing w:before="0" w:after="283"/>
              <w:jc w:val="both"/>
              <w:rPr>
                <w:caps w:val="false"/>
                <w:smallCaps w:val="false"/>
              </w:rPr>
            </w:pPr>
            <w:r>
              <w:rPr>
                <w:caps w:val="false"/>
                <w:smallCaps w:val="false"/>
              </w:rPr>
              <w:t> </w:t>
            </w:r>
          </w:p>
        </w:tc>
        <w:tc>
          <w:tcPr>
            <w:tcW w:w="99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2"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Registrant’s Current Reports on Form 8-K filed with the Commission on </w:t>
            </w:r>
            <w:hyperlink r:id="rId5">
              <w:r>
                <w:rPr>
                  <w:rStyle w:val="InternetLink"/>
                  <w:rFonts w:ascii="Times New Roman;Times;Serif" w:hAnsi="Times New Roman;Times;Serif"/>
                  <w:b w:val="false"/>
                  <w:i w:val="false"/>
                  <w:caps w:val="false"/>
                  <w:smallCaps w:val="false"/>
                  <w:sz w:val="20"/>
                </w:rPr>
                <w:t>March 27, 2026</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April 8,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April 17,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April 24,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June 3, 2026</w:t>
              </w:r>
            </w:hyperlink>
            <w:r>
              <w:rPr>
                <w:rFonts w:ascii="Times New Roman;Times;Serif" w:hAnsi="Times New Roman;Times;Serif"/>
                <w:b w:val="false"/>
                <w:i w:val="false"/>
                <w:caps w:val="false"/>
                <w:smallCaps w:val="false"/>
                <w:sz w:val="20"/>
              </w:rPr>
              <w:t xml:space="preserve"> and </w:t>
            </w:r>
            <w:hyperlink r:id="rId10">
              <w:r>
                <w:rPr>
                  <w:rStyle w:val="InternetLink"/>
                  <w:rFonts w:ascii="Times New Roman;Times;Serif" w:hAnsi="Times New Roman;Times;Serif"/>
                  <w:b w:val="false"/>
                  <w:i w:val="false"/>
                  <w:caps w:val="false"/>
                  <w:smallCaps w:val="false"/>
                  <w:sz w:val="20"/>
                </w:rPr>
                <w:t>June 11, 2026</w:t>
              </w:r>
            </w:hyperlink>
            <w:r>
              <w:rPr>
                <w:rFonts w:ascii="Times New Roman;Times;Serif" w:hAnsi="Times New Roman;Times;Serif"/>
                <w:b w:val="false"/>
                <w:i w:val="false"/>
                <w:caps w:val="false"/>
                <w:smallCaps w:val="false"/>
                <w:sz w:val="20"/>
              </w:rPr>
              <w:t xml:space="preserve"> (in each case, except for information contained therein which is furnished rather than filed); and</w:t>
            </w:r>
          </w:p>
        </w:tc>
      </w:tr>
      <w:tr>
        <w:trPr/>
        <w:tc>
          <w:tcPr>
            <w:tcW w:w="213" w:type="dxa"/>
            <w:tcBorders/>
            <w:vAlign w:val="center"/>
          </w:tcPr>
          <w:p>
            <w:pPr>
              <w:pStyle w:val="TableContents"/>
              <w:bidi w:val="0"/>
              <w:spacing w:before="0" w:after="283"/>
              <w:jc w:val="both"/>
              <w:rPr>
                <w:caps w:val="false"/>
                <w:smallCaps w:val="false"/>
              </w:rPr>
            </w:pPr>
            <w:r>
              <w:rPr>
                <w:caps w:val="false"/>
                <w:smallCaps w:val="false"/>
              </w:rPr>
              <w:t> </w:t>
            </w:r>
          </w:p>
        </w:tc>
        <w:tc>
          <w:tcPr>
            <w:tcW w:w="99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92"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the Registrant’s common stock contained in the Registrant’s Registration Statement on </w:t>
            </w:r>
            <w:hyperlink r:id="rId11">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with the Commission on November 20, 2025 (File No. 001-32501) under Section 12(b) of the Securities Exchange Act of 1934, as amended (the “Exchange Act”), including any amendments or reports filed for the purpose of updating such description, including </w:t>
            </w:r>
            <w:hyperlink r:id="rId12">
              <w:r>
                <w:rPr>
                  <w:rStyle w:val="InternetLink"/>
                  <w:rFonts w:ascii="Times New Roman;Times;Serif" w:hAnsi="Times New Roman;Times;Serif"/>
                  <w:b w:val="false"/>
                  <w:i w:val="false"/>
                  <w:caps w:val="false"/>
                  <w:smallCaps w:val="false"/>
                  <w:sz w:val="20"/>
                </w:rPr>
                <w:t>Exhibit 4.8</w:t>
              </w:r>
            </w:hyperlink>
            <w:r>
              <w:rPr>
                <w:rFonts w:ascii="Times New Roman;Times;Serif" w:hAnsi="Times New Roman;Times;Serif"/>
                <w:b w:val="false"/>
                <w:i w:val="false"/>
                <w:caps w:val="false"/>
                <w:smallCaps w:val="false"/>
                <w:sz w:val="20"/>
              </w:rPr>
              <w:t xml:space="preserve"> to the Annual Report for the year ended December 31, 2025, which was filed with the Commission on March 25,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by the Registrant pursuant to Section 13(a), 13(c), 14 or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provided, however, that documents or portions thereof that are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herein or in any other subsequently filed document that also is or is deemed to be incorporated by reference herein modifies or supersedes such statement. Any such statement so modified or superseded shall not constitute a part of this Registration Statement, except as so modified or superseded.</w:t>
      </w:r>
    </w:p>
    <w:p>
      <w:pPr>
        <w:pStyle w:val="TextBody"/>
        <w:bidi w:val="0"/>
        <w:spacing w:before="0" w:after="0"/>
        <w:ind w:left="0" w:right="0" w:hanging="0"/>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620"/>
        <w:gridCol w:w="2180"/>
      </w:tblGrid>
      <w:tr>
        <w:trPr/>
        <w:tc>
          <w:tcPr>
            <w:tcW w:w="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w:t>
            </w:r>
          </w:p>
        </w:tc>
        <w:tc>
          <w:tcPr>
            <w:tcW w:w="21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Securities.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620"/>
        <w:gridCol w:w="3485"/>
      </w:tblGrid>
      <w:tr>
        <w:trPr/>
        <w:tc>
          <w:tcPr>
            <w:tcW w:w="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w:t>
            </w:r>
          </w:p>
        </w:tc>
        <w:tc>
          <w:tcPr>
            <w:tcW w:w="34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Interests of Named Experts and Counsel.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620"/>
        <w:gridCol w:w="3605"/>
      </w:tblGrid>
      <w:tr>
        <w:trPr/>
        <w:tc>
          <w:tcPr>
            <w:tcW w:w="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w:t>
            </w:r>
          </w:p>
        </w:tc>
        <w:tc>
          <w:tcPr>
            <w:tcW w:w="36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Indemnification of Directors and Officers.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The Registrant’s amended and restated certificate of incorporation permits indemnification of its directors, officers, employees and other agents to the maximum extent permitted by the Delaware General Corporation Law, and the Registrant’s amended and restated bylaws provide that the Registrant will indemnify its directors and executive officers and permit it to indemnify its other officers, employees, and other agents, in each case to the maximum extent permitted by the Delaware General Corporation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or intends to enter into indemnification agreements with its directors and executive officers, whereby it has or intends to agree to indemnify its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a director, executive officer, employee or agent of the Registrant, provided that such director or executive officer acted in good faith and in a manner that the director or executive officer reasonably believed to be in, or not opposed to, the best interest of the Registrant. At present, there is no pending litigation or proceeding involving a director or executive officer of the Registrant regarding which indemnification is sought, nor is the Registrant aware of any threatened litigation that may result in claims for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maintains insurance policies that indemnify its directors and officers against various liabilities arising under the Securities Act and the Exchange Act that might be incurred by any director or officer in his capacity as such.</w:t>
      </w:r>
    </w:p>
    <w:p>
      <w:pPr>
        <w:pStyle w:val="TextBody"/>
        <w:bidi w:val="0"/>
        <w:spacing w:before="0" w:after="0"/>
        <w:ind w:left="0" w:right="0" w:hanging="0"/>
        <w:jc w:val="both"/>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620"/>
        <w:gridCol w:w="3380"/>
      </w:tblGrid>
      <w:tr>
        <w:trPr/>
        <w:tc>
          <w:tcPr>
            <w:tcW w:w="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w:t>
            </w:r>
          </w:p>
        </w:tc>
        <w:tc>
          <w:tcPr>
            <w:tcW w:w="3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Exemption from Registration Claimed.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620"/>
        <w:gridCol w:w="830"/>
      </w:tblGrid>
      <w:tr>
        <w:trPr/>
        <w:tc>
          <w:tcPr>
            <w:tcW w:w="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w:t>
            </w:r>
          </w:p>
        </w:tc>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to this Registration Statement are listed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4"/>
        <w:gridCol w:w="60"/>
        <w:gridCol w:w="9322"/>
        <w:gridCol w:w="39"/>
      </w:tblGrid>
      <w:tr>
        <w:trPr/>
        <w:tc>
          <w:tcPr>
            <w:tcW w:w="784"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2"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39" w:type="dxa"/>
            <w:tcBorders/>
            <w:tcMar>
              <w:bottom w:w="0" w:type="dxa"/>
            </w:tcMar>
          </w:tcPr>
          <w:p>
            <w:pPr>
              <w:pStyle w:val="TableContents"/>
              <w:bidi w:val="0"/>
              <w:spacing w:before="0" w:after="283"/>
              <w:jc w:val="left"/>
              <w:rPr>
                <w:sz w:val="4"/>
                <w:szCs w:val="4"/>
              </w:rPr>
            </w:pPr>
            <w:r>
              <w:rPr>
                <w:sz w:val="4"/>
                <w:szCs w:val="4"/>
              </w:rPr>
            </w:r>
          </w:p>
        </w:tc>
      </w:tr>
      <w:tr>
        <w:trPr/>
        <w:tc>
          <w:tcPr>
            <w:tcW w:w="78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2"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 w:type="dxa"/>
            <w:tcBorders/>
            <w:tcMar>
              <w:bottom w:w="0" w:type="dxa"/>
            </w:tcMar>
          </w:tcPr>
          <w:p>
            <w:pPr>
              <w:pStyle w:val="TableContents"/>
              <w:bidi w:val="0"/>
              <w:spacing w:before="0" w:after="283"/>
              <w:jc w:val="left"/>
              <w:rPr>
                <w:sz w:val="4"/>
                <w:szCs w:val="4"/>
              </w:rPr>
            </w:pPr>
            <w:r>
              <w:rPr>
                <w:sz w:val="4"/>
                <w:szCs w:val="4"/>
              </w:rPr>
            </w:r>
          </w:p>
        </w:tc>
      </w:tr>
      <w:tr>
        <w:trPr/>
        <w:tc>
          <w:tcPr>
            <w:tcW w:w="78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2"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Certificate of Incorporation of the Registrant, as amended through February 5, 2025 (incorporated herein by reference to Exhibit 3(i) to the Registrant’s Annual Report on Form 10-K for the year ended December 31, 2024 (File No. 001-32501), filed with the Commission on March 28, 2025).</w:t>
              </w:r>
            </w:hyperlink>
          </w:p>
        </w:tc>
        <w:tc>
          <w:tcPr>
            <w:tcW w:w="39" w:type="dxa"/>
            <w:tcBorders/>
            <w:tcMar>
              <w:bottom w:w="0" w:type="dxa"/>
            </w:tcMar>
          </w:tcPr>
          <w:p>
            <w:pPr>
              <w:pStyle w:val="TableContents"/>
              <w:bidi w:val="0"/>
              <w:spacing w:before="0" w:after="283"/>
              <w:jc w:val="left"/>
              <w:rPr>
                <w:sz w:val="4"/>
                <w:szCs w:val="4"/>
              </w:rPr>
            </w:pPr>
            <w:r>
              <w:rPr>
                <w:sz w:val="4"/>
                <w:szCs w:val="4"/>
              </w:rPr>
            </w:r>
          </w:p>
        </w:tc>
      </w:tr>
      <w:tr>
        <w:trPr/>
        <w:tc>
          <w:tcPr>
            <w:tcW w:w="78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9" w:type="dxa"/>
            <w:tcBorders/>
            <w:tcMar>
              <w:bottom w:w="0" w:type="dxa"/>
            </w:tcMar>
          </w:tcPr>
          <w:p>
            <w:pPr>
              <w:pStyle w:val="TableContents"/>
              <w:bidi w:val="0"/>
              <w:spacing w:before="0" w:after="283"/>
              <w:jc w:val="left"/>
              <w:rPr>
                <w:sz w:val="4"/>
                <w:szCs w:val="4"/>
              </w:rPr>
            </w:pPr>
            <w:r>
              <w:rPr>
                <w:sz w:val="4"/>
                <w:szCs w:val="4"/>
              </w:rPr>
            </w:r>
          </w:p>
        </w:tc>
      </w:tr>
      <w:tr>
        <w:trPr/>
        <w:tc>
          <w:tcPr>
            <w:tcW w:w="78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2"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Certificate of Amendment of the Certificate of Incorporation of the Registrant, effective October 31, 2025, as currently in effect (incorporated herein by reference to Exhibit 3.1 to the Registrant’s Current Report on Form 8-K (File No. 001-32501), filed with the Commission on October 31, 2025).</w:t>
              </w:r>
            </w:hyperlink>
          </w:p>
        </w:tc>
        <w:tc>
          <w:tcPr>
            <w:tcW w:w="39" w:type="dxa"/>
            <w:tcBorders/>
            <w:tcMar>
              <w:bottom w:w="0" w:type="dxa"/>
            </w:tcMar>
          </w:tcPr>
          <w:p>
            <w:pPr>
              <w:pStyle w:val="TableContents"/>
              <w:bidi w:val="0"/>
              <w:spacing w:before="0" w:after="283"/>
              <w:jc w:val="left"/>
              <w:rPr>
                <w:sz w:val="4"/>
                <w:szCs w:val="4"/>
              </w:rPr>
            </w:pPr>
            <w:r>
              <w:rPr>
                <w:sz w:val="4"/>
                <w:szCs w:val="4"/>
              </w:rPr>
            </w:r>
          </w:p>
        </w:tc>
      </w:tr>
      <w:tr>
        <w:trPr/>
        <w:tc>
          <w:tcPr>
            <w:tcW w:w="78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2"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 w:type="dxa"/>
            <w:tcBorders/>
            <w:tcMar>
              <w:bottom w:w="0" w:type="dxa"/>
            </w:tcMar>
          </w:tcPr>
          <w:p>
            <w:pPr>
              <w:pStyle w:val="TableContents"/>
              <w:bidi w:val="0"/>
              <w:spacing w:before="0" w:after="283"/>
              <w:jc w:val="left"/>
              <w:rPr>
                <w:sz w:val="4"/>
                <w:szCs w:val="4"/>
              </w:rPr>
            </w:pPr>
            <w:r>
              <w:rPr>
                <w:sz w:val="4"/>
                <w:szCs w:val="4"/>
              </w:rPr>
            </w:r>
          </w:p>
        </w:tc>
      </w:tr>
      <w:tr>
        <w:trPr/>
        <w:tc>
          <w:tcPr>
            <w:tcW w:w="78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2"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Second Amended and Restated Bylaws of the Registrant, as currently in effect (incorporated herein by reference to Exhibit 3.1 to the Registrant’s Current Report on Form 8-K (File No. 001-32501), filed with the Commission on December 8, 2025).</w:t>
              </w:r>
            </w:hyperlink>
          </w:p>
        </w:tc>
        <w:tc>
          <w:tcPr>
            <w:tcW w:w="39" w:type="dxa"/>
            <w:tcBorders/>
            <w:tcMar>
              <w:bottom w:w="0" w:type="dxa"/>
            </w:tcMar>
          </w:tcPr>
          <w:p>
            <w:pPr>
              <w:pStyle w:val="TableContents"/>
              <w:bidi w:val="0"/>
              <w:spacing w:before="0" w:after="283"/>
              <w:jc w:val="left"/>
              <w:rPr>
                <w:sz w:val="4"/>
                <w:szCs w:val="4"/>
              </w:rPr>
            </w:pPr>
            <w:r>
              <w:rPr>
                <w:sz w:val="4"/>
                <w:szCs w:val="4"/>
              </w:rPr>
            </w:r>
          </w:p>
        </w:tc>
      </w:tr>
      <w:tr>
        <w:trPr/>
        <w:tc>
          <w:tcPr>
            <w:tcW w:w="78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2"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 w:type="dxa"/>
            <w:tcBorders/>
            <w:tcMar>
              <w:bottom w:w="0" w:type="dxa"/>
            </w:tcMar>
          </w:tcPr>
          <w:p>
            <w:pPr>
              <w:pStyle w:val="TableContents"/>
              <w:bidi w:val="0"/>
              <w:spacing w:before="0" w:after="283"/>
              <w:jc w:val="left"/>
              <w:rPr>
                <w:sz w:val="4"/>
                <w:szCs w:val="4"/>
              </w:rPr>
            </w:pPr>
            <w:r>
              <w:rPr>
                <w:sz w:val="4"/>
                <w:szCs w:val="4"/>
              </w:rPr>
            </w:r>
          </w:p>
        </w:tc>
      </w:tr>
      <w:tr>
        <w:trPr/>
        <w:tc>
          <w:tcPr>
            <w:tcW w:w="78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2"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Form of Common Stock Certificate of the Registrant (incorporated herein by reference to Exhibit 4.6 to the Registrant’s Registration Statement on Form S-1 (File No. 333-291443), filed with the Commission on November 12, 2025).</w:t>
              </w:r>
            </w:hyperlink>
          </w:p>
        </w:tc>
        <w:tc>
          <w:tcPr>
            <w:tcW w:w="39" w:type="dxa"/>
            <w:tcBorders/>
            <w:tcMar>
              <w:bottom w:w="0" w:type="dxa"/>
            </w:tcMar>
          </w:tcPr>
          <w:p>
            <w:pPr>
              <w:pStyle w:val="TableContents"/>
              <w:bidi w:val="0"/>
              <w:spacing w:before="0" w:after="283"/>
              <w:jc w:val="left"/>
              <w:rPr>
                <w:sz w:val="4"/>
                <w:szCs w:val="4"/>
              </w:rPr>
            </w:pPr>
            <w:r>
              <w:rPr>
                <w:sz w:val="4"/>
                <w:szCs w:val="4"/>
              </w:rPr>
            </w:r>
          </w:p>
        </w:tc>
      </w:tr>
      <w:tr>
        <w:trPr/>
        <w:tc>
          <w:tcPr>
            <w:tcW w:w="78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2"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 w:type="dxa"/>
            <w:tcBorders/>
            <w:tcMar>
              <w:bottom w:w="0" w:type="dxa"/>
            </w:tcMar>
          </w:tcPr>
          <w:p>
            <w:pPr>
              <w:pStyle w:val="TableContents"/>
              <w:bidi w:val="0"/>
              <w:spacing w:before="0" w:after="283"/>
              <w:jc w:val="left"/>
              <w:rPr>
                <w:sz w:val="4"/>
                <w:szCs w:val="4"/>
              </w:rPr>
            </w:pPr>
            <w:r>
              <w:rPr>
                <w:sz w:val="4"/>
                <w:szCs w:val="4"/>
              </w:rPr>
            </w:r>
          </w:p>
        </w:tc>
      </w:tr>
      <w:tr>
        <w:trPr/>
        <w:tc>
          <w:tcPr>
            <w:tcW w:w="78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2"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Cooley LLP.</w:t>
              </w:r>
            </w:hyperlink>
            <w:r>
              <w:rPr>
                <w:rFonts w:ascii="Times New Roman;Times;Serif" w:hAnsi="Times New Roman;Times;Serif"/>
                <w:b w:val="false"/>
                <w:i w:val="false"/>
                <w:caps w:val="false"/>
                <w:smallCaps w:val="false"/>
                <w:sz w:val="20"/>
              </w:rPr>
              <w:t xml:space="preserve"> </w:t>
            </w:r>
          </w:p>
        </w:tc>
        <w:tc>
          <w:tcPr>
            <w:tcW w:w="39" w:type="dxa"/>
            <w:tcBorders/>
            <w:tcMar>
              <w:bottom w:w="0" w:type="dxa"/>
            </w:tcMar>
          </w:tcPr>
          <w:p>
            <w:pPr>
              <w:pStyle w:val="TableContents"/>
              <w:bidi w:val="0"/>
              <w:spacing w:before="0" w:after="283"/>
              <w:jc w:val="left"/>
              <w:rPr>
                <w:sz w:val="4"/>
                <w:szCs w:val="4"/>
              </w:rPr>
            </w:pPr>
            <w:r>
              <w:rPr>
                <w:sz w:val="4"/>
                <w:szCs w:val="4"/>
              </w:rPr>
            </w:r>
          </w:p>
        </w:tc>
      </w:tr>
      <w:tr>
        <w:trPr/>
        <w:tc>
          <w:tcPr>
            <w:tcW w:w="78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2"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 w:type="dxa"/>
            <w:tcBorders/>
            <w:tcMar>
              <w:bottom w:w="0" w:type="dxa"/>
            </w:tcMar>
          </w:tcPr>
          <w:p>
            <w:pPr>
              <w:pStyle w:val="TableContents"/>
              <w:bidi w:val="0"/>
              <w:spacing w:before="0" w:after="283"/>
              <w:jc w:val="left"/>
              <w:rPr>
                <w:sz w:val="4"/>
                <w:szCs w:val="4"/>
              </w:rPr>
            </w:pPr>
            <w:r>
              <w:rPr>
                <w:sz w:val="4"/>
                <w:szCs w:val="4"/>
              </w:rPr>
            </w:r>
          </w:p>
        </w:tc>
      </w:tr>
      <w:tr>
        <w:trPr/>
        <w:tc>
          <w:tcPr>
            <w:tcW w:w="78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2" w:type="dxa"/>
            <w:tcBorders/>
            <w:tcMar>
              <w:bottom w:w="0" w:type="dxa"/>
            </w:tcMar>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Independent Registered Public Accounting Firm.</w:t>
              </w:r>
            </w:hyperlink>
          </w:p>
        </w:tc>
        <w:tc>
          <w:tcPr>
            <w:tcW w:w="39" w:type="dxa"/>
            <w:tcBorders/>
            <w:tcMar>
              <w:bottom w:w="0" w:type="dxa"/>
            </w:tcMar>
          </w:tcPr>
          <w:p>
            <w:pPr>
              <w:pStyle w:val="TableContents"/>
              <w:bidi w:val="0"/>
              <w:spacing w:before="0" w:after="283"/>
              <w:jc w:val="left"/>
              <w:rPr>
                <w:sz w:val="4"/>
                <w:szCs w:val="4"/>
              </w:rPr>
            </w:pPr>
            <w:r>
              <w:rPr>
                <w:sz w:val="4"/>
                <w:szCs w:val="4"/>
              </w:rPr>
            </w:r>
          </w:p>
        </w:tc>
      </w:tr>
      <w:tr>
        <w:trPr/>
        <w:tc>
          <w:tcPr>
            <w:tcW w:w="78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2"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 w:type="dxa"/>
            <w:tcBorders/>
            <w:tcMar>
              <w:bottom w:w="0" w:type="dxa"/>
            </w:tcMar>
          </w:tcPr>
          <w:p>
            <w:pPr>
              <w:pStyle w:val="TableContents"/>
              <w:bidi w:val="0"/>
              <w:spacing w:before="0" w:after="283"/>
              <w:jc w:val="left"/>
              <w:rPr>
                <w:sz w:val="4"/>
                <w:szCs w:val="4"/>
              </w:rPr>
            </w:pPr>
            <w:r>
              <w:rPr>
                <w:sz w:val="4"/>
                <w:szCs w:val="4"/>
              </w:rPr>
            </w:r>
          </w:p>
        </w:tc>
      </w:tr>
      <w:tr>
        <w:trPr/>
        <w:tc>
          <w:tcPr>
            <w:tcW w:w="78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2"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Cooley LLP (included in Exhibit 5.1).</w:t>
              </w:r>
            </w:hyperlink>
            <w:r>
              <w:rPr>
                <w:rFonts w:ascii="Times New Roman;Times;Serif" w:hAnsi="Times New Roman;Times;Serif"/>
                <w:b w:val="false"/>
                <w:i w:val="false"/>
                <w:caps w:val="false"/>
                <w:smallCaps w:val="false"/>
                <w:sz w:val="20"/>
              </w:rPr>
              <w:t xml:space="preserve"> </w:t>
            </w:r>
          </w:p>
        </w:tc>
        <w:tc>
          <w:tcPr>
            <w:tcW w:w="39" w:type="dxa"/>
            <w:tcBorders/>
            <w:tcMar>
              <w:bottom w:w="0" w:type="dxa"/>
            </w:tcMar>
          </w:tcPr>
          <w:p>
            <w:pPr>
              <w:pStyle w:val="TableContents"/>
              <w:bidi w:val="0"/>
              <w:spacing w:before="0" w:after="283"/>
              <w:jc w:val="left"/>
              <w:rPr>
                <w:sz w:val="4"/>
                <w:szCs w:val="4"/>
              </w:rPr>
            </w:pPr>
            <w:r>
              <w:rPr>
                <w:sz w:val="4"/>
                <w:szCs w:val="4"/>
              </w:rPr>
            </w:r>
          </w:p>
        </w:tc>
      </w:tr>
      <w:tr>
        <w:trPr/>
        <w:tc>
          <w:tcPr>
            <w:tcW w:w="78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2"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 w:type="dxa"/>
            <w:tcBorders/>
            <w:tcMar>
              <w:bottom w:w="0" w:type="dxa"/>
            </w:tcMar>
          </w:tcPr>
          <w:p>
            <w:pPr>
              <w:pStyle w:val="TableContents"/>
              <w:bidi w:val="0"/>
              <w:spacing w:before="0" w:after="283"/>
              <w:jc w:val="left"/>
              <w:rPr>
                <w:sz w:val="4"/>
                <w:szCs w:val="4"/>
              </w:rPr>
            </w:pPr>
            <w:r>
              <w:rPr>
                <w:sz w:val="4"/>
                <w:szCs w:val="4"/>
              </w:rPr>
            </w:r>
          </w:p>
        </w:tc>
      </w:tr>
      <w:tr>
        <w:trPr/>
        <w:tc>
          <w:tcPr>
            <w:tcW w:w="78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2" w:type="dxa"/>
            <w:tcBorders/>
            <w:tcMar>
              <w:bottom w:w="0" w:type="dxa"/>
            </w:tcMar>
            <w:vAlign w:val="center"/>
          </w:tcPr>
          <w:p>
            <w:pPr>
              <w:pStyle w:val="TableContents"/>
              <w:bidi w:val="0"/>
              <w:spacing w:before="0" w:after="283"/>
              <w:jc w:val="both"/>
              <w:rPr/>
            </w:pPr>
            <w:hyperlink w:anchor="Y-001">
              <w:r>
                <w:rPr>
                  <w:rStyle w:val="InternetLink"/>
                  <w:rFonts w:ascii="Times New Roman;Times;Serif" w:hAnsi="Times New Roman;Times;Serif"/>
                  <w:b w:val="false"/>
                  <w:i w:val="false"/>
                  <w:caps w:val="false"/>
                  <w:smallCaps w:val="false"/>
                  <w:sz w:val="20"/>
                </w:rPr>
                <w:t>Power of Attorney (included on the signature page).</w:t>
              </w:r>
            </w:hyperlink>
          </w:p>
        </w:tc>
        <w:tc>
          <w:tcPr>
            <w:tcW w:w="39" w:type="dxa"/>
            <w:tcBorders/>
            <w:tcMar>
              <w:bottom w:w="0" w:type="dxa"/>
            </w:tcMar>
          </w:tcPr>
          <w:p>
            <w:pPr>
              <w:pStyle w:val="TableContents"/>
              <w:bidi w:val="0"/>
              <w:spacing w:before="0" w:after="283"/>
              <w:jc w:val="left"/>
              <w:rPr>
                <w:sz w:val="4"/>
                <w:szCs w:val="4"/>
              </w:rPr>
            </w:pPr>
            <w:r>
              <w:rPr>
                <w:sz w:val="4"/>
                <w:szCs w:val="4"/>
              </w:rPr>
            </w:r>
          </w:p>
        </w:tc>
      </w:tr>
      <w:tr>
        <w:trPr/>
        <w:tc>
          <w:tcPr>
            <w:tcW w:w="78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2"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 w:type="dxa"/>
            <w:tcBorders/>
            <w:tcMar>
              <w:bottom w:w="0" w:type="dxa"/>
            </w:tcMar>
          </w:tcPr>
          <w:p>
            <w:pPr>
              <w:pStyle w:val="TableContents"/>
              <w:bidi w:val="0"/>
              <w:spacing w:before="0" w:after="283"/>
              <w:jc w:val="left"/>
              <w:rPr>
                <w:sz w:val="4"/>
                <w:szCs w:val="4"/>
              </w:rPr>
            </w:pPr>
            <w:r>
              <w:rPr>
                <w:sz w:val="4"/>
                <w:szCs w:val="4"/>
              </w:rPr>
            </w:r>
          </w:p>
        </w:tc>
      </w:tr>
      <w:tr>
        <w:trPr/>
        <w:tc>
          <w:tcPr>
            <w:tcW w:w="78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2"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Reed’s, Inc. 2026 Equity Incentive Plan (incorporated herein by reference to Exhibit 10.1 to the Registrant’s Current Report on Form 8-K (File No. 001-32501), filed with the Commission on June 11, 2026).</w:t>
              </w:r>
            </w:hyperlink>
          </w:p>
        </w:tc>
        <w:tc>
          <w:tcPr>
            <w:tcW w:w="39" w:type="dxa"/>
            <w:tcBorders/>
            <w:tcMar>
              <w:bottom w:w="0" w:type="dxa"/>
            </w:tcMar>
          </w:tcPr>
          <w:p>
            <w:pPr>
              <w:pStyle w:val="TableContents"/>
              <w:bidi w:val="0"/>
              <w:spacing w:before="0" w:after="283"/>
              <w:jc w:val="left"/>
              <w:rPr>
                <w:sz w:val="4"/>
                <w:szCs w:val="4"/>
              </w:rPr>
            </w:pPr>
            <w:r>
              <w:rPr>
                <w:sz w:val="4"/>
                <w:szCs w:val="4"/>
              </w:rPr>
            </w:r>
          </w:p>
        </w:tc>
      </w:tr>
      <w:tr>
        <w:trPr/>
        <w:tc>
          <w:tcPr>
            <w:tcW w:w="78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9" w:type="dxa"/>
            <w:tcBorders/>
            <w:tcMar>
              <w:bottom w:w="0" w:type="dxa"/>
            </w:tcMar>
          </w:tcPr>
          <w:p>
            <w:pPr>
              <w:pStyle w:val="TableContents"/>
              <w:bidi w:val="0"/>
              <w:spacing w:before="0" w:after="283"/>
              <w:jc w:val="left"/>
              <w:rPr>
                <w:sz w:val="4"/>
                <w:szCs w:val="4"/>
              </w:rPr>
            </w:pPr>
            <w:r>
              <w:rPr>
                <w:sz w:val="4"/>
                <w:szCs w:val="4"/>
              </w:rPr>
            </w:r>
          </w:p>
        </w:tc>
      </w:tr>
      <w:tr>
        <w:trPr/>
        <w:tc>
          <w:tcPr>
            <w:tcW w:w="78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2" w:type="dxa"/>
            <w:tcBorders/>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Forms of Grant Notice, Stock Option Agreement and Notice of Exercise under the Reed’s, Inc. 2026 Equity Incentive Plan (incorporated herein by reference to Exhibit 10.2 to the Registrant’s Quarterly Report on Form 10-Q (File No. 001-32501), filed with the Commission on August 12, 2026).</w:t>
              </w:r>
            </w:hyperlink>
          </w:p>
        </w:tc>
        <w:tc>
          <w:tcPr>
            <w:tcW w:w="39" w:type="dxa"/>
            <w:tcBorders/>
            <w:tcMar>
              <w:bottom w:w="0" w:type="dxa"/>
            </w:tcMar>
          </w:tcPr>
          <w:p>
            <w:pPr>
              <w:pStyle w:val="TableContents"/>
              <w:bidi w:val="0"/>
              <w:spacing w:before="0" w:after="283"/>
              <w:jc w:val="left"/>
              <w:rPr>
                <w:sz w:val="4"/>
                <w:szCs w:val="4"/>
              </w:rPr>
            </w:pPr>
            <w:r>
              <w:rPr>
                <w:sz w:val="4"/>
                <w:szCs w:val="4"/>
              </w:rPr>
            </w:r>
          </w:p>
        </w:tc>
      </w:tr>
      <w:tr>
        <w:trPr/>
        <w:tc>
          <w:tcPr>
            <w:tcW w:w="78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9" w:type="dxa"/>
            <w:tcBorders/>
            <w:tcMar>
              <w:bottom w:w="0" w:type="dxa"/>
            </w:tcMar>
          </w:tcPr>
          <w:p>
            <w:pPr>
              <w:pStyle w:val="TableContents"/>
              <w:bidi w:val="0"/>
              <w:spacing w:before="0" w:after="283"/>
              <w:jc w:val="left"/>
              <w:rPr>
                <w:sz w:val="4"/>
                <w:szCs w:val="4"/>
              </w:rPr>
            </w:pPr>
            <w:r>
              <w:rPr>
                <w:sz w:val="4"/>
                <w:szCs w:val="4"/>
              </w:rPr>
            </w:r>
          </w:p>
        </w:tc>
      </w:tr>
      <w:tr>
        <w:trPr/>
        <w:tc>
          <w:tcPr>
            <w:tcW w:w="78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2"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Forms of Restricted Stock Unit Grant Notice and Award Agreement under the Reed’s, Inc. 2026 Equity Incentive Plan (incorporated herein by reference to Exhibit 10.3 to the Registrant’s Quarterly Report on Form 10-Q (File No. 001-32501), filed with the Commission on August 12, 2026).</w:t>
              </w:r>
            </w:hyperlink>
          </w:p>
        </w:tc>
        <w:tc>
          <w:tcPr>
            <w:tcW w:w="39" w:type="dxa"/>
            <w:tcBorders/>
            <w:tcMar>
              <w:bottom w:w="0" w:type="dxa"/>
            </w:tcMar>
          </w:tcPr>
          <w:p>
            <w:pPr>
              <w:pStyle w:val="TableContents"/>
              <w:bidi w:val="0"/>
              <w:spacing w:before="0" w:after="283"/>
              <w:jc w:val="left"/>
              <w:rPr>
                <w:sz w:val="4"/>
                <w:szCs w:val="4"/>
              </w:rPr>
            </w:pPr>
            <w:r>
              <w:rPr>
                <w:sz w:val="4"/>
                <w:szCs w:val="4"/>
              </w:rPr>
            </w:r>
          </w:p>
        </w:tc>
      </w:tr>
      <w:tr>
        <w:trPr/>
        <w:tc>
          <w:tcPr>
            <w:tcW w:w="78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2"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 w:type="dxa"/>
            <w:tcBorders/>
            <w:tcMar>
              <w:bottom w:w="0" w:type="dxa"/>
            </w:tcMar>
          </w:tcPr>
          <w:p>
            <w:pPr>
              <w:pStyle w:val="TableContents"/>
              <w:bidi w:val="0"/>
              <w:spacing w:before="0" w:after="283"/>
              <w:jc w:val="left"/>
              <w:rPr>
                <w:sz w:val="4"/>
                <w:szCs w:val="4"/>
              </w:rPr>
            </w:pPr>
            <w:r>
              <w:rPr>
                <w:sz w:val="4"/>
                <w:szCs w:val="4"/>
              </w:rPr>
            </w:r>
          </w:p>
        </w:tc>
      </w:tr>
      <w:tr>
        <w:trPr/>
        <w:tc>
          <w:tcPr>
            <w:tcW w:w="78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tcMar>
              <w:bottom w:w="0" w:type="dxa"/>
            </w:tcMar>
            <w:vAlign w:val="center"/>
          </w:tcPr>
          <w:p>
            <w:pPr>
              <w:pStyle w:val="TableContents"/>
              <w:bidi w:val="0"/>
              <w:spacing w:before="0" w:after="283"/>
              <w:jc w:val="left"/>
              <w:rPr/>
            </w:pPr>
            <w:r>
              <w:rPr/>
              <w:t> </w:t>
            </w:r>
          </w:p>
        </w:tc>
        <w:tc>
          <w:tcPr>
            <w:tcW w:w="9361" w:type="dxa"/>
            <w:gridSpan w:val="2"/>
            <w:tcBorders/>
            <w:tcMar>
              <w:bottom w:w="0" w:type="dxa"/>
            </w:tcMar>
            <w:vAlign w:val="center"/>
          </w:tcPr>
          <w:p>
            <w:pPr>
              <w:pStyle w:val="TableContents"/>
              <w:bidi w:val="0"/>
              <w:spacing w:before="0" w:after="283"/>
              <w:jc w:val="left"/>
              <w:rPr/>
            </w:pPr>
            <w:hyperlink w:anchor="ex107.htm">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140"/>
        <w:gridCol w:w="129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Filed herewith.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620"/>
        <w:gridCol w:w="1265"/>
      </w:tblGrid>
      <w:tr>
        <w:trPr/>
        <w:tc>
          <w:tcPr>
            <w:tcW w:w="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w:t>
            </w:r>
          </w:p>
        </w:tc>
        <w:tc>
          <w:tcPr>
            <w:tcW w:w="12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Undertakings. </w:t>
            </w:r>
          </w:p>
        </w:tc>
      </w:tr>
    </w:tbl>
    <w:p>
      <w:pPr>
        <w:pStyle w:val="TextBody"/>
        <w:bidi w:val="0"/>
        <w:spacing w:before="0" w:after="0"/>
        <w:ind w:left="720" w:right="0" w:hanging="0"/>
        <w:jc w:val="both"/>
        <w:rPr>
          <w:caps w:val="false"/>
          <w:smallCaps w:val="false"/>
        </w:rPr>
      </w:pPr>
      <w:r>
        <w:rPr>
          <w:caps w:val="false"/>
          <w:smallCaps w:val="false"/>
        </w:rPr>
        <w:t> </w:t>
      </w:r>
    </w:p>
    <w:tbl>
      <w:tblPr>
        <w:tblW w:w="4083" w:type="dxa"/>
        <w:jc w:val="left"/>
        <w:tblInd w:w="0" w:type="dxa"/>
        <w:tblLayout w:type="fixed"/>
        <w:tblCellMar>
          <w:top w:w="0" w:type="dxa"/>
          <w:left w:w="0" w:type="dxa"/>
          <w:bottom w:w="0" w:type="dxa"/>
          <w:right w:w="0" w:type="dxa"/>
        </w:tblCellMar>
      </w:tblPr>
      <w:tblGrid>
        <w:gridCol w:w="38"/>
        <w:gridCol w:w="170"/>
        <w:gridCol w:w="3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bl>
    <w:p>
      <w:pPr>
        <w:pStyle w:val="TextBody"/>
        <w:bidi w:val="0"/>
        <w:spacing w:before="0" w:after="0"/>
        <w:ind w:left="1080" w:right="0" w:hanging="360"/>
        <w:jc w:val="both"/>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125"/>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and (a)(1)(ii)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6"/>
        <w:gridCol w:w="10031"/>
      </w:tblGrid>
      <w:tr>
        <w:trPr/>
        <w:tc>
          <w:tcPr>
            <w:tcW w:w="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6"/>
        <w:gridCol w:w="10051"/>
      </w:tblGrid>
      <w:tr>
        <w:trPr/>
        <w:tc>
          <w:tcPr>
            <w:tcW w:w="3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ind w:left="72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Norwalk, State of Connecticut, on August 12, 2026.</w:t>
      </w:r>
    </w:p>
    <w:p>
      <w:pPr>
        <w:pStyle w:val="TextBody"/>
        <w:bidi w:val="0"/>
        <w:spacing w:before="0" w:after="0"/>
        <w:ind w:left="0" w:right="0" w:firstLine="490"/>
        <w:jc w:val="both"/>
        <w:rPr>
          <w:caps w:val="false"/>
          <w:smallCaps w:val="false"/>
        </w:rPr>
      </w:pPr>
      <w:r>
        <w:rPr>
          <w:caps w:val="false"/>
          <w:smallCaps w:val="false"/>
        </w:rPr>
        <w:t> </w:t>
      </w:r>
    </w:p>
    <w:tbl>
      <w:tblPr>
        <w:tblW w:w="2660" w:type="dxa"/>
        <w:jc w:val="left"/>
        <w:tblInd w:w="0" w:type="dxa"/>
        <w:tblLayout w:type="fixed"/>
        <w:tblCellMar>
          <w:top w:w="0" w:type="dxa"/>
          <w:left w:w="0" w:type="dxa"/>
          <w:bottom w:w="0" w:type="dxa"/>
          <w:right w:w="0" w:type="dxa"/>
        </w:tblCellMar>
      </w:tblPr>
      <w:tblGrid>
        <w:gridCol w:w="75"/>
        <w:gridCol w:w="2585"/>
      </w:tblGrid>
      <w:tr>
        <w:trPr/>
        <w:tc>
          <w:tcPr>
            <w:tcW w:w="7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tc>
      </w:tr>
      <w:tr>
        <w:trPr/>
        <w:tc>
          <w:tcPr>
            <w:tcW w:w="7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5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Neal M. Cohane</w:t>
            </w:r>
          </w:p>
        </w:tc>
      </w:tr>
      <w:tr>
        <w:trPr/>
        <w:tc>
          <w:tcPr>
            <w:tcW w:w="7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Neal M. Cohane</w:t>
            </w:r>
          </w:p>
        </w:tc>
      </w:tr>
      <w:tr>
        <w:trPr/>
        <w:tc>
          <w:tcPr>
            <w:tcW w:w="7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Y-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each person whose signature appears below constitutes and appoints Neal M. Cohane and Douglas W. McCurdy and each of them, as his or her true and lawful attorney-in-fact and agents, each with the full power of substitution, for him or her and in his or her name, place or stead, in any and all capacities, to sign any and all amendments to this registration statement (including post-effective amendments), and to file the same, with exhibits thereto and other documents in connection therewith, with the Securities and Exchange Commission, granting unto said attorney-in-fact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their or his substitute or substitutes, may lawfully do or cause to be done by virtue hereof.</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w:t>
      </w:r>
    </w:p>
    <w:p>
      <w:pPr>
        <w:pStyle w:val="TextBody"/>
        <w:bidi w:val="0"/>
        <w:spacing w:before="0" w:after="0"/>
        <w:ind w:left="0" w:right="0" w:firstLine="490"/>
        <w:jc w:val="both"/>
        <w:rPr>
          <w:caps w:val="false"/>
          <w:smallCaps w:val="false"/>
        </w:rPr>
      </w:pPr>
      <w:r>
        <w:rPr>
          <w:caps w:val="false"/>
          <w:smallCaps w:val="false"/>
        </w:rPr>
        <w:t> </w:t>
      </w:r>
    </w:p>
    <w:tbl>
      <w:tblPr>
        <w:tblW w:w="7275" w:type="dxa"/>
        <w:jc w:val="left"/>
        <w:tblInd w:w="0" w:type="dxa"/>
        <w:tblLayout w:type="fixed"/>
        <w:tblCellMar>
          <w:top w:w="0" w:type="dxa"/>
          <w:left w:w="0" w:type="dxa"/>
          <w:bottom w:w="28" w:type="dxa"/>
          <w:right w:w="0" w:type="dxa"/>
        </w:tblCellMar>
      </w:tblPr>
      <w:tblGrid>
        <w:gridCol w:w="2030"/>
        <w:gridCol w:w="60"/>
        <w:gridCol w:w="3740"/>
        <w:gridCol w:w="60"/>
        <w:gridCol w:w="1385"/>
      </w:tblGrid>
      <w:tr>
        <w:trPr/>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0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Neal M. Cohane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tc>
      </w:tr>
      <w:tr>
        <w:trPr/>
        <w:tc>
          <w:tcPr>
            <w:tcW w:w="20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Neal M. Cohane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Douglas W. McCurdy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tc>
      </w:tr>
      <w:tr>
        <w:trPr/>
        <w:tc>
          <w:tcPr>
            <w:tcW w:w="20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W. McCurdy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Principal Financial and Accounting Officer</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Shufen Deng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Chairperson of the Board of Directors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tc>
      </w:tr>
      <w:tr>
        <w:trPr/>
        <w:tc>
          <w:tcPr>
            <w:tcW w:w="20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Shufen Deng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C. Tu</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tc>
      </w:tr>
      <w:tr>
        <w:trPr/>
        <w:tc>
          <w:tcPr>
            <w:tcW w:w="20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C. Tu</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Sam Van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tc>
      </w:tr>
      <w:tr>
        <w:trPr/>
        <w:tc>
          <w:tcPr>
            <w:tcW w:w="20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 Van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Rudolf J. M. Bakker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tc>
      </w:tr>
      <w:tr>
        <w:trPr/>
        <w:tc>
          <w:tcPr>
            <w:tcW w:w="20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Rudolf J. M. Bakker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lineRule="auto" w:line="276"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 w:name="ex5-1.htm"/>
      <w:bookmarkStart w:id="4" w:name="ksex51"/>
      <w:bookmarkEnd w:id="3"/>
      <w:bookmarkEnd w:id="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2954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0"/>
                    <a:stretch>
                      <a:fillRect/>
                    </a:stretch>
                  </pic:blipFill>
                  <pic:spPr bwMode="auto">
                    <a:xfrm>
                      <a:off x="0" y="0"/>
                      <a:ext cx="1295400" cy="4191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Courtney Tygesson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(312) 881-6680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croupas@cooley.com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 Merritt 7 PH</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Norwalk, CT 06851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Reed’s,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filing by the Company of a Registration Statement on Form S-8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covering the offering of up to 1,300,000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of the Company’s Common Stock, par value $0.0001 per share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issuable pursuant to the Company’s 2026 Equity Incentive Plan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and relied upon (a) the Registration Statement and the related prospectus, (b) the Company’s certificate of incorporation and bylaws, each as currently in effect, (c) the Plan,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and in reliance thereon, we are of the opinion that the Shares, when sold and issued in accordance with the Plan, the Registration Statement and the related prospectus, will be validly issued, fully paid, and nonassessable (except as to Shares issued pursuant to deferred payment arrangements, which will be fully paid and nonassessable when such deferred payments are made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LLP 110 N. Wacker Drive, Suite 4200 Chicago, IL 60606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+1 312 818 6500 f: +1 312 818 6598 cooley.com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295400"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1"/>
                    <a:stretch>
                      <a:fillRect/>
                    </a:stretch>
                  </pic:blipFill>
                  <pic:spPr bwMode="auto">
                    <a:xfrm>
                      <a:off x="0" y="0"/>
                      <a:ext cx="1295400" cy="4191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Two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335"/>
        <w:gridCol w:w="1880"/>
        <w:gridCol w:w="75"/>
      </w:tblGrid>
      <w:tr>
        <w:trPr/>
        <w:tc>
          <w:tcPr>
            <w:tcW w:w="22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Sincerely,</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Cooley LLP</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Courtney Tygesson</w:t>
            </w:r>
            <w:r>
              <w:rPr>
                <w:rFonts w:ascii="Times New Roman;Times;Serif" w:hAnsi="Times New Roman;Times;Serif"/>
                <w:b w:val="false"/>
                <w:i w:val="false"/>
                <w:caps w:val="false"/>
                <w:smallCaps w:val="false"/>
                <w:sz w:val="20"/>
              </w:rPr>
              <w:t xml:space="preserve">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Courtney Tygesson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63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LLP 110 N. Wacker Drive, Suite 4200 Chicago, IL 60606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+1 312 818 6500 f: +1 312 818 6598 cooley.com</w:t>
      </w:r>
    </w:p>
    <w:p>
      <w:pPr>
        <w:pStyle w:val="TextBody"/>
        <w:bidi w:val="0"/>
        <w:spacing w:before="0" w:after="0"/>
        <w:ind w:left="0" w:right="0" w:firstLine="63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5" w:name="ex23-1.htm"/>
      <w:bookmarkStart w:id="6" w:name="ksex231"/>
      <w:bookmarkEnd w:id="5"/>
      <w:bookmarkEnd w:id="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S-8 pertaining to Reed’s, Inc. 2026 Equity Incentive Plan, of our report dated March 25, 2026, relating to the financial statements of Reed’s, Inc. as of December 31, 2025 and 2024, and for the years then ended, which appear in Reed’s, Inc.’s Annual Report on Form 10-K for the year ended December 31, 2025, filed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/s/Weinberg &amp; Company, P.A.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California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 w:name="ex107.htm"/>
      <w:bookmarkStart w:id="8" w:name="ksex107"/>
      <w:bookmarkStart w:id="9" w:name="ex107.htm"/>
      <w:bookmarkStart w:id="10" w:name="ksex107"/>
      <w:bookmarkEnd w:id="9"/>
      <w:bookmarkEnd w:id="10"/>
      <w:r>
        <w:br w:type="page"/>
      </w:r>
    </w:p>
    <w:tbl>
      <w:tblPr>
        <w:tblW w:w="3558" w:type="dxa"/>
        <w:jc w:val="left"/>
        <w:tblInd w:w="0" w:type="dxa"/>
        <w:tblLayout w:type="fixed"/>
        <w:tblCellMar>
          <w:top w:w="28" w:type="dxa"/>
          <w:left w:w="28" w:type="dxa"/>
          <w:bottom w:w="28" w:type="dxa"/>
          <w:right w:w="28" w:type="dxa"/>
        </w:tblCellMar>
      </w:tblPr>
      <w:tblGrid>
        <w:gridCol w:w="3404"/>
        <w:gridCol w:w="154"/>
      </w:tblGrid>
      <w:tr>
        <w:trPr/>
        <w:tc>
          <w:tcPr>
            <w:tcW w:w="355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4"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4" w:type="dxa"/>
            <w:tcBorders/>
            <w:vAlign w:val="center"/>
          </w:tcPr>
          <w:p>
            <w:pPr>
              <w:pStyle w:val="TableContents"/>
              <w:bidi w:val="0"/>
              <w:spacing w:before="0" w:after="283"/>
              <w:jc w:val="left"/>
              <w:rPr>
                <w:b/>
              </w:rPr>
            </w:pPr>
            <w:r>
              <w:rPr>
                <w:b/>
              </w:rPr>
              <w:t xml:space="preserve">REED'S,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7"/>
        <w:gridCol w:w="1156"/>
        <w:gridCol w:w="1293"/>
        <w:gridCol w:w="1202"/>
        <w:gridCol w:w="1216"/>
        <w:gridCol w:w="1585"/>
        <w:gridCol w:w="1127"/>
        <w:gridCol w:w="1427"/>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7"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5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3"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2"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85"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7"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7" w:type="dxa"/>
            <w:tcBorders/>
            <w:shd w:fill="E7E7E2" w:val="clear"/>
            <w:vAlign w:val="center"/>
          </w:tcPr>
          <w:p>
            <w:pPr>
              <w:pStyle w:val="TableContents"/>
              <w:bidi w:val="0"/>
              <w:spacing w:before="0" w:after="283"/>
              <w:jc w:val="left"/>
              <w:rPr/>
            </w:pPr>
            <w:r>
              <w:rPr/>
              <w:t xml:space="preserve">Equity </w:t>
            </w:r>
          </w:p>
        </w:tc>
        <w:tc>
          <w:tcPr>
            <w:tcW w:w="1156" w:type="dxa"/>
            <w:tcBorders/>
            <w:shd w:fill="E7E7E2" w:val="clear"/>
            <w:vAlign w:val="center"/>
          </w:tcPr>
          <w:p>
            <w:pPr>
              <w:pStyle w:val="TableContents"/>
              <w:bidi w:val="0"/>
              <w:spacing w:before="0" w:after="283"/>
              <w:jc w:val="left"/>
              <w:rPr/>
            </w:pPr>
            <w:r>
              <w:rPr/>
              <w:t xml:space="preserve">Common Stock, par value $0.0001 per share, reserved for issuance pursuant to the 2026 Equity Incentive Plan </w:t>
            </w:r>
          </w:p>
        </w:tc>
        <w:tc>
          <w:tcPr>
            <w:tcW w:w="1293" w:type="dxa"/>
            <w:tcBorders/>
            <w:shd w:fill="E7E7E2" w:val="clear"/>
            <w:vAlign w:val="center"/>
          </w:tcPr>
          <w:p>
            <w:pPr>
              <w:pStyle w:val="TableContents"/>
              <w:bidi w:val="0"/>
              <w:spacing w:before="0" w:after="283"/>
              <w:jc w:val="center"/>
              <w:rPr/>
            </w:pPr>
            <w:r>
              <w:rPr/>
              <w:t xml:space="preserve">Other </w:t>
            </w:r>
          </w:p>
        </w:tc>
        <w:tc>
          <w:tcPr>
            <w:tcW w:w="1202" w:type="dxa"/>
            <w:tcBorders/>
            <w:shd w:fill="E7E7E2" w:val="clear"/>
            <w:vAlign w:val="center"/>
          </w:tcPr>
          <w:p>
            <w:pPr>
              <w:pStyle w:val="TableContents"/>
              <w:bidi w:val="0"/>
              <w:spacing w:before="0" w:after="283"/>
              <w:jc w:val="right"/>
              <w:rPr/>
            </w:pPr>
            <w:r>
              <w:rPr/>
              <w:t xml:space="preserve">1,300,000 </w:t>
            </w:r>
          </w:p>
        </w:tc>
        <w:tc>
          <w:tcPr>
            <w:tcW w:w="1216" w:type="dxa"/>
            <w:tcBorders/>
            <w:shd w:fill="E7E7E2" w:val="clear"/>
            <w:vAlign w:val="center"/>
          </w:tcPr>
          <w:p>
            <w:pPr>
              <w:pStyle w:val="TableContents"/>
              <w:bidi w:val="0"/>
              <w:spacing w:before="0" w:after="283"/>
              <w:jc w:val="right"/>
              <w:rPr/>
            </w:pPr>
            <w:r>
              <w:rPr/>
              <w:t xml:space="preserve">$ 0.80 </w:t>
            </w:r>
          </w:p>
        </w:tc>
        <w:tc>
          <w:tcPr>
            <w:tcW w:w="1585" w:type="dxa"/>
            <w:tcBorders/>
            <w:shd w:fill="E7E7E2" w:val="clear"/>
            <w:vAlign w:val="center"/>
          </w:tcPr>
          <w:p>
            <w:pPr>
              <w:pStyle w:val="TableContents"/>
              <w:bidi w:val="0"/>
              <w:spacing w:before="0" w:after="283"/>
              <w:jc w:val="right"/>
              <w:rPr/>
            </w:pPr>
            <w:r>
              <w:rPr/>
              <w:t xml:space="preserve">$ 1,040,000.00 </w:t>
            </w:r>
          </w:p>
        </w:tc>
        <w:tc>
          <w:tcPr>
            <w:tcW w:w="1127" w:type="dxa"/>
            <w:tcBorders/>
            <w:shd w:fill="E7E7E2" w:val="clear"/>
            <w:vAlign w:val="center"/>
          </w:tcPr>
          <w:p>
            <w:pPr>
              <w:pStyle w:val="TableContents"/>
              <w:bidi w:val="0"/>
              <w:spacing w:before="0" w:after="283"/>
              <w:jc w:val="right"/>
              <w:rPr/>
            </w:pPr>
            <w:r>
              <w:rPr/>
              <w:t xml:space="preserve">0.0001381 </w:t>
            </w:r>
          </w:p>
        </w:tc>
        <w:tc>
          <w:tcPr>
            <w:tcW w:w="1427" w:type="dxa"/>
            <w:tcBorders/>
            <w:shd w:fill="E7E7E2" w:val="clear"/>
            <w:vAlign w:val="center"/>
          </w:tcPr>
          <w:p>
            <w:pPr>
              <w:pStyle w:val="TableContents"/>
              <w:bidi w:val="0"/>
              <w:spacing w:before="0" w:after="283"/>
              <w:jc w:val="right"/>
              <w:rPr/>
            </w:pPr>
            <w:r>
              <w:rPr/>
              <w:t xml:space="preserve">$ 143.62 </w:t>
            </w:r>
          </w:p>
        </w:tc>
      </w:tr>
      <w:tr>
        <w:trPr/>
        <w:tc>
          <w:tcPr>
            <w:tcW w:w="4850" w:type="dxa"/>
            <w:gridSpan w:val="5"/>
            <w:tcBorders/>
            <w:vAlign w:val="center"/>
          </w:tcPr>
          <w:p>
            <w:pPr>
              <w:pStyle w:val="TableContents"/>
              <w:bidi w:val="0"/>
              <w:spacing w:before="0" w:after="0"/>
              <w:ind w:left="0" w:right="0" w:hanging="0"/>
              <w:jc w:val="right"/>
              <w:rPr/>
            </w:pPr>
            <w:r>
              <w:rPr/>
              <w:t>Total Offering Amounts:</w:t>
            </w:r>
          </w:p>
        </w:tc>
        <w:tc>
          <w:tcPr>
            <w:tcW w:w="1216"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0"/>
              <w:ind w:left="0" w:right="0" w:hanging="0"/>
              <w:jc w:val="right"/>
              <w:rPr/>
            </w:pPr>
            <w:bookmarkStart w:id="11" w:name="MaxAggtOfferingPrice"/>
            <w:bookmarkEnd w:id="11"/>
            <w:r>
              <w:rPr/>
              <w:t xml:space="preserve">$ 1,040,000.00 </w:t>
            </w:r>
          </w:p>
        </w:tc>
        <w:tc>
          <w:tcPr>
            <w:tcW w:w="1127" w:type="dxa"/>
            <w:tcBorders/>
            <w:vAlign w:val="center"/>
          </w:tcPr>
          <w:p>
            <w:pPr>
              <w:pStyle w:val="TableContents"/>
              <w:bidi w:val="0"/>
              <w:spacing w:before="0" w:after="283"/>
              <w:jc w:val="left"/>
              <w:rPr>
                <w:sz w:val="4"/>
                <w:szCs w:val="4"/>
              </w:rPr>
            </w:pPr>
            <w:r>
              <w:rPr>
                <w:sz w:val="4"/>
                <w:szCs w:val="4"/>
              </w:rPr>
            </w:r>
          </w:p>
        </w:tc>
        <w:tc>
          <w:tcPr>
            <w:tcW w:w="1427"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$ 143.62 </w:t>
            </w:r>
          </w:p>
        </w:tc>
      </w:tr>
      <w:tr>
        <w:trPr/>
        <w:tc>
          <w:tcPr>
            <w:tcW w:w="4850" w:type="dxa"/>
            <w:gridSpan w:val="5"/>
            <w:tcBorders/>
            <w:vAlign w:val="center"/>
          </w:tcPr>
          <w:p>
            <w:pPr>
              <w:pStyle w:val="TableContents"/>
              <w:bidi w:val="0"/>
              <w:spacing w:before="0" w:after="0"/>
              <w:ind w:left="0" w:right="0" w:hanging="0"/>
              <w:jc w:val="right"/>
              <w:rPr/>
            </w:pPr>
            <w:r>
              <w:rPr/>
              <w:t xml:space="preserve">Total Fee Offsets: </w:t>
            </w:r>
          </w:p>
        </w:tc>
        <w:tc>
          <w:tcPr>
            <w:tcW w:w="1216"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850" w:type="dxa"/>
            <w:gridSpan w:val="5"/>
            <w:tcBorders/>
            <w:vAlign w:val="center"/>
          </w:tcPr>
          <w:p>
            <w:pPr>
              <w:pStyle w:val="TableContents"/>
              <w:bidi w:val="0"/>
              <w:spacing w:before="0" w:after="0"/>
              <w:ind w:left="0" w:right="0" w:hanging="0"/>
              <w:jc w:val="right"/>
              <w:rPr/>
            </w:pPr>
            <w:r>
              <w:rPr/>
              <w:t xml:space="preserve">Net Fee Due: </w:t>
            </w:r>
          </w:p>
        </w:tc>
        <w:tc>
          <w:tcPr>
            <w:tcW w:w="1216"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0"/>
              <w:ind w:left="0" w:right="0" w:hanging="0"/>
              <w:jc w:val="right"/>
              <w:rPr/>
            </w:pPr>
            <w:bookmarkStart w:id="14" w:name="NetFeeAmt"/>
            <w:bookmarkEnd w:id="14"/>
            <w:r>
              <w:rPr/>
              <w:t xml:space="preserve">$ 143.62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7"/>
        <w:gridCol w:w="8709"/>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a. Pursuant to Rule 416(a) promulgated under the Securities Act of 1933, as amended (the "Securities Act"), this Registration Statement shall also cover any additional shares of common stock, par value $0.0001 per share ("Common Stock"), of Reed's, Inc. (the "Registrant") that become issuable under the Registrant's 2026 Equity Incentive Plan (the "2026 Plan") by reason of any stock dividend, stock split, recapitalization, or other similar transaction effected that results in an increase to the number of outstanding shares of Common Stock. 1.b. Represents (i) shares of Common Stock reserved for future issuance pursuant to stock options, restricted stock units, and other awards under the 2026 Plan. 1.c. The number of shares of Common Stock reserved for issuance under the 2026 Plan will automatically increase on January 1 of each year for a period of ten years, commencing on January 1, 2027 and ending on (and including) January 1, 2036, in an amount equal to 5% of the total number of shares of Common Stock outstanding on December 31 of the preceding year; provided, however that the Registrant's board of directors may act prior to January 1 of a given year to provide that the increase for such year will be a lesser number of shares of Common Stock. 1.d. The proposed maximum offering price per share of Common Stock is estimated solely for the purpose of calculating the proposed maximum aggregate offering price and the registration fee in accordance with Rule 457(h) under the Securities Act, based on the average of the high and low prices of the Common Stock as reported on NYSE American on August 6, 2026.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40215/000149315226012679/form10-k.htm" TargetMode="External"/><Relationship Id="rId3" Type="http://schemas.openxmlformats.org/officeDocument/2006/relationships/hyperlink" Target="https://www.sec.gov/Archives/edgar/data/1140215/000149315226022714/form10-q.htm" TargetMode="External"/><Relationship Id="rId4" Type="http://schemas.openxmlformats.org/officeDocument/2006/relationships/hyperlink" Target="https://www.sec.gov/Archives/edgar/data/1140215/000149315226037365/form10-q.htm" TargetMode="External"/><Relationship Id="rId5" Type="http://schemas.openxmlformats.org/officeDocument/2006/relationships/hyperlink" Target="https://www.sec.gov/Archives/edgar/data/1140215/000149315226013196/form8-k.htm" TargetMode="External"/><Relationship Id="rId6" Type="http://schemas.openxmlformats.org/officeDocument/2006/relationships/hyperlink" Target="https://www.sec.gov/Archives/edgar/data/1140215/000149315226015701/form8-k.htm" TargetMode="External"/><Relationship Id="rId7" Type="http://schemas.openxmlformats.org/officeDocument/2006/relationships/hyperlink" Target="https://www.sec.gov/Archives/edgar/data/1140215/000149315226017828/form8-k.htm" TargetMode="External"/><Relationship Id="rId8" Type="http://schemas.openxmlformats.org/officeDocument/2006/relationships/hyperlink" Target="https://www.sec.gov/Archives/edgar/data/1140215/000149315226018928/form8-k.htm" TargetMode="External"/><Relationship Id="rId9" Type="http://schemas.openxmlformats.org/officeDocument/2006/relationships/hyperlink" Target="https://www.sec.gov/Archives/edgar/data/1140215/000149315226027062/form8-k.htm" TargetMode="External"/><Relationship Id="rId10" Type="http://schemas.openxmlformats.org/officeDocument/2006/relationships/hyperlink" Target="https://www.sec.gov/Archives/edgar/data/1140215/000149315226028280/form8-k.htm" TargetMode="External"/><Relationship Id="rId11" Type="http://schemas.openxmlformats.org/officeDocument/2006/relationships/hyperlink" Target="https://www.sec.gov/Archives/edgar/data/1140215/000149315225024395/form8a12b.htm" TargetMode="External"/><Relationship Id="rId12" Type="http://schemas.openxmlformats.org/officeDocument/2006/relationships/hyperlink" Target="https://www.sec.gov/Archives/edgar/data/1140215/000149315226012679/ex4-8.htm" TargetMode="External"/><Relationship Id="rId13" Type="http://schemas.openxmlformats.org/officeDocument/2006/relationships/hyperlink" Target="https://www.sec.gov/Archives/edgar/data/1140215/000164117225001344/ex3-i.htm" TargetMode="External"/><Relationship Id="rId14" Type="http://schemas.openxmlformats.org/officeDocument/2006/relationships/hyperlink" Target="https://www.sec.gov/Archives/edgar/data/1140215/000149315225020441/ex3-1.htm" TargetMode="External"/><Relationship Id="rId15" Type="http://schemas.openxmlformats.org/officeDocument/2006/relationships/hyperlink" Target="https://www.sec.gov/Archives/edgar/data/1140215/000149315225026641/ex3-1.htm" TargetMode="External"/><Relationship Id="rId16" Type="http://schemas.openxmlformats.org/officeDocument/2006/relationships/hyperlink" Target="https://www.sec.gov/Archives/edgar/data/1140215/000149315225021613/ex4-6.htm" TargetMode="External"/><Relationship Id="rId17" Type="http://schemas.openxmlformats.org/officeDocument/2006/relationships/hyperlink" Target="https://www.sec.gov/Archives/edgar/data/1140215/000149315226028280/ex10-1.htm" TargetMode="External"/><Relationship Id="rId18" Type="http://schemas.openxmlformats.org/officeDocument/2006/relationships/hyperlink" Target="https://www.sec.gov/Archives/edgar/data/1140215/000149315226037365/ex10-2.htm" TargetMode="External"/><Relationship Id="rId19" Type="http://schemas.openxmlformats.org/officeDocument/2006/relationships/hyperlink" Target="https://www.sec.gov/Archives/edgar/data/1140215/000149315226037365/ex10-3.htm" TargetMode="External"/><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3548</Words>
  <Characters>18848</Characters>
  <CharactersWithSpaces>22493</CharactersWithSpaces>
  <Paragraphs>502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