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jc w:val="center"/>
        <w:ind w:left="4000" w:right="1480" w:hanging="2511"/>
        <w:spacing w:after="0" w:line="481" w:lineRule="auto"/>
        <w:tabs>
          <w:tab w:leader="none" w:pos="16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June 30, 2022</w:t>
      </w:r>
    </w:p>
    <w:p>
      <w:pPr>
        <w:spacing w:after="0" w:line="34" w:lineRule="exact"/>
        <w:rPr>
          <w:sz w:val="24"/>
          <w:szCs w:val="24"/>
          <w:color w:val="auto"/>
        </w:rPr>
      </w:pPr>
    </w:p>
    <w:p>
      <w:pPr>
        <w:ind w:left="3780" w:right="2000" w:hanging="1768"/>
        <w:spacing w:after="0" w:line="500" w:lineRule="auto"/>
        <w:tabs>
          <w:tab w:leader="none" w:pos="22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3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5"/>
          </w:tcPr>
          <w:p>
            <w:pPr>
              <w:jc w:val="center"/>
              <w:ind w:right="180"/>
              <w:spacing w:after="0"/>
              <w:rPr>
                <w:sz w:val="20"/>
                <w:szCs w:val="20"/>
                <w:color w:val="auto"/>
              </w:rPr>
            </w:pPr>
            <w:r>
              <w:rPr>
                <w:rFonts w:ascii="Arial" w:cs="Arial" w:eastAsia="Arial" w:hAnsi="Arial"/>
                <w:sz w:val="32"/>
                <w:szCs w:val="32"/>
                <w:b w:val="1"/>
                <w:bCs w:val="1"/>
                <w:color w:val="auto"/>
              </w:rPr>
              <w:t>REED’S, INC.</w:t>
            </w:r>
          </w:p>
        </w:tc>
        <w:tc>
          <w:tcPr>
            <w:tcW w:w="420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7580" w:type="dxa"/>
            <w:vAlign w:val="bottom"/>
            <w:gridSpan w:val="8"/>
          </w:tcPr>
          <w:p>
            <w:pPr>
              <w:jc w:val="center"/>
              <w:ind w:right="35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66"/>
        </w:trPr>
        <w:tc>
          <w:tcPr>
            <w:tcW w:w="3660" w:type="dxa"/>
            <w:vAlign w:val="bottom"/>
            <w:tcBorders>
              <w:bottom w:val="single" w:sz="8" w:color="auto"/>
            </w:tcBorders>
          </w:tcPr>
          <w:p>
            <w:pPr>
              <w:jc w:val="center"/>
              <w:ind w:left="1770"/>
              <w:spacing w:after="0"/>
              <w:rPr>
                <w:sz w:val="20"/>
                <w:szCs w:val="20"/>
                <w:color w:val="auto"/>
              </w:rPr>
            </w:pPr>
            <w:r>
              <w:rPr>
                <w:rFonts w:ascii="Arial" w:cs="Arial" w:eastAsia="Arial" w:hAnsi="Arial"/>
                <w:sz w:val="18"/>
                <w:szCs w:val="18"/>
                <w:color w:val="auto"/>
                <w:w w:val="89"/>
              </w:rPr>
              <w:t>Delaware</w:t>
            </w: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color w:val="auto"/>
              </w:rPr>
              <w:t>35-2177773</w:t>
            </w:r>
          </w:p>
        </w:tc>
      </w:tr>
      <w:tr>
        <w:trPr>
          <w:trHeight w:val="230"/>
        </w:trPr>
        <w:tc>
          <w:tcPr>
            <w:tcW w:w="3660" w:type="dxa"/>
            <w:vAlign w:val="bottom"/>
          </w:tcPr>
          <w:p>
            <w:pPr>
              <w:jc w:val="center"/>
              <w:ind w:left="1770"/>
              <w:spacing w:after="0"/>
              <w:rPr>
                <w:sz w:val="20"/>
                <w:szCs w:val="20"/>
                <w:color w:val="auto"/>
              </w:rPr>
            </w:pPr>
            <w:r>
              <w:rPr>
                <w:rFonts w:ascii="Arial" w:cs="Arial" w:eastAsia="Arial" w:hAnsi="Arial"/>
                <w:sz w:val="18"/>
                <w:szCs w:val="18"/>
                <w:color w:val="auto"/>
                <w:w w:val="91"/>
              </w:rPr>
              <w:t>(State of incorporation)</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tcPr>
          <w:p>
            <w:pPr>
              <w:jc w:val="center"/>
              <w:ind w:right="1210"/>
              <w:spacing w:after="0"/>
              <w:rPr>
                <w:sz w:val="20"/>
                <w:szCs w:val="20"/>
                <w:color w:val="auto"/>
              </w:rPr>
            </w:pPr>
            <w:r>
              <w:rPr>
                <w:rFonts w:ascii="Arial" w:cs="Arial" w:eastAsia="Arial" w:hAnsi="Arial"/>
                <w:sz w:val="18"/>
                <w:szCs w:val="18"/>
                <w:color w:val="auto"/>
                <w:w w:val="94"/>
              </w:rPr>
              <w:t>(I.R.S. Employer Identification No.)</w:t>
            </w:r>
          </w:p>
        </w:tc>
      </w:tr>
      <w:tr>
        <w:trPr>
          <w:trHeight w:val="403"/>
        </w:trPr>
        <w:tc>
          <w:tcPr>
            <w:tcW w:w="3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gridSpan w:val="6"/>
          </w:tcPr>
          <w:p>
            <w:pPr>
              <w:jc w:val="center"/>
              <w:spacing w:after="0"/>
              <w:rPr>
                <w:sz w:val="20"/>
                <w:szCs w:val="20"/>
                <w:color w:val="auto"/>
              </w:rPr>
            </w:pPr>
            <w:r>
              <w:rPr>
                <w:rFonts w:ascii="Arial" w:cs="Arial" w:eastAsia="Arial" w:hAnsi="Arial"/>
                <w:sz w:val="18"/>
                <w:szCs w:val="18"/>
                <w:color w:val="auto"/>
                <w:w w:val="94"/>
              </w:rPr>
              <w:t>201 Merritt 7, Norwalk, CT. 06851</w:t>
            </w:r>
          </w:p>
        </w:tc>
        <w:tc>
          <w:tcPr>
            <w:tcW w:w="420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7580" w:type="dxa"/>
            <w:vAlign w:val="bottom"/>
            <w:gridSpan w:val="8"/>
          </w:tcPr>
          <w:p>
            <w:pPr>
              <w:jc w:val="center"/>
              <w:ind w:right="355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3660" w:type="dxa"/>
            <w:vAlign w:val="bottom"/>
          </w:tcPr>
          <w:p>
            <w:pPr>
              <w:spacing w:after="0"/>
              <w:rPr>
                <w:sz w:val="24"/>
                <w:szCs w:val="24"/>
                <w:color w:val="auto"/>
              </w:rPr>
            </w:pPr>
          </w:p>
        </w:tc>
        <w:tc>
          <w:tcPr>
            <w:tcW w:w="2980" w:type="dxa"/>
            <w:vAlign w:val="bottom"/>
            <w:gridSpan w:val="5"/>
          </w:tcPr>
          <w:p>
            <w:pPr>
              <w:jc w:val="center"/>
              <w:ind w:left="850"/>
              <w:spacing w:after="0"/>
              <w:rPr>
                <w:sz w:val="20"/>
                <w:szCs w:val="20"/>
                <w:color w:val="auto"/>
              </w:rPr>
            </w:pPr>
            <w:r>
              <w:rPr>
                <w:rFonts w:ascii="Arial" w:cs="Arial" w:eastAsia="Arial" w:hAnsi="Arial"/>
                <w:sz w:val="18"/>
                <w:szCs w:val="18"/>
                <w:color w:val="auto"/>
                <w:w w:val="90"/>
              </w:rPr>
              <w:t>(800) 997-3337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7580" w:type="dxa"/>
            <w:vAlign w:val="bottom"/>
            <w:gridSpan w:val="8"/>
          </w:tcPr>
          <w:p>
            <w:pPr>
              <w:jc w:val="center"/>
              <w:ind w:right="357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7040" w:type="dxa"/>
            <w:vAlign w:val="bottom"/>
            <w:gridSpan w:val="8"/>
          </w:tcPr>
          <w:p>
            <w:pPr>
              <w:jc w:val="center"/>
              <w:ind w:right="28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200" w:type="dxa"/>
            <w:vAlign w:val="bottom"/>
          </w:tcPr>
          <w:p>
            <w:pPr>
              <w:spacing w:after="0"/>
              <w:rPr>
                <w:sz w:val="24"/>
                <w:szCs w:val="24"/>
                <w:color w:val="auto"/>
              </w:rPr>
            </w:pPr>
          </w:p>
        </w:tc>
      </w:tr>
      <w:tr>
        <w:trPr>
          <w:trHeight w:val="466"/>
        </w:trPr>
        <w:tc>
          <w:tcPr>
            <w:tcW w:w="366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Title of Each Class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Trading Symbol</w:t>
            </w:r>
          </w:p>
        </w:tc>
        <w:tc>
          <w:tcPr>
            <w:tcW w:w="4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Names of each exchange on which registered</w:t>
            </w:r>
          </w:p>
        </w:tc>
      </w:tr>
      <w:tr>
        <w:trPr>
          <w:trHeight w:val="230"/>
        </w:trPr>
        <w:tc>
          <w:tcPr>
            <w:tcW w:w="3660" w:type="dxa"/>
            <w:vAlign w:val="bottom"/>
            <w:tcBorders>
              <w:top w:val="single" w:sz="8" w:color="auto"/>
            </w:tcBorders>
          </w:tcPr>
          <w:p>
            <w:pPr>
              <w:jc w:val="center"/>
              <w:ind w:left="410"/>
              <w:spacing w:after="0"/>
              <w:rPr>
                <w:sz w:val="20"/>
                <w:szCs w:val="20"/>
                <w:color w:val="auto"/>
              </w:rPr>
            </w:pPr>
            <w:r>
              <w:rPr>
                <w:rFonts w:ascii="Arial" w:cs="Arial" w:eastAsia="Arial" w:hAnsi="Arial"/>
                <w:sz w:val="18"/>
                <w:szCs w:val="18"/>
                <w:color w:val="auto"/>
                <w:w w:val="90"/>
              </w:rPr>
              <w:t>Common Stock</w:t>
            </w:r>
          </w:p>
        </w:tc>
        <w:tc>
          <w:tcPr>
            <w:tcW w:w="5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5"/>
              </w:rPr>
              <w:t>REED</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2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There was a total of 112,732,664 shares of Common Stock outstanding as of August 8, 2022.</w:t>
      </w:r>
    </w:p>
    <w:p>
      <w:pPr>
        <w:spacing w:after="0" w:line="22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sectPr>
      </w:pPr>
    </w:p>
    <w:p>
      <w:pPr>
        <w:spacing w:after="0" w:line="178" w:lineRule="exact"/>
        <w:rPr>
          <w:sz w:val="24"/>
          <w:szCs w:val="24"/>
          <w:color w:val="auto"/>
        </w:rPr>
      </w:pPr>
    </w:p>
    <w:p>
      <w:pPr>
        <w:ind w:right="380"/>
        <w:spacing w:after="0" w:line="25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496" w:lineRule="exact"/>
        <w:rPr>
          <w:sz w:val="24"/>
          <w:szCs w:val="24"/>
          <w:color w:val="auto"/>
        </w:rPr>
      </w:pPr>
    </w:p>
    <w:p>
      <w:pPr>
        <w:sectPr>
          <w:pgSz w:w="11900" w:h="16838" w:orient="portrait"/>
          <w:cols w:equalWidth="0" w:num="3">
            <w:col w:w="2660" w:space="720"/>
            <w:col w:w="2660" w:space="720"/>
            <w:col w:w="4480"/>
          </w:cols>
          <w:pgMar w:left="320" w:top="746"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2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PART I - FINANCIAL INFORMATION</w:t>
            </w:r>
          </w:p>
        </w:tc>
        <w:tc>
          <w:tcPr>
            <w:tcW w:w="9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1. Condensed Financial Statements</w:t>
            </w:r>
          </w:p>
        </w:tc>
        <w:tc>
          <w:tcPr>
            <w:tcW w:w="9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Balance Sheets - June 30, 2022 (Unaudited) and December 31, 2021</w:t>
            </w:r>
          </w:p>
        </w:tc>
        <w:tc>
          <w:tcPr>
            <w:tcW w:w="9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F-1</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Statements of Operations for the three and six months ended June 30, 2022 and 2021(Unaudited)</w:t>
            </w:r>
          </w:p>
        </w:tc>
        <w:tc>
          <w:tcPr>
            <w:tcW w:w="9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F-2</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201"/>
        </w:trPr>
        <w:tc>
          <w:tcPr>
            <w:tcW w:w="18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Statements of Changes in Stockholders’ Equity (Deficit) for the three and six months ended June 30, 2022 and 2021(Unaudited)</w:t>
            </w:r>
          </w:p>
        </w:tc>
        <w:tc>
          <w:tcPr>
            <w:tcW w:w="980" w:type="dxa"/>
            <w:vAlign w:val="bottom"/>
            <w:tcBorders>
              <w:bottom w:val="single" w:sz="8" w:color="CCEEFF"/>
            </w:tcBorders>
            <w:shd w:val="clear" w:color="auto" w:fill="CCEEFF"/>
          </w:tcPr>
          <w:p>
            <w:pPr>
              <w:ind w:left="540"/>
              <w:spacing w:after="0" w:line="176" w:lineRule="exact"/>
              <w:rPr>
                <w:sz w:val="20"/>
                <w:szCs w:val="20"/>
                <w:color w:val="auto"/>
              </w:rPr>
            </w:pPr>
            <w:r>
              <w:rPr>
                <w:rFonts w:ascii="Arial" w:cs="Arial" w:eastAsia="Arial" w:hAnsi="Arial"/>
                <w:sz w:val="18"/>
                <w:szCs w:val="18"/>
                <w:color w:val="auto"/>
              </w:rPr>
              <w:t>F-3</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Statements of Cash Flows for the six months ended June 30, 2022 and 2021 (Unaudited)</w:t>
            </w:r>
          </w:p>
        </w:tc>
        <w:tc>
          <w:tcPr>
            <w:tcW w:w="9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F-5</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Financial Statements three and six months ended June 30, 2022 and 2021 (Unaudited)</w:t>
            </w:r>
          </w:p>
        </w:tc>
        <w:tc>
          <w:tcPr>
            <w:tcW w:w="9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F-6</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98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98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4. Controls and Procedures</w:t>
            </w:r>
          </w:p>
        </w:tc>
        <w:tc>
          <w:tcPr>
            <w:tcW w:w="98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PART II – OTHER INFORMATION</w:t>
            </w:r>
          </w:p>
        </w:tc>
        <w:tc>
          <w:tcPr>
            <w:tcW w:w="9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1. Legal Proceedings</w:t>
            </w:r>
          </w:p>
        </w:tc>
        <w:tc>
          <w:tcPr>
            <w:tcW w:w="9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9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9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3. Defaults Upon Senior Securities</w:t>
            </w:r>
          </w:p>
        </w:tc>
        <w:tc>
          <w:tcPr>
            <w:tcW w:w="9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4. Mine Safety Disclosures</w:t>
            </w:r>
          </w:p>
        </w:tc>
        <w:tc>
          <w:tcPr>
            <w:tcW w:w="9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5. Other Information</w:t>
            </w:r>
          </w:p>
        </w:tc>
        <w:tc>
          <w:tcPr>
            <w:tcW w:w="9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Item 6. Exhibits</w:t>
            </w:r>
          </w:p>
        </w:tc>
        <w:tc>
          <w:tcPr>
            <w:tcW w:w="9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12</w:t>
            </w:r>
          </w:p>
        </w:tc>
      </w:tr>
      <w:tr>
        <w:trPr>
          <w:trHeight w:val="439"/>
        </w:trPr>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340" w:type="dxa"/>
            <w:vAlign w:val="bottom"/>
            <w:tcBorders>
              <w:top w:val="single" w:sz="8" w:color="CCEEFF"/>
              <w:bottom w:val="single" w:sz="8" w:color="auto"/>
            </w:tcBorders>
            <w:gridSpan w:val="6"/>
          </w:tcPr>
          <w:p>
            <w:pPr>
              <w:jc w:val="center"/>
              <w:ind w:right="3940"/>
              <w:spacing w:after="0"/>
              <w:rPr>
                <w:sz w:val="20"/>
                <w:szCs w:val="20"/>
                <w:color w:val="auto"/>
              </w:rPr>
            </w:pPr>
            <w:r>
              <w:rPr>
                <w:rFonts w:ascii="Arial" w:cs="Arial" w:eastAsia="Arial" w:hAnsi="Arial"/>
                <w:sz w:val="18"/>
                <w:szCs w:val="18"/>
                <w:color w:val="auto"/>
                <w:w w:val="98"/>
              </w:rPr>
              <w:t>i</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(“Quarterly Report”), the other reports, statements, and information that we have previously filed or that we may subsequently file with the Securities and Exchange Commission (“SEC”) and public announcements that we have previously made or may subsequently make include, may include, incorporate by reference or may incorporate by reference certain statements that may be deemed to be forward-looking statements. The forward-looking statements included or incorporated by reference in this Quarterly Report and those reports, statements, information and announcements address activities, events or developments that Reed’s, Inc. (hereinafter referred to as “we,” “us,” “our,” the “Company” or “Reed’s”) expects or anticipates will or may occur in the future. Any statements in this document about expectations, beliefs, plans, objectives, assumptions or future events or performance are not historical facts and are forward-looking statements. These statements are often, but not always, made through the use of words or phrases such as “may,” “should,” “could,” “predict,” “potential,” “believe,” “will likely result,” “expect,” “will continue,” “anticipate,” “seek,” “estimate,” “intend,” “plan,” “projection,” “would” and “outlook” and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document. All forward-looking statements concerning economic conditions, macroeconomic issues, rates of growth, rates of income or values as may be included in this document are based on information available to us on the dates noted, and we assume no obligation to update any such forward-looking statements.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risk factors referred to in this Quarterly Report beginning on page 10 could cause actual results or outcomes to differ materially from those expressed in any forward-looking statements made by us, and you should not place undue reliance on any such forward-looking statements. Any forward-looking statement speaks only as of the date on which it is made, and we do not undertake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of our control, involve a number of risks, uncertainties and other factors that could cause actual results and events to differ materially from the statements made, including, but not limited to, the following risk factors:</w:t>
      </w:r>
    </w:p>
    <w:p>
      <w:pPr>
        <w:spacing w:after="0" w:line="184" w:lineRule="exact"/>
        <w:rPr>
          <w:sz w:val="20"/>
          <w:szCs w:val="20"/>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 of capital to finance working capital and our operating plans,</w:t>
      </w:r>
    </w:p>
    <w:p>
      <w:pPr>
        <w:spacing w:after="0" w:line="225" w:lineRule="exact"/>
        <w:rPr>
          <w:rFonts w:ascii="Arial" w:cs="Arial" w:eastAsia="Arial" w:hAnsi="Arial"/>
          <w:sz w:val="18"/>
          <w:szCs w:val="18"/>
          <w:color w:val="auto"/>
        </w:rPr>
      </w:pPr>
    </w:p>
    <w:p>
      <w:pPr>
        <w:ind w:firstLine="656"/>
        <w:spacing w:after="0" w:line="277" w:lineRule="auto"/>
        <w:tabs>
          <w:tab w:leader="none" w:pos="806"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the listing of our common stock on the Nasdaq Capital Market or other national securities exchange. We will be subject to delisting if we do not meet the Nasdaq bid price rule.</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 to support marketing and product development plans and general operating activities,</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products and pricing pressures and our ability to gain or maintain our share of sales in the marketplace,</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12"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being subject to a broad range of evolving federal, state and local laws and regulations including those regarding the labeling and safety of food products, establishing ingredient designations and standards of identity for certain foods, environmental protections, as well as worker health and safety. Changes in these laws and regulations could have a material effect on the way in which we produce and market our products and could result in increased costs,</w:t>
      </w:r>
    </w:p>
    <w:p>
      <w:pPr>
        <w:spacing w:after="0" w:line="186" w:lineRule="exact"/>
        <w:rPr>
          <w:rFonts w:ascii="Arial" w:cs="Arial" w:eastAsia="Arial" w:hAnsi="Arial"/>
          <w:sz w:val="18"/>
          <w:szCs w:val="18"/>
          <w:color w:val="auto"/>
        </w:rPr>
      </w:pPr>
    </w:p>
    <w:p>
      <w:pPr>
        <w:ind w:firstLine="65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and availability of raw materials and the ability to maintain our supply arrangements and relationships and procure timely and/or adequate production of all or any of our products,</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penetrate new markets and maintain or expand existing markets,</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existing relationships and expanding the distributor network of our products,</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Decline in global financial markets, economic downturn and business interruptions resulting from effects of the coronavirus COVID-19 global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pandemic,</w:t>
      </w:r>
    </w:p>
    <w:p>
      <w:pPr>
        <w:spacing w:after="0" w:line="210" w:lineRule="exact"/>
        <w:rPr>
          <w:rFonts w:ascii="Arial" w:cs="Arial" w:eastAsia="Arial" w:hAnsi="Arial"/>
          <w:sz w:val="16"/>
          <w:szCs w:val="16"/>
          <w:color w:val="auto"/>
        </w:rPr>
      </w:pPr>
    </w:p>
    <w:p>
      <w:pPr>
        <w:ind w:firstLine="656"/>
        <w:spacing w:after="0" w:line="277" w:lineRule="auto"/>
        <w:tabs>
          <w:tab w:leader="none" w:pos="81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weaknesses we may identify in our disclosure controls and procedures and our internal control over financial reporting in future periods in a timely enough manner to eliminate the risks posed by such material weaknesses,</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marketing efforts of distributors of our products, most of whom also distribute products that are competitive with our products,</w:t>
      </w:r>
    </w:p>
    <w:p>
      <w:pPr>
        <w:spacing w:after="0" w:line="225" w:lineRule="exact"/>
        <w:rPr>
          <w:rFonts w:ascii="Arial" w:cs="Arial" w:eastAsia="Arial" w:hAnsi="Arial"/>
          <w:sz w:val="18"/>
          <w:szCs w:val="18"/>
          <w:color w:val="auto"/>
        </w:rPr>
      </w:pPr>
    </w:p>
    <w:p>
      <w:pPr>
        <w:ind w:right="20" w:firstLine="656"/>
        <w:spacing w:after="0" w:line="277" w:lineRule="auto"/>
        <w:tabs>
          <w:tab w:leader="none" w:pos="854"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by distributors, grocery chains, specialty chain stores, club stores and other customers to discontinue carrying all or any of our products that they are carrying at any time,</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advertising, marketing and promotional programs,</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political changes,</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acceptance of new products, including taste test comparisons,</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recalls of our products; and</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impact of the war in Ukraine.</w:t>
      </w:r>
    </w:p>
    <w:p>
      <w:pPr>
        <w:sectPr>
          <w:pgSz w:w="11900" w:h="16868" w:orient="portrait"/>
          <w:cols w:equalWidth="0" w:num="1">
            <w:col w:w="11240"/>
          </w:cols>
          <w:pgMar w:left="320" w:top="688" w:right="3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840" w:type="dxa"/>
            <w:vAlign w:val="bottom"/>
          </w:tcPr>
          <w:p>
            <w:pPr>
              <w:jc w:val="center"/>
              <w:ind w:left="4310"/>
              <w:spacing w:after="0"/>
              <w:rPr>
                <w:sz w:val="20"/>
                <w:szCs w:val="20"/>
                <w:color w:val="auto"/>
              </w:rPr>
            </w:pPr>
            <w:r>
              <w:rPr>
                <w:rFonts w:ascii="Arial" w:cs="Arial" w:eastAsia="Arial" w:hAnsi="Arial"/>
                <w:sz w:val="18"/>
                <w:szCs w:val="18"/>
                <w:b w:val="1"/>
                <w:bCs w:val="1"/>
                <w:color w:val="auto"/>
                <w:w w:val="99"/>
              </w:rPr>
              <w:t>REED’S, INC.</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60" w:type="dxa"/>
            <w:vAlign w:val="bottom"/>
            <w:gridSpan w:val="3"/>
          </w:tcPr>
          <w:p>
            <w:pPr>
              <w:jc w:val="center"/>
              <w:ind w:left="2890"/>
              <w:spacing w:after="0"/>
              <w:rPr>
                <w:sz w:val="20"/>
                <w:szCs w:val="20"/>
                <w:color w:val="auto"/>
              </w:rPr>
            </w:pPr>
            <w:r>
              <w:rPr>
                <w:rFonts w:ascii="Arial" w:cs="Arial" w:eastAsia="Arial" w:hAnsi="Arial"/>
                <w:sz w:val="18"/>
                <w:szCs w:val="18"/>
                <w:b w:val="1"/>
                <w:bCs w:val="1"/>
                <w:color w:val="auto"/>
                <w:w w:val="98"/>
              </w:rPr>
              <w:t>CONDENSED BALANCE SHEETS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60" w:type="dxa"/>
            <w:vAlign w:val="bottom"/>
            <w:gridSpan w:val="3"/>
          </w:tcPr>
          <w:p>
            <w:pPr>
              <w:jc w:val="center"/>
              <w:ind w:left="2910"/>
              <w:spacing w:after="0"/>
              <w:rPr>
                <w:sz w:val="20"/>
                <w:szCs w:val="20"/>
                <w:color w:val="auto"/>
              </w:rPr>
            </w:pPr>
            <w:r>
              <w:rPr>
                <w:rFonts w:ascii="Arial" w:cs="Arial" w:eastAsia="Arial" w:hAnsi="Arial"/>
                <w:sz w:val="18"/>
                <w:szCs w:val="18"/>
                <w:b w:val="1"/>
                <w:bCs w:val="1"/>
                <w:color w:val="auto"/>
                <w:w w:val="87"/>
              </w:rPr>
              <w:t>(Amounts in thousands, except share amounts)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December</w:t>
            </w:r>
          </w:p>
        </w:tc>
      </w:tr>
      <w:tr>
        <w:trPr>
          <w:trHeight w:val="241"/>
        </w:trPr>
        <w:tc>
          <w:tcPr>
            <w:tcW w:w="684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550"/>
              <w:spacing w:after="0"/>
              <w:rPr>
                <w:sz w:val="20"/>
                <w:szCs w:val="20"/>
                <w:color w:val="auto"/>
              </w:rPr>
            </w:pPr>
            <w:r>
              <w:rPr>
                <w:rFonts w:ascii="Arial" w:cs="Arial" w:eastAsia="Arial" w:hAnsi="Arial"/>
                <w:sz w:val="18"/>
                <w:szCs w:val="18"/>
                <w:b w:val="1"/>
                <w:bCs w:val="1"/>
                <w:color w:val="auto"/>
              </w:rPr>
              <w:t>31, 2021</w:t>
            </w:r>
          </w:p>
        </w:tc>
        <w:tc>
          <w:tcPr>
            <w:tcW w:w="100" w:type="dxa"/>
            <w:vAlign w:val="bottom"/>
          </w:tcPr>
          <w:p>
            <w:pPr>
              <w:spacing w:after="0"/>
              <w:rPr>
                <w:sz w:val="20"/>
                <w:szCs w:val="20"/>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2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Accounts receivable, net of allowance of $225 and $215, respectively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7,704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5,183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24,193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Receivable from related party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r>
      <w:tr>
        <w:trPr>
          <w:trHeight w:val="203"/>
        </w:trPr>
        <w:tc>
          <w:tcPr>
            <w:tcW w:w="6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34,617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24,705</w:t>
            </w:r>
          </w:p>
        </w:tc>
        <w:tc>
          <w:tcPr>
            <w:tcW w:w="10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6"/>
              </w:rPr>
              <w:t>Property and equipment, net of accumulated depreciation of $668 and $561, respectively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r>
      <w:tr>
        <w:trPr>
          <w:trHeight w:val="257"/>
        </w:trPr>
        <w:tc>
          <w:tcPr>
            <w:tcW w:w="68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36,126</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12,681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10,434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Revolving line of credit, net of capitalized financing costs of $443 and $0, respectively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11,094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10,229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Payable to related party</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rPr>
              <w:t>Current portion of convertible notes payable, net of debt discount of $414 and $0,</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liabilities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r>
      <w:tr>
        <w:trPr>
          <w:trHeight w:val="203"/>
        </w:trPr>
        <w:tc>
          <w:tcPr>
            <w:tcW w:w="6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27,800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21,724</w:t>
            </w:r>
          </w:p>
        </w:tc>
        <w:tc>
          <w:tcPr>
            <w:tcW w:w="100" w:type="dxa"/>
            <w:vAlign w:val="bottom"/>
            <w:tcBorders>
              <w:top w:val="single" w:sz="8" w:color="CCEEFF"/>
            </w:tcBorders>
          </w:tcPr>
          <w:p>
            <w:pPr>
              <w:spacing w:after="0"/>
              <w:rPr>
                <w:sz w:val="17"/>
                <w:szCs w:val="17"/>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Convertible note payable, net of debt discount of $769 and $0, respectively, less current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portion</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8,441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Lease liabilities, less current portion</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r>
      <w:tr>
        <w:trPr>
          <w:trHeight w:val="223"/>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$10 par value, 500,000 shares authorized, 9,411 shares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issued and outstanding</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180,000,000 shares authorized; 112,652,320 and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93,733,975 shares issued and outstanding, respectively</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w w:val="95"/>
              </w:rPr>
              <w:t>112,675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107,237</w:t>
            </w: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(113,199)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(103,137)</w:t>
            </w:r>
          </w:p>
        </w:tc>
      </w:tr>
      <w:tr>
        <w:trPr>
          <w:trHeight w:val="210"/>
        </w:trPr>
        <w:tc>
          <w:tcPr>
            <w:tcW w:w="6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8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23,416</w:t>
            </w:r>
          </w:p>
        </w:tc>
        <w:tc>
          <w:tcPr>
            <w:tcW w:w="10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10,426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8,001</w:t>
            </w:r>
          </w:p>
        </w:tc>
        <w:tc>
          <w:tcPr>
            <w:tcW w:w="2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19,676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16,294</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43"/>
        </w:trPr>
        <w:tc>
          <w:tcPr>
            <w:tcW w:w="4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3,832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2,508</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6,644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5,795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1,836</w:t>
            </w:r>
          </w:p>
        </w:tc>
        <w:tc>
          <w:tcPr>
            <w:tcW w:w="2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3,899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4,439</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43"/>
        </w:trPr>
        <w:tc>
          <w:tcPr>
            <w:tcW w:w="4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(7,961)</w:t>
            </w:r>
          </w:p>
        </w:tc>
      </w:tr>
      <w:tr>
        <w:trPr>
          <w:trHeight w:val="243"/>
        </w:trPr>
        <w:tc>
          <w:tcPr>
            <w:tcW w:w="4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Gain on extinguishment of PPP note payable</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r>
      <w:tr>
        <w:trPr>
          <w:trHeight w:val="243"/>
        </w:trPr>
        <w:tc>
          <w:tcPr>
            <w:tcW w:w="47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(5,077)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(3,141)</w:t>
            </w: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(7,649)</w:t>
            </w:r>
          </w:p>
        </w:tc>
      </w:tr>
      <w:tr>
        <w:trPr>
          <w:trHeight w:val="243"/>
        </w:trPr>
        <w:tc>
          <w:tcPr>
            <w:tcW w:w="4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b w:val="1"/>
                <w:bCs w:val="1"/>
                <w:color w:val="auto"/>
              </w:rPr>
              <w:t>Dividends on Series A Convertible Preferred Stock</w:t>
            </w:r>
          </w:p>
        </w:tc>
        <w:tc>
          <w:tcPr>
            <w:tcW w:w="2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43"/>
        </w:trPr>
        <w:tc>
          <w:tcPr>
            <w:tcW w:w="47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(5,082)</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(3,146)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(10,062)</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(7,654)</w:t>
            </w:r>
          </w:p>
        </w:tc>
      </w:tr>
      <w:tr>
        <w:trPr>
          <w:trHeight w:val="223"/>
        </w:trPr>
        <w:tc>
          <w:tcPr>
            <w:tcW w:w="47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r>
      <w:tr>
        <w:trPr>
          <w:trHeight w:val="223"/>
        </w:trPr>
        <w:tc>
          <w:tcPr>
            <w:tcW w:w="47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w w:val="97"/>
              </w:rPr>
              <w:t>Weighted average number of shares outstanding – basic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112,615,900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90,801,842</w:t>
            </w:r>
          </w:p>
        </w:tc>
        <w:tc>
          <w:tcPr>
            <w:tcW w:w="2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105,038,749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88,751,896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ind w:left="140"/>
              <w:spacing w:after="0"/>
              <w:rPr>
                <w:sz w:val="20"/>
                <w:szCs w:val="20"/>
                <w:color w:val="auto"/>
              </w:rPr>
            </w:pPr>
            <w:r>
              <w:rPr>
                <w:rFonts w:ascii="Arial" w:cs="Arial" w:eastAsia="Arial" w:hAnsi="Arial"/>
                <w:sz w:val="18"/>
                <w:szCs w:val="18"/>
                <w:color w:val="auto"/>
              </w:rPr>
              <w:t>Additional</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281"/>
              <w:spacing w:after="0"/>
              <w:rPr>
                <w:sz w:val="20"/>
                <w:szCs w:val="20"/>
                <w:color w:val="auto"/>
              </w:rPr>
            </w:pPr>
            <w:r>
              <w:rPr>
                <w:rFonts w:ascii="Arial" w:cs="Arial" w:eastAsia="Arial" w:hAnsi="Arial"/>
                <w:sz w:val="18"/>
                <w:szCs w:val="18"/>
                <w:color w:val="auto"/>
                <w:w w:val="89"/>
              </w:rPr>
              <w:t>Total</w:t>
            </w:r>
          </w:p>
        </w:tc>
      </w:tr>
      <w:tr>
        <w:trPr>
          <w:trHeight w:val="251"/>
        </w:trPr>
        <w:tc>
          <w:tcPr>
            <w:tcW w:w="3540" w:type="dxa"/>
            <w:vAlign w:val="bottom"/>
          </w:tcPr>
          <w:p>
            <w:pPr>
              <w:spacing w:after="0"/>
              <w:rPr>
                <w:sz w:val="21"/>
                <w:szCs w:val="21"/>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Preferred Stock</w:t>
            </w:r>
          </w:p>
        </w:tc>
        <w:tc>
          <w:tcPr>
            <w:tcW w:w="2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Paid In</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240" w:type="dxa"/>
            <w:vAlign w:val="bottom"/>
            <w:gridSpan w:val="3"/>
          </w:tcPr>
          <w:p>
            <w:pPr>
              <w:jc w:val="center"/>
              <w:ind w:right="41"/>
              <w:spacing w:after="0"/>
              <w:rPr>
                <w:sz w:val="20"/>
                <w:szCs w:val="20"/>
                <w:color w:val="auto"/>
              </w:rPr>
            </w:pPr>
            <w:r>
              <w:rPr>
                <w:rFonts w:ascii="Arial" w:cs="Arial" w:eastAsia="Arial" w:hAnsi="Arial"/>
                <w:sz w:val="18"/>
                <w:szCs w:val="18"/>
                <w:color w:val="auto"/>
                <w:w w:val="92"/>
              </w:rPr>
              <w:t>Stockholders’</w:t>
            </w:r>
          </w:p>
        </w:tc>
      </w:tr>
      <w:tr>
        <w:trPr>
          <w:trHeight w:val="223"/>
        </w:trPr>
        <w:tc>
          <w:tcPr>
            <w:tcW w:w="354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Shares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19"/>
                <w:szCs w:val="19"/>
                <w:color w:val="auto"/>
              </w:rPr>
            </w:pPr>
          </w:p>
        </w:tc>
        <w:tc>
          <w:tcPr>
            <w:tcW w:w="1100" w:type="dxa"/>
            <w:vAlign w:val="bottom"/>
            <w:gridSpan w:val="2"/>
          </w:tcPr>
          <w:p>
            <w:pPr>
              <w:jc w:val="right"/>
              <w:ind w:right="461"/>
              <w:spacing w:after="0"/>
              <w:rPr>
                <w:sz w:val="20"/>
                <w:szCs w:val="20"/>
                <w:color w:val="auto"/>
              </w:rPr>
            </w:pPr>
            <w:r>
              <w:rPr>
                <w:rFonts w:ascii="Arial" w:cs="Arial" w:eastAsia="Arial" w:hAnsi="Arial"/>
                <w:sz w:val="18"/>
                <w:szCs w:val="18"/>
                <w:color w:val="auto"/>
              </w:rPr>
              <w:t>Deficit</w:t>
            </w:r>
          </w:p>
        </w:tc>
        <w:tc>
          <w:tcPr>
            <w:tcW w:w="1240" w:type="dxa"/>
            <w:vAlign w:val="bottom"/>
            <w:gridSpan w:val="3"/>
          </w:tcPr>
          <w:p>
            <w:pPr>
              <w:spacing w:after="0"/>
              <w:rPr>
                <w:sz w:val="20"/>
                <w:szCs w:val="20"/>
                <w:color w:val="auto"/>
              </w:rPr>
            </w:pPr>
            <w:r>
              <w:rPr>
                <w:rFonts w:ascii="Arial" w:cs="Arial" w:eastAsia="Arial" w:hAnsi="Arial"/>
                <w:sz w:val="18"/>
                <w:szCs w:val="18"/>
                <w:color w:val="auto"/>
              </w:rPr>
              <w:t>Equity (Deficit)</w:t>
            </w: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112,551,890</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(108,117)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38</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Fair value of vested restricted shares granted</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 officers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100,430</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8"/>
              </w:rPr>
              <w:t>Issuance of shares for dividends on Series A</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for cash, net of</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(5,077)</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(5,077)</w:t>
            </w:r>
          </w:p>
        </w:tc>
      </w:tr>
      <w:tr>
        <w:trPr>
          <w:trHeight w:val="21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112,652,320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(113,199</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3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ind w:left="140"/>
              <w:spacing w:after="0"/>
              <w:rPr>
                <w:sz w:val="20"/>
                <w:szCs w:val="20"/>
                <w:color w:val="auto"/>
              </w:rPr>
            </w:pPr>
            <w:r>
              <w:rPr>
                <w:rFonts w:ascii="Arial" w:cs="Arial" w:eastAsia="Arial" w:hAnsi="Arial"/>
                <w:sz w:val="18"/>
                <w:szCs w:val="18"/>
                <w:color w:val="auto"/>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281"/>
              <w:spacing w:after="0"/>
              <w:rPr>
                <w:sz w:val="20"/>
                <w:szCs w:val="20"/>
                <w:color w:val="auto"/>
              </w:rPr>
            </w:pPr>
            <w:r>
              <w:rPr>
                <w:rFonts w:ascii="Arial" w:cs="Arial" w:eastAsia="Arial" w:hAnsi="Arial"/>
                <w:sz w:val="18"/>
                <w:szCs w:val="18"/>
                <w:color w:val="auto"/>
                <w:w w:val="89"/>
              </w:rPr>
              <w:t>Total</w:t>
            </w:r>
          </w:p>
        </w:tc>
      </w:tr>
      <w:tr>
        <w:trPr>
          <w:trHeight w:val="251"/>
        </w:trPr>
        <w:tc>
          <w:tcPr>
            <w:tcW w:w="3540" w:type="dxa"/>
            <w:vAlign w:val="bottom"/>
          </w:tcPr>
          <w:p>
            <w:pPr>
              <w:spacing w:after="0"/>
              <w:rPr>
                <w:sz w:val="21"/>
                <w:szCs w:val="21"/>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Preferred Stock</w:t>
            </w:r>
          </w:p>
        </w:tc>
        <w:tc>
          <w:tcPr>
            <w:tcW w:w="2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Paid In</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240" w:type="dxa"/>
            <w:vAlign w:val="bottom"/>
            <w:gridSpan w:val="3"/>
          </w:tcPr>
          <w:p>
            <w:pPr>
              <w:jc w:val="center"/>
              <w:ind w:right="41"/>
              <w:spacing w:after="0"/>
              <w:rPr>
                <w:sz w:val="20"/>
                <w:szCs w:val="20"/>
                <w:color w:val="auto"/>
              </w:rPr>
            </w:pPr>
            <w:r>
              <w:rPr>
                <w:rFonts w:ascii="Arial" w:cs="Arial" w:eastAsia="Arial" w:hAnsi="Arial"/>
                <w:sz w:val="18"/>
                <w:szCs w:val="18"/>
                <w:color w:val="auto"/>
                <w:w w:val="92"/>
              </w:rPr>
              <w:t>Stockholders’</w:t>
            </w:r>
          </w:p>
        </w:tc>
      </w:tr>
      <w:tr>
        <w:trPr>
          <w:trHeight w:val="236"/>
        </w:trPr>
        <w:tc>
          <w:tcPr>
            <w:tcW w:w="354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Shares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100" w:type="dxa"/>
            <w:vAlign w:val="bottom"/>
            <w:gridSpan w:val="2"/>
          </w:tcPr>
          <w:p>
            <w:pPr>
              <w:jc w:val="right"/>
              <w:ind w:right="461"/>
              <w:spacing w:after="0"/>
              <w:rPr>
                <w:sz w:val="20"/>
                <w:szCs w:val="20"/>
                <w:color w:val="auto"/>
              </w:rPr>
            </w:pPr>
            <w:r>
              <w:rPr>
                <w:rFonts w:ascii="Arial" w:cs="Arial" w:eastAsia="Arial" w:hAnsi="Arial"/>
                <w:sz w:val="18"/>
                <w:szCs w:val="18"/>
                <w:color w:val="auto"/>
              </w:rPr>
              <w:t>Deficit</w:t>
            </w:r>
          </w:p>
        </w:tc>
        <w:tc>
          <w:tcPr>
            <w:tcW w:w="1240" w:type="dxa"/>
            <w:vAlign w:val="bottom"/>
            <w:gridSpan w:val="3"/>
          </w:tcPr>
          <w:p>
            <w:pPr>
              <w:spacing w:after="0"/>
              <w:rPr>
                <w:sz w:val="20"/>
                <w:szCs w:val="20"/>
                <w:color w:val="auto"/>
              </w:rPr>
            </w:pPr>
            <w:r>
              <w:rPr>
                <w:rFonts w:ascii="Arial" w:cs="Arial" w:eastAsia="Arial" w:hAnsi="Arial"/>
                <w:sz w:val="18"/>
                <w:szCs w:val="18"/>
                <w:color w:val="auto"/>
              </w:rPr>
              <w:t>Equity (Deficit)</w:t>
            </w: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93,733,975</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263</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Fair value of vested restricted shares granted</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 officers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237,024</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8"/>
              </w:rPr>
              <w:t>Issuance of shares for dividends on Series A</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(13,250)</w:t>
            </w: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Common shares issued for financing costs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37</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for cash, net of</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18,594,571</w:t>
            </w: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5,032</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5,034</w:t>
            </w:r>
          </w:p>
        </w:tc>
      </w:tr>
      <w:tr>
        <w:trPr>
          <w:trHeight w:val="236"/>
        </w:trPr>
        <w:tc>
          <w:tcPr>
            <w:tcW w:w="354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(10,057)</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(10,057)</w:t>
            </w:r>
          </w:p>
        </w:tc>
      </w:tr>
      <w:tr>
        <w:trPr>
          <w:trHeight w:val="230"/>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112,652,320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(113,199</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8"/>
                <w:szCs w:val="18"/>
                <w:color w:val="auto"/>
                <w:w w:val="81"/>
              </w:rPr>
              <w:t>F-3</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Total</w:t>
            </w:r>
          </w:p>
        </w:tc>
      </w:tr>
      <w:tr>
        <w:trPr>
          <w:trHeight w:val="216"/>
        </w:trPr>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r>
      <w:tr>
        <w:trPr>
          <w:trHeight w:val="251"/>
        </w:trPr>
        <w:tc>
          <w:tcPr>
            <w:tcW w:w="3700" w:type="dxa"/>
            <w:vAlign w:val="bottom"/>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w w:val="91"/>
              </w:rPr>
              <w:t>Preferred Stock</w:t>
            </w:r>
          </w:p>
        </w:tc>
        <w:tc>
          <w:tcPr>
            <w:tcW w:w="2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Paid In</w:t>
            </w:r>
          </w:p>
        </w:tc>
        <w:tc>
          <w:tcPr>
            <w:tcW w:w="140" w:type="dxa"/>
            <w:vAlign w:val="bottom"/>
          </w:tcPr>
          <w:p>
            <w:pPr>
              <w:spacing w:after="0"/>
              <w:rPr>
                <w:sz w:val="21"/>
                <w:szCs w:val="21"/>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1"/>
                <w:szCs w:val="21"/>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Equity</w:t>
            </w:r>
          </w:p>
        </w:tc>
      </w:tr>
      <w:tr>
        <w:trPr>
          <w:trHeight w:val="237"/>
        </w:trPr>
        <w:tc>
          <w:tcPr>
            <w:tcW w:w="37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Amount</w:t>
            </w:r>
          </w:p>
        </w:tc>
        <w:tc>
          <w:tcPr>
            <w:tcW w:w="3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(Deficit)</w:t>
            </w: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86,807,905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9,411</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(91,237)</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528</w:t>
            </w: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Fair value of vested restricted shares granted to</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an officer for services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74,968</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0"/>
                <w:szCs w:val="20"/>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Issuance of shares for dividends on Series A</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Common shares issued on exercise of stock</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options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52,000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pursuant to the rights</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offering costs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6,680,000</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7,333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7,333</w:t>
            </w:r>
          </w:p>
        </w:tc>
        <w:tc>
          <w:tcPr>
            <w:tcW w:w="80" w:type="dxa"/>
            <w:vAlign w:val="bottom"/>
            <w:shd w:val="clear" w:color="auto" w:fill="CCEEFF"/>
          </w:tcPr>
          <w:p>
            <w:pPr>
              <w:spacing w:after="0"/>
              <w:rPr>
                <w:sz w:val="20"/>
                <w:szCs w:val="20"/>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(3,141)</w:t>
            </w:r>
          </w:p>
        </w:tc>
        <w:tc>
          <w:tcPr>
            <w:tcW w:w="1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(3,141)</w:t>
            </w:r>
          </w:p>
        </w:tc>
      </w:tr>
      <w:tr>
        <w:trPr>
          <w:trHeight w:val="23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93,601,380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105,847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5"/>
        </w:trPr>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Total</w:t>
            </w:r>
          </w:p>
        </w:tc>
      </w:tr>
      <w:tr>
        <w:trPr>
          <w:trHeight w:val="216"/>
        </w:trPr>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r>
      <w:tr>
        <w:trPr>
          <w:trHeight w:val="251"/>
        </w:trPr>
        <w:tc>
          <w:tcPr>
            <w:tcW w:w="3700" w:type="dxa"/>
            <w:vAlign w:val="bottom"/>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w w:val="91"/>
              </w:rPr>
              <w:t>Preferred Stock</w:t>
            </w:r>
          </w:p>
        </w:tc>
        <w:tc>
          <w:tcPr>
            <w:tcW w:w="2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Paid In</w:t>
            </w:r>
          </w:p>
        </w:tc>
        <w:tc>
          <w:tcPr>
            <w:tcW w:w="140" w:type="dxa"/>
            <w:vAlign w:val="bottom"/>
          </w:tcPr>
          <w:p>
            <w:pPr>
              <w:spacing w:after="0"/>
              <w:rPr>
                <w:sz w:val="21"/>
                <w:szCs w:val="21"/>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1"/>
                <w:szCs w:val="21"/>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Equity</w:t>
            </w:r>
          </w:p>
        </w:tc>
      </w:tr>
      <w:tr>
        <w:trPr>
          <w:trHeight w:val="237"/>
        </w:trPr>
        <w:tc>
          <w:tcPr>
            <w:tcW w:w="37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Amount</w:t>
            </w:r>
          </w:p>
        </w:tc>
        <w:tc>
          <w:tcPr>
            <w:tcW w:w="3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(Deficit)</w:t>
            </w: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86,317,096</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9,411</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828</w:t>
            </w: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Fair value of vested restricted shares granted to</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officers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159,777</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Issuance of shares for dividends on Series A</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w w:val="99"/>
              </w:rPr>
              <w:t>Common shares issued on exercise of options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58,000</w:t>
            </w:r>
          </w:p>
        </w:tc>
        <w:tc>
          <w:tcPr>
            <w:tcW w:w="44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for financing costs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Common shares issued pursuant to the rights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offering, net of offering costs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6,680,000</w:t>
            </w:r>
          </w:p>
        </w:tc>
        <w:tc>
          <w:tcPr>
            <w:tcW w:w="44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7,333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7,333</w:t>
            </w:r>
          </w:p>
        </w:tc>
        <w:tc>
          <w:tcPr>
            <w:tcW w:w="80" w:type="dxa"/>
            <w:vAlign w:val="bottom"/>
          </w:tcPr>
          <w:p>
            <w:pPr>
              <w:spacing w:after="0"/>
              <w:rPr>
                <w:sz w:val="20"/>
                <w:szCs w:val="20"/>
                <w:color w:val="auto"/>
              </w:rPr>
            </w:pPr>
          </w:p>
        </w:tc>
      </w:tr>
      <w:tr>
        <w:trPr>
          <w:trHeight w:val="25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(7,649)</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(7,649)</w:t>
            </w:r>
          </w:p>
        </w:tc>
      </w:tr>
      <w:tr>
        <w:trPr>
          <w:trHeight w:val="216"/>
        </w:trPr>
        <w:tc>
          <w:tcPr>
            <w:tcW w:w="3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June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93,601,380</w:t>
            </w: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4"/>
              </w:rPr>
              <w:t>9,411</w:t>
            </w: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94</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105,847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(94,384</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561"/>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June 30, 2021</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(10,057)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(7,649)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69</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termination of leases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Gain on extinguishment of PPP note payable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Amortization of prepaid financing costs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147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vested options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828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vested restricted shares granted to officers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169</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issued as financing costs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Change in allowance for doubtful accounts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write-downs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Accrued interest on convertible note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258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right of use assets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36"/>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i w:val="1"/>
                <w:iCs w:val="1"/>
                <w:color w:val="auto"/>
              </w:rPr>
              <w:t>Cash flows from investing activities: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costs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36"/>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i w:val="1"/>
                <w:iCs w:val="1"/>
                <w:color w:val="auto"/>
              </w:rPr>
              <w:t>Cash flows from financing activities: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line of credit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29,292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33,798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Payments on line of credit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(27,934)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(30,859)</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Proceeds from sale of common stock</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5,034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7,334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convertible note payable, net of expenses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10,008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Amounts from related party, net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184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capital lease obligation</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29</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16,561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10,469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increase in cash</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59</w:t>
            </w:r>
          </w:p>
        </w:tc>
      </w:tr>
      <w:tr>
        <w:trPr>
          <w:trHeight w:val="24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595</w:t>
            </w:r>
          </w:p>
        </w:tc>
      </w:tr>
      <w:tr>
        <w:trPr>
          <w:trHeight w:val="257"/>
        </w:trPr>
        <w:tc>
          <w:tcPr>
            <w:tcW w:w="61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at end of period</w:t>
            </w:r>
          </w:p>
        </w:tc>
        <w:tc>
          <w:tcPr>
            <w:tcW w:w="86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6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621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w:t>
            </w:r>
          </w:p>
        </w:tc>
      </w:tr>
      <w:tr>
        <w:trPr>
          <w:trHeight w:val="243"/>
        </w:trPr>
        <w:tc>
          <w:tcPr>
            <w:tcW w:w="6120" w:type="dxa"/>
            <w:vAlign w:val="bottom"/>
          </w:tcPr>
          <w:p>
            <w:pPr>
              <w:spacing w:after="0"/>
              <w:rPr>
                <w:sz w:val="20"/>
                <w:szCs w:val="20"/>
                <w:color w:val="auto"/>
              </w:rPr>
            </w:pPr>
            <w:r>
              <w:rPr>
                <w:rFonts w:ascii="Arial" w:cs="Arial" w:eastAsia="Arial" w:hAnsi="Arial"/>
                <w:sz w:val="18"/>
                <w:szCs w:val="18"/>
                <w:b w:val="1"/>
                <w:bCs w:val="1"/>
                <w:color w:val="auto"/>
              </w:rPr>
              <w:t>Non -cash investing and financing activities</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Dividends on Series A Convertible Preferred Stock</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2022 and 2021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ind w:right="768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69" w:lineRule="auto"/>
        <w:rPr>
          <w:sz w:val="20"/>
          <w:szCs w:val="20"/>
          <w:color w:val="auto"/>
        </w:rPr>
      </w:pPr>
      <w:r>
        <w:rPr>
          <w:rFonts w:ascii="Arial" w:cs="Arial" w:eastAsia="Arial" w:hAnsi="Arial"/>
          <w:sz w:val="17"/>
          <w:szCs w:val="17"/>
          <w:color w:val="auto"/>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2021, filed with the SEC on April 15, 2022. The accompanying condensed financial statements are unaudited, but in the opinion of management contain all adjustments, including normal recurring adjustments, necessary to present fairly the Company’s financial position as of June 30, 2022, and the results of its operations and its cash flows for the six months ended June 30, 2022 and 2021. The balance sheet as of December 31, 2021 is derived from the Company’s audited financial statements.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six months ended June 30, 2022 are not necessarily indicative of the results of operations to be expected for the full fiscal year ending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six months ended June 30, 2022, the Company recorded a net loss of $10,057 and used cash in operations of $16,330. These factors raise substantial doubt about the Company’s ability to continue as a going concern within one year of the date that the financial statements are issued. In addition, the Company’s independent registered public accounting firm, in its report on the Company’s December 31, 2021, financial statements, raised substantial doubt about the Company’s ability to continue as a going concern. The financial statements do not include any adjustments that might be necessary if the Company is unable to continue as a going concern.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had a cash balance of $280, with $969 of current availability, and $1,361 of additional borrowing capacity.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six months of 2022, the Company continued to strengthen its supply chain, implement gross margin enhancement initiatives, drive efficiencies in transportation and warehouse costs and reduce operating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spacing w:after="0" w:line="275" w:lineRule="auto"/>
        <w:rPr>
          <w:sz w:val="20"/>
          <w:szCs w:val="20"/>
          <w:color w:val="auto"/>
        </w:rPr>
      </w:pPr>
      <w:r>
        <w:rPr>
          <w:rFonts w:ascii="Arial" w:cs="Arial" w:eastAsia="Arial" w:hAnsi="Arial"/>
          <w:sz w:val="17"/>
          <w:szCs w:val="17"/>
          <w:color w:val="auto"/>
        </w:rPr>
        <w:t>As noted above, the Company remains focused on driving sales growth, improving margin, and reducing freight costs. The sales growth focus is on channel expansion, new product introduction and improved sales execution resulting in increased sales velocity. The margin enhancement initiative is driven by co-packer upgrades, better leveraged purchasing and improved efficiency. Underpinning these initiatives is a focus on strategically reducing operating costs particularly delivery and handling expenses. During 2021, the Company experienced elevated transportation costs over the prior year and anticipates these costs to remain elevated for the balance of 2022. Plans have been implemented to mitigate the impact of these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 Market Conditions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ended June 30,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U.S. economy continued to grow during the first quarter of 2022, the continuing impact of the COVID-19 pandemic,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the remainder of 2022.</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 June 30, 2022, the Company experienced elevated freight costs as a result of a higher transportation market as the capacity in the freight market has not kept up with demand. The Company believes these challenges will continue throughout the year. In addition, the Company experienced increases in the pricing of several of its raw materials and delays in procuring several of these items. However, mitigation plans have been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June 30, 2022,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have not observed any material impairments of our assets or a significant change in the fair value of our assets due to the COVID-19 pandemic.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the computation when their effect is antidilutive.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periods ended June 30, 2022 and 2021, the calculations of basic and diluted loss per share are the same because potential dilutive securities would have had an anti-dilutive effect. The potentially dilutive securities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June 30,</w:t>
            </w:r>
          </w:p>
        </w:tc>
        <w:tc>
          <w:tcPr>
            <w:tcW w:w="2020" w:type="dxa"/>
            <w:vAlign w:val="bottom"/>
            <w:gridSpan w:val="3"/>
          </w:tcPr>
          <w:p>
            <w:pPr>
              <w:ind w:left="64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698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13,107,469</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Options</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9,801,201</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12,173,607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Payable</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22,457,782</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275,860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234,114</w:t>
            </w:r>
          </w:p>
        </w:tc>
        <w:tc>
          <w:tcPr>
            <w:tcW w:w="80" w:type="dxa"/>
            <w:vAlign w:val="bottom"/>
          </w:tcPr>
          <w:p>
            <w:pPr>
              <w:spacing w:after="0"/>
              <w:rPr>
                <w:sz w:val="18"/>
                <w:szCs w:val="18"/>
                <w:color w:val="auto"/>
              </w:rPr>
            </w:pPr>
          </w:p>
        </w:tc>
      </w:tr>
      <w:tr>
        <w:trPr>
          <w:trHeight w:val="24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37,644</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37,644</w:t>
            </w:r>
          </w:p>
        </w:tc>
        <w:tc>
          <w:tcPr>
            <w:tcW w:w="80" w:type="dxa"/>
            <w:vAlign w:val="bottom"/>
            <w:shd w:val="clear" w:color="auto" w:fill="CCEEFF"/>
          </w:tcPr>
          <w:p>
            <w:pPr>
              <w:spacing w:after="0"/>
              <w:rPr>
                <w:sz w:val="21"/>
                <w:szCs w:val="21"/>
                <w:color w:val="auto"/>
              </w:rPr>
            </w:pPr>
          </w:p>
        </w:tc>
      </w:tr>
      <w:tr>
        <w:trPr>
          <w:trHeight w:val="217"/>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45,679,956</w:t>
            </w:r>
          </w:p>
        </w:tc>
        <w:tc>
          <w:tcPr>
            <w:tcW w:w="3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15,533,844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for the three months ended June 30, 2022 and 2021, aggregated $111 and $353, respectively. Advertising costs for the six months ended June 30, 2022 and 2021, aggregated $423 and $702,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During the three months ended June 30, 2022, three customers accounted for 23%, 11%, and 10% of gross billing, respectively, and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2022, three customers accounted for 21%, 11%, and 10% of gross billing, respectively. During the three months ended June 30, 2021, two customers accounted for 19% and 12% of gross billing, respectively, and during the six months ended June 30, 2021, two customers accounted for 20% and 12% of gross billing, respectively. No other customers exceeded 10% of sales in either period.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June 30, 2022, the Company had accounts receivable from two customers which comprised 29% and 10% of its gross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As of December 31, 2021, the Company had accounts receivable from one customer which comprised 18% of its gross accounts receivable. No other customers exceeded 10% of gross accounts receivable in either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Purchases from vendors. </w:t>
      </w:r>
      <w:r>
        <w:rPr>
          <w:rFonts w:ascii="Arial" w:cs="Arial" w:eastAsia="Arial" w:hAnsi="Arial"/>
          <w:sz w:val="18"/>
          <w:szCs w:val="18"/>
          <w:color w:val="auto"/>
        </w:rPr>
        <w:t>During the three months ended June 30, 2022, one vendor accounted for 14% of all purchases. During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one vendor accounted for 14% of all purchases. During the three months ended June 30, 2021, two vendors accounted for 13% and 12% of all purchases, respectively. During the six months ended June 30, 2021, two vendors accounted for 13% and 12% of all purchases, respectively. No other vendors exceeded 10% of all purchases in either period.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Accounts payable. </w:t>
      </w:r>
      <w:r>
        <w:rPr>
          <w:rFonts w:ascii="Arial" w:cs="Arial" w:eastAsia="Arial" w:hAnsi="Arial"/>
          <w:sz w:val="17"/>
          <w:szCs w:val="17"/>
          <w:color w:val="auto"/>
        </w:rPr>
        <w:t>As of June 30, 2022, the Company’s had one vendor which comprised 11% of total accounts payable. As of December 31, 2021, no</w:t>
      </w:r>
      <w:r>
        <w:rPr>
          <w:rFonts w:ascii="Arial" w:cs="Arial" w:eastAsia="Arial" w:hAnsi="Arial"/>
          <w:sz w:val="17"/>
          <w:szCs w:val="17"/>
          <w:i w:val="1"/>
          <w:iCs w:val="1"/>
          <w:color w:val="auto"/>
        </w:rPr>
        <w:t xml:space="preserve"> </w:t>
      </w:r>
      <w:r>
        <w:rPr>
          <w:rFonts w:ascii="Arial" w:cs="Arial" w:eastAsia="Arial" w:hAnsi="Arial"/>
          <w:sz w:val="17"/>
          <w:szCs w:val="17"/>
          <w:color w:val="auto"/>
        </w:rPr>
        <w:t>vendor accounted for more than 10% the total accounts payable. No other vendors exceeded 10% of gross accounts payable in either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Financial Accounting Standards Board (“FASB”) issued ASU No. 2020-06 “Debt—Debt with Conversion and Other Options (Subtopic 470-20) and Derivatives and Hedging—Contracts in Entity’s Own Equity (Subtopic 815-40) (“ASU 2020-06”).”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January 1, 2024, for the Company and the provisions of this update can be adopted using either the modified retrospective method or a fully retrospective method. Early adoption is permitted, but no earlier than January 1, 2021, including interim periods within that year. Effective January 1, 2021, the Company early adopted ASU 2020-06 and that adoption did not have an impact on our financial statements and related disclosures.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ASU 2021-04 provides guidance as to how an issuer should account for a modification of the terms or conditions or an exchange of a freestanding equity-classified written call option (i.e., a warrant) that remains equity classified after modification or exchange as an exchange of the original instrument for a new instrument. An issuer should measure the effect of a modification or exchange as the difference between the fair value of the modified or exchanged warrant and the fair value of that warrant immediately before modification or exchange and then apply a recognition model that comprises four categories of transactions and the corresponding accounting treatment for each category (equity issuance, debt origination, debt modification, and modifications unrelated to equity issuance and debt origination or modification). ASU 2021-04 is effective for all entities for fiscal years beginning after December 15, 2021, including interim periods within those fiscal years. An entity should apply the guidance provided in ASU 2021-04 prospectively to modifications or exchanges occurring on or after the effective date. The Company adopted ASU 2021-04 effective January 1, 2022. The adoption of ASU 2021-04 did not have any impact on the Company’s financial statement presentation or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 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the lower of cost (first-in, first-out) or net realizable value, net of write downs, and is comprised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800" w:type="dxa"/>
            <w:vAlign w:val="bottom"/>
          </w:tcPr>
          <w:p>
            <w:pPr>
              <w:spacing w:after="0"/>
              <w:rPr>
                <w:sz w:val="20"/>
                <w:szCs w:val="20"/>
                <w:color w:val="auto"/>
              </w:rPr>
            </w:pPr>
          </w:p>
        </w:tc>
        <w:tc>
          <w:tcPr>
            <w:tcW w:w="45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3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12,990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800" w:type="dxa"/>
            <w:vAlign w:val="bottom"/>
          </w:tcPr>
          <w:p>
            <w:pPr>
              <w:spacing w:after="0"/>
              <w:rPr>
                <w:sz w:val="20"/>
                <w:szCs w:val="20"/>
                <w:color w:val="auto"/>
              </w:rPr>
            </w:pPr>
            <w:r>
              <w:rPr>
                <w:rFonts w:ascii="Arial" w:cs="Arial" w:eastAsia="Arial" w:hAnsi="Arial"/>
                <w:sz w:val="18"/>
                <w:szCs w:val="18"/>
                <w:color w:val="auto"/>
              </w:rPr>
              <w:t>Finished products</w:t>
            </w:r>
          </w:p>
        </w:tc>
        <w:tc>
          <w:tcPr>
            <w:tcW w:w="3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11,203</w:t>
            </w: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5,828</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24,193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8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right"/>
              <w:ind w:right="2450"/>
              <w:spacing w:after="0"/>
              <w:rPr>
                <w:sz w:val="20"/>
                <w:szCs w:val="20"/>
                <w:color w:val="auto"/>
              </w:rPr>
            </w:pPr>
            <w:r>
              <w:rPr>
                <w:rFonts w:ascii="Arial" w:cs="Arial" w:eastAsia="Arial" w:hAnsi="Arial"/>
                <w:sz w:val="18"/>
                <w:szCs w:val="18"/>
                <w:color w:val="auto"/>
              </w:rPr>
              <w:t>F-10</w:t>
            </w: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3. Property and Equipment</w:t>
            </w: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0" w:type="dxa"/>
            <w:vAlign w:val="bottom"/>
          </w:tcPr>
          <w:p>
            <w:pPr>
              <w:spacing w:after="0"/>
              <w:rPr>
                <w:sz w:val="20"/>
                <w:szCs w:val="20"/>
                <w:color w:val="auto"/>
              </w:rPr>
            </w:pPr>
            <w:r>
              <w:rPr>
                <w:rFonts w:ascii="Arial" w:cs="Arial" w:eastAsia="Arial" w:hAnsi="Arial"/>
                <w:sz w:val="18"/>
                <w:szCs w:val="18"/>
                <w:color w:val="auto"/>
              </w:rPr>
              <w:t>Property and equipment is comprised of the following (in thousands):</w:t>
            </w: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000" w:type="dxa"/>
            <w:vAlign w:val="bottom"/>
          </w:tcPr>
          <w:p>
            <w:pPr>
              <w:spacing w:after="0"/>
              <w:rPr>
                <w:sz w:val="20"/>
                <w:szCs w:val="20"/>
                <w:color w:val="auto"/>
              </w:rPr>
            </w:pPr>
          </w:p>
        </w:tc>
        <w:tc>
          <w:tcPr>
            <w:tcW w:w="2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9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r>
      <w:tr>
        <w:trPr>
          <w:trHeight w:val="24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21"/>
                <w:szCs w:val="21"/>
                <w:color w:val="auto"/>
              </w:rPr>
            </w:pPr>
          </w:p>
        </w:tc>
      </w:tr>
      <w:tr>
        <w:trPr>
          <w:trHeight w:val="203"/>
        </w:trPr>
        <w:tc>
          <w:tcPr>
            <w:tcW w:w="6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w:t>
            </w:r>
          </w:p>
        </w:tc>
        <w:tc>
          <w:tcPr>
            <w:tcW w:w="98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9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r>
      <w:tr>
        <w:trPr>
          <w:trHeight w:val="217"/>
        </w:trPr>
        <w:tc>
          <w:tcPr>
            <w:tcW w:w="6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book value</w:t>
            </w:r>
          </w:p>
        </w:tc>
        <w:tc>
          <w:tcPr>
            <w:tcW w:w="980" w:type="dxa"/>
            <w:vAlign w:val="bottom"/>
            <w:tcBorders>
              <w:top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six months ended June 30, 2022 and 2021 was $51 and $69, respectively, and amortization of right-of-use assets for the six months ended June 30, 2022 and 2021 was $56 and $48,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4. Intangible Assets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rPr>
              <w:t>Intangible assets consist of the following (in thousands):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6700" w:type="dxa"/>
            <w:vAlign w:val="bottom"/>
          </w:tcPr>
          <w:p>
            <w:pPr>
              <w:spacing w:after="0"/>
              <w:rPr>
                <w:sz w:val="20"/>
                <w:szCs w:val="20"/>
                <w:color w:val="auto"/>
              </w:rPr>
            </w:pPr>
          </w:p>
        </w:tc>
        <w:tc>
          <w:tcPr>
            <w:tcW w:w="164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89"/>
              </w:rPr>
              <w:t>2022</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Brand names</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5. Line of Credit</w:t>
            </w: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w w:val="95"/>
              </w:rPr>
              <w:t>Amounts outstanding under the Company’s credit facilities are as follows (in thousands):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6700" w:type="dxa"/>
            <w:vAlign w:val="bottom"/>
          </w:tcPr>
          <w:p>
            <w:pPr>
              <w:spacing w:after="0"/>
              <w:rPr>
                <w:sz w:val="20"/>
                <w:szCs w:val="20"/>
                <w:color w:val="auto"/>
              </w:rPr>
            </w:pPr>
          </w:p>
        </w:tc>
        <w:tc>
          <w:tcPr>
            <w:tcW w:w="164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89"/>
              </w:rPr>
              <w:t>2022</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 – Alterna Capital Solutions</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11,537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Line of credit – Rosenthal &amp; Rosenthal</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Capitalized financing costs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11,094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Alterna Capital Solutions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28, 2022, the Company entered into a financing agreement with Alterna Capital Solutions (“ACS”), for a line of credit to replace its existing credit facility. The ACS line of credit is for a term of 3 years, provides for borrowings of up to $13,000, and is secured by eligible accounts receivable and inventory. An over advance rider provides for up to $400 of additional borrowing above the collateralized base up to a total borrowings of $13,000 (the “Over Advance”). At June 30, 2022, $969 of current availability and $1,361 of borrowing capacity was available under the financing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based on receivables bears an interest of prime plus 4.75% but not less than 8.0%. Borrowings based on inventory bears an interest of prime plus 5.25% but not less than 8.5%. The additional over advance rider bears a rate of prime plus 12.75%, but not less than 16.00%. Additionally, the line of credit is subject to monthly monitoring fee of $1 with a minimum usage requirement on the credit facility. A loan balance of less than $1,500 will bear interest at a rate in line with account receivables advances plus the monthly monitoring fee of $1.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$483 of direct costs of the transaction, consisting primarily of broker, bank and legal fees. These costs have been capitalized and are being amortized over the 3-year life of the ACS agreement. For the six months ended June 30, 2022, amortization of debt discount was $40, and as of June 30, 2022, the remaining unamortized debt discount balance is $443.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Rosenthal &amp; Rosenthal (paid off in full on March 30, 2022)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entered into a financing agreement with Rosenthal &amp; Rosenthal, Inc. (“Rosenthal”) that provided a maximum borrowing capacity of $13,000, based on eligible accounts receivable and inventories (the “permitted borrowings”) plus advances (an “over-advance” of up to $4,000) in excess of permitted borrowings. On March 30, 2022, the Company paid in full the outstanding balance on its credit facility with Rosenthal with proceeds from ACS discussed above.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the Rosenthal financing agreement bore interest at the greater of prime or 4.75%, plus an additional 2.0% to 3.5% depending on whether the borrowing was based upon receivables, inventory or is an over-advance. Additionally, the Rosenthal line of credit was subject to monthly facility and administration fees, and aggregate minimum monthly fees (including interest) of $4.</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line of credit was secured by substantially all of the assets, excluding intellectual property, of the Company. The over-advance was secured by all of Reed’s intellectual property collateral. On March 11, 2021, the Company entered into an amendment to the Rosenthal agreement and replaced a standby letter of credit of $1,500 by a guarantor with a $2,000 pledge of securities to Rosenthal by John J. Bello and Nancy E. Bello, as Co-Trustees of The John and Nancy Bello Revocable Living Trust. John J. Bello, current Chairman and former Interim Chief Executive Officer of Reed’s, is a related party, and greater than 5% beneficial owner of Reed’s common stock. As consideration for the collateral support, Mr. Bello received 400,000 shares of Reed’s restricted stock, with a fair value of $472 which was recorded a prepaid financing cost. During the six months ended June 30, 2022, $121 of the prepaid financing cost was amortized, and as of June 30, 2022, there was no remaining unamortized prepaid finance cost balance.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annually incurs an additional $130 of fees from the bank, which is equal to 1% of the $13,000 borrowing limit. Amortization of this debt discount was $65 and $162 for the six months ended June 30, 2022, and 2021, respectively. At June 30, 2022, there was no remaining unamortized debt discount balance.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6. Secured Convertible Notes Payable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20" w:type="dxa"/>
            <w:vAlign w:val="bottom"/>
          </w:tcPr>
          <w:p>
            <w:pPr>
              <w:spacing w:after="0"/>
              <w:rPr>
                <w:sz w:val="20"/>
                <w:szCs w:val="20"/>
                <w:color w:val="auto"/>
              </w:rPr>
            </w:pPr>
            <w:r>
              <w:rPr>
                <w:rFonts w:ascii="Arial" w:cs="Arial" w:eastAsia="Arial" w:hAnsi="Arial"/>
                <w:sz w:val="18"/>
                <w:szCs w:val="18"/>
                <w:color w:val="auto"/>
                <w:w w:val="92"/>
              </w:rPr>
              <w:t>Amounts outstanding under secured convertible notes payable are as follows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820" w:type="dxa"/>
            <w:vAlign w:val="bottom"/>
          </w:tcPr>
          <w:p>
            <w:pPr>
              <w:spacing w:after="0"/>
              <w:rPr>
                <w:sz w:val="20"/>
                <w:szCs w:val="20"/>
                <w:color w:val="auto"/>
              </w:rPr>
            </w:pPr>
          </w:p>
        </w:tc>
        <w:tc>
          <w:tcPr>
            <w:tcW w:w="15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Convertible Note Payable</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11,250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r>
      <w:tr>
        <w:trPr>
          <w:trHeight w:val="24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Capitalized financing costs</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(1,183)</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6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jc w:val="right"/>
              <w:ind w:right="1170"/>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10,227</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6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 term portion</w:t>
            </w: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9, 2022, the Company entered into a note purchase agreement with Whitebox Advisors, LLC and agreed to issue $11,250 of secured convertible promissory notes (the “Notes”). The net proceeds from the issuance of the Notes, after deducting placement agent fees and other debt issuance costs, was approximately $10,008.</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Notes will mature on May 9, 2025, bear interest at a rate of 10% per annum (with 5% per annum payable in cash and 5% per annum payable “in kind” by adding such accrued interest to the principal amount of the Notes). The Notes are secured by substantially all of the Company’s assets (including all of its intellectual property) and are subject to a collateral sharing agreement with ACS, the Company’s existing secured lender (see Note 5). During the six months ended June 30, 2022, accrued interest of $160 was added to the principal balance, leaving a balance owed of $11,410 at June 30, 2022.</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Beginning in August 2022, the Notes have an amortization feature, which, if elected by a majority of Notes holders, would require the Company to make monthly payments of principal of $200 plus accrued interest. Each amortization payment shall, at the option of the Company, be payable in cash or in shares of the Company’s common stock. Any portion of an amortization payment or interest payment that is paid in shares of the Company’s common stock shall be priced at 90% of the average of the daily volume weighted average prices of the Company’s common stock during the five trading days prior to the date of amortization payment. On August 9, 2022, the Company paid, in cash, its first monthly amortization payment of $200 plus accrued interest. Amortization payments of principal would total approximately $1.0 million in 2022, $2.4 million in 2023, $2.4 million in 2024, and $800,000 in 2025, leaving a principal balance of the Notes of approximately $4.7 million due at maturity.</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initial conversion rate of the Notes is 4.1503 shares of the Company’s common stock per one dollar of principal converted, subject to customary anti-dilution adjustments. Upon conversion, holders of the Note are entitled to receive an interest make-whole payment, as defined. The make-whole amount is equal to the sum of the remaining scheduled payments of interest on the Notes to be converted that would be due if such notes matured May 9, 2025, payable, at the Company’s option in cash or in shares of common stock. The Company’s ability to settle conversions and make amortization payments and interest make-whole payments using shares of the Company’s common stock is subject to certain limitations set forth in the Notes. If the Company experiences a “fundamental change” (e.g., a change of control of the Company, the sale of substantially all of the Company’s assets, among others), the holders of the notes have the right to require the Company to repurchase the notes for cash at a repurchase price equal to 100% of the principal amount, plus accrued interest thereon. The holders of the Notes who redeem their Notes in connection with a make-whole fundamental change are, under certain circumstances, entitled to an increase in the conversion rate. At June 30, 2022, the Notes, including accrued interest, are convertible into 35,564,397 shares of the Company’s common stock pursuant to a share conversion cap limit as defined in the Notes.</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Notes contain certain covenants, including, among others, a limitation to the amount of borrowings under the line of credit with ACS (see Note 5). As of June 30, 2022, the Company was not in compliance with the covenant, however, on August 11, 2022, the Company entered into a Limited Waiver and Amendment to 10% Secured Convertible Notes, pursuant to which the Company was provided a waiver of the covenant violation as of June 30, 2022.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605"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The Company incurred $1,242 of direct costs of the transaction, consisting primarily of placement agent fees and other offering expenses. These costs have been capitalized and are being amortized over the 3-year life of the Notes. For the six months ended June 30, 2022, amortization of debt discount was $59, and as of June 30, 2022, the remaining unamortized debt discount balance is $1,183.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a registration rights agreement with the holders, pursuant to which the Company agreed to register for resale shares issuable under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and 2021, lease costs totaled $56 and $48,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operating lease liabilities totaled $555. During the six months ended June 30, 2022, the Company made payments of $77 towards its operating lease liability. As of June 30, 2022, operating lease liabilities totaled $478.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 weighted average remaining lease terms for an operating lease are 2.51 years. As of June 30, 2022, the weighted average discount rate on the operating lease is 12.60%.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issuances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10, 2022, the Company entered into a securities purchase agreement with certain institutional and accredited investors pursuant to which the investors agreed to purchase 18,594,571 shares of the Company’s common stock and warrants to purchase 9,297,289 shares of common stock in a private placement (including 3,248,142 shares of the Company’s common stock and warrants to purchase 1,624,071 shares of common stock to investors who are officers and directors of the Company). The warrants have an exercise price of $0.2877 per share for a period of five years commencing six months from the closing date of March 11, 2022. The purchase price per share of common stock and associated warrant was $0.28 for certain investors and was $0.3502 for investors who are officers and directors of the Company in compliance with the rules of the Nasdaq Stock Market. The net proceeds to the Company, after deducting placement agent fees and other offering expenses, was approximately $5.0 million. The officers and directors of the Company purchased approximately $1.1 million of the securities in the offering.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2022, the Company issued 100,000 shares of common stock valued at $37 to John J. Bello and Nancy E. Bello, as Co-Trustees of The John and Nancy Bello Revocable Living Trust as consideration for the $2,000 pledge of securities to Rosenthal (see Note 5). John J. Bello, current Chairman and former Interim Chief Executive Officer of Reed’s, is a related party, and greater than 5% beneficial owner of Reed’s common stock.</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5, 2021, the Company entered into a placement agency agreement with Roth Capital Partners, LLC (the “Placement Agent”) and a securities purchase agreement with a certain purchaser for the purchase of shares of the Company’s common stock, par value $0.0001 per share, in an offering of securities registered under an effective registration statement filed with the Securities and Exchange Commission (“SEC”). In the offering, the Company sold 6,680,000 shares of common stock, at a price of $1.18 per share. The offering closed on May 7, 2021 and total proceeds received, net of fees, were $7,333. The Placement Agent was paid a total cash fee at the closing of the Offering equal to 6.5% of the gross cash proceeds received by the Company from the sale of the shares of common stock in the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2022, the Company repurchased 13,250 shares of common stock from an officer for $2 based on the market value of share on the date repurchased. The Company retired the shares.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the Company repurchased 13,943 shares of common stock from an officer for $15 based on the market value of share on the date repurchased. The Company retired the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six months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Unvested</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Issuable</w:t>
            </w: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at Date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4740" w:type="dxa"/>
            <w:vAlign w:val="bottom"/>
          </w:tcPr>
          <w:p>
            <w:pPr>
              <w:spacing w:after="0"/>
              <w:rPr>
                <w:sz w:val="20"/>
                <w:szCs w:val="20"/>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Shares</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5"/>
              </w:rPr>
              <w:t>Issuance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111,164</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401,720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(237,024)</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237,024</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(237,024)</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June 30, 2022</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275,860</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26, 2022, the board of directors of Reed’s, pursuant to a joint recommendation from its governance and compensation committees, set the cash compensation of its non-employee directors at $50,000 for fiscal 2022, payable quarterly in accordance with the company’s policies for non-employee director compensation. In addition, the Company granted 401,720 restricted stock awards to five non-employee directors. 100,430 of these restricted stock awards vested on February 1, 2022, and 100,430 of these restricted stock awards vested on May 1, 2022. The remaining 200,860 restricted stock awards will vest equally on August 1, 2022, and November 1, 2022. The aggregate fair value of the stock awards was $150 based on the market price of our common stock price which was $0.32 per share on the date of grants and is amortized as shares vest.</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total fair value of restricted common stock vesting during the six months ended June 30, 2022 and 2021, was $108 and $168, respectively, and is included in general and administrative expenses in the accompanying statements of operations. As of June 30, 2022, the amount of unvested compensation related to issuances of restricted common stock was $90,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six months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Weighted-</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Terms</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740" w:type="dxa"/>
            <w:vAlign w:val="bottom"/>
          </w:tcPr>
          <w:p>
            <w:pPr>
              <w:spacing w:after="0"/>
              <w:rPr>
                <w:sz w:val="20"/>
                <w:szCs w:val="20"/>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10,522,995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685,456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0.24</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Unvested forfeited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(1,206,249)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forfeited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w:t>
            </w:r>
          </w:p>
        </w:tc>
        <w:tc>
          <w:tcPr>
            <w:tcW w:w="1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June 30, 2022</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9,801,201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w:t>
            </w:r>
          </w:p>
        </w:tc>
        <w:tc>
          <w:tcPr>
            <w:tcW w:w="3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7.07</w:t>
            </w: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4,948,915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7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F-14</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During the six months ended June 30, 2022, the Company approved options exercisable into 685,456 shares to be issued pursuant to Reed’s 2020 Equity Incentive Plan. 685,456 options were issued to employees, 342,748 options vesting annually over a four-year vesting period, and 342,728 options vesting based on performance criteria to be established by the board of directors.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stock options are exercisable at a price of $0.24 per share and expire in ten years. The total fair value of these options at grant date was approximately $59, which was determined using a Black-Scholes-Merton option pricing model with the following average assumption: stock price of $0.24 share, expected term of six years, volatility of 82%, dividend rate of 0%, and weighted average risk-free interest rate of 2.82%.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and 2021, the Company recognized $263 and $828 of compensation expense relating to vested stock options. As of June 30, 2022, the aggregate amount of unvested compensation related to stock options was approximately $1,783 which will be recognized as an expense as the options vest in future periods through March 28, 2026.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 outstanding and exercisable options have no intrinsic value. The aggregate intrinsic value was calculated as the difference between the closing market price as of June 30, 2022, which was $0.16, and the exercise price of the outstanding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 Company has issued warrants to purchase an aggregate of 13,835,768 shares of common stock. The Company’s warrant activity during the six months ended June 30, 2022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Weighted-</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Average Exercise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41"/>
        </w:trPr>
        <w:tc>
          <w:tcPr>
            <w:tcW w:w="4740" w:type="dxa"/>
            <w:vAlign w:val="bottom"/>
          </w:tcPr>
          <w:p>
            <w:pPr>
              <w:spacing w:after="0"/>
              <w:rPr>
                <w:sz w:val="20"/>
                <w:szCs w:val="20"/>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Terms (Years)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Intrinsic Value</w:t>
            </w:r>
          </w:p>
        </w:tc>
      </w:tr>
      <w:tr>
        <w:trPr>
          <w:trHeight w:val="216"/>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4,538,479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9,297,289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(728,299)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2022</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13,107,469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0.47</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40" w:type="dxa"/>
            <w:vAlign w:val="bottom"/>
          </w:tcPr>
          <w:p>
            <w:pPr>
              <w:spacing w:after="0" w:line="203" w:lineRule="exact"/>
              <w:rPr>
                <w:sz w:val="20"/>
                <w:szCs w:val="20"/>
                <w:color w:val="auto"/>
              </w:rPr>
            </w:pPr>
            <w:r>
              <w:rPr>
                <w:rFonts w:ascii="Arial" w:cs="Arial" w:eastAsia="Arial" w:hAnsi="Arial"/>
                <w:sz w:val="18"/>
                <w:szCs w:val="18"/>
                <w:color w:val="auto"/>
              </w:rPr>
              <w:t>Exercisable at June 30, 2022</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13,107,469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0.47</w:t>
            </w:r>
          </w:p>
        </w:tc>
        <w:tc>
          <w:tcPr>
            <w:tcW w:w="15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4.49</w:t>
            </w:r>
          </w:p>
        </w:tc>
        <w:tc>
          <w:tcPr>
            <w:tcW w:w="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10, 2022, the Company entered into a securities purchase agreement with certain institutional and accredited investors pursuant to which the investors agreed to purchase 18,594,571 shares of the Company’s common stock and warrants to purchase 9,297,289 shares of common stock in a private placement. The warrants have an exercise price of $0.2877 per share for a period of five years commencing six months from the closing date of March 11, 2022 (see Note 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24, 2021, the Company granted John Bello, current Chairman, significant shareholder and former Interim Chief Executive Officer of Reed’s, who is a related party, a 5-year warrant to purchase 1,500,000 shares of the Company common stock with an exercise price of $0.46. The fair value of the warrants granted was determined to be $458 and was recorded as a prepaid financing costs. The unamortized balance of prepaid financing costs was $310 on December 31, 2021. During the six months ended June 30, 2022, the Company amortized $310 of prepaid financing costs to interest expense, leaving no remaining prepaid financing cost balance at June 30,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As of June 30, 2022, the outstanding and exercisable warrants have no aggregate intrinsic value. The aggregate intrinsic value was calculated as the difference between the closing market price as of June 30, 2022, which was $0.16, and the exercise price of the Company’s warrants to purchase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Activities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$1,200 of security with the lessor. The deposit is secured by Mr. Reed’s pledge of common stock to the lessor and guaranteed personally by Mr. Reed and his wife. As of June 30, 2022, $800 has been deposited with the lessor and Mr. Reed has placed approximately 363,000 pledged shares valued at $58 that remain in escrow with the lessor.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2019, we are to receive a 5% royalty on CCB’s private label sales to existing customers and a 5% referral fee on CCB’s private label sales to referred customers for three years. The royalty agreement terminated December 31, 2021. During the six months ended June 30, 2022 and 2021, the Company recorded royalty revenue from CCB of $0 and $3,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the Company had an aggregate receivable balance from CCB of $933. During the six months ended June 30, 2022, the Company advanced expenses of $67, leaving an aggregate receivable balance of $1,000 at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and December 31, 2021, the Company had accounts payable due to CCB of $1,328 and $614,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Lindsay Martin, daughter of a director of the Company, is employed as Vice President of Marketing. Ms. Martin was paid approximately $92 and $133, respectively, for her services during the six months ended June 30,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2022, the Company issued 80,344 shares of common stock on the vesting of restricted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 and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appearing elsewhere in this report.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period ended June 30, 2022,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and Reed’s Classic Mule. At the end of the first quarter, the Company shipped its rebranded Virgil’s zero sugar line in 12 oz. sleek cans and produced its new line of Reed’s Hard Ginger Ale for its pending launch. During the second quarter of 2022 the Company produced its initial run of our new Reed’s Stormy Mule.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noted above, the Company remains focused on driving sales growth, improving margin, and reducing freight costs.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 particularly delivery and handling expenses. During 2021, the Company experienced elevated transportation costs over the prior year and anticipates these costs to remain elevated for the balance of 2022. Plans have been implemented to mitigate the impact of these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 Market Conditions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ended June 30,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U.S. economy continued to grow during the first quarter of 2022, the continuing impact of the COVID-19 pandemic,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the remainder of 2022.</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 June 30, 2022, the Company experienced elevated freight costs as a result of a higher transportation market as the capacity in the freight market has not kept up with demand. The Company believes these challenges will continue throughout the year. In addition, the Company experienced increases in the pricing of several of its raw materials and delays in procuring several of these items. However, mitigation plans have been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June 30, 2022,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have not observed any material impairments of our assets or a significant change in the fair value of our assets due to the COVID-19 pandemic.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2022, as compared to June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statistics for the three months ended June 30, 2022 and 2021, respectively, in thousands.</w:t>
      </w:r>
    </w:p>
    <w:p>
      <w:pPr>
        <w:spacing w:after="0" w:line="248" w:lineRule="exact"/>
        <w:rPr>
          <w:sz w:val="20"/>
          <w:szCs w:val="20"/>
          <w:color w:val="auto"/>
        </w:rPr>
      </w:pPr>
    </w:p>
    <w:p>
      <w:pPr>
        <w:ind w:left="6340"/>
        <w:spacing w:after="0"/>
        <w:tabs>
          <w:tab w:leader="none" w:pos="1008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6"/>
          <w:szCs w:val="16"/>
          <w:color w:val="auto"/>
        </w:rPr>
        <w:t>Pct.</w:t>
      </w:r>
    </w:p>
    <w:p>
      <w:pPr>
        <w:sectPr>
          <w:pgSz w:w="11900" w:h="16838" w:orient="portrait"/>
          <w:cols w:equalWidth="0" w:num="1">
            <w:col w:w="11240"/>
          </w:cols>
          <w:pgMar w:left="320" w:top="580" w:right="3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8"/>
                <w:szCs w:val="18"/>
                <w:b w:val="1"/>
                <w:bCs w:val="1"/>
                <w:color w:val="auto"/>
              </w:rPr>
              <w:t>June 30,</w:t>
            </w:r>
          </w:p>
        </w:tc>
        <w:tc>
          <w:tcPr>
            <w:tcW w:w="1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billing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3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18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1,430</w:t>
            </w:r>
          </w:p>
        </w:tc>
        <w:tc>
          <w:tcPr>
            <w:tcW w:w="380" w:type="dxa"/>
            <w:vAlign w:val="bottom"/>
          </w:tcPr>
          <w:p>
            <w:pPr>
              <w:spacing w:after="0"/>
              <w:rPr>
                <w:sz w:val="20"/>
                <w:szCs w:val="20"/>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1,356</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10,426</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8,001</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Gross billing</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69%</w:t>
            </w:r>
          </w:p>
        </w:tc>
        <w:tc>
          <w:tcPr>
            <w:tcW w:w="3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63%</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76%</w:t>
            </w:r>
          </w:p>
        </w:tc>
        <w:tc>
          <w:tcPr>
            <w:tcW w:w="3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71%</w:t>
            </w: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3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3,299</w:t>
            </w:r>
          </w:p>
        </w:tc>
        <w:tc>
          <w:tcPr>
            <w:tcW w:w="38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3,269</w:t>
            </w:r>
          </w:p>
        </w:tc>
        <w:tc>
          <w:tcPr>
            <w:tcW w:w="38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24%</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29%</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3,832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2,508</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28%</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22%</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5.00</w:t>
            </w:r>
          </w:p>
        </w:tc>
        <w:tc>
          <w:tcPr>
            <w:tcW w:w="380" w:type="dxa"/>
            <w:vAlign w:val="bottom"/>
          </w:tcPr>
          <w:p>
            <w:pPr>
              <w:jc w:val="right"/>
              <w:ind w:right="227"/>
              <w:spacing w:after="0"/>
              <w:rPr>
                <w:sz w:val="20"/>
                <w:szCs w:val="20"/>
                <w:color w:val="auto"/>
              </w:rPr>
            </w:pPr>
            <w:r>
              <w:rPr>
                <w:rFonts w:ascii="Arial" w:cs="Arial" w:eastAsia="Arial" w:hAnsi="Arial"/>
                <w:sz w:val="15"/>
                <w:szCs w:val="15"/>
                <w:i w:val="1"/>
                <w:iCs w:val="1"/>
                <w:color w:val="auto"/>
                <w:w w:val="71"/>
              </w:rPr>
              <w:t>$</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3.53</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2,225</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2,634</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16%</w:t>
            </w:r>
          </w:p>
        </w:tc>
        <w:tc>
          <w:tcPr>
            <w:tcW w:w="3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23%</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1,778</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1,836</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37"/>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13%</w:t>
            </w:r>
          </w:p>
        </w:tc>
        <w:tc>
          <w:tcPr>
            <w:tcW w:w="3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16%</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(4,536)</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(3,709)</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5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(5,077)</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(3,141)</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5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112,615,900</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90,801,842</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439"/>
        </w:trPr>
        <w:tc>
          <w:tcPr>
            <w:tcW w:w="5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jc w:val="both"/>
        <w:ind w:firstLine="8"/>
        <w:spacing w:after="0" w:line="257" w:lineRule="auto"/>
        <w:tabs>
          <w:tab w:leader="none" w:pos="283"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Arial" w:cs="Arial" w:eastAsia="Arial" w:hAnsi="Arial"/>
          <w:sz w:val="18"/>
          <w:szCs w:val="18"/>
          <w:color w:val="auto"/>
        </w:rPr>
        <w:t>.</w:t>
      </w:r>
    </w:p>
    <w:p>
      <w:pPr>
        <w:spacing w:after="0" w:line="187" w:lineRule="exact"/>
        <w:rPr>
          <w:rFonts w:ascii="Arial" w:cs="Arial" w:eastAsia="Arial" w:hAnsi="Arial"/>
          <w:sz w:val="18"/>
          <w:szCs w:val="18"/>
          <w:i w:val="1"/>
          <w:iCs w:val="1"/>
          <w:color w:val="auto"/>
        </w:rPr>
      </w:pPr>
    </w:p>
    <w:p>
      <w:pPr>
        <w:jc w:val="both"/>
        <w:ind w:firstLine="8"/>
        <w:spacing w:after="0" w:line="268" w:lineRule="auto"/>
        <w:tabs>
          <w:tab w:leader="none" w:pos="3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sets forth key statistics for the transition of the Company’s top line activity from the second quarter of 2021 through the second quarter of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2022</w:t>
            </w: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6"/>
              </w:rPr>
              <w:t>Q2 Per Case</w:t>
            </w: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89"/>
              </w:rPr>
              <w:t>H1 Per Case</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300"/>
              <w:spacing w:after="0" w:line="117" w:lineRule="exact"/>
              <w:rPr>
                <w:sz w:val="20"/>
                <w:szCs w:val="20"/>
                <w:color w:val="auto"/>
              </w:rPr>
            </w:pPr>
            <w:r>
              <w:rPr>
                <w:rFonts w:ascii="Arial" w:cs="Arial" w:eastAsia="Arial" w:hAnsi="Arial"/>
                <w:sz w:val="13"/>
                <w:szCs w:val="13"/>
                <w:b w:val="1"/>
                <w:bCs w:val="1"/>
                <w:color w:val="auto"/>
                <w:w w:val="95"/>
              </w:rPr>
              <w:t>Q2 vs</w:t>
            </w:r>
          </w:p>
        </w:tc>
        <w:tc>
          <w:tcPr>
            <w:tcW w:w="44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H1 vs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Q2</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H1</w:t>
            </w:r>
          </w:p>
        </w:tc>
        <w:tc>
          <w:tcPr>
            <w:tcW w:w="6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PY</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PY</w:t>
            </w:r>
          </w:p>
        </w:tc>
        <w:tc>
          <w:tcPr>
            <w:tcW w:w="80" w:type="dxa"/>
            <w:vAlign w:val="bottom"/>
          </w:tcPr>
          <w:p>
            <w:pPr>
              <w:spacing w:after="0"/>
              <w:rPr>
                <w:sz w:val="13"/>
                <w:szCs w:val="13"/>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Q2</w:t>
            </w:r>
          </w:p>
        </w:tc>
        <w:tc>
          <w:tcPr>
            <w:tcW w:w="8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H1</w:t>
            </w:r>
          </w:p>
        </w:tc>
        <w:tc>
          <w:tcPr>
            <w:tcW w:w="80" w:type="dxa"/>
            <w:vAlign w:val="bottom"/>
          </w:tcPr>
          <w:p>
            <w:pPr>
              <w:spacing w:after="0"/>
              <w:rPr>
                <w:sz w:val="13"/>
                <w:szCs w:val="13"/>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2022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2021</w:t>
            </w:r>
          </w:p>
        </w:tc>
        <w:tc>
          <w:tcPr>
            <w:tcW w:w="2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vs PY</w:t>
            </w:r>
          </w:p>
        </w:tc>
        <w:tc>
          <w:tcPr>
            <w:tcW w:w="80" w:type="dxa"/>
            <w:vAlign w:val="bottom"/>
          </w:tcPr>
          <w:p>
            <w:pPr>
              <w:spacing w:after="0"/>
              <w:rPr>
                <w:sz w:val="13"/>
                <w:szCs w:val="13"/>
                <w:color w:val="auto"/>
              </w:rPr>
            </w:pPr>
          </w:p>
        </w:tc>
        <w:tc>
          <w:tcPr>
            <w:tcW w:w="34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2022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2021</w:t>
            </w:r>
          </w:p>
        </w:tc>
        <w:tc>
          <w:tcPr>
            <w:tcW w:w="2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5"/>
              </w:rPr>
              <w:t>vs PY</w:t>
            </w: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Cases:</w:t>
            </w:r>
          </w:p>
        </w:tc>
        <w:tc>
          <w:tcPr>
            <w:tcW w:w="86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ind w:left="200"/>
              <w:spacing w:after="0" w:line="135" w:lineRule="exact"/>
              <w:rPr>
                <w:sz w:val="20"/>
                <w:szCs w:val="20"/>
                <w:color w:val="auto"/>
              </w:rPr>
            </w:pPr>
            <w:r>
              <w:rPr>
                <w:rFonts w:ascii="Arial" w:cs="Arial" w:eastAsia="Arial" w:hAnsi="Arial"/>
                <w:sz w:val="13"/>
                <w:szCs w:val="13"/>
                <w:color w:val="auto"/>
              </w:rPr>
              <w:t>Reed’s</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415</w:t>
            </w: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410</w:t>
            </w: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825</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395</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353</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748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color w:val="auto"/>
              </w:rPr>
              <w:t>Virgil’s</w:t>
            </w:r>
          </w:p>
        </w:tc>
        <w:tc>
          <w:tcPr>
            <w:tcW w:w="10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653</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68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339</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686</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vMerge w:val="restart"/>
          </w:tcPr>
          <w:p>
            <w:pPr>
              <w:ind w:left="200"/>
              <w:spacing w:after="0" w:line="142" w:lineRule="exact"/>
              <w:rPr>
                <w:sz w:val="20"/>
                <w:szCs w:val="20"/>
                <w:color w:val="auto"/>
              </w:rPr>
            </w:pPr>
            <w:r>
              <w:rPr>
                <w:rFonts w:ascii="Arial" w:cs="Arial" w:eastAsia="Arial" w:hAnsi="Arial"/>
                <w:sz w:val="13"/>
                <w:szCs w:val="13"/>
                <w:color w:val="auto"/>
              </w:rPr>
              <w:t>Total Core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717</w:t>
            </w:r>
          </w:p>
        </w:tc>
        <w:tc>
          <w:tcPr>
            <w:tcW w:w="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761</w:t>
            </w:r>
          </w:p>
        </w:tc>
        <w:tc>
          <w:tcPr>
            <w:tcW w:w="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1,478</w:t>
            </w:r>
          </w:p>
        </w:tc>
        <w:tc>
          <w:tcPr>
            <w:tcW w:w="220" w:type="dxa"/>
            <w:vAlign w:val="bottom"/>
            <w:vMerge w:val="continue"/>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9%</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734</w:t>
            </w:r>
          </w:p>
        </w:tc>
        <w:tc>
          <w:tcPr>
            <w:tcW w:w="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700</w:t>
            </w:r>
          </w:p>
        </w:tc>
        <w:tc>
          <w:tcPr>
            <w:tcW w:w="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1,434</w:t>
            </w:r>
          </w:p>
        </w:tc>
        <w:tc>
          <w:tcPr>
            <w:tcW w:w="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color w:val="auto"/>
              </w:rPr>
              <w:t>Non Core</w:t>
            </w:r>
          </w:p>
        </w:tc>
        <w:tc>
          <w:tcPr>
            <w:tcW w:w="10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w:t>
            </w:r>
          </w:p>
        </w:tc>
        <w:tc>
          <w:tcPr>
            <w:tcW w:w="68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ind w:left="200"/>
              <w:spacing w:after="0" w:line="135" w:lineRule="exact"/>
              <w:rPr>
                <w:sz w:val="20"/>
                <w:szCs w:val="20"/>
                <w:color w:val="auto"/>
              </w:rPr>
            </w:pPr>
            <w:r>
              <w:rPr>
                <w:rFonts w:ascii="Arial" w:cs="Arial" w:eastAsia="Arial" w:hAnsi="Arial"/>
                <w:sz w:val="13"/>
                <w:szCs w:val="13"/>
                <w:color w:val="auto"/>
              </w:rPr>
              <w:t>Candy</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860" w:type="dxa"/>
            <w:vAlign w:val="bottom"/>
            <w:tcBorders>
              <w:right w:val="single" w:sz="8" w:color="CCEEFF"/>
            </w:tcBorders>
            <w:vMerge w:val="restart"/>
            <w:shd w:val="clear" w:color="auto" w:fill="CCEEFF"/>
          </w:tcPr>
          <w:p>
            <w:pPr>
              <w:ind w:left="200"/>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20" w:type="dxa"/>
            <w:vAlign w:val="bottom"/>
            <w:shd w:val="clear" w:color="auto" w:fill="CCEEFF"/>
          </w:tcPr>
          <w:p>
            <w:pPr>
              <w:spacing w:after="0"/>
              <w:rPr>
                <w:sz w:val="11"/>
                <w:szCs w:val="11"/>
                <w:color w:val="auto"/>
              </w:rPr>
            </w:pPr>
          </w:p>
        </w:tc>
        <w:tc>
          <w:tcPr>
            <w:tcW w:w="86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721</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766</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1,487</w:t>
            </w:r>
          </w:p>
        </w:tc>
        <w:tc>
          <w:tcPr>
            <w:tcW w:w="220" w:type="dxa"/>
            <w:vAlign w:val="bottom"/>
            <w:vMerge w:val="continue"/>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8%</w:t>
            </w:r>
          </w:p>
        </w:tc>
        <w:tc>
          <w:tcPr>
            <w:tcW w:w="68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742</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710</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1,452</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Gross Billing:</w:t>
            </w:r>
          </w:p>
        </w:tc>
        <w:tc>
          <w:tcPr>
            <w:tcW w:w="8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ind w:left="200"/>
              <w:spacing w:after="0" w:line="135" w:lineRule="exact"/>
              <w:rPr>
                <w:sz w:val="20"/>
                <w:szCs w:val="20"/>
                <w:color w:val="auto"/>
              </w:rPr>
            </w:pPr>
            <w:r>
              <w:rPr>
                <w:rFonts w:ascii="Arial" w:cs="Arial" w:eastAsia="Arial" w:hAnsi="Arial"/>
                <w:sz w:val="13"/>
                <w:szCs w:val="13"/>
                <w:color w:val="auto"/>
              </w:rPr>
              <w:t>Core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5"/>
              </w:rPr>
              <w:t>13,287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14,972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28,259</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0"/>
              </w:rPr>
              <w:t>12,955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0"/>
              </w:rPr>
              <w:t>12,200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25,155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19.7</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17.4</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19.1</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17.5</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color w:val="auto"/>
              </w:rPr>
              <w:t>Non Core</w:t>
            </w:r>
          </w:p>
        </w:tc>
        <w:tc>
          <w:tcPr>
            <w:tcW w:w="10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91</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w:t>
            </w:r>
          </w:p>
        </w:tc>
        <w:tc>
          <w:tcPr>
            <w:tcW w:w="68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ind w:left="200"/>
              <w:spacing w:after="0" w:line="135" w:lineRule="exact"/>
              <w:rPr>
                <w:sz w:val="20"/>
                <w:szCs w:val="20"/>
                <w:color w:val="auto"/>
              </w:rPr>
            </w:pPr>
            <w:r>
              <w:rPr>
                <w:rFonts w:ascii="Arial" w:cs="Arial" w:eastAsia="Arial" w:hAnsi="Arial"/>
                <w:sz w:val="13"/>
                <w:szCs w:val="13"/>
                <w:color w:val="auto"/>
              </w:rPr>
              <w:t>Candy</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274</w:t>
            </w: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167</w:t>
            </w: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441</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293</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286</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579</w:t>
            </w: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33.4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35.8</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36.2</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860" w:type="dxa"/>
            <w:vAlign w:val="bottom"/>
            <w:tcBorders>
              <w:right w:val="single" w:sz="8" w:color="CCEEFF"/>
            </w:tcBorders>
            <w:vMerge w:val="restart"/>
            <w:shd w:val="clear" w:color="auto" w:fill="CCEEFF"/>
          </w:tcPr>
          <w:p>
            <w:pPr>
              <w:ind w:left="200"/>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20" w:type="dxa"/>
            <w:vAlign w:val="bottom"/>
            <w:shd w:val="clear" w:color="auto" w:fill="CCEEFF"/>
          </w:tcPr>
          <w:p>
            <w:pPr>
              <w:spacing w:after="0"/>
              <w:rPr>
                <w:sz w:val="11"/>
                <w:szCs w:val="11"/>
                <w:color w:val="auto"/>
              </w:rPr>
            </w:pPr>
          </w:p>
        </w:tc>
        <w:tc>
          <w:tcPr>
            <w:tcW w:w="86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5"/>
              </w:rPr>
              <w:t>13,636</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15,155</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28,791</w:t>
            </w:r>
          </w:p>
        </w:tc>
        <w:tc>
          <w:tcPr>
            <w:tcW w:w="220" w:type="dxa"/>
            <w:vAlign w:val="bottom"/>
            <w:vMerge w:val="continue"/>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20%</w:t>
            </w:r>
          </w:p>
        </w:tc>
        <w:tc>
          <w:tcPr>
            <w:tcW w:w="68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0"/>
              </w:rPr>
              <w:t>13,281</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0"/>
              </w:rPr>
              <w:t>12,626</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5"/>
              </w:rPr>
              <w:t>25,907</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19.8</w:t>
            </w: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17.8</w:t>
            </w:r>
          </w:p>
        </w:tc>
        <w:tc>
          <w:tcPr>
            <w:tcW w:w="22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19.4</w:t>
            </w:r>
          </w:p>
        </w:tc>
        <w:tc>
          <w:tcPr>
            <w:tcW w:w="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17.8</w:t>
            </w:r>
          </w:p>
        </w:tc>
        <w:tc>
          <w:tcPr>
            <w:tcW w:w="220" w:type="dxa"/>
            <w:vAlign w:val="bottom"/>
            <w:vMerge w:val="continue"/>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Discounts:</w:t>
            </w:r>
          </w:p>
        </w:tc>
        <w:tc>
          <w:tcPr>
            <w:tcW w:w="860" w:type="dxa"/>
            <w:vAlign w:val="bottom"/>
            <w:tcBorders>
              <w:right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w w:val="92"/>
              </w:rPr>
              <w:t>(1,454)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(1,430)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(2,884)</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5%</w:t>
            </w:r>
          </w:p>
        </w:tc>
        <w:tc>
          <w:tcPr>
            <w:tcW w:w="68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w w:val="97"/>
              </w:rPr>
              <w:t>(1,135)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w w:val="97"/>
              </w:rPr>
              <w:t>(1,356)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(2,491)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w:t>
            </w:r>
          </w:p>
        </w:tc>
        <w:tc>
          <w:tcPr>
            <w:tcW w:w="30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(1.9)</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(1.9)</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(1.7)</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COGS:</w:t>
            </w:r>
          </w:p>
        </w:tc>
        <w:tc>
          <w:tcPr>
            <w:tcW w:w="8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ind w:left="200"/>
              <w:spacing w:after="0" w:line="135" w:lineRule="exact"/>
              <w:rPr>
                <w:sz w:val="20"/>
                <w:szCs w:val="20"/>
                <w:color w:val="auto"/>
              </w:rPr>
            </w:pPr>
            <w:r>
              <w:rPr>
                <w:rFonts w:ascii="Arial" w:cs="Arial" w:eastAsia="Arial" w:hAnsi="Arial"/>
                <w:sz w:val="13"/>
                <w:szCs w:val="13"/>
                <w:color w:val="auto"/>
              </w:rPr>
              <w:t>Core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(9,150)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0"/>
              </w:rPr>
              <w:t>(10,286)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0"/>
              </w:rPr>
              <w:t>(19,436)</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7"/>
              </w:rPr>
              <w:t>(8,122)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7"/>
              </w:rPr>
              <w:t>(7,851)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0"/>
              </w:rPr>
              <w:t>(15,973)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(13.5)</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(11.2)</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(13.2)</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(11.1)</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color w:val="auto"/>
              </w:rPr>
              <w:t>Non Core</w:t>
            </w:r>
          </w:p>
        </w:tc>
        <w:tc>
          <w:tcPr>
            <w:tcW w:w="10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w:t>
            </w:r>
          </w:p>
        </w:tc>
        <w:tc>
          <w:tcPr>
            <w:tcW w:w="68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ind w:left="200"/>
              <w:spacing w:after="0" w:line="135" w:lineRule="exact"/>
              <w:rPr>
                <w:sz w:val="20"/>
                <w:szCs w:val="20"/>
                <w:color w:val="auto"/>
              </w:rPr>
            </w:pPr>
            <w:r>
              <w:rPr>
                <w:rFonts w:ascii="Arial" w:cs="Arial" w:eastAsia="Arial" w:hAnsi="Arial"/>
                <w:sz w:val="13"/>
                <w:szCs w:val="13"/>
                <w:color w:val="auto"/>
              </w:rPr>
              <w:t>Candy</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(126)</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(213)</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(165)</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(143)</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(308)</w:t>
            </w: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(25.2)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(17.9)</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4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(23.7)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(19.3)</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860" w:type="dxa"/>
            <w:vAlign w:val="bottom"/>
            <w:tcBorders>
              <w:right w:val="single" w:sz="8" w:color="CCEEFF"/>
            </w:tcBorders>
            <w:vMerge w:val="restart"/>
            <w:shd w:val="clear" w:color="auto" w:fill="CCEEFF"/>
          </w:tcPr>
          <w:p>
            <w:pPr>
              <w:ind w:left="200"/>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lef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20" w:type="dxa"/>
            <w:vAlign w:val="bottom"/>
            <w:shd w:val="clear" w:color="auto" w:fill="CCEEFF"/>
          </w:tcPr>
          <w:p>
            <w:pPr>
              <w:spacing w:after="0"/>
              <w:rPr>
                <w:sz w:val="11"/>
                <w:szCs w:val="11"/>
                <w:color w:val="auto"/>
              </w:rPr>
            </w:pPr>
          </w:p>
        </w:tc>
        <w:tc>
          <w:tcPr>
            <w:tcW w:w="86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(9,250)</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(10,426)</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(19,676)</w:t>
            </w:r>
          </w:p>
        </w:tc>
        <w:tc>
          <w:tcPr>
            <w:tcW w:w="220" w:type="dxa"/>
            <w:vAlign w:val="bottom"/>
            <w:vMerge w:val="continue"/>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30%</w:t>
            </w:r>
          </w:p>
        </w:tc>
        <w:tc>
          <w:tcPr>
            <w:tcW w:w="68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7"/>
              </w:rPr>
              <w:t>(8,293)</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7"/>
              </w:rPr>
              <w:t>(8,001)</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78"/>
              </w:rPr>
              <w:t>(16,294)</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9"/>
              </w:rPr>
              <w:t>(13.6)</w:t>
            </w:r>
          </w:p>
        </w:tc>
        <w:tc>
          <w:tcPr>
            <w:tcW w:w="220" w:type="dxa"/>
            <w:vAlign w:val="bottom"/>
            <w:tcBorders>
              <w:lef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4"/>
              </w:rPr>
              <w:t>(11.3)</w:t>
            </w:r>
          </w:p>
        </w:tc>
        <w:tc>
          <w:tcPr>
            <w:tcW w:w="22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4"/>
              </w:rPr>
              <w:t>(13.2)</w:t>
            </w:r>
          </w:p>
        </w:tc>
        <w:tc>
          <w:tcPr>
            <w:tcW w:w="8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9"/>
              </w:rPr>
              <w:t>(11.2)</w:t>
            </w:r>
          </w:p>
        </w:tc>
        <w:tc>
          <w:tcPr>
            <w:tcW w:w="220" w:type="dxa"/>
            <w:vAlign w:val="bottom"/>
            <w:vMerge w:val="continue"/>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Gross Profit:</w:t>
            </w:r>
          </w:p>
        </w:tc>
        <w:tc>
          <w:tcPr>
            <w:tcW w:w="8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2,932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3,299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6,231</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w:t>
            </w:r>
          </w:p>
        </w:tc>
        <w:tc>
          <w:tcPr>
            <w:tcW w:w="68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3,853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3,269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7,123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4.3</w:t>
            </w:r>
          </w:p>
        </w:tc>
        <w:tc>
          <w:tcPr>
            <w:tcW w:w="30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4.6</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4.2</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4.9</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20"/>
                <w:szCs w:val="20"/>
                <w:color w:val="auto"/>
              </w:rPr>
            </w:pPr>
            <w:r>
              <w:rPr>
                <w:rFonts w:ascii="Arial" w:cs="Arial" w:eastAsia="Arial" w:hAnsi="Arial"/>
                <w:sz w:val="13"/>
                <w:szCs w:val="13"/>
                <w:b w:val="1"/>
                <w:bCs w:val="1"/>
                <w:color w:val="auto"/>
              </w:rPr>
              <w:t>as % Net Sales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Core beverage volume for the three months ended June 30, 2022, represents 99% of all beverage volume.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brand gross billing increased by 23% to $14,972 compared to $12,200 during the same period last year, driven by Reed’s volume growth of 16% and Virgil’s volume growth of 1%. The result is an increase in total gross billing of 20%, to $15,155 during the three months ended June 30, 2022, from $12,626 in the same period last year. Price on our core brands increased 13% to $19.67 per case.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Discounts as a percentage of gross sales decreased to 9% from 11% in the same period last year. As a result, net sales revenue increased 22% in the three months ended June 30, 2022, to $13,725, compared to $11,270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Cost of goods sold increased $2,425 during the three months ended June 30, 2022, as compared to the same period last year. As a percentage of net sales, cost of goods sold for the three months ended June 30, 2022, was 76% as compared to 71% for the same period last year.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total cost of goods per case increased to $13.61 per case in the three months ended June 30, 2022, from $11.27 per case for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cost of goods sold per case on core brands was $13.52 during the three months ended June 30, 2022, compared to $11.22 for the same period last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decreased to 24% for the three months ended June 30, 2022, compared to 29%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increased by $1,323 in the three months ended June 30, 2022, to $3,832 from $2,508 in the same period last year. Delivery costs in the three months ended June 30, 2022, were 28% of net sales and $5.00 per case, compared to 22% of net sales and $3.53 per case during the same period last year. The increase was primarily related to freight costs associated with higher inventory production in order to increase inventory levels to fulfill seasonal demand.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$2,225 during the three months ended June 30, 2022, compared to $2,634 during the same period last year. As a percentage of net sales, selling and marketing were 16% of net sales during the three months ended June 30, 2022, as compared to 23% of net sales during the same period last year. The decrease was driven by lower headcount, stock compensation and reduced marketing spend partially offset by higher broker fees.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consist primarily of the cost of executive, administrative, and finance personnel, as well as professional fees. General and administrative expenses decreased in the three months ended June 30, 2022, to $1,778 from $1,836, a decrease of $58 over the same period last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$4,536 for the three months ended June 30, 2022, as compared to a loss of $3,709 in the same period last year driven by increased gross profit offset by increases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income for the three months ended June 30, 2022, consisted of $541 of interest expense. During the same period last year, interest and other income consisted of $202 of interest expense offset by $770 gain on forgiveness of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settlements, and one-time restructuring-related costs including employee severance and asset impairment.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2alysis.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reconciliation of net loss to Modified EBITDA for the three months ended June 30, 2022 and 2021 (unaudited; in thousands):</w:t>
      </w:r>
    </w:p>
    <w:p>
      <w:pPr>
        <w:spacing w:after="0" w:line="26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6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Severance expense</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 option and other noncash compensation</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Gain on forgiveness of PPP note payable</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settlements</w:t>
            </w:r>
          </w:p>
        </w:tc>
        <w:tc>
          <w:tcPr>
            <w:tcW w:w="25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EBITDA adjustments</w:t>
            </w:r>
          </w:p>
        </w:tc>
        <w:tc>
          <w:tcPr>
            <w:tcW w:w="252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10"/>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0"/>
                <w:szCs w:val="20"/>
                <w:color w:val="auto"/>
              </w:rPr>
            </w:pPr>
            <w:r>
              <w:rPr>
                <w:rFonts w:ascii="Arial" w:cs="Arial" w:eastAsia="Arial" w:hAnsi="Arial"/>
                <w:sz w:val="18"/>
                <w:szCs w:val="18"/>
                <w:color w:val="auto"/>
              </w:rPr>
              <w:t>Modified EBITDA</w:t>
            </w:r>
          </w:p>
        </w:tc>
        <w:tc>
          <w:tcPr>
            <w:tcW w:w="38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(4,335)</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520" w:type="dxa"/>
            <w:vAlign w:val="bottom"/>
            <w:vMerge w:val="restart"/>
          </w:tcPr>
          <w:p>
            <w:pPr>
              <w:jc w:val="right"/>
              <w:ind w:right="1230"/>
              <w:spacing w:after="0"/>
              <w:rPr>
                <w:sz w:val="20"/>
                <w:szCs w:val="20"/>
                <w:color w:val="auto"/>
              </w:rPr>
            </w:pPr>
            <w:r>
              <w:rPr>
                <w:rFonts w:ascii="Arial" w:cs="Arial" w:eastAsia="Arial" w:hAnsi="Arial"/>
                <w:sz w:val="18"/>
                <w:szCs w:val="18"/>
                <w:color w:val="auto"/>
              </w:rPr>
              <w:t>4</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21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statistics for the six months ended June 30, 2022 and 2021, respectively,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2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Six Months Ended June 30,</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Pct.</w:t>
            </w:r>
          </w:p>
        </w:tc>
      </w:tr>
      <w:tr>
        <w:trPr>
          <w:trHeight w:val="237"/>
        </w:trPr>
        <w:tc>
          <w:tcPr>
            <w:tcW w:w="53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CCEEFF"/>
            </w:tcBorders>
          </w:tcPr>
          <w:p>
            <w:pPr>
              <w:spacing w:after="0"/>
              <w:rPr>
                <w:sz w:val="20"/>
                <w:szCs w:val="20"/>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billing (A)</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28,791</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25,907</w:t>
            </w:r>
          </w:p>
        </w:tc>
        <w:tc>
          <w:tcPr>
            <w:tcW w:w="3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38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2,884</w:t>
            </w:r>
          </w:p>
        </w:tc>
        <w:tc>
          <w:tcPr>
            <w:tcW w:w="36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2,491</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25,907</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19,676</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16,294</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Gross billing</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68%</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63%</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76%</w:t>
            </w:r>
          </w:p>
        </w:tc>
        <w:tc>
          <w:tcPr>
            <w:tcW w:w="3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70%</w:t>
            </w: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3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6,231</w:t>
            </w:r>
          </w:p>
        </w:tc>
        <w:tc>
          <w:tcPr>
            <w:tcW w:w="3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7,122</w:t>
            </w:r>
          </w:p>
        </w:tc>
        <w:tc>
          <w:tcPr>
            <w:tcW w:w="38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-13%</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24%</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30%</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6,644</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5,795</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26%</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25%</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38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4.47</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3.99</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4,403</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4,849</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17%</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21%</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3,899</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4,439</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37"/>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15%</w:t>
            </w:r>
          </w:p>
        </w:tc>
        <w:tc>
          <w:tcPr>
            <w:tcW w:w="36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19%</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(8,715)</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(7,961)</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income (expense)</w:t>
            </w:r>
          </w:p>
        </w:tc>
        <w:tc>
          <w:tcPr>
            <w:tcW w:w="3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(1,342)</w:t>
            </w:r>
          </w:p>
        </w:tc>
        <w:tc>
          <w:tcPr>
            <w:tcW w:w="3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r>
      <w:tr>
        <w:trPr>
          <w:trHeight w:val="216"/>
        </w:trPr>
        <w:tc>
          <w:tcPr>
            <w:tcW w:w="53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(10,057)</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(7,649)</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3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105,038,749</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88,751,896</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jc w:val="both"/>
        <w:ind w:left="980" w:hanging="648"/>
        <w:spacing w:after="0" w:line="275" w:lineRule="auto"/>
        <w:tabs>
          <w:tab w:leader="none" w:pos="98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have been defined by our internal reporting practices</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ind w:left="980" w:hanging="648"/>
        <w:spacing w:after="0" w:line="284" w:lineRule="auto"/>
        <w:tabs>
          <w:tab w:leader="none" w:pos="98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w:t>
      </w:r>
    </w:p>
    <w:p>
      <w:pPr>
        <w:jc w:val="both"/>
        <w:ind w:left="980"/>
        <w:spacing w:after="0" w:line="268" w:lineRule="auto"/>
        <w:rPr>
          <w:rFonts w:ascii="Arial" w:cs="Arial" w:eastAsia="Arial" w:hAnsi="Arial"/>
          <w:sz w:val="16"/>
          <w:szCs w:val="16"/>
          <w:i w:val="1"/>
          <w:iCs w:val="1"/>
          <w:color w:val="auto"/>
        </w:rPr>
      </w:pPr>
      <w:r>
        <w:rPr>
          <w:rFonts w:ascii="Arial" w:cs="Arial" w:eastAsia="Arial" w:hAnsi="Arial"/>
          <w:sz w:val="17"/>
          <w:szCs w:val="17"/>
          <w:i w:val="1"/>
          <w:iCs w:val="1"/>
          <w:color w:val="auto"/>
        </w:rPr>
        <w:t>(i)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Core beverage volume for the six months ended June 30, 2022, represents 99% of all beverage volume.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brand gross billing increased by 12% to $28,259 compared to $25,155 during the same period last year, driven by Reed’s volume growth of 10% offset by Virgil’s volume decline of 5%. The result is an increase in total gross billing of 11%, to $28,791 during the six months ended June 30, 2022, from $25,908 in the same period last year. Price on our core brands increased 9% to $19.12 per case.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Discounts as a percentage of gross sales was 10% compared to 10% in the same period last year. As a result, net sales revenue increased 11% in the six months ended June 30, 2022, to $25,907, compared to $23,416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goods sold increased $3,382 during the six months ended June 30, 2022, as compared to the same period last year. As a percentage of net sales, cost of goods sold for the six months ended June 30, 2022, was 76% as compared to 70% for the same period last year.</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cost of goods per case increased to $13.23 per case in the six months ended June 30, 2022, from $11.22 per case for the same period last year. The cost of goods sold per case on core brands was $13.15 during the six months ended June 30, 2022, compared to $11.14 for the same period last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decreased to 24% for the six months ended June 30, 2022, compared to 30% for the same period last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increased by $849 in the six months ended June 30, 2022, to $6,644 from $5,795 in the same period last year. Delivery costs in the six months ended June 30, 2022, were 26% of net sales and $4.47 per case, compared to 25% of net sales and $3.99 per case during the same period last year. The increase was primarily related to freight costs associated with higher inventory production in order to increase inventory levels to fulfill seasonal demand.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$4,403 during the six months ended June 30, 2022, compared to $4,849 during the same period last year. As a percentage of net sales, selling and marketing were 17% of net sales during the three months ended June 30, 2022, as compared to 21% of net sales during the same period last year. The decrease was driven by lower headcount, stock compensation, and reduced sampling and marketing spend partially offset by higher broker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decreased in the six months ended June 30, 2022, to $3,899 from $4,439, a decrease of $540 over the same period last year. The decrease was driven by lower stock compensation and legal settlements.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$8,715 for the six months ended June 30, 2022, as compared to a loss of $7,961 in the same period last year driven by decreased gross profit partially offset by decreases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income for the six months ended June 30, 2022, consisted of $1,342 of interest expense. During the same period last year, interest and other income consisted of $458 of interest expense offset by $770 gain on forgiveness of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reconciliation of net loss to Modified EBITDA for the six months ended June 30, 2022 and 2021 (unaudited;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27"/>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(10,057)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Severance expense</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 option and other noncash compensation</w:t>
            </w: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Gain on forgiveness of PPP note payable</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(770)</w:t>
            </w:r>
          </w:p>
        </w:tc>
      </w:tr>
      <w:tr>
        <w:trPr>
          <w:trHeight w:val="25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settlements</w:t>
            </w:r>
          </w:p>
        </w:tc>
        <w:tc>
          <w:tcPr>
            <w:tcW w:w="18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10"/>
        </w:trPr>
        <w:tc>
          <w:tcPr>
            <w:tcW w:w="51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EBITDA adjustments</w:t>
            </w:r>
          </w:p>
        </w:tc>
        <w:tc>
          <w:tcPr>
            <w:tcW w:w="18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7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Modified EBITDA</w:t>
            </w:r>
          </w:p>
        </w:tc>
        <w:tc>
          <w:tcPr>
            <w:tcW w:w="30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(8,171)</w:t>
            </w:r>
          </w:p>
        </w:tc>
        <w:tc>
          <w:tcPr>
            <w:tcW w:w="1300" w:type="dxa"/>
            <w:vAlign w:val="bottom"/>
            <w:gridSpan w:val="2"/>
          </w:tcPr>
          <w:p>
            <w:pPr>
              <w:jc w:val="right"/>
              <w:ind w:right="1127"/>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(6,501)</w:t>
            </w:r>
          </w:p>
        </w:tc>
      </w:tr>
      <w:tr>
        <w:trPr>
          <w:trHeight w:val="20"/>
        </w:trPr>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21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six months ended June 30, 2022, the Company recorded a net loss of $10,057 and used cash in operations of $16,330. As of June 30, 2022, we had a cash balance of $280, with $969 of current availability, and $1,361 of additional borrowing capacity, a stockholder’s deficit of $419 and a working capital of $6,817, compared to a cash balance of $49 with borrowing capacity of $109, stockholders’ equity of $4,203 and a working capital of $2,981 at December 31, 2021. Notwithstanding the net loss for the six months ended June 30, 2022, management projects adequate cash from operations and available line of credit to ensure continuation of the Company as a going concern for at least one year from the date of this quarterly report.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On May 9, 2022, the Company entered into a note purchase agreement with Whitebox Advisors, LLC and agreed to issue $11,250 of secured convertible promissory notes (the “Notes”). The net proceeds from the issuance of the Notes, after deducting placement agent fees and other debt issuance costs, was approximately $10,008.</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Notes will mature on May 9, 2025, bear interest at a rate of 10% per annum (with 5% per annum payable in cash and 5% per annum payable “in kind” by adding such accrued interest to the principal amount of the Notes). The Notes are secured by substantially all of the Company’s assets (including all of its intellectual property) and are subject to a collateral sharing agreement with ACS, the Company’s existing secured lender (see Note 5). During the six months ended June 30, 2022, accrued interest of $160 was added to the principal balance, leaving a balance owed of $11,410 at June 30, 2022.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consolidated financial statements included in our Annual Report on Form 10-K for the fiscal year ended December 31, 2021, that impacted our condensed consolidated financial statements and related notes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June 30, 2022,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months ended June 30, 2022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various legal proceedings from time to time in the ordinary course of business, none of which are required to be disclosed under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risk factors set forth below and other information set forth in this Quarterly Report on Form 10-Q, you should carefully consider the risk factors discussed in Part I, Item 1A of our Annual Report on Form 10-K (our Form 10-K) for the year ended December 31, 2021 and any subsequent filings with the Securities and Exchange Commission (SEC) made prior to the date hereof, which could materially affect our business, financial condition, results of operations or future results. These risks and uncertainties discussed below,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Please also read the Cautionary Notice Regarding Forward-Looking Statements and Information of this Quarterly Report on Form 10-Q.</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We </w:t>
      </w:r>
      <w:r>
        <w:rPr>
          <w:rFonts w:ascii="Arial" w:cs="Arial" w:eastAsia="Arial" w:hAnsi="Arial"/>
          <w:sz w:val="16"/>
          <w:szCs w:val="16"/>
          <w:b w:val="1"/>
          <w:bCs w:val="1"/>
          <w:i w:val="1"/>
          <w:iCs w:val="1"/>
          <w:color w:val="auto"/>
        </w:rPr>
        <w:t>are not in compliance with Nasdaq Listing Rule 5550(a)(2), the bid price rule. If we are unable to cure the failure, our common stock will be subject</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to delisting. A delisting would materially reduce the liquidity of our common stock and have an adverse effect on our market price.</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16, 2021, the Nasdaq Listing Qualifications Department notified us that, based on the previous 30 consecutive business days, the Company’s common stock no longer met the minimum $1 bid price per share requirement. Therefore, in accordance with the Nasdaq Listing Rules (the “Rules”), the Company was provided 180 calendar days, or until February 14, 2022, to regain compliance. The common stock did not regain compliance with the minimum $1 bid price per share requirement during this initial compliance period. However, the Nasdaq Listing Qualifications Department determined that the Company is eligible for an additional 180 calendar day period, or until August 15, 2022, to regain compliance. Their determination is based on the Company meeting the continued listing requirement for market value of publicly held shares and all other applicable requirements for initial listing on the Capital Market with the exception of the bid price requirement, and the Company’s written notice of its intention to cure the deficiency during the second compliance period by effecting a reverse stock split, if necessary.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and stockholders authorized an up to one for five reverse split of our common stock at our 2021 annual meeting of stockholders to be implemented at the board’s discretion. Subsequently, after consultation with Nasdaq staff and its advisors, the board determined the authorized ratio for the split was insufficient to cure the deficiency.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such, the board is seeking stockholder approval for up to a one for twenty five reverse stock split at its 2022 annual meeting of stockholders, expected to be held at the end of September, 2022. Since the reverse stock split will not be effected until stockholder approval is obtained, after the August 15, 2022 deadline, the board intends to appeal the delisting to a Nasdaq hearings panel. The delisting process will be tolled while the Company awaits the hearing. Given the company’s ongoing efforts to meet the Nasdaq bid price rule, the Company expects a favorable result at a hearing extending the compliance deadline.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that the delisting process will be extended or that a reverse split will cause our common stock to meet the bid price requirement.</w:t>
      </w:r>
    </w:p>
    <w:p>
      <w:pPr>
        <w:spacing w:after="0" w:line="24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delisting would materially reduce the liquidity of our common stock and have an adverse effect on our market price. A delisting would also likely make it more difficult for us to obtain financing through the sale of our equity. Any such sale of equity would likely be more dilutive to our current stockholders than would be the case if our shares were listed.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both"/>
        <w:spacing w:after="0" w:line="308" w:lineRule="auto"/>
        <w:rPr>
          <w:sz w:val="20"/>
          <w:szCs w:val="20"/>
          <w:color w:val="auto"/>
        </w:rPr>
      </w:pPr>
      <w:r>
        <w:rPr>
          <w:rFonts w:ascii="Arial" w:cs="Arial" w:eastAsia="Arial" w:hAnsi="Arial"/>
          <w:sz w:val="17"/>
          <w:szCs w:val="17"/>
          <w:b w:val="1"/>
          <w:bCs w:val="1"/>
          <w:i w:val="1"/>
          <w:iCs w:val="1"/>
          <w:color w:val="auto"/>
        </w:rPr>
        <w:t>We may not have enough available funds or the ability to raise the funds necessary to pay the special mandatory repurchase price on our 10% secured convertible promissory notes for cash upon a fundamental change or to settle payments under the Notes in cash.</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9, 2022, we entered into a Note Purchase Agreement with certain institutional investors pursuant to which we issued and sold in a private placement, $11,250,000 of 10% secured convertible promissory notes (“Notes”). We also granted the investors an option to purchase up to an additional $12,000,000 aggregate principal amount of Notes, having identical terms (other than with respect to the issue date) to the initial Notes issued.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Delisting of our common stock on the Nasdaq Capital Market would constitute a fundamental change under the Notes. Holders of the Notes will have the right to require us to repurchase all of Notes upon the occurrence of a fundamental change at a fundamental change repurchase price equal to 100% of the principal amount of the Notes plus accrued and unpaid interest, if any.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and until we obtain stockholder approval to issue more than 22,457,782 shares of our common stock, which was 19.9% of our issued and outstanding common stock immediately prior to entry into the Notes, upon conversion of the Notes in accordance with the listing standards of The Nasdaq Capital Market, we will be required to elect “cash settlement” for all payments under the Notes, and we will not be permitted to issue shares of common stock upon conversion until we obtain such stockholder approval. After we obtain such stockholder approval, we will have the option to make 50% of make whole and amortization payments under the Notes in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be required to repay the Notes in cash at their maturity unless earlier repurchased, redeemed or converted.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However, we may not have enough available cash or be able to obtain financing at the time we are required to repurchase the Notes or to pay make-whole and amortization payments 100% in cash. Our ability to repurchase the Notes or to pay cash upon redemptions or conversions of Notes may be limited by law or by regulatory authority. Our failure to repurchase the Notes at a time when the repurchase is required or to pay any cash as required by the Notes, would constitute a default under the Notes. A default under the Notes or the occurrence of a fundamental change itself could also lead to a default under agreements governing our other current and future indebtedness. In addition, the occurrence of a fundamental change under the Notes could constitute an event of default under any other agreements governing our current or future indebtedness. If the repayment of the related indebtedness were to be accelerated after any applicable notice or grace periods, we may not have sufficient funds to repay the indebtedness and repurchase.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have sufficient funds available to pay amounts owed on the Notes, and such funding may not be available on favorable terms, if at all. Our failure to pay the amounts due under the Notes, when due, would constitute a default under the Notes and may force us to sell certain assets, curtail our business plan, or seek bankruptcy protection.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affected by the war in Ukraine.</w:t>
      </w:r>
    </w:p>
    <w:p>
      <w:pPr>
        <w:spacing w:after="0" w:line="225"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While the situation remains highly fluid and the outlook is subject to extraordinary uncertainty, the economic consequences of the war in Ukraine are already very serious. Energy and commodity prices—including wheat and other grains—have surged, adding to inflationary pressures from supply chain disruptions and the rebound from the Covid-19 pandemic. Price shocks will have an impact worldwide, especially on poor households for whom food and fuel are a higher proportion of expenses. Should the conflict escalate, the economic damage would be all the more devastating. The sanctions on Russia will also have a substantial impact on the global economy and financial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On August 11, 2022, the Company entered into a Limited Waiver and Amendment to 10% Secured Convertible Notes dated May 9, 2022 (“Notes”) with the holders, memorializing the waiver of certain covenant violations and related amendments to the Notes. As such, the date upon which the Company is required to hold its 2022 annual meeting of stockholders was extended to October 5, 2022 and aggregate borrowings under the Company’s line of credit with Alterna Capital Solutions was increased to $11,537 through September 30,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540" w:type="dxa"/>
            <w:vAlign w:val="bottom"/>
            <w:gridSpan w:val="18"/>
          </w:tcPr>
          <w:p>
            <w:pPr>
              <w:spacing w:after="0"/>
              <w:rPr>
                <w:sz w:val="20"/>
                <w:szCs w:val="20"/>
                <w:color w:val="auto"/>
              </w:rPr>
            </w:pPr>
            <w:r>
              <w:rPr>
                <w:rFonts w:ascii="Arial" w:cs="Arial" w:eastAsia="Arial" w:hAnsi="Arial"/>
                <w:sz w:val="18"/>
                <w:szCs w:val="18"/>
                <w:b w:val="1"/>
                <w:bCs w:val="1"/>
                <w:color w:val="auto"/>
              </w:rPr>
              <w:t>Item 6. Exhibits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Filed</w:t>
            </w:r>
          </w:p>
        </w:tc>
        <w:tc>
          <w:tcPr>
            <w:tcW w:w="2840" w:type="dxa"/>
            <w:vAlign w:val="bottom"/>
            <w:tcBorders>
              <w:bottom w:val="single" w:sz="8" w:color="auto"/>
            </w:tcBorders>
            <w:gridSpan w:val="7"/>
          </w:tcPr>
          <w:p>
            <w:pPr>
              <w:ind w:left="380"/>
              <w:spacing w:after="0"/>
              <w:rPr>
                <w:sz w:val="20"/>
                <w:szCs w:val="20"/>
                <w:color w:val="auto"/>
              </w:rPr>
            </w:pPr>
            <w:r>
              <w:rPr>
                <w:rFonts w:ascii="Arial" w:cs="Arial" w:eastAsia="Arial" w:hAnsi="Arial"/>
                <w:sz w:val="18"/>
                <w:szCs w:val="18"/>
                <w:b w:val="1"/>
                <w:bCs w:val="1"/>
                <w:color w:val="auto"/>
              </w:rPr>
              <w:t>Incorporated by Reference</w:t>
            </w:r>
          </w:p>
        </w:tc>
      </w:tr>
      <w:tr>
        <w:trPr>
          <w:trHeight w:val="198"/>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File</w:t>
            </w:r>
          </w:p>
        </w:tc>
        <w:tc>
          <w:tcPr>
            <w:tcW w:w="800" w:type="dxa"/>
            <w:vAlign w:val="bottom"/>
          </w:tcPr>
          <w:p>
            <w:pPr>
              <w:spacing w:after="0"/>
              <w:rPr>
                <w:sz w:val="17"/>
                <w:szCs w:val="17"/>
                <w:color w:val="auto"/>
              </w:rPr>
            </w:pPr>
          </w:p>
        </w:tc>
      </w:tr>
      <w:tr>
        <w:trPr>
          <w:trHeight w:val="241"/>
        </w:trPr>
        <w:tc>
          <w:tcPr>
            <w:tcW w:w="98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80" w:type="dxa"/>
            <w:vAlign w:val="bottom"/>
            <w:gridSpan w:val="12"/>
          </w:tcPr>
          <w:p>
            <w:pPr>
              <w:ind w:left="1820"/>
              <w:spacing w:after="0"/>
              <w:rPr>
                <w:sz w:val="20"/>
                <w:szCs w:val="20"/>
                <w:color w:val="auto"/>
              </w:rPr>
            </w:pPr>
            <w:r>
              <w:rPr>
                <w:rFonts w:ascii="Arial" w:cs="Arial" w:eastAsia="Arial" w:hAnsi="Arial"/>
                <w:sz w:val="18"/>
                <w:szCs w:val="18"/>
                <w:b w:val="1"/>
                <w:bCs w:val="1"/>
                <w:color w:val="auto"/>
              </w:rPr>
              <w:t>Exhibit Title</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Herewith</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No.</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Date Filed</w:t>
            </w:r>
          </w:p>
        </w:tc>
      </w:tr>
      <w:tr>
        <w:trPr>
          <w:trHeight w:val="175"/>
        </w:trPr>
        <w:tc>
          <w:tcPr>
            <w:tcW w:w="9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3(i)</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tcBorders>
              <w:top w:val="single" w:sz="8" w:color="auto"/>
            </w:tcBorders>
            <w:gridSpan w:val="14"/>
          </w:tcPr>
          <w:p>
            <w:pPr>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Certificate of Incorporation of Reed’s, Inc., as amended</w:t>
              </w:r>
            </w:hyperlink>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20" w:type="dxa"/>
            <w:vAlign w:val="bottom"/>
          </w:tcPr>
          <w:p>
            <w:pPr>
              <w:spacing w:after="0"/>
              <w:rPr>
                <w:sz w:val="15"/>
                <w:szCs w:val="15"/>
                <w:color w:val="auto"/>
              </w:rPr>
            </w:pPr>
          </w:p>
        </w:tc>
        <w:tc>
          <w:tcPr>
            <w:tcW w:w="5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3(i)</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3/15/2022</w:t>
            </w:r>
          </w:p>
        </w:tc>
      </w:tr>
      <w:tr>
        <w:trPr>
          <w:trHeight w:val="222"/>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32501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0"/>
        </w:trPr>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9"/>
              </w:rPr>
              <w:t>3(ii)</w:t>
            </w:r>
          </w:p>
        </w:tc>
        <w:tc>
          <w:tcPr>
            <w:tcW w:w="120" w:type="dxa"/>
            <w:vAlign w:val="bottom"/>
          </w:tcPr>
          <w:p>
            <w:pPr>
              <w:spacing w:after="0"/>
              <w:rPr>
                <w:sz w:val="16"/>
                <w:szCs w:val="16"/>
                <w:color w:val="auto"/>
              </w:rPr>
            </w:pPr>
          </w:p>
        </w:tc>
        <w:tc>
          <w:tcPr>
            <w:tcW w:w="6440" w:type="dxa"/>
            <w:vAlign w:val="bottom"/>
            <w:gridSpan w:val="16"/>
          </w:tcPr>
          <w:p>
            <w:pPr>
              <w:spacing w:after="0" w:line="190" w:lineRule="exact"/>
              <w:rPr>
                <w:rFonts w:ascii="Arial" w:cs="Arial" w:eastAsia="Arial" w:hAnsi="Arial"/>
                <w:sz w:val="18"/>
                <w:szCs w:val="18"/>
                <w:color w:val="0000EE"/>
              </w:rPr>
            </w:pPr>
            <w:hyperlink r:id="rId37">
              <w:r>
                <w:rPr>
                  <w:rFonts w:ascii="Arial" w:cs="Arial" w:eastAsia="Arial" w:hAnsi="Arial"/>
                  <w:sz w:val="18"/>
                  <w:szCs w:val="18"/>
                  <w:color w:val="0000EE"/>
                </w:rPr>
                <w:t>Amended and Restated Bylaws of Reed’s, Inc.</w:t>
              </w:r>
            </w:hyperlink>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9"/>
              </w:rPr>
              <w:t>10-KA</w:t>
            </w:r>
          </w:p>
        </w:tc>
        <w:tc>
          <w:tcPr>
            <w:tcW w:w="580" w:type="dxa"/>
            <w:vAlign w:val="bottom"/>
          </w:tcPr>
          <w:p>
            <w:pPr>
              <w:jc w:val="center"/>
              <w:spacing w:after="0" w:line="190" w:lineRule="exact"/>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16"/>
                <w:szCs w:val="16"/>
                <w:color w:val="auto"/>
              </w:rPr>
            </w:pP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6"/>
                <w:szCs w:val="16"/>
                <w:color w:val="auto"/>
              </w:rPr>
            </w:pPr>
          </w:p>
        </w:tc>
        <w:tc>
          <w:tcPr>
            <w:tcW w:w="800" w:type="dxa"/>
            <w:vAlign w:val="bottom"/>
          </w:tcPr>
          <w:p>
            <w:pPr>
              <w:jc w:val="center"/>
              <w:spacing w:after="0" w:line="190" w:lineRule="exact"/>
              <w:rPr>
                <w:sz w:val="20"/>
                <w:szCs w:val="20"/>
                <w:color w:val="auto"/>
              </w:rPr>
            </w:pPr>
            <w:r>
              <w:rPr>
                <w:rFonts w:ascii="Arial" w:cs="Arial" w:eastAsia="Arial" w:hAnsi="Arial"/>
                <w:sz w:val="18"/>
                <w:szCs w:val="18"/>
                <w:color w:val="auto"/>
                <w:w w:val="89"/>
              </w:rPr>
              <w:t>4/08/2020</w:t>
            </w:r>
          </w:p>
        </w:tc>
      </w:tr>
      <w:tr>
        <w:trPr>
          <w:trHeight w:val="222"/>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32501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0"/>
        </w:trPr>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6"/>
                <w:szCs w:val="16"/>
                <w:color w:val="auto"/>
              </w:rPr>
            </w:pPr>
          </w:p>
        </w:tc>
        <w:tc>
          <w:tcPr>
            <w:tcW w:w="6440" w:type="dxa"/>
            <w:vAlign w:val="bottom"/>
            <w:gridSpan w:val="16"/>
          </w:tcPr>
          <w:p>
            <w:pPr>
              <w:spacing w:after="0" w:line="190" w:lineRule="exact"/>
              <w:rPr>
                <w:rFonts w:ascii="Arial" w:cs="Arial" w:eastAsia="Arial" w:hAnsi="Arial"/>
                <w:sz w:val="18"/>
                <w:szCs w:val="18"/>
                <w:color w:val="0000EE"/>
              </w:rPr>
            </w:pPr>
            <w:hyperlink r:id="rId38">
              <w:r>
                <w:rPr>
                  <w:rFonts w:ascii="Arial" w:cs="Arial" w:eastAsia="Arial" w:hAnsi="Arial"/>
                  <w:sz w:val="18"/>
                  <w:szCs w:val="18"/>
                  <w:color w:val="0000EE"/>
                </w:rPr>
                <w:t>Form of Secured Convertible Promissory Note issued May 9, 2022</w:t>
              </w:r>
            </w:hyperlink>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58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6"/>
                <w:szCs w:val="16"/>
                <w:color w:val="auto"/>
              </w:rPr>
            </w:pP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6"/>
                <w:szCs w:val="16"/>
                <w:color w:val="auto"/>
              </w:rPr>
            </w:pPr>
          </w:p>
        </w:tc>
        <w:tc>
          <w:tcPr>
            <w:tcW w:w="800" w:type="dxa"/>
            <w:vAlign w:val="bottom"/>
          </w:tcPr>
          <w:p>
            <w:pPr>
              <w:jc w:val="center"/>
              <w:spacing w:after="0" w:line="190" w:lineRule="exact"/>
              <w:rPr>
                <w:sz w:val="20"/>
                <w:szCs w:val="20"/>
                <w:color w:val="auto"/>
              </w:rPr>
            </w:pPr>
            <w:r>
              <w:rPr>
                <w:rFonts w:ascii="Arial" w:cs="Arial" w:eastAsia="Arial" w:hAnsi="Arial"/>
                <w:sz w:val="18"/>
                <w:szCs w:val="18"/>
                <w:color w:val="auto"/>
                <w:w w:val="89"/>
              </w:rPr>
              <w:t>5/10/2022</w:t>
            </w:r>
          </w:p>
        </w:tc>
      </w:tr>
      <w:tr>
        <w:trPr>
          <w:trHeight w:val="222"/>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32501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0"/>
        </w:trPr>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6"/>
                <w:szCs w:val="16"/>
                <w:color w:val="auto"/>
              </w:rPr>
            </w:pPr>
          </w:p>
        </w:tc>
        <w:tc>
          <w:tcPr>
            <w:tcW w:w="6320" w:type="dxa"/>
            <w:vAlign w:val="bottom"/>
            <w:tcBorders>
              <w:bottom w:val="single" w:sz="8" w:color="0000EE"/>
            </w:tcBorders>
            <w:gridSpan w:val="12"/>
          </w:tcPr>
          <w:p>
            <w:pPr>
              <w:spacing w:after="0" w:line="190"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Note Purchase Agreement by and between Reed’s, Inc. and purchasers dated May 9,</w:t>
              </w:r>
            </w:hyperlink>
          </w:p>
        </w:tc>
        <w:tc>
          <w:tcPr>
            <w:tcW w:w="120" w:type="dxa"/>
            <w:vAlign w:val="bottom"/>
            <w:gridSpan w:val="4"/>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580" w:type="dxa"/>
            <w:vAlign w:val="bottom"/>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6"/>
                <w:szCs w:val="16"/>
                <w:color w:val="auto"/>
              </w:rPr>
            </w:pP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6"/>
                <w:szCs w:val="16"/>
                <w:color w:val="auto"/>
              </w:rPr>
            </w:pPr>
          </w:p>
        </w:tc>
        <w:tc>
          <w:tcPr>
            <w:tcW w:w="800" w:type="dxa"/>
            <w:vAlign w:val="bottom"/>
          </w:tcPr>
          <w:p>
            <w:pPr>
              <w:jc w:val="center"/>
              <w:spacing w:after="0" w:line="190" w:lineRule="exact"/>
              <w:rPr>
                <w:sz w:val="20"/>
                <w:szCs w:val="20"/>
                <w:color w:val="auto"/>
              </w:rPr>
            </w:pPr>
            <w:r>
              <w:rPr>
                <w:rFonts w:ascii="Arial" w:cs="Arial" w:eastAsia="Arial" w:hAnsi="Arial"/>
                <w:sz w:val="18"/>
                <w:szCs w:val="18"/>
                <w:color w:val="auto"/>
                <w:w w:val="89"/>
              </w:rPr>
              <w:t>5/10/2022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39">
              <w:r>
                <w:rPr>
                  <w:rFonts w:ascii="Arial" w:cs="Arial" w:eastAsia="Arial" w:hAnsi="Arial"/>
                  <w:sz w:val="18"/>
                  <w:szCs w:val="18"/>
                  <w:color w:val="0000EE"/>
                  <w:w w:val="84"/>
                </w:rPr>
                <w:t>2022</w:t>
              </w:r>
            </w:hyperlink>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32501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7"/>
                <w:szCs w:val="17"/>
                <w:color w:val="auto"/>
              </w:rPr>
            </w:pPr>
          </w:p>
        </w:tc>
        <w:tc>
          <w:tcPr>
            <w:tcW w:w="6440" w:type="dxa"/>
            <w:vAlign w:val="bottom"/>
            <w:gridSpan w:val="16"/>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Registration Rights Agreement by and between Reed’s, Inc. and purchasers dated May</w:t>
              </w:r>
            </w:hyperlink>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4"/>
              </w:rPr>
              <w:t>000-</w:t>
            </w: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5/10/2022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40">
              <w:r>
                <w:rPr>
                  <w:rFonts w:ascii="Arial" w:cs="Arial" w:eastAsia="Arial" w:hAnsi="Arial"/>
                  <w:sz w:val="18"/>
                  <w:szCs w:val="18"/>
                  <w:color w:val="0000EE"/>
                  <w:w w:val="86"/>
                </w:rPr>
                <w:t>9, 2022</w:t>
              </w:r>
            </w:hyperlink>
          </w:p>
        </w:tc>
        <w:tc>
          <w:tcPr>
            <w:tcW w:w="32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32501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7"/>
                <w:szCs w:val="17"/>
                <w:color w:val="auto"/>
              </w:rPr>
            </w:pPr>
          </w:p>
        </w:tc>
        <w:tc>
          <w:tcPr>
            <w:tcW w:w="63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41">
              <w:r>
                <w:rPr>
                  <w:rFonts w:ascii="Arial" w:cs="Arial" w:eastAsia="Arial" w:hAnsi="Arial"/>
                  <w:sz w:val="18"/>
                  <w:szCs w:val="18"/>
                  <w:color w:val="0000EE"/>
                  <w:w w:val="94"/>
                </w:rPr>
                <w:t>Collateral Sharing Agreement by and among Alterna Capital Solutions LLC, Reed’s,</w:t>
              </w:r>
            </w:hyperlink>
          </w:p>
        </w:tc>
        <w:tc>
          <w:tcPr>
            <w:tcW w:w="12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8-K</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4"/>
              </w:rPr>
              <w:t>000-</w:t>
            </w: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5/10/2022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Inc. and Wilmington Savings Fund Society, FSB dated May 9,2022,</w:t>
              </w:r>
            </w:hyperlink>
          </w:p>
        </w:tc>
        <w:tc>
          <w:tcPr>
            <w:tcW w:w="154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32501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7"/>
                <w:szCs w:val="17"/>
                <w:color w:val="auto"/>
              </w:rPr>
            </w:pPr>
          </w:p>
        </w:tc>
        <w:tc>
          <w:tcPr>
            <w:tcW w:w="63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Certification of Chief Executive Officer pursuant to Section 302 of the Sarbanes-Oxley</w:t>
            </w:r>
          </w:p>
        </w:tc>
        <w:tc>
          <w:tcPr>
            <w:tcW w:w="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40" w:type="dxa"/>
            <w:vAlign w:val="bottom"/>
            <w:gridSpan w:val="16"/>
          </w:tcPr>
          <w:p>
            <w:pPr>
              <w:spacing w:after="0" w:line="196" w:lineRule="exact"/>
              <w:rPr>
                <w:sz w:val="20"/>
                <w:szCs w:val="20"/>
                <w:color w:val="auto"/>
              </w:rPr>
            </w:pPr>
            <w:r>
              <w:rPr>
                <w:rFonts w:ascii="Arial" w:cs="Arial" w:eastAsia="Arial" w:hAnsi="Arial"/>
                <w:sz w:val="18"/>
                <w:szCs w:val="18"/>
                <w:color w:val="0000EE"/>
              </w:rPr>
              <w:t>Act of 2002</w:t>
            </w:r>
          </w:p>
        </w:tc>
        <w:tc>
          <w:tcPr>
            <w:tcW w:w="8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rPr>
              <w:t>X</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7"/>
                <w:szCs w:val="17"/>
                <w:color w:val="auto"/>
              </w:rPr>
            </w:pPr>
          </w:p>
        </w:tc>
        <w:tc>
          <w:tcPr>
            <w:tcW w:w="6440" w:type="dxa"/>
            <w:vAlign w:val="bottom"/>
            <w:gridSpan w:val="16"/>
          </w:tcPr>
          <w:p>
            <w:pPr>
              <w:spacing w:after="0" w:line="196" w:lineRule="exact"/>
              <w:rPr>
                <w:sz w:val="20"/>
                <w:szCs w:val="20"/>
                <w:color w:val="auto"/>
              </w:rPr>
            </w:pPr>
            <w:r>
              <w:rPr>
                <w:rFonts w:ascii="Arial" w:cs="Arial" w:eastAsia="Arial" w:hAnsi="Arial"/>
                <w:sz w:val="18"/>
                <w:szCs w:val="18"/>
                <w:color w:val="0000EE"/>
                <w:w w:val="94"/>
              </w:rPr>
              <w:t>Certification of Chief Financial Officer pursuant to Section 302 of the Sarbanes-Oxley</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Act of 2002</w:t>
            </w:r>
          </w:p>
        </w:tc>
        <w:tc>
          <w:tcPr>
            <w:tcW w:w="140" w:type="dxa"/>
            <w:vAlign w:val="bottom"/>
            <w:gridSpan w:val="5"/>
          </w:tcPr>
          <w:p>
            <w:pPr>
              <w:spacing w:after="0"/>
              <w:rPr>
                <w:sz w:val="17"/>
                <w:szCs w:val="17"/>
                <w:color w:val="auto"/>
              </w:rPr>
            </w:pPr>
          </w:p>
        </w:tc>
        <w:tc>
          <w:tcPr>
            <w:tcW w:w="8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rPr>
              <w:t>X</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7"/>
                <w:szCs w:val="17"/>
                <w:color w:val="auto"/>
              </w:rPr>
            </w:pPr>
          </w:p>
        </w:tc>
        <w:tc>
          <w:tcPr>
            <w:tcW w:w="63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Certification of Chief Executive Officer pursuant to 18 U.S.C. Section 1350, as</w:t>
            </w:r>
          </w:p>
        </w:tc>
        <w:tc>
          <w:tcPr>
            <w:tcW w:w="1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adopted pursuant to Section 906 of the Sarbanes-Oxley Act of 2002</w:t>
            </w:r>
          </w:p>
        </w:tc>
        <w:tc>
          <w:tcPr>
            <w:tcW w:w="1560" w:type="dxa"/>
            <w:vAlign w:val="bottom"/>
            <w:gridSpan w:val="7"/>
          </w:tcPr>
          <w:p>
            <w:pPr>
              <w:spacing w:after="0"/>
              <w:rPr>
                <w:sz w:val="17"/>
                <w:szCs w:val="17"/>
                <w:color w:val="auto"/>
              </w:rPr>
            </w:pPr>
          </w:p>
        </w:tc>
        <w:tc>
          <w:tcPr>
            <w:tcW w:w="8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rPr>
              <w:t>X</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17"/>
                <w:szCs w:val="17"/>
                <w:color w:val="auto"/>
              </w:rPr>
            </w:pPr>
          </w:p>
        </w:tc>
        <w:tc>
          <w:tcPr>
            <w:tcW w:w="63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18 U.S.C. Section 1350, as adopted</w:t>
            </w:r>
          </w:p>
        </w:tc>
        <w:tc>
          <w:tcPr>
            <w:tcW w:w="12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40" w:type="dxa"/>
            <w:vAlign w:val="bottom"/>
            <w:gridSpan w:val="16"/>
          </w:tcPr>
          <w:p>
            <w:pPr>
              <w:spacing w:after="0" w:line="196" w:lineRule="exact"/>
              <w:rPr>
                <w:sz w:val="20"/>
                <w:szCs w:val="20"/>
                <w:color w:val="auto"/>
              </w:rPr>
            </w:pPr>
            <w:r>
              <w:rPr>
                <w:rFonts w:ascii="Arial" w:cs="Arial" w:eastAsia="Arial" w:hAnsi="Arial"/>
                <w:sz w:val="18"/>
                <w:szCs w:val="18"/>
                <w:color w:val="0000EE"/>
              </w:rPr>
              <w:t>pursuant to Section 906 of the Sarbanes-Oxley Act of 2002</w:t>
            </w:r>
          </w:p>
        </w:tc>
        <w:tc>
          <w:tcPr>
            <w:tcW w:w="8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rPr>
              <w:t>X</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9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19"/>
                <w:szCs w:val="19"/>
                <w:color w:val="auto"/>
              </w:rPr>
            </w:pPr>
          </w:p>
        </w:tc>
        <w:tc>
          <w:tcPr>
            <w:tcW w:w="42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Inline XBRL Instance Document</w:t>
            </w:r>
          </w:p>
        </w:tc>
        <w:tc>
          <w:tcPr>
            <w:tcW w:w="2180" w:type="dxa"/>
            <w:vAlign w:val="bottom"/>
            <w:gridSpan w:val="9"/>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18"/>
                <w:szCs w:val="18"/>
                <w:color w:val="auto"/>
              </w:rPr>
            </w:pPr>
          </w:p>
        </w:tc>
        <w:tc>
          <w:tcPr>
            <w:tcW w:w="64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18"/>
                <w:szCs w:val="18"/>
                <w:color w:val="auto"/>
              </w:rPr>
            </w:pPr>
          </w:p>
        </w:tc>
        <w:tc>
          <w:tcPr>
            <w:tcW w:w="644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18"/>
                <w:szCs w:val="18"/>
                <w:color w:val="auto"/>
              </w:rPr>
            </w:pPr>
          </w:p>
        </w:tc>
        <w:tc>
          <w:tcPr>
            <w:tcW w:w="644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18"/>
                <w:szCs w:val="18"/>
                <w:color w:val="auto"/>
              </w:rPr>
            </w:pPr>
          </w:p>
        </w:tc>
        <w:tc>
          <w:tcPr>
            <w:tcW w:w="644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18"/>
                <w:szCs w:val="18"/>
                <w:color w:val="auto"/>
              </w:rPr>
            </w:pPr>
          </w:p>
        </w:tc>
        <w:tc>
          <w:tcPr>
            <w:tcW w:w="644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98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20" w:type="dxa"/>
            <w:vAlign w:val="bottom"/>
          </w:tcPr>
          <w:p>
            <w:pPr>
              <w:spacing w:after="0"/>
              <w:rPr>
                <w:sz w:val="20"/>
                <w:szCs w:val="20"/>
                <w:color w:val="auto"/>
              </w:rPr>
            </w:pPr>
          </w:p>
        </w:tc>
        <w:tc>
          <w:tcPr>
            <w:tcW w:w="6440" w:type="dxa"/>
            <w:vAlign w:val="bottom"/>
            <w:gridSpan w:val="1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 Release 33-8238, Exhibits 32.1 and 32.2 are being furnished and not filed.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J. Spisak,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June 30, 2022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June 30, 2022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upp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upperLetter"/>
      <w:start w:val="1"/>
    </w:lvl>
  </w:abstractNum>
  <w:abstractNum w:abstractNumId="7">
    <w:nsid w:val="216231B"/>
    <w:multiLevelType w:val="hybridMultilevel"/>
    <w:lvl w:ilvl="0">
      <w:lvlJc w:val="left"/>
      <w:lvlText w:val="(%1)"/>
      <w:numFmt w:val="upperLetter"/>
      <w:start w:val="2"/>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36" Type="http://schemas.openxmlformats.org/officeDocument/2006/relationships/hyperlink" Target="https://www.sec.gov/Archives/edgar/data/1140215/000149315221007217/ex3-i.htm" TargetMode="External"/><Relationship Id="rId37" Type="http://schemas.openxmlformats.org/officeDocument/2006/relationships/hyperlink" Target="https://www.sec.gov/Archives/edgar/data/1140215/000149315220006033/ex3-8.htm" TargetMode="External"/><Relationship Id="rId38" Type="http://schemas.openxmlformats.org/officeDocument/2006/relationships/hyperlink" Target="https://www.sec.gov/Archives/edgar/data/1140215/000149315222012624/ex4-1.htm" TargetMode="External"/><Relationship Id="rId39" Type="http://schemas.openxmlformats.org/officeDocument/2006/relationships/hyperlink" Target="https://www.sec.gov/Archives/edgar/data/1140215/000149315222012624/ex10-1.htm" TargetMode="External"/><Relationship Id="rId40" Type="http://schemas.openxmlformats.org/officeDocument/2006/relationships/hyperlink" Target="https://www.sec.gov/Archives/edgar/data/1140215/000149315222012624/ex10-2.htm" TargetMode="External"/><Relationship Id="rId41" Type="http://schemas.openxmlformats.org/officeDocument/2006/relationships/hyperlink" Target="https://www.sec.gov/Archives/edgar/data/1140215/000149315222012624/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2022-08-15T15:50:34Z</dcterms:created>
  <dcterms:modified xsi:type="dcterms:W3CDTF">2022-08-15T15:50:34Z</dcterms:modified>
</cp:coreProperties>
</file>