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3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7_edei--DocumentQuarterlyReport_c2"/>
      <w:bookmarkEnd w:id="3"/>
      <w:r>
        <w:rPr>
          <w:caps w:val="false"/>
          <w:smallCaps w:val="false"/>
        </w:rPr>
        <w:t xml:space="preserve">☒ </w:t>
      </w:r>
      <w:r>
        <w:rPr>
          <w:rFonts w:ascii="Times New Roman;Times;Serif" w:hAnsi="Times New Roman;Times;Serif"/>
          <w:b w:val="false"/>
          <w:i w:val="false"/>
          <w:caps w:val="false"/>
          <w:smallCaps w:val="false"/>
          <w:sz w:val="20"/>
        </w:rPr>
        <w:t>QUARTERLY REPORT UNDER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8_edei--DocumentPeriodEndDate_c202"/>
      <w:bookmarkEnd w:id="4"/>
      <w:r>
        <w:rPr>
          <w:rFonts w:ascii="Times New Roman;Times;Serif" w:hAnsi="Times New Roman;Times;Serif"/>
          <w:b w:val="false"/>
          <w:i w:val="false"/>
          <w:caps w:val="false"/>
          <w:smallCaps w:val="false"/>
          <w:sz w:val="20"/>
        </w:rPr>
        <w:t xml:space="preserve">September 30, </w:t>
      </w:r>
      <w:bookmarkStart w:id="5" w:name="xdx_906_edei--DocumentFiscalYearFocus_c2"/>
      <w:bookmarkEnd w:id="5"/>
      <w:r>
        <w:rPr>
          <w:rFonts w:ascii="Times New Roman;Times;Serif" w:hAnsi="Times New Roman;Times;Serif"/>
          <w:b w:val="false"/>
          <w:i w:val="false"/>
          <w:caps w:val="false"/>
          <w:smallCaps w:val="false"/>
          <w:sz w:val="20"/>
        </w:rPr>
        <w:t>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xdx_907_edei--DocumentTransitionReport_c"/>
      <w:bookmarkEnd w:id="6"/>
      <w:r>
        <w:rPr>
          <w:caps w:val="false"/>
          <w:smallCaps w:val="false"/>
        </w:rPr>
        <w:t xml:space="preserve">☐ </w:t>
      </w:r>
      <w:r>
        <w:rPr>
          <w:rFonts w:ascii="Times New Roman;Times;Serif" w:hAnsi="Times New Roman;Times;Serif"/>
          <w:b w:val="false"/>
          <w:i w:val="false"/>
          <w:caps w:val="false"/>
          <w:smallCaps w:val="false"/>
          <w:sz w:val="20"/>
        </w:rPr>
        <w:t>TRANSITION REPORT UNDER SECTION 13 OR 15(d) OF THE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 to 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6_edei--EntityFileNumber_c20230101"/>
      <w:bookmarkEnd w:id="7"/>
      <w:r>
        <w:rPr>
          <w:rFonts w:ascii="Times New Roman;Times;Serif" w:hAnsi="Times New Roman;Times;Serif"/>
          <w:b w:val="false"/>
          <w:i w:val="false"/>
          <w:caps w:val="false"/>
          <w:smallCaps w:val="false"/>
          <w:sz w:val="20"/>
        </w:rPr>
        <w:t>001-32501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8_edei--EntityRegistrantName_c2023"/>
      <w:bookmarkEnd w:id="8"/>
      <w:r>
        <w:rPr>
          <w:rFonts w:ascii="Times New Roman;Times;Serif" w:hAnsi="Times New Roman;Times;Serif"/>
          <w:b/>
          <w:i w:val="false"/>
          <w:caps w:val="false"/>
          <w:smallCaps w:val="false"/>
          <w:sz w:val="36"/>
        </w:rPr>
        <w:t>REED’S,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2800" w:type="dxa"/>
        <w:jc w:val="left"/>
        <w:tblInd w:w="0" w:type="dxa"/>
        <w:tblLayout w:type="fixed"/>
        <w:tblCellMar>
          <w:top w:w="0" w:type="dxa"/>
          <w:left w:w="0" w:type="dxa"/>
          <w:bottom w:w="28" w:type="dxa"/>
          <w:right w:w="0" w:type="dxa"/>
        </w:tblCellMar>
      </w:tblPr>
      <w:tblGrid>
        <w:gridCol w:w="1205"/>
        <w:gridCol w:w="60"/>
        <w:gridCol w:w="1535"/>
      </w:tblGrid>
      <w:tr>
        <w:trPr/>
        <w:tc>
          <w:tcPr>
            <w:tcW w:w="120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4_edei--EntityIncorporationStateCo"/>
            <w:bookmarkEnd w:id="9"/>
            <w:r>
              <w:rPr>
                <w:rFonts w:ascii="Times New Roman;Times;Serif" w:hAnsi="Times New Roman;Times;Serif"/>
                <w:b w:val="false"/>
                <w:i w:val="false"/>
                <w:caps w:val="false"/>
                <w:smallCaps w:val="false"/>
                <w:sz w:val="20"/>
              </w:rPr>
              <w:t xml:space="preserve">Delaware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3_edei--EntityTaxIdentificationNum"/>
            <w:bookmarkEnd w:id="10"/>
            <w:r>
              <w:rPr>
                <w:rFonts w:ascii="Times New Roman;Times;Serif" w:hAnsi="Times New Roman;Times;Serif"/>
                <w:b w:val="false"/>
                <w:i w:val="false"/>
                <w:caps w:val="false"/>
                <w:smallCaps w:val="false"/>
                <w:sz w:val="20"/>
              </w:rPr>
              <w:t>35-2177773</w:t>
            </w:r>
          </w:p>
        </w:tc>
      </w:tr>
      <w:tr>
        <w:trPr/>
        <w:tc>
          <w:tcPr>
            <w:tcW w:w="120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1" w:name="xdx_90D_edei--EntityAddressAddressLine1_"/>
      <w:bookmarkEnd w:id="11"/>
      <w:r>
        <w:rPr>
          <w:rFonts w:ascii="Times New Roman;Times;Serif" w:hAnsi="Times New Roman;Times;Serif"/>
          <w:b w:val="false"/>
          <w:i w:val="false"/>
          <w:caps w:val="false"/>
          <w:smallCaps w:val="false"/>
          <w:sz w:val="20"/>
        </w:rPr>
        <w:t xml:space="preserve">201 Merritt 7, </w:t>
      </w:r>
      <w:bookmarkStart w:id="12" w:name="xdx_902_edei--EntityAddressCityOrTown_c2"/>
      <w:bookmarkEnd w:id="12"/>
      <w:r>
        <w:rPr>
          <w:rFonts w:ascii="Times New Roman;Times;Serif" w:hAnsi="Times New Roman;Times;Serif"/>
          <w:b w:val="false"/>
          <w:i w:val="false"/>
          <w:caps w:val="false"/>
          <w:smallCaps w:val="false"/>
          <w:sz w:val="20"/>
        </w:rPr>
        <w:t xml:space="preserve">Norwalk, </w:t>
      </w:r>
      <w:bookmarkStart w:id="13" w:name="xdx_906_edei--EntityAddressStateOrProvin"/>
      <w:bookmarkEnd w:id="13"/>
      <w:r>
        <w:rPr>
          <w:rFonts w:ascii="Times New Roman;Times;Serif" w:hAnsi="Times New Roman;Times;Serif"/>
          <w:b w:val="false"/>
          <w:i w:val="false"/>
          <w:caps w:val="false"/>
          <w:smallCaps w:val="false"/>
          <w:sz w:val="20"/>
        </w:rPr>
        <w:t xml:space="preserve">CT. </w:t>
      </w:r>
      <w:bookmarkStart w:id="14" w:name="xdx_90D_edei--EntityAddressPostalZipCode"/>
      <w:bookmarkEnd w:id="14"/>
      <w:r>
        <w:rPr>
          <w:rFonts w:ascii="Times New Roman;Times;Serif" w:hAnsi="Times New Roman;Times;Serif"/>
          <w:b w:val="false"/>
          <w:i w:val="false"/>
          <w:caps w:val="false"/>
          <w:smallCaps w:val="false"/>
          <w:sz w:val="20"/>
        </w:rPr>
        <w:t>06851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5" w:name="xdx_90B_edei--CityAreaCode_c20230101__20"/>
      <w:bookmarkEnd w:id="15"/>
      <w:r>
        <w:rPr>
          <w:rFonts w:ascii="Times New Roman;Times;Serif" w:hAnsi="Times New Roman;Times;Serif"/>
          <w:b w:val="false"/>
          <w:i w:val="false"/>
          <w:caps w:val="false"/>
          <w:smallCaps w:val="false"/>
          <w:sz w:val="20"/>
        </w:rPr>
        <w:t xml:space="preserve">(800) </w:t>
      </w:r>
      <w:bookmarkStart w:id="16" w:name="xdx_909_edei--LocalPhoneNumber_c20230101"/>
      <w:bookmarkEnd w:id="16"/>
      <w:r>
        <w:rPr>
          <w:rFonts w:ascii="Times New Roman;Times;Serif" w:hAnsi="Times New Roman;Times;Serif"/>
          <w:b w:val="false"/>
          <w:i w:val="false"/>
          <w:caps w:val="false"/>
          <w:smallCaps w:val="false"/>
          <w:sz w:val="20"/>
        </w:rPr>
        <w:t>997-3337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center"/>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1625"/>
        <w:gridCol w:w="60"/>
        <w:gridCol w:w="1415"/>
        <w:gridCol w:w="60"/>
        <w:gridCol w:w="3785"/>
      </w:tblGrid>
      <w:tr>
        <w:trPr/>
        <w:tc>
          <w:tcPr>
            <w:tcW w:w="16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each exchange on which registered</w:t>
            </w:r>
          </w:p>
        </w:tc>
      </w:tr>
      <w:tr>
        <w:trPr/>
        <w:tc>
          <w:tcPr>
            <w:tcW w:w="16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the number of shares outstanding of each of the issuer’s classes of common stock, as of the latest practicable date: There were a total of </w:t>
      </w:r>
      <w:bookmarkStart w:id="17" w:name="xdx_90D_edei--EntityCommonStockSharesOut"/>
      <w:bookmarkEnd w:id="17"/>
      <w:r>
        <w:rPr>
          <w:rFonts w:ascii="Times New Roman;Times;Serif" w:hAnsi="Times New Roman;Times;Serif"/>
          <w:b w:val="false"/>
          <w:i w:val="false"/>
          <w:caps w:val="false"/>
          <w:smallCaps w:val="false"/>
          <w:sz w:val="20"/>
        </w:rPr>
        <w:t>4,169,131 shares of Common Stock outstanding as of October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 w:name="xdx_90A_edei--EntityCurrentReportingStat"/>
      <w:bookmarkEnd w:id="1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19" w:name="xdx_907_edei--EntityInteractiveDataCurre"/>
      <w:bookmarkEnd w:id="19"/>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7155" w:type="dxa"/>
        <w:jc w:val="left"/>
        <w:tblInd w:w="0" w:type="dxa"/>
        <w:tblLayout w:type="fixed"/>
        <w:tblCellMar>
          <w:top w:w="0" w:type="dxa"/>
          <w:left w:w="0" w:type="dxa"/>
          <w:bottom w:w="0" w:type="dxa"/>
          <w:right w:w="0" w:type="dxa"/>
        </w:tblCellMar>
      </w:tblPr>
      <w:tblGrid>
        <w:gridCol w:w="2585"/>
        <w:gridCol w:w="2525"/>
        <w:gridCol w:w="2045"/>
      </w:tblGrid>
      <w:tr>
        <w:trPr/>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0" w:name="xdx_900_edei--EntityFilerCategory_c20230"/>
            <w:bookmarkEnd w:id="20"/>
            <w:r>
              <w:rPr>
                <w:rFonts w:ascii="Times New Roman;Times;Serif" w:hAnsi="Times New Roman;Times;Serif"/>
                <w:b w:val="false"/>
                <w:i w:val="false"/>
                <w:caps w:val="false"/>
                <w:smallCaps w:val="false"/>
                <w:sz w:val="20"/>
              </w:rPr>
              <w:t>Non-Accelerated Filer ☒</w:t>
            </w:r>
          </w:p>
        </w:tc>
      </w:tr>
      <w:tr>
        <w:trPr/>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1" w:name="xdx_90B_edei--EntitySmallBusiness_c20230"/>
            <w:bookmarkEnd w:id="21"/>
            <w:r>
              <w:rPr>
                <w:rFonts w:ascii="Times New Roman;Times;Serif" w:hAnsi="Times New Roman;Times;Serif"/>
                <w:b w:val="false"/>
                <w:i w:val="false"/>
                <w:caps w:val="false"/>
                <w:smallCaps w:val="false"/>
                <w:sz w:val="20"/>
              </w:rPr>
              <w:t>☒</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issuer is a shell company (as defined in Rule 12b-2 of the Exchange Act). Yes ☐ </w:t>
      </w:r>
      <w:bookmarkStart w:id="23" w:name="xdx_904_edei--EntityShellCompany_c202301"/>
      <w:bookmarkEnd w:id="23"/>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52"/>
        <w:gridCol w:w="60"/>
        <w:gridCol w:w="293"/>
      </w:tblGrid>
      <w:tr>
        <w:trPr/>
        <w:tc>
          <w:tcPr>
            <w:tcW w:w="9852" w:type="dxa"/>
            <w:tcBorders/>
            <w:shd w:fill="CCEEFF" w:val="clear"/>
            <w:vAlign w:val="center"/>
          </w:tcPr>
          <w:p>
            <w:pPr>
              <w:pStyle w:val="TableContents"/>
              <w:bidi w:val="0"/>
              <w:spacing w:before="0" w:after="283"/>
              <w:jc w:val="both"/>
              <w:rPr/>
            </w:pPr>
            <w:hyperlink w:anchor="hla_001">
              <w:r>
                <w:rPr>
                  <w:rStyle w:val="InternetLink"/>
                  <w:rFonts w:ascii="Times New Roman;Times;Serif" w:hAnsi="Times New Roman;Times;Serif"/>
                  <w:b w:val="false"/>
                  <w:i w:val="false"/>
                  <w:caps w:val="false"/>
                  <w:smallCaps w:val="false"/>
                  <w:sz w:val="20"/>
                </w:rPr>
                <w:t>PART I - 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02">
              <w:r>
                <w:rPr>
                  <w:rStyle w:val="InternetLink"/>
                  <w:rFonts w:ascii="Times New Roman;Times;Serif" w:hAnsi="Times New Roman;Times;Serif"/>
                  <w:b w:val="false"/>
                  <w:i w:val="false"/>
                  <w:caps w:val="false"/>
                  <w:smallCaps w:val="false"/>
                  <w:sz w:val="20"/>
                </w:rPr>
                <w:t>Item 1. Condensed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03">
              <w:r>
                <w:rPr>
                  <w:rStyle w:val="InternetLink"/>
                  <w:rFonts w:ascii="Times New Roman;Times;Serif" w:hAnsi="Times New Roman;Times;Serif"/>
                  <w:b w:val="false"/>
                  <w:i w:val="false"/>
                  <w:caps w:val="false"/>
                  <w:smallCaps w:val="false"/>
                  <w:sz w:val="20"/>
                </w:rPr>
                <w:t>Condensed Balance Sheets - September 30, 2023 (Unaudited) and December 31, 2022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04">
              <w:r>
                <w:rPr>
                  <w:rStyle w:val="InternetLink"/>
                  <w:rFonts w:ascii="Times New Roman;Times;Serif" w:hAnsi="Times New Roman;Times;Serif"/>
                  <w:b w:val="false"/>
                  <w:i w:val="false"/>
                  <w:caps w:val="false"/>
                  <w:smallCaps w:val="false"/>
                  <w:sz w:val="20"/>
                </w:rPr>
                <w:t>Condensed Statements of Operations for the three and nine months ended September 30, 2023 and 2022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05">
              <w:r>
                <w:rPr>
                  <w:rStyle w:val="InternetLink"/>
                  <w:rFonts w:ascii="Times New Roman;Times;Serif" w:hAnsi="Times New Roman;Times;Serif"/>
                  <w:b w:val="false"/>
                  <w:i w:val="false"/>
                  <w:caps w:val="false"/>
                  <w:smallCaps w:val="false"/>
                  <w:sz w:val="20"/>
                </w:rPr>
                <w:t>Condensed Statements of Changes in Stockholders’ Equity (Deficit) for the three and nine months ended September 30, 2023 and 2022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06">
              <w:r>
                <w:rPr>
                  <w:rStyle w:val="InternetLink"/>
                  <w:rFonts w:ascii="Times New Roman;Times;Serif" w:hAnsi="Times New Roman;Times;Serif"/>
                  <w:b w:val="false"/>
                  <w:i w:val="false"/>
                  <w:caps w:val="false"/>
                  <w:smallCaps w:val="false"/>
                  <w:sz w:val="20"/>
                </w:rPr>
                <w:t>Condensed Statements of Cash Flows for the nine months ended September 30, 2023 and 2022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07">
              <w:r>
                <w:rPr>
                  <w:rStyle w:val="InternetLink"/>
                  <w:rFonts w:ascii="Times New Roman;Times;Serif" w:hAnsi="Times New Roman;Times;Serif"/>
                  <w:b w:val="false"/>
                  <w:i w:val="false"/>
                  <w:caps w:val="false"/>
                  <w:smallCaps w:val="false"/>
                  <w:sz w:val="20"/>
                </w:rPr>
                <w:t>Notes to Condensed Financial Statements three and nine months ended September 30, 2023 and 2022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0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0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10">
              <w:r>
                <w:rPr>
                  <w:rStyle w:val="InternetLink"/>
                  <w:rFonts w:ascii="Times New Roman;Times;Serif" w:hAnsi="Times New Roman;Times;Serif"/>
                  <w:b w:val="false"/>
                  <w:i w:val="false"/>
                  <w:caps w:val="false"/>
                  <w:smallCaps w:val="false"/>
                  <w:sz w:val="20"/>
                </w:rPr>
                <w:t>Item 4. 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11">
              <w:r>
                <w:rPr>
                  <w:rStyle w:val="InternetLink"/>
                  <w:rFonts w:ascii="Times New Roman;Times;Serif" w:hAnsi="Times New Roman;Times;Serif"/>
                  <w:b w:val="false"/>
                  <w:i w:val="false"/>
                  <w:caps w:val="false"/>
                  <w:smallCaps w:val="false"/>
                  <w:sz w:val="20"/>
                </w:rPr>
                <w:t>PART II –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12">
              <w:r>
                <w:rPr>
                  <w:rStyle w:val="InternetLink"/>
                  <w:rFonts w:ascii="Times New Roman;Times;Serif" w:hAnsi="Times New Roman;Times;Serif"/>
                  <w:b w:val="false"/>
                  <w:i w:val="false"/>
                  <w:caps w:val="false"/>
                  <w:smallCaps w:val="false"/>
                  <w:sz w:val="20"/>
                </w:rPr>
                <w:t>Item 1. Legal Proceedings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13">
              <w:r>
                <w:rPr>
                  <w:rStyle w:val="InternetLink"/>
                  <w:rFonts w:ascii="Times New Roman;Times;Serif" w:hAnsi="Times New Roman;Times;Serif"/>
                  <w:b w:val="false"/>
                  <w:i w:val="false"/>
                  <w:caps w:val="false"/>
                  <w:smallCaps w:val="false"/>
                  <w:sz w:val="20"/>
                </w:rPr>
                <w:t>Item 1A. 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1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15">
              <w:r>
                <w:rPr>
                  <w:rStyle w:val="InternetLink"/>
                  <w:rFonts w:ascii="Times New Roman;Times;Serif" w:hAnsi="Times New Roman;Times;Serif"/>
                  <w:b w:val="false"/>
                  <w:i w:val="false"/>
                  <w:caps w:val="false"/>
                  <w:smallCaps w:val="false"/>
                  <w:sz w:val="20"/>
                </w:rPr>
                <w:t>Item 3. Defaults Upon Senior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16">
              <w:r>
                <w:rPr>
                  <w:rStyle w:val="InternetLink"/>
                  <w:rFonts w:ascii="Times New Roman;Times;Serif" w:hAnsi="Times New Roman;Times;Serif"/>
                  <w:b w:val="false"/>
                  <w:i w:val="false"/>
                  <w:caps w:val="false"/>
                  <w:smallCaps w:val="false"/>
                  <w:sz w:val="20"/>
                </w:rPr>
                <w:t>Item 4. Mine Safety Disclosures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left"/>
              <w:rPr>
                <w:sz w:val="4"/>
                <w:szCs w:val="4"/>
              </w:rPr>
            </w:pPr>
            <w:r>
              <w:rPr>
                <w:sz w:val="4"/>
                <w:szCs w:val="4"/>
              </w:rPr>
            </w:r>
          </w:p>
        </w:tc>
      </w:tr>
      <w:tr>
        <w:trPr/>
        <w:tc>
          <w:tcPr>
            <w:tcW w:w="9852" w:type="dxa"/>
            <w:tcBorders/>
            <w:shd w:fill="CCEEFF" w:val="clear"/>
            <w:vAlign w:val="center"/>
          </w:tcPr>
          <w:p>
            <w:pPr>
              <w:pStyle w:val="TableContents"/>
              <w:bidi w:val="0"/>
              <w:spacing w:before="0" w:after="283"/>
              <w:jc w:val="both"/>
              <w:rPr/>
            </w:pPr>
            <w:hyperlink w:anchor="hla_017">
              <w:r>
                <w:rPr>
                  <w:rStyle w:val="InternetLink"/>
                  <w:rFonts w:ascii="Times New Roman;Times;Serif" w:hAnsi="Times New Roman;Times;Serif"/>
                  <w:b w:val="false"/>
                  <w:i w:val="false"/>
                  <w:caps w:val="false"/>
                  <w:smallCaps w:val="false"/>
                  <w:sz w:val="20"/>
                </w:rPr>
                <w:t>Item 5.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hla_018">
              <w:r>
                <w:rPr>
                  <w:rStyle w:val="InternetLink"/>
                  <w:rFonts w:ascii="Times New Roman;Times;Serif" w:hAnsi="Times New Roman;Times;Serif"/>
                  <w:b w:val="false"/>
                  <w:i w:val="false"/>
                  <w:caps w:val="false"/>
                  <w:smallCaps w:val="false"/>
                  <w:sz w:val="20"/>
                </w:rPr>
                <w:t>Item 6. Exhibits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 AND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Quarterly Report on Form 10-Q as well as our other public filings or public statements include forward-looking statements within the meaning of the Private Securities Litigation Reform Act of 1995. Forward-looking statements are identified by terms and phrases such as “anticipate,” “believe,” “continue,” “could,” “estimate,” “expect,” “intend,” “may,” “plan,” “predict,” “project,” “should,” and “will” and similar expressions and include references to assumptions and relate to our future prospects, developments, and business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forward-looking statements involve known and unknown risks, assumptions and uncertainties and other factors that may cause our actual results, levels of activity, performance, or achievements to be materially different from any future results, levels of activity, performance, or achievements expressed or implied by forward-looking statements. Management cautions that these forward-looking statements are qualified by their terms and/or important factors, many of which are outside of our control, and involve a number of risks, uncertainties and other factors that could cause actual results and events to differ materially from the statements made, including, but not limited to, the following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We have a history of operating losses. Our estimates regarding the sufficiency of our cash resource and capital requirements and needs for additional financing raises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We may not be able to extend or repay our indebtedness owed to our secured lenders, which would have a material adverse effect on our financial condition and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We require additional financing to support our working capital and execute our operating plans for fiscal 2023, which may not be available or may be costly and 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Our ability to absorb, mitigate or pass on cost increases to our bottlers/distributors and/or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The impact of rising costs, interest rates, and inflation on the discretionary income of our consumers, particularly the rising cost of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Uncertainties associated with an economic slowdown or recession that could negatively impact the financial condition of our customers and could result in a reduced demand for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The impact of the military conflicts in Ukraine and Israel, volatility in commodity prices, increased economic uncertainty and escalating geopolitical tensions;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The impact of logistical issues and delays;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Our ability to effectively manage our inventories and/or our accounts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Our ability to continue to generate sufficient cash flows to support our expansion plans and general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Changes in demand that are weather, or season related and/or for other reasons, including changes in product category and/or package consumption and changes in cost and availability of certain key ingredients including aluminum cans, as well as disruptions to the supply chain, as a result of climate change and poor or extreme weather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The impact on our business of competitive products and pricing pressures and our ability to gain or maintain our share of sales in the marketplace as a result of actions by competitors;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Our ability to implement and/or maintain price increases, including through reductions in promotional allowances;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The effectiveness of sales and/or marketing efforts by us and/or by distributors of our products, most of whom distribute products that may be regarded as competitive with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The costs and/or effectiveness, now or in the future, of our advertising, marketing and promotional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The failure of our co-packers to manufacture our products on a timely basis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Our ability to make suitable arrangements and/or procure sufficient capacity for the co-packing of any of our products, the timely replacement of discontinued co-packing arrangements and/or limitations on co-packing availability;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Volatility of stock prices which may restrict stock sales, stock purchases or other opportunities as well as negatively impact the motivation of equity award grantees;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Any disruption in and/or lack of effectiveness of our information technology systems, including a breach of cyber security, which disrupts our business or negatively impacts customer relationships, as well as cybersecurity incidents involving data shared with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The imposition of additional regulation imposing excise taxes and/or sales taxes on sweetened beverages or alcoholic beverages;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Recruitment and retention of senior management, other key employees and our employee base in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undertake no obligation to update or revise the forward-looking statements included in this report, whether as a result of new information, future events or otherwise, after the date of this report. Our actual results, performance or achievements could differ materially from the results expressed in, or implied by, these forward-looking statements.</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hla_001"/>
      <w:bookmarkEnd w:id="24"/>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hla_002"/>
      <w:bookmarkEnd w:id="25"/>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hla_003"/>
      <w:bookmarkEnd w:id="26"/>
      <w:r>
        <w:rPr>
          <w:rFonts w:ascii="Times New Roman;Times;Serif" w:hAnsi="Times New Roman;Times;Serif"/>
          <w:b/>
          <w:i w:val="false"/>
          <w:caps w:val="false"/>
          <w:smallCaps w:val="false"/>
          <w:sz w:val="20"/>
        </w:rPr>
        <w:t>CONDENSED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 w:name="xdx_302_111_pn3n3_zxrxFQYh0jc6"/>
      <w:bookmarkStart w:id="28" w:name="xdx_302_111_pn3n3_zxrxFQYh0jc6"/>
      <w:bookmarkEnd w:id="28"/>
    </w:p>
    <w:tbl>
      <w:tblPr>
        <w:tblW w:w="10205" w:type="dxa"/>
        <w:jc w:val="left"/>
        <w:tblInd w:w="0" w:type="dxa"/>
        <w:tblLayout w:type="fixed"/>
        <w:tblCellMar>
          <w:top w:w="0" w:type="dxa"/>
          <w:left w:w="0" w:type="dxa"/>
          <w:bottom w:w="0" w:type="dxa"/>
          <w:right w:w="0" w:type="dxa"/>
        </w:tblCellMar>
      </w:tblPr>
      <w:tblGrid>
        <w:gridCol w:w="7629"/>
        <w:gridCol w:w="60"/>
        <w:gridCol w:w="168"/>
        <w:gridCol w:w="986"/>
        <w:gridCol w:w="95"/>
        <w:gridCol w:w="60"/>
        <w:gridCol w:w="151"/>
        <w:gridCol w:w="945"/>
        <w:gridCol w:w="111"/>
      </w:tblGrid>
      <w:tr>
        <w:trPr/>
        <w:tc>
          <w:tcPr>
            <w:tcW w:w="76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9" w:name="xdx_490_20230930_ztkQsuDGsrk"/>
            <w:bookmarkEnd w:id="29"/>
          </w:p>
        </w:tc>
        <w:tc>
          <w:tcPr>
            <w:tcW w:w="115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 w:name="xdx_49D_20221231_ztoI28aN9Sl8"/>
            <w:bookmarkEnd w:id="30"/>
          </w:p>
        </w:tc>
        <w:tc>
          <w:tcPr>
            <w:tcW w:w="109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11" w:type="dxa"/>
            <w:tcBorders/>
            <w:vAlign w:val="center"/>
          </w:tcPr>
          <w:p>
            <w:pPr>
              <w:pStyle w:val="TableContents"/>
              <w:bidi w:val="0"/>
              <w:spacing w:before="0" w:after="283"/>
              <w:jc w:val="left"/>
              <w:rPr/>
            </w:pPr>
            <w:r>
              <w:rPr/>
              <w:t> </w:t>
            </w:r>
          </w:p>
        </w:tc>
      </w:tr>
      <w:tr>
        <w:trPr/>
        <w:tc>
          <w:tcPr>
            <w:tcW w:w="76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bookmarkStart w:id="31" w:name="xdx_40E_eus-gaap--AssetsAbstract_iB_zRjR"/>
            <w:bookmarkEnd w:id="31"/>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32" w:name="xdx_403_eus-gaap--AssetsCurrentAbstract_"/>
            <w:bookmarkEnd w:id="32"/>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33" w:name="xdx_40F_eus-gaap--Cash_i02I_maCzkMn_zlAL"/>
            <w:bookmarkEnd w:id="33"/>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w:t>
            </w:r>
          </w:p>
        </w:tc>
        <w:tc>
          <w:tcPr>
            <w:tcW w:w="111" w:type="dxa"/>
            <w:tcBorders/>
            <w:shd w:fill="CCEEFF" w:val="clear"/>
            <w:vAlign w:val="center"/>
          </w:tcPr>
          <w:p>
            <w:pPr>
              <w:pStyle w:val="TableContents"/>
              <w:bidi w:val="0"/>
              <w:spacing w:before="0" w:after="283"/>
              <w:jc w:val="left"/>
              <w:rPr/>
            </w:pPr>
            <w:r>
              <w:rPr/>
              <w:t> </w:t>
            </w:r>
            <w:bookmarkStart w:id="34" w:name="xdx_40D_eus-gaap--AccountsReceivableNetC"/>
            <w:bookmarkEnd w:id="34"/>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of $</w:t>
            </w:r>
            <w:bookmarkStart w:id="35" w:name="xdx_90B_eus-gaap--AllowanceForDoubtfulAc"/>
            <w:bookmarkEnd w:id="35"/>
            <w:r>
              <w:rPr>
                <w:rFonts w:ascii="Times New Roman;Times;Serif" w:hAnsi="Times New Roman;Times;Serif"/>
              </w:rPr>
              <w:t>514 and $</w:t>
            </w:r>
            <w:bookmarkStart w:id="36" w:name="xdx_90B_eus-gaap--AllowanceForDoubtfulAc"/>
            <w:bookmarkEnd w:id="36"/>
            <w:r>
              <w:rPr>
                <w:rFonts w:ascii="Times New Roman;Times;Serif" w:hAnsi="Times New Roman;Times;Serif"/>
              </w:rPr>
              <w:t>252, respectively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5,671</w:t>
            </w:r>
          </w:p>
        </w:tc>
        <w:tc>
          <w:tcPr>
            <w:tcW w:w="111" w:type="dxa"/>
            <w:tcBorders/>
            <w:shd w:fill="FFFFFF" w:val="clear"/>
            <w:vAlign w:val="center"/>
          </w:tcPr>
          <w:p>
            <w:pPr>
              <w:pStyle w:val="TableContents"/>
              <w:bidi w:val="0"/>
              <w:spacing w:before="0" w:after="283"/>
              <w:jc w:val="left"/>
              <w:rPr/>
            </w:pPr>
            <w:r>
              <w:rPr/>
              <w:t> </w:t>
            </w:r>
            <w:bookmarkStart w:id="37" w:name="xdx_401_eus-gaap--InventoryNet_i02I_maCz"/>
            <w:bookmarkEnd w:id="37"/>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16,175</w:t>
            </w:r>
          </w:p>
        </w:tc>
        <w:tc>
          <w:tcPr>
            <w:tcW w:w="111" w:type="dxa"/>
            <w:tcBorders/>
            <w:shd w:fill="CCEEFF" w:val="clear"/>
            <w:vAlign w:val="center"/>
          </w:tcPr>
          <w:p>
            <w:pPr>
              <w:pStyle w:val="TableContents"/>
              <w:bidi w:val="0"/>
              <w:spacing w:before="0" w:after="283"/>
              <w:jc w:val="left"/>
              <w:rPr/>
            </w:pPr>
            <w:r>
              <w:rPr/>
              <w:t> </w:t>
            </w:r>
            <w:bookmarkStart w:id="38" w:name="xdx_408_eus-gaap--OtherReceivablesNetCur"/>
            <w:bookmarkEnd w:id="38"/>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Receivable from former related party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777</w:t>
            </w:r>
          </w:p>
        </w:tc>
        <w:tc>
          <w:tcPr>
            <w:tcW w:w="111" w:type="dxa"/>
            <w:tcBorders/>
            <w:shd w:fill="FFFFFF" w:val="clear"/>
            <w:vAlign w:val="center"/>
          </w:tcPr>
          <w:p>
            <w:pPr>
              <w:pStyle w:val="TableContents"/>
              <w:bidi w:val="0"/>
              <w:spacing w:before="0" w:after="283"/>
              <w:jc w:val="left"/>
              <w:rPr/>
            </w:pPr>
            <w:r>
              <w:rPr/>
              <w:t> </w:t>
            </w:r>
            <w:bookmarkStart w:id="39" w:name="xdx_400_eus-gaap--PrepaidExpenseAndOther"/>
            <w:bookmarkEnd w:id="39"/>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939</w:t>
            </w:r>
          </w:p>
        </w:tc>
        <w:tc>
          <w:tcPr>
            <w:tcW w:w="111" w:type="dxa"/>
            <w:tcBorders/>
            <w:shd w:fill="CCEEFF" w:val="clear"/>
            <w:vAlign w:val="center"/>
          </w:tcPr>
          <w:p>
            <w:pPr>
              <w:pStyle w:val="TableContents"/>
              <w:bidi w:val="0"/>
              <w:spacing w:before="0" w:after="283"/>
              <w:jc w:val="left"/>
              <w:rPr/>
            </w:pPr>
            <w:r>
              <w:rPr/>
              <w:t> </w:t>
            </w:r>
            <w:bookmarkStart w:id="40" w:name="xdx_400_eus-gaap--AssetsCurrent_i02TI_mt"/>
            <w:bookmarkEnd w:id="40"/>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Total current assets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24,095</w:t>
            </w:r>
          </w:p>
        </w:tc>
        <w:tc>
          <w:tcPr>
            <w:tcW w:w="111"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41" w:name="xdx_400_eus-gaap--PropertyPlantAndEquipm"/>
            <w:bookmarkEnd w:id="41"/>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 of accumulated depreciation of $</w:t>
            </w:r>
            <w:bookmarkStart w:id="42" w:name="xdx_900_eus-gaap--AccumulatedDepreciatio"/>
            <w:bookmarkEnd w:id="42"/>
            <w:r>
              <w:rPr>
                <w:rFonts w:ascii="Times New Roman;Times;Serif" w:hAnsi="Times New Roman;Times;Serif"/>
              </w:rPr>
              <w:t>1,001 and $</w:t>
            </w:r>
            <w:bookmarkStart w:id="43" w:name="xdx_90F_eus-gaap--AccumulatedDepreciatio"/>
            <w:bookmarkEnd w:id="43"/>
            <w:r>
              <w:rPr>
                <w:rFonts w:ascii="Times New Roman;Times;Serif" w:hAnsi="Times New Roman;Times;Serif"/>
              </w:rPr>
              <w:t>787, respectively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766</w:t>
            </w:r>
          </w:p>
        </w:tc>
        <w:tc>
          <w:tcPr>
            <w:tcW w:w="111" w:type="dxa"/>
            <w:tcBorders/>
            <w:shd w:fill="FFFFFF" w:val="clear"/>
            <w:vAlign w:val="center"/>
          </w:tcPr>
          <w:p>
            <w:pPr>
              <w:pStyle w:val="TableContents"/>
              <w:bidi w:val="0"/>
              <w:spacing w:before="0" w:after="283"/>
              <w:jc w:val="left"/>
              <w:rPr/>
            </w:pPr>
            <w:r>
              <w:rPr/>
              <w:t> </w:t>
            </w:r>
            <w:bookmarkStart w:id="44" w:name="xdx_400_eus-gaap--IntangibleAssetsNetExc"/>
            <w:bookmarkEnd w:id="44"/>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w:t>
            </w:r>
          </w:p>
        </w:tc>
        <w:tc>
          <w:tcPr>
            <w:tcW w:w="111" w:type="dxa"/>
            <w:tcBorders/>
            <w:shd w:fill="CCEEFF" w:val="clear"/>
            <w:vAlign w:val="center"/>
          </w:tcPr>
          <w:p>
            <w:pPr>
              <w:pStyle w:val="TableContents"/>
              <w:bidi w:val="0"/>
              <w:spacing w:before="0" w:after="283"/>
              <w:jc w:val="left"/>
              <w:rPr/>
            </w:pPr>
            <w:r>
              <w:rPr/>
              <w:t> </w:t>
            </w:r>
            <w:bookmarkStart w:id="45" w:name="xdx_407_eus-gaap--Assets_i01TI_mtCzI9j_z"/>
            <w:bookmarkEnd w:id="45"/>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25,487</w:t>
            </w:r>
          </w:p>
        </w:tc>
        <w:tc>
          <w:tcPr>
            <w:tcW w:w="111"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46" w:name="xdx_40C_eus-gaap--LiabilitiesAndStockhol"/>
            <w:bookmarkEnd w:id="46"/>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47" w:name="xdx_402_eus-gaap--LiabilitiesCurrentAbst"/>
            <w:bookmarkEnd w:id="47"/>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48" w:name="xdx_406_eus-gaap--AccountsPayableCurrent"/>
            <w:bookmarkEnd w:id="48"/>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9,805</w:t>
            </w:r>
          </w:p>
        </w:tc>
        <w:tc>
          <w:tcPr>
            <w:tcW w:w="111" w:type="dxa"/>
            <w:tcBorders/>
            <w:shd w:fill="FFFFFF" w:val="clear"/>
            <w:vAlign w:val="center"/>
          </w:tcPr>
          <w:p>
            <w:pPr>
              <w:pStyle w:val="TableContents"/>
              <w:bidi w:val="0"/>
              <w:spacing w:before="0" w:after="283"/>
              <w:jc w:val="left"/>
              <w:rPr/>
            </w:pPr>
            <w:r>
              <w:rPr/>
              <w:t> </w:t>
            </w:r>
            <w:bookmarkStart w:id="49" w:name="xdx_400_eus-gaap--AccruedLiabilitiesCurr"/>
            <w:bookmarkEnd w:id="49"/>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w:t>
            </w:r>
          </w:p>
        </w:tc>
        <w:tc>
          <w:tcPr>
            <w:tcW w:w="111" w:type="dxa"/>
            <w:tcBorders/>
            <w:shd w:fill="CCEEFF" w:val="clear"/>
            <w:vAlign w:val="center"/>
          </w:tcPr>
          <w:p>
            <w:pPr>
              <w:pStyle w:val="TableContents"/>
              <w:bidi w:val="0"/>
              <w:spacing w:before="0" w:after="283"/>
              <w:jc w:val="left"/>
              <w:rPr/>
            </w:pPr>
            <w:r>
              <w:rPr/>
              <w:t> </w:t>
            </w:r>
            <w:bookmarkStart w:id="50" w:name="xdx_403_eus-gaap--LinesOfCreditCurrent_i"/>
            <w:bookmarkEnd w:id="50"/>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Revolving line of credit, net of capitalized financing costs of $</w:t>
            </w:r>
            <w:bookmarkStart w:id="51" w:name="xdx_909_eus-gaap--DeferredFinanceCostsCu"/>
            <w:bookmarkEnd w:id="51"/>
            <w:r>
              <w:rPr>
                <w:rFonts w:ascii="Times New Roman;Times;Serif" w:hAnsi="Times New Roman;Times;Serif"/>
              </w:rPr>
              <w:t>242 and $</w:t>
            </w:r>
            <w:bookmarkStart w:id="52" w:name="xdx_904_eus-gaap--DeferredFinanceCostsCu"/>
            <w:bookmarkEnd w:id="52"/>
            <w:r>
              <w:rPr>
                <w:rFonts w:ascii="Times New Roman;Times;Serif" w:hAnsi="Times New Roman;Times;Serif"/>
              </w:rPr>
              <w:t>363, respectively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10,974</w:t>
            </w:r>
          </w:p>
        </w:tc>
        <w:tc>
          <w:tcPr>
            <w:tcW w:w="111" w:type="dxa"/>
            <w:tcBorders/>
            <w:shd w:fill="FFFFFF" w:val="clear"/>
            <w:vAlign w:val="center"/>
          </w:tcPr>
          <w:p>
            <w:pPr>
              <w:pStyle w:val="TableContents"/>
              <w:bidi w:val="0"/>
              <w:spacing w:before="0" w:after="283"/>
              <w:jc w:val="left"/>
              <w:rPr/>
            </w:pPr>
            <w:r>
              <w:rPr/>
              <w:t> </w:t>
            </w:r>
            <w:bookmarkStart w:id="53" w:name="xdx_40E_eus-gaap--ConvertibleNotesPayabl"/>
            <w:bookmarkEnd w:id="53"/>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payable, current portion, net of debt discount of $</w:t>
            </w:r>
            <w:bookmarkStart w:id="54" w:name="xdx_90E_eus-gaap--DebtInstrumentUnamorti"/>
            <w:bookmarkEnd w:id="54"/>
            <w:r>
              <w:rPr>
                <w:rFonts w:ascii="Times New Roman;Times;Serif" w:hAnsi="Times New Roman;Times;Serif"/>
              </w:rPr>
              <w:t>0 and $</w:t>
            </w:r>
            <w:bookmarkStart w:id="55" w:name="xdx_907_eus-gaap--DebtInstrumentUnamorti"/>
            <w:bookmarkEnd w:id="55"/>
            <w:r>
              <w:rPr>
                <w:rFonts w:ascii="Times New Roman;Times;Serif" w:hAnsi="Times New Roman;Times;Serif"/>
              </w:rPr>
              <w:t>414, respectively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2,434</w:t>
            </w:r>
          </w:p>
        </w:tc>
        <w:tc>
          <w:tcPr>
            <w:tcW w:w="111" w:type="dxa"/>
            <w:tcBorders/>
            <w:shd w:fill="CCEEFF" w:val="clear"/>
            <w:vAlign w:val="center"/>
          </w:tcPr>
          <w:p>
            <w:pPr>
              <w:pStyle w:val="TableContents"/>
              <w:bidi w:val="0"/>
              <w:spacing w:before="0" w:after="283"/>
              <w:jc w:val="left"/>
              <w:rPr/>
            </w:pPr>
            <w:r>
              <w:rPr/>
              <w:t> </w:t>
            </w:r>
            <w:bookmarkStart w:id="56" w:name="xdx_405_eus-gaap--OtherLiabilitiesCurren"/>
            <w:bookmarkEnd w:id="56"/>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Payable to former related party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111" w:type="dxa"/>
            <w:tcBorders/>
            <w:shd w:fill="FFFFFF" w:val="clear"/>
            <w:vAlign w:val="center"/>
          </w:tcPr>
          <w:p>
            <w:pPr>
              <w:pStyle w:val="TableContents"/>
              <w:bidi w:val="0"/>
              <w:spacing w:before="0" w:after="283"/>
              <w:jc w:val="left"/>
              <w:rPr/>
            </w:pPr>
            <w:r>
              <w:rPr/>
              <w:t> </w:t>
            </w:r>
            <w:bookmarkStart w:id="57" w:name="xdx_40C_eus-gaap--OperatingLeaseLiabilit"/>
            <w:bookmarkEnd w:id="57"/>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lease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111" w:type="dxa"/>
            <w:tcBorders/>
            <w:shd w:fill="CCEEFF" w:val="clear"/>
            <w:vAlign w:val="center"/>
          </w:tcPr>
          <w:p>
            <w:pPr>
              <w:pStyle w:val="TableContents"/>
              <w:bidi w:val="0"/>
              <w:spacing w:before="0" w:after="283"/>
              <w:jc w:val="left"/>
              <w:rPr/>
            </w:pPr>
            <w:r>
              <w:rPr/>
              <w:t> </w:t>
            </w:r>
            <w:bookmarkStart w:id="58" w:name="xdx_40E_eus-gaap--LiabilitiesCurrent_i02"/>
            <w:bookmarkEnd w:id="58"/>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Total current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25,658</w:t>
            </w:r>
          </w:p>
        </w:tc>
        <w:tc>
          <w:tcPr>
            <w:tcW w:w="111"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59" w:name="xdx_406_eus-gaap--ConvertibleLongTermNot"/>
            <w:bookmarkEnd w:id="59"/>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 payable, net of debt discount of $</w:t>
            </w:r>
            <w:bookmarkStart w:id="60" w:name="xdx_90C_eus-gaap--DebtInstrumentUnamorti"/>
            <w:bookmarkEnd w:id="60"/>
            <w:r>
              <w:rPr>
                <w:rFonts w:ascii="Times New Roman;Times;Serif" w:hAnsi="Times New Roman;Times;Serif"/>
              </w:rPr>
              <w:t>252 and $</w:t>
            </w:r>
            <w:bookmarkStart w:id="61" w:name="xdx_900_eus-gaap--DebtInstrumentUnamorti"/>
            <w:bookmarkEnd w:id="61"/>
            <w:r>
              <w:rPr>
                <w:rFonts w:ascii="Times New Roman;Times;Serif" w:hAnsi="Times New Roman;Times;Serif"/>
              </w:rPr>
              <w:t>562, respectively, less current portion</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8,092</w:t>
            </w:r>
          </w:p>
        </w:tc>
        <w:tc>
          <w:tcPr>
            <w:tcW w:w="111" w:type="dxa"/>
            <w:tcBorders/>
            <w:shd w:fill="FFFFFF" w:val="clear"/>
            <w:vAlign w:val="center"/>
          </w:tcPr>
          <w:p>
            <w:pPr>
              <w:pStyle w:val="TableContents"/>
              <w:bidi w:val="0"/>
              <w:spacing w:before="0" w:after="283"/>
              <w:jc w:val="left"/>
              <w:rPr/>
            </w:pPr>
            <w:r>
              <w:rPr/>
              <w:t> </w:t>
            </w:r>
            <w:bookmarkStart w:id="62" w:name="xdx_40B_eus-gaap--OperatingLeaseLiabilit"/>
            <w:bookmarkEnd w:id="62"/>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 less current portion</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w:t>
            </w:r>
          </w:p>
        </w:tc>
        <w:tc>
          <w:tcPr>
            <w:tcW w:w="111" w:type="dxa"/>
            <w:tcBorders/>
            <w:shd w:fill="CCEEFF" w:val="clear"/>
            <w:vAlign w:val="center"/>
          </w:tcPr>
          <w:p>
            <w:pPr>
              <w:pStyle w:val="TableContents"/>
              <w:bidi w:val="0"/>
              <w:spacing w:before="0" w:after="283"/>
              <w:jc w:val="left"/>
              <w:rPr/>
            </w:pPr>
            <w:r>
              <w:rPr/>
              <w:t> </w:t>
            </w:r>
            <w:bookmarkStart w:id="63" w:name="xdx_40A_eus-gaap--Liabilities_i01TI_mtCz"/>
            <w:bookmarkEnd w:id="63"/>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33,957</w:t>
            </w:r>
          </w:p>
        </w:tc>
        <w:tc>
          <w:tcPr>
            <w:tcW w:w="111"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64" w:name="xdx_402_eus-gaap--StockholdersEquityAbst"/>
            <w:bookmarkEnd w:id="64"/>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deficit: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65" w:name="xdx_406_eus-gaap--PreferredStockValue_i0"/>
            <w:bookmarkEnd w:id="65"/>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Convertible Preferred stock, $</w:t>
            </w:r>
            <w:bookmarkStart w:id="66" w:name="xdx_90C_eus-gaap--PreferredStockParOrSta"/>
            <w:bookmarkStart w:id="67" w:name="xdx_90C_eus-gaap--PreferredStockParOrSta"/>
            <w:bookmarkEnd w:id="66"/>
            <w:bookmarkEnd w:id="67"/>
            <w:r>
              <w:rPr>
                <w:rFonts w:ascii="Times New Roman;Times;Serif" w:hAnsi="Times New Roman;Times;Serif"/>
              </w:rPr>
              <w:t xml:space="preserve">10 par value, </w:t>
            </w:r>
            <w:bookmarkStart w:id="68" w:name="xdx_904_eus-gaap--PreferredStockSharesAu"/>
            <w:bookmarkStart w:id="69" w:name="xdx_904_eus-gaap--PreferredStockSharesAu"/>
            <w:bookmarkEnd w:id="68"/>
            <w:bookmarkEnd w:id="69"/>
            <w:r>
              <w:rPr>
                <w:rFonts w:ascii="Times New Roman;Times;Serif" w:hAnsi="Times New Roman;Times;Serif"/>
              </w:rPr>
              <w:t xml:space="preserve">500,000 shares authorized, </w:t>
            </w:r>
            <w:bookmarkStart w:id="70" w:name="xdx_901_eus-gaap--PreferredStockSharesOu"/>
            <w:bookmarkStart w:id="71" w:name="xdx_907_eus-gaap--PreferredStockSharesIs"/>
            <w:bookmarkStart w:id="72" w:name="xdx_901_eus-gaap--PreferredStockSharesOu"/>
            <w:bookmarkStart w:id="73" w:name="xdx_902_eus-gaap--PreferredStockSharesIs"/>
            <w:bookmarkEnd w:id="70"/>
            <w:bookmarkEnd w:id="71"/>
            <w:bookmarkEnd w:id="72"/>
            <w:bookmarkEnd w:id="73"/>
            <w:r>
              <w:rPr>
                <w:rFonts w:ascii="Times New Roman;Times;Serif" w:hAnsi="Times New Roman;Times;Serif"/>
              </w:rPr>
              <w:t>9,411 shares issued and outstanding</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111" w:type="dxa"/>
            <w:tcBorders/>
            <w:shd w:fill="CCEEFF" w:val="clear"/>
            <w:vAlign w:val="center"/>
          </w:tcPr>
          <w:p>
            <w:pPr>
              <w:pStyle w:val="TableContents"/>
              <w:bidi w:val="0"/>
              <w:spacing w:before="0" w:after="283"/>
              <w:jc w:val="left"/>
              <w:rPr/>
            </w:pPr>
            <w:r>
              <w:rPr/>
              <w:t> </w:t>
            </w:r>
            <w:bookmarkStart w:id="74" w:name="xdx_405_eus-gaap--CommonStockValue_i02I_"/>
            <w:bookmarkEnd w:id="74"/>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t>
            </w:r>
            <w:bookmarkStart w:id="75" w:name="xdx_907_eus-gaap--CommonStockParOrStated"/>
            <w:bookmarkStart w:id="76" w:name="xdx_90E_eus-gaap--CommonStockParOrStated"/>
            <w:bookmarkEnd w:id="75"/>
            <w:bookmarkEnd w:id="76"/>
            <w:r>
              <w:rPr>
                <w:rFonts w:ascii="Times New Roman;Times;Serif" w:hAnsi="Times New Roman;Times;Serif"/>
              </w:rPr>
              <w:t xml:space="preserve">.0001 par value, </w:t>
            </w:r>
            <w:bookmarkStart w:id="77" w:name="xdx_90F_eus-gaap--CommonStockSharesAutho"/>
            <w:bookmarkStart w:id="78" w:name="xdx_90A_eus-gaap--CommonStockSharesAutho"/>
            <w:bookmarkEnd w:id="77"/>
            <w:bookmarkEnd w:id="78"/>
            <w:r>
              <w:rPr>
                <w:rFonts w:ascii="Times New Roman;Times;Serif" w:hAnsi="Times New Roman;Times;Serif"/>
              </w:rPr>
              <w:t xml:space="preserve">180,000,000 shares authorized; </w:t>
            </w:r>
            <w:bookmarkStart w:id="79" w:name="xdx_909_eus-gaap--CommonStockSharesOutst"/>
            <w:bookmarkStart w:id="80" w:name="xdx_907_eus-gaap--CommonStockSharesIssue"/>
            <w:bookmarkEnd w:id="79"/>
            <w:bookmarkEnd w:id="80"/>
            <w:r>
              <w:rPr>
                <w:rFonts w:ascii="Times New Roman;Times;Serif" w:hAnsi="Times New Roman;Times;Serif"/>
              </w:rPr>
              <w:t xml:space="preserve">4,169,131 and </w:t>
            </w:r>
            <w:bookmarkStart w:id="81" w:name="xdx_90D_eus-gaap--CommonStockSharesOutst"/>
            <w:bookmarkStart w:id="82" w:name="xdx_905_eus-gaap--CommonStockSharesIssue"/>
            <w:bookmarkEnd w:id="81"/>
            <w:bookmarkEnd w:id="82"/>
            <w:r>
              <w:rPr>
                <w:rFonts w:ascii="Times New Roman;Times;Serif" w:hAnsi="Times New Roman;Times;Serif"/>
              </w:rPr>
              <w:t>2,519,485 shares issued and outstanding, respectively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bookmarkStart w:id="83" w:name="xdx_402_eus-gaap--AdditionalPaidInCapita"/>
            <w:bookmarkEnd w:id="83"/>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 in capital</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114,635</w:t>
            </w:r>
          </w:p>
        </w:tc>
        <w:tc>
          <w:tcPr>
            <w:tcW w:w="111" w:type="dxa"/>
            <w:tcBorders/>
            <w:shd w:fill="CCEEFF" w:val="clear"/>
            <w:vAlign w:val="center"/>
          </w:tcPr>
          <w:p>
            <w:pPr>
              <w:pStyle w:val="TableContents"/>
              <w:bidi w:val="0"/>
              <w:spacing w:before="0" w:after="283"/>
              <w:jc w:val="left"/>
              <w:rPr/>
            </w:pPr>
            <w:r>
              <w:rPr/>
              <w:t> </w:t>
            </w:r>
            <w:bookmarkStart w:id="84" w:name="xdx_40C_eus-gaap--RetainedEarningsAccumu"/>
            <w:bookmarkEnd w:id="84"/>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(132,131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(123,199</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5" w:name="xdx_403_eus-gaap--StockholdersEquity_i02"/>
            <w:bookmarkEnd w:id="85"/>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deficit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(8,470</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6" w:name="xdx_409_eus-gaap--LiabilitiesAndStockhol"/>
            <w:bookmarkEnd w:id="86"/>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25,487</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7" w:name="hla_004"/>
      <w:bookmarkEnd w:id="87"/>
      <w:r>
        <w:rPr>
          <w:rFonts w:ascii="Times New Roman;Times;Serif" w:hAnsi="Times New Roman;Times;Serif"/>
          <w:b/>
          <w:i w:val="false"/>
          <w:caps w:val="false"/>
          <w:smallCaps w:val="false"/>
          <w:sz w:val="20"/>
        </w:rPr>
        <w:t>CONDENSED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September 30, 2023 and 2022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8" w:name="xdx_305_113_pn3n3_znmMagQqfGV3"/>
      <w:bookmarkStart w:id="89" w:name="xdx_305_113_pn3n3_znmMagQqfGV3"/>
      <w:bookmarkEnd w:id="89"/>
    </w:p>
    <w:tbl>
      <w:tblPr>
        <w:tblW w:w="10205" w:type="dxa"/>
        <w:jc w:val="left"/>
        <w:tblInd w:w="0" w:type="dxa"/>
        <w:tblLayout w:type="fixed"/>
        <w:tblCellMar>
          <w:top w:w="0" w:type="dxa"/>
          <w:left w:w="0" w:type="dxa"/>
          <w:bottom w:w="0" w:type="dxa"/>
          <w:right w:w="0" w:type="dxa"/>
        </w:tblCellMar>
      </w:tblPr>
      <w:tblGrid>
        <w:gridCol w:w="5090"/>
        <w:gridCol w:w="60"/>
        <w:gridCol w:w="140"/>
        <w:gridCol w:w="980"/>
        <w:gridCol w:w="95"/>
        <w:gridCol w:w="60"/>
        <w:gridCol w:w="140"/>
        <w:gridCol w:w="980"/>
        <w:gridCol w:w="95"/>
        <w:gridCol w:w="60"/>
        <w:gridCol w:w="140"/>
        <w:gridCol w:w="980"/>
        <w:gridCol w:w="95"/>
        <w:gridCol w:w="60"/>
        <w:gridCol w:w="140"/>
        <w:gridCol w:w="980"/>
        <w:gridCol w:w="110"/>
      </w:tblGrid>
      <w:tr>
        <w:trPr/>
        <w:tc>
          <w:tcPr>
            <w:tcW w:w="5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0" w:name="xdx_497_20230701__20230930_zTvv1VFAYbYc"/>
            <w:bookmarkEnd w:id="90"/>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1" w:name="xdx_49F_20220701__20220930_zx2qE7v6BFEb"/>
            <w:bookmarkEnd w:id="91"/>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 w:name="xdx_497_20230101__20230930_zhRJFbPNmTh6"/>
            <w:bookmarkEnd w:id="92"/>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 w:name="xdx_496_20220101__20220930_zyrDBh0o2yE3"/>
            <w:bookmarkEnd w:id="93"/>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110" w:type="dxa"/>
            <w:tcBorders/>
            <w:vAlign w:val="center"/>
          </w:tcPr>
          <w:p>
            <w:pPr>
              <w:pStyle w:val="TableContents"/>
              <w:bidi w:val="0"/>
              <w:spacing w:before="0" w:after="283"/>
              <w:jc w:val="left"/>
              <w:rPr/>
            </w:pPr>
            <w:r>
              <w:rPr/>
              <w:t> </w:t>
            </w:r>
            <w:bookmarkStart w:id="94" w:name="xdx_40D_eus-gaap--RevenueFromContractWit"/>
            <w:bookmarkEnd w:id="94"/>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38,001</w:t>
            </w:r>
          </w:p>
        </w:tc>
        <w:tc>
          <w:tcPr>
            <w:tcW w:w="110" w:type="dxa"/>
            <w:tcBorders/>
            <w:shd w:fill="CCEEFF" w:val="clear"/>
            <w:vAlign w:val="center"/>
          </w:tcPr>
          <w:p>
            <w:pPr>
              <w:pStyle w:val="TableContents"/>
              <w:bidi w:val="0"/>
              <w:spacing w:before="0" w:after="283"/>
              <w:jc w:val="left"/>
              <w:rPr/>
            </w:pPr>
            <w:r>
              <w:rPr/>
              <w:t> </w:t>
            </w:r>
            <w:bookmarkStart w:id="95" w:name="xdx_40C_eus-gaap--CostOfGoodsAndServices"/>
            <w:bookmarkEnd w:id="95"/>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29,335</w:t>
            </w:r>
          </w:p>
        </w:tc>
        <w:tc>
          <w:tcPr>
            <w:tcW w:w="110" w:type="dxa"/>
            <w:tcBorders/>
            <w:shd w:fill="FFFFFF" w:val="clear"/>
            <w:vAlign w:val="center"/>
          </w:tcPr>
          <w:p>
            <w:pPr>
              <w:pStyle w:val="TableContents"/>
              <w:bidi w:val="0"/>
              <w:spacing w:before="0" w:after="283"/>
              <w:jc w:val="left"/>
              <w:rPr/>
            </w:pPr>
            <w:r>
              <w:rPr/>
              <w:t> </w:t>
            </w:r>
            <w:bookmarkStart w:id="96" w:name="xdx_408_eus-gaap--GrossProfit_iT_mtCzgWx"/>
            <w:bookmarkEnd w:id="96"/>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8,666</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7" w:name="xdx_400_eus-gaap--OperatingExpensesAbstr"/>
            <w:bookmarkEnd w:id="97"/>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8" w:name="xdx_409_ecustom--DeliveryAndHandlingExpe"/>
            <w:bookmarkEnd w:id="98"/>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Delivery and handling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8,893</w:t>
            </w:r>
          </w:p>
        </w:tc>
        <w:tc>
          <w:tcPr>
            <w:tcW w:w="110" w:type="dxa"/>
            <w:tcBorders/>
            <w:shd w:fill="FFFFFF" w:val="clear"/>
            <w:vAlign w:val="center"/>
          </w:tcPr>
          <w:p>
            <w:pPr>
              <w:pStyle w:val="TableContents"/>
              <w:bidi w:val="0"/>
              <w:spacing w:before="0" w:after="283"/>
              <w:jc w:val="left"/>
              <w:rPr/>
            </w:pPr>
            <w:r>
              <w:rPr/>
              <w:t> </w:t>
            </w:r>
            <w:bookmarkStart w:id="99" w:name="xdx_405_eus-gaap--SellingAndMarketingExp"/>
            <w:bookmarkEnd w:id="99"/>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5,623</w:t>
            </w:r>
          </w:p>
        </w:tc>
        <w:tc>
          <w:tcPr>
            <w:tcW w:w="110" w:type="dxa"/>
            <w:tcBorders/>
            <w:shd w:fill="CCEEFF" w:val="clear"/>
            <w:vAlign w:val="center"/>
          </w:tcPr>
          <w:p>
            <w:pPr>
              <w:pStyle w:val="TableContents"/>
              <w:bidi w:val="0"/>
              <w:spacing w:before="0" w:after="283"/>
              <w:jc w:val="left"/>
              <w:rPr/>
            </w:pPr>
            <w:r>
              <w:rPr/>
              <w:t> </w:t>
            </w:r>
            <w:bookmarkStart w:id="100" w:name="xdx_404_eus-gaap--GeneralAndAdministrati"/>
            <w:bookmarkEnd w:id="100"/>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5,319</w:t>
            </w:r>
          </w:p>
        </w:tc>
        <w:tc>
          <w:tcPr>
            <w:tcW w:w="110" w:type="dxa"/>
            <w:tcBorders/>
            <w:shd w:fill="FFFFFF" w:val="clear"/>
            <w:vAlign w:val="center"/>
          </w:tcPr>
          <w:p>
            <w:pPr>
              <w:pStyle w:val="TableContents"/>
              <w:bidi w:val="0"/>
              <w:spacing w:before="0" w:after="283"/>
              <w:jc w:val="left"/>
              <w:rPr/>
            </w:pPr>
            <w:r>
              <w:rPr/>
              <w:t> </w:t>
            </w:r>
            <w:bookmarkStart w:id="101" w:name="xdx_403_eus-gaap--OperatingExpenses_i01T"/>
            <w:bookmarkEnd w:id="101"/>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19,835</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2" w:name="xdx_40F_eus-gaap--OperatingIncomeLoss_iT"/>
            <w:bookmarkEnd w:id="102"/>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 w:name="xdx_402_eus-gaap--InterestExpense_iN_di_"/>
            <w:bookmarkEnd w:id="103"/>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 w:name="xdx_403_eus-gaap--NetIncomeLoss_iT_mtNIL"/>
            <w:bookmarkEnd w:id="104"/>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 w:name="xdx_401_eus-gaap--PreferredStockDividend"/>
            <w:bookmarkEnd w:id="105"/>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Dividends on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6" w:name="xdx_40F_eus-gaap--NetIncomeLossAvailable"/>
            <w:bookmarkEnd w:id="106"/>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(13,293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07" w:name="xdx_90A_eus-gaap--EarningsPerShareDilute"/>
            <w:bookmarkStart w:id="108" w:name="xdx_905_eus-gaap--EarningsPerShareBasic_"/>
            <w:bookmarkEnd w:id="107"/>
            <w:bookmarkEnd w:id="108"/>
            <w:r>
              <w:rPr>
                <w:rFonts w:ascii="Times New Roman;Times;Serif" w:hAnsi="Times New Roman;Times;Serif"/>
              </w:rPr>
              <w:t>(0.34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09" w:name="xdx_906_eus-gaap--EarningsPerShareDilute"/>
            <w:bookmarkStart w:id="110" w:name="xdx_905_eus-gaap--EarningsPerShareBasic_"/>
            <w:bookmarkEnd w:id="109"/>
            <w:bookmarkEnd w:id="110"/>
            <w:r>
              <w:rPr>
                <w:rFonts w:ascii="Times New Roman;Times;Serif" w:hAnsi="Times New Roman;Times;Serif"/>
              </w:rPr>
              <w:t>(1.43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11" w:name="xdx_907_eus-gaap--EarningsPerShareDilute"/>
            <w:bookmarkStart w:id="112" w:name="xdx_90B_eus-gaap--EarningsPerShareBasic_"/>
            <w:bookmarkEnd w:id="111"/>
            <w:bookmarkEnd w:id="112"/>
            <w:r>
              <w:rPr>
                <w:rFonts w:ascii="Times New Roman;Times;Serif" w:hAnsi="Times New Roman;Times;Serif"/>
              </w:rPr>
              <w:t>(2.69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13" w:name="xdx_904_eus-gaap--EarningsPerShareDilute"/>
            <w:bookmarkStart w:id="114" w:name="xdx_904_eus-gaap--EarningsPerShareBasic_"/>
            <w:bookmarkEnd w:id="113"/>
            <w:bookmarkEnd w:id="114"/>
            <w:r>
              <w:rPr>
                <w:rFonts w:ascii="Times New Roman;Times;Serif" w:hAnsi="Times New Roman;Times;Serif"/>
              </w:rPr>
              <w:t>(6.54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bookmarkStart w:id="115" w:name="xdx_904_eus-gaap--WeightedAverageNumberO"/>
            <w:bookmarkStart w:id="116" w:name="xdx_901_eus-gaap--WeightedAverageNumberO"/>
            <w:bookmarkEnd w:id="115"/>
            <w:bookmarkEnd w:id="116"/>
            <w:r>
              <w:rPr>
                <w:rFonts w:ascii="Times New Roman;Times;Serif" w:hAnsi="Times New Roman;Times;Serif"/>
              </w:rPr>
              <w:t>4,169,131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bookmarkStart w:id="117" w:name="xdx_909_eus-gaap--WeightedAverageNumberO"/>
            <w:bookmarkStart w:id="118" w:name="xdx_908_eus-gaap--WeightedAverageNumberO"/>
            <w:bookmarkEnd w:id="117"/>
            <w:bookmarkEnd w:id="118"/>
            <w:r>
              <w:rPr>
                <w:rFonts w:ascii="Times New Roman;Times;Serif" w:hAnsi="Times New Roman;Times;Serif"/>
              </w:rPr>
              <w:t>2,254,356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bookmarkStart w:id="119" w:name="xdx_906_eus-gaap--WeightedAverageNumberO"/>
            <w:bookmarkStart w:id="120" w:name="xdx_90D_eus-gaap--WeightedAverageNumberO"/>
            <w:bookmarkEnd w:id="119"/>
            <w:bookmarkEnd w:id="120"/>
            <w:r>
              <w:rPr>
                <w:rFonts w:ascii="Times New Roman;Times;Serif" w:hAnsi="Times New Roman;Times;Serif"/>
              </w:rPr>
              <w:t>3,322,959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bookmarkStart w:id="121" w:name="xdx_90E_eus-gaap--WeightedAverageNumberO"/>
            <w:bookmarkStart w:id="122" w:name="xdx_90C_eus-gaap--WeightedAverageNumberO"/>
            <w:bookmarkEnd w:id="121"/>
            <w:bookmarkEnd w:id="122"/>
            <w:r>
              <w:rPr>
                <w:rFonts w:ascii="Times New Roman;Times;Serif" w:hAnsi="Times New Roman;Times;Serif"/>
              </w:rPr>
              <w:t>2,030,503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3" w:name="hla_005"/>
      <w:bookmarkEnd w:id="123"/>
      <w:r>
        <w:rPr>
          <w:rFonts w:ascii="Times New Roman;Times;Serif" w:hAnsi="Times New Roman;Times;Serif"/>
          <w:b/>
          <w:i w:val="false"/>
          <w:caps w:val="false"/>
          <w:smallCaps w:val="false"/>
          <w:sz w:val="20"/>
        </w:rPr>
        <w:t>CONDENSED STATEMENTS OF CHANGES IN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September 30, 2023 and 2022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4" w:name="xdx_302_114_pn3n3_z7GteBgnUEvl"/>
      <w:bookmarkStart w:id="125" w:name="xdx_302_114_pn3n3_z7GteBgnUEvl"/>
      <w:bookmarkEnd w:id="125"/>
    </w:p>
    <w:tbl>
      <w:tblPr>
        <w:tblW w:w="10205" w:type="dxa"/>
        <w:jc w:val="left"/>
        <w:tblInd w:w="0" w:type="dxa"/>
        <w:tblLayout w:type="fixed"/>
        <w:tblCellMar>
          <w:top w:w="0" w:type="dxa"/>
          <w:left w:w="0" w:type="dxa"/>
          <w:bottom w:w="0" w:type="dxa"/>
          <w:right w:w="0" w:type="dxa"/>
        </w:tblCellMar>
      </w:tblPr>
      <w:tblGrid>
        <w:gridCol w:w="2190"/>
        <w:gridCol w:w="60"/>
        <w:gridCol w:w="60"/>
        <w:gridCol w:w="980"/>
        <w:gridCol w:w="60"/>
        <w:gridCol w:w="60"/>
        <w:gridCol w:w="156"/>
        <w:gridCol w:w="644"/>
        <w:gridCol w:w="60"/>
        <w:gridCol w:w="60"/>
        <w:gridCol w:w="62"/>
        <w:gridCol w:w="588"/>
        <w:gridCol w:w="60"/>
        <w:gridCol w:w="60"/>
        <w:gridCol w:w="280"/>
        <w:gridCol w:w="520"/>
        <w:gridCol w:w="60"/>
        <w:gridCol w:w="60"/>
        <w:gridCol w:w="152"/>
        <w:gridCol w:w="873"/>
        <w:gridCol w:w="60"/>
        <w:gridCol w:w="60"/>
        <w:gridCol w:w="176"/>
        <w:gridCol w:w="1104"/>
        <w:gridCol w:w="95"/>
        <w:gridCol w:w="60"/>
        <w:gridCol w:w="140"/>
        <w:gridCol w:w="1355"/>
        <w:gridCol w:w="110"/>
      </w:tblGrid>
      <w:tr>
        <w:trPr/>
        <w:tc>
          <w:tcPr>
            <w:tcW w:w="2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 w:name="xdx_4BA_us-gaap--StatementEquityComponen"/>
            <w:bookmarkEnd w:id="126"/>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 w:name="xdx_4B3_us-gaap--StatementEquityComponen"/>
            <w:bookmarkEnd w:id="127"/>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 w:name="xdx_4B1_us-gaap--StatementEquityComponen"/>
            <w:bookmarkEnd w:id="128"/>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5_us-gaap--StatementEquityComponen"/>
            <w:bookmarkEnd w:id="129"/>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 w:name="xdx_4B6_zpVZlCn1H8Rc"/>
            <w:bookmarkEnd w:id="130"/>
          </w:p>
        </w:tc>
        <w:tc>
          <w:tcPr>
            <w:tcW w:w="14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Deficit</w:t>
            </w:r>
          </w:p>
        </w:tc>
        <w:tc>
          <w:tcPr>
            <w:tcW w:w="110" w:type="dxa"/>
            <w:tcBorders/>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jc w:val="center"/>
              <w:rPr>
                <w:rFonts w:ascii="Times New Roman;Times;Serif" w:hAnsi="Times New Roman;Times;Serif"/>
              </w:rPr>
            </w:pPr>
            <w:r>
              <w:rPr>
                <w:rFonts w:ascii="Times New Roman;Times;Serif" w:hAnsi="Times New Roman;Times;Serif"/>
              </w:rPr>
              <w:t>Additional</w:t>
            </w:r>
          </w:p>
          <w:p>
            <w:pPr>
              <w:pStyle w:val="TableContents"/>
              <w:bidi w:val="0"/>
              <w:spacing w:before="0" w:after="283"/>
              <w:jc w:val="center"/>
              <w:rPr>
                <w:rFonts w:ascii="Times New Roman;Times;Serif" w:hAnsi="Times New Roman;Times;Serif"/>
              </w:rPr>
            </w:pPr>
            <w:r>
              <w:rPr>
                <w:rFonts w:ascii="Times New Roman;Times;Serif" w:hAnsi="Times New Roman;Times;Serif"/>
              </w:rPr>
              <w:t>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br/>
              <w:t>Stockholders’</w:t>
            </w:r>
          </w:p>
        </w:tc>
        <w:tc>
          <w:tcPr>
            <w:tcW w:w="110" w:type="dxa"/>
            <w:tcBorders/>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Deficit</w:t>
            </w:r>
          </w:p>
        </w:tc>
        <w:tc>
          <w:tcPr>
            <w:tcW w:w="110" w:type="dxa"/>
            <w:tcBorders/>
            <w:vAlign w:val="center"/>
          </w:tcPr>
          <w:p>
            <w:pPr>
              <w:pStyle w:val="TableContents"/>
              <w:bidi w:val="0"/>
              <w:spacing w:before="0" w:after="283"/>
              <w:jc w:val="left"/>
              <w:rPr/>
            </w:pPr>
            <w:r>
              <w:rPr/>
              <w:t> </w:t>
            </w:r>
            <w:bookmarkStart w:id="131" w:name="xdx_434_c20230701__20230930_eus-gaap--St"/>
            <w:bookmarkEnd w:id="131"/>
          </w:p>
        </w:tc>
      </w:tr>
      <w:tr>
        <w:trPr/>
        <w:tc>
          <w:tcPr>
            <w:tcW w:w="21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2" w:name="xdx_98C_eus-gaap--SharesOutstanding_iS_p"/>
            <w:bookmarkEnd w:id="13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4,169,131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4"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33" w:name="xdx_98C_eus-gaap--SharesOutstanding_iS_p"/>
            <w:bookmarkEnd w:id="133"/>
          </w:p>
        </w:tc>
        <w:tc>
          <w:tcPr>
            <w:tcW w:w="5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55" w:type="dxa"/>
            <w:tcBorders/>
            <w:shd w:fill="CCEEFF" w:val="clear"/>
            <w:vAlign w:val="center"/>
          </w:tcPr>
          <w:p>
            <w:pPr>
              <w:pStyle w:val="TableContents"/>
              <w:bidi w:val="0"/>
              <w:spacing w:before="0" w:after="283"/>
              <w:jc w:val="right"/>
              <w:rPr/>
            </w:pPr>
            <w:r>
              <w:rPr/>
              <w:t>          </w:t>
            </w:r>
            <w:r>
              <w:rPr>
                <w:rFonts w:ascii="Times New Roman;Times;Serif" w:hAnsi="Times New Roman;Times;Serif"/>
              </w:rPr>
              <w:t>(11,463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4" w:name="xdx_400_ecustom--AdjustmentsToAdditional"/>
            <w:bookmarkEnd w:id="134"/>
          </w:p>
        </w:tc>
      </w:tr>
      <w:tr>
        <w:trPr/>
        <w:tc>
          <w:tcPr>
            <w:tcW w:w="2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w:t>
            </w:r>
          </w:p>
        </w:tc>
        <w:tc>
          <w:tcPr>
            <w:tcW w:w="110" w:type="dxa"/>
            <w:tcBorders/>
            <w:shd w:fill="FFFFFF" w:val="clear"/>
            <w:vAlign w:val="center"/>
          </w:tcPr>
          <w:p>
            <w:pPr>
              <w:pStyle w:val="TableContents"/>
              <w:bidi w:val="0"/>
              <w:spacing w:before="0" w:after="283"/>
              <w:jc w:val="left"/>
              <w:rPr/>
            </w:pPr>
            <w:r>
              <w:rPr/>
              <w:t> </w:t>
            </w:r>
            <w:bookmarkStart w:id="135" w:name="xdx_40C_eus-gaap--NetIncomeLoss_zlITksRd"/>
            <w:bookmarkEnd w:id="135"/>
          </w:p>
        </w:tc>
      </w:tr>
      <w:tr>
        <w:trPr/>
        <w:tc>
          <w:tcPr>
            <w:tcW w:w="2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6" w:name="xdx_43E_c20230701__20230930_eus-gaap--St"/>
            <w:bookmarkEnd w:id="136"/>
          </w:p>
        </w:tc>
      </w:tr>
      <w:tr>
        <w:trPr/>
        <w:tc>
          <w:tcPr>
            <w:tcW w:w="21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7" w:name="xdx_985_eus-gaap--SharesOutstanding_iE_p"/>
            <w:bookmarkEnd w:id="137"/>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4,169,131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8" w:name="xdx_98C_eus-gaap--SharesOutstanding_iE_p"/>
            <w:bookmarkEnd w:id="138"/>
          </w:p>
        </w:tc>
        <w:tc>
          <w:tcPr>
            <w:tcW w:w="5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(132,131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(12,760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6"/>
        <w:gridCol w:w="60"/>
        <w:gridCol w:w="60"/>
        <w:gridCol w:w="980"/>
        <w:gridCol w:w="95"/>
        <w:gridCol w:w="60"/>
        <w:gridCol w:w="156"/>
        <w:gridCol w:w="644"/>
        <w:gridCol w:w="60"/>
        <w:gridCol w:w="60"/>
        <w:gridCol w:w="78"/>
        <w:gridCol w:w="599"/>
        <w:gridCol w:w="63"/>
        <w:gridCol w:w="63"/>
        <w:gridCol w:w="280"/>
        <w:gridCol w:w="520"/>
        <w:gridCol w:w="60"/>
        <w:gridCol w:w="60"/>
        <w:gridCol w:w="152"/>
        <w:gridCol w:w="873"/>
        <w:gridCol w:w="95"/>
        <w:gridCol w:w="60"/>
        <w:gridCol w:w="176"/>
        <w:gridCol w:w="1104"/>
        <w:gridCol w:w="95"/>
        <w:gridCol w:w="60"/>
        <w:gridCol w:w="140"/>
        <w:gridCol w:w="1295"/>
        <w:gridCol w:w="111"/>
      </w:tblGrid>
      <w:tr>
        <w:trPr/>
        <w:tc>
          <w:tcPr>
            <w:tcW w:w="21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jc w:val="center"/>
              <w:rPr>
                <w:rFonts w:ascii="Times New Roman;Times;Serif" w:hAnsi="Times New Roman;Times;Serif"/>
              </w:rPr>
            </w:pPr>
            <w:r>
              <w:rPr>
                <w:rFonts w:ascii="Times New Roman;Times;Serif" w:hAnsi="Times New Roman;Times;Serif"/>
              </w:rPr>
              <w:t>Additional</w:t>
            </w:r>
          </w:p>
          <w:p>
            <w:pPr>
              <w:pStyle w:val="TableContents"/>
              <w:bidi w:val="0"/>
              <w:spacing w:before="0" w:after="283"/>
              <w:jc w:val="center"/>
              <w:rPr>
                <w:rFonts w:ascii="Times New Roman;Times;Serif" w:hAnsi="Times New Roman;Times;Serif"/>
              </w:rPr>
            </w:pPr>
            <w:r>
              <w:rPr>
                <w:rFonts w:ascii="Times New Roman;Times;Serif" w:hAnsi="Times New Roman;Times;Serif"/>
              </w:rPr>
              <w:t>Paid 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jc w:val="center"/>
              <w:rPr>
                <w:rFonts w:ascii="Times New Roman;Times;Serif" w:hAnsi="Times New Roman;Times;Serif"/>
              </w:rPr>
            </w:pPr>
            <w:r>
              <w:rPr>
                <w:rFonts w:ascii="Times New Roman;Times;Serif" w:hAnsi="Times New Roman;Times;Serif"/>
              </w:rPr>
              <w:t>Total</w:t>
            </w:r>
          </w:p>
          <w:p>
            <w:pPr>
              <w:pStyle w:val="TableContents"/>
              <w:bidi w:val="0"/>
              <w:spacing w:before="0" w:after="283"/>
              <w:jc w:val="center"/>
              <w:rPr>
                <w:rFonts w:ascii="Times New Roman;Times;Serif" w:hAnsi="Times New Roman;Times;Serif"/>
              </w:rPr>
            </w:pPr>
            <w:r>
              <w:rPr>
                <w:rFonts w:ascii="Times New Roman;Times;Serif" w:hAnsi="Times New Roman;Times;Serif"/>
              </w:rPr>
              <w:t>Stockholders’</w:t>
            </w:r>
          </w:p>
        </w:tc>
        <w:tc>
          <w:tcPr>
            <w:tcW w:w="111" w:type="dxa"/>
            <w:tcBorders/>
            <w:vAlign w:val="center"/>
          </w:tcPr>
          <w:p>
            <w:pPr>
              <w:pStyle w:val="TableContents"/>
              <w:bidi w:val="0"/>
              <w:spacing w:before="0" w:after="283"/>
              <w:jc w:val="left"/>
              <w:rPr/>
            </w:pPr>
            <w:r>
              <w:rPr/>
              <w:t> </w:t>
            </w:r>
          </w:p>
        </w:tc>
      </w:tr>
      <w:tr>
        <w:trPr/>
        <w:tc>
          <w:tcPr>
            <w:tcW w:w="21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Deficit</w:t>
            </w:r>
          </w:p>
        </w:tc>
        <w:tc>
          <w:tcPr>
            <w:tcW w:w="111" w:type="dxa"/>
            <w:tcBorders/>
            <w:vAlign w:val="center"/>
          </w:tcPr>
          <w:p>
            <w:pPr>
              <w:pStyle w:val="TableContents"/>
              <w:bidi w:val="0"/>
              <w:spacing w:before="0" w:after="283"/>
              <w:jc w:val="left"/>
              <w:rPr/>
            </w:pPr>
            <w:r>
              <w:rPr/>
              <w:t> </w:t>
            </w:r>
            <w:bookmarkStart w:id="139" w:name="xdx_433_c20230101__20230930_eus-gaap--St"/>
            <w:bookmarkEnd w:id="139"/>
          </w:p>
        </w:tc>
      </w:tr>
      <w:tr>
        <w:trPr/>
        <w:tc>
          <w:tcPr>
            <w:tcW w:w="2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0" w:name="xdx_984_eus-gaap--SharesOutstanding_iS_p"/>
            <w:bookmarkEnd w:id="140"/>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2,519,485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4"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41" w:name="xdx_98B_eus-gaap--SharesOutstanding_iS_p"/>
            <w:bookmarkEnd w:id="141"/>
          </w:p>
        </w:tc>
        <w:tc>
          <w:tcPr>
            <w:tcW w:w="5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(123,199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pPr>
            <w:r>
              <w:rPr/>
              <w:t>           </w:t>
            </w:r>
            <w:r>
              <w:rPr>
                <w:rFonts w:ascii="Times New Roman;Times;Serif" w:hAnsi="Times New Roman;Times;Serif"/>
              </w:rPr>
              <w:t>(8,470</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2" w:name="xdx_40D_ecustom--AdjustmentsToAdditional"/>
            <w:bookmarkEnd w:id="142"/>
          </w:p>
        </w:tc>
      </w:tr>
      <w:tr>
        <w:trPr/>
        <w:tc>
          <w:tcPr>
            <w:tcW w:w="2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w:t>
            </w:r>
          </w:p>
        </w:tc>
        <w:tc>
          <w:tcPr>
            <w:tcW w:w="111" w:type="dxa"/>
            <w:tcBorders/>
            <w:shd w:fill="FFFFFF" w:val="clear"/>
            <w:vAlign w:val="center"/>
          </w:tcPr>
          <w:p>
            <w:pPr>
              <w:pStyle w:val="TableContents"/>
              <w:bidi w:val="0"/>
              <w:spacing w:before="0" w:after="283"/>
              <w:jc w:val="left"/>
              <w:rPr/>
            </w:pPr>
            <w:r>
              <w:rPr/>
              <w:t> </w:t>
            </w:r>
            <w:bookmarkStart w:id="143" w:name="xdx_40D_eus-gaap--StockIssuedDuringPerio"/>
            <w:bookmarkEnd w:id="143"/>
          </w:p>
        </w:tc>
      </w:tr>
      <w:tr>
        <w:trPr/>
        <w:tc>
          <w:tcPr>
            <w:tcW w:w="2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shares granted to officers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4" w:name="xdx_982_eus-gaap--StockIssuedDuringPerio"/>
            <w:bookmarkEnd w:id="144"/>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11" w:type="dxa"/>
            <w:tcBorders/>
            <w:shd w:fill="CCEEFF" w:val="clear"/>
            <w:vAlign w:val="center"/>
          </w:tcPr>
          <w:p>
            <w:pPr>
              <w:pStyle w:val="TableContents"/>
              <w:bidi w:val="0"/>
              <w:spacing w:before="0" w:after="283"/>
              <w:jc w:val="left"/>
              <w:rPr/>
            </w:pPr>
            <w:r>
              <w:rPr/>
              <w:t> </w:t>
            </w:r>
            <w:bookmarkStart w:id="145" w:name="xdx_40A_eus-gaap--StockRepurchasedDuring"/>
            <w:bookmarkEnd w:id="145"/>
          </w:p>
        </w:tc>
      </w:tr>
      <w:tr>
        <w:trPr/>
        <w:tc>
          <w:tcPr>
            <w:tcW w:w="2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6" w:name="xdx_986_eus-gaap--StockRepurchasedDuring"/>
            <w:bookmarkEnd w:id="146"/>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7" w:name="xdx_407_eus-gaap--StockIssuedDuringPerio"/>
            <w:bookmarkEnd w:id="147"/>
          </w:p>
        </w:tc>
      </w:tr>
      <w:tr>
        <w:trPr/>
        <w:tc>
          <w:tcPr>
            <w:tcW w:w="2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financing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8" w:name="xdx_988_eus-gaap--StockIssuedDuringPerio"/>
            <w:bookmarkEnd w:id="14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w:t>
            </w:r>
          </w:p>
        </w:tc>
        <w:tc>
          <w:tcPr>
            <w:tcW w:w="111" w:type="dxa"/>
            <w:tcBorders/>
            <w:shd w:fill="CCEEFF" w:val="clear"/>
            <w:vAlign w:val="center"/>
          </w:tcPr>
          <w:p>
            <w:pPr>
              <w:pStyle w:val="TableContents"/>
              <w:bidi w:val="0"/>
              <w:spacing w:before="0" w:after="283"/>
              <w:jc w:val="left"/>
              <w:rPr/>
            </w:pPr>
            <w:r>
              <w:rPr/>
              <w:t> </w:t>
            </w:r>
            <w:bookmarkStart w:id="149" w:name="xdx_403_eus-gaap--DividendsPreferredStoc"/>
            <w:bookmarkEnd w:id="149"/>
          </w:p>
        </w:tc>
      </w:tr>
      <w:tr>
        <w:trPr/>
        <w:tc>
          <w:tcPr>
            <w:tcW w:w="2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for 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0" w:name="xdx_98D_eus-gaap--PreferredStockDividend"/>
            <w:bookmarkEnd w:id="150"/>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1" w:name="xdx_405_eus-gaap--StockIssuedDuringPerio"/>
            <w:bookmarkEnd w:id="151"/>
          </w:p>
        </w:tc>
      </w:tr>
      <w:tr>
        <w:trPr/>
        <w:tc>
          <w:tcPr>
            <w:tcW w:w="2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cash,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2" w:name="xdx_987_eus-gaap--StockIssuedDuringPerio"/>
            <w:bookmarkEnd w:id="15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1,566,732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4,016</w:t>
            </w:r>
          </w:p>
        </w:tc>
        <w:tc>
          <w:tcPr>
            <w:tcW w:w="111" w:type="dxa"/>
            <w:tcBorders/>
            <w:shd w:fill="CCEEFF" w:val="clear"/>
            <w:vAlign w:val="center"/>
          </w:tcPr>
          <w:p>
            <w:pPr>
              <w:pStyle w:val="TableContents"/>
              <w:bidi w:val="0"/>
              <w:spacing w:before="0" w:after="283"/>
              <w:jc w:val="left"/>
              <w:rPr/>
            </w:pPr>
            <w:r>
              <w:rPr/>
              <w:t> </w:t>
            </w:r>
            <w:bookmarkStart w:id="153" w:name="xdx_40C_eus-gaap--NetIncomeLoss_z8i77JpN"/>
            <w:bookmarkEnd w:id="153"/>
          </w:p>
        </w:tc>
      </w:tr>
      <w:tr>
        <w:trPr/>
        <w:tc>
          <w:tcPr>
            <w:tcW w:w="2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(8,927</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4" w:name="xdx_437_c20230101__20230930_eus-gaap--St"/>
            <w:bookmarkEnd w:id="154"/>
          </w:p>
        </w:tc>
      </w:tr>
      <w:tr>
        <w:trPr/>
        <w:tc>
          <w:tcPr>
            <w:tcW w:w="2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5" w:name="xdx_982_eus-gaap--SharesOutstanding_iE_p"/>
            <w:bookmarkEnd w:id="155"/>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4,169,131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6" w:name="xdx_98A_eus-gaap--SharesOutstanding_iE_p"/>
            <w:bookmarkEnd w:id="156"/>
          </w:p>
        </w:tc>
        <w:tc>
          <w:tcPr>
            <w:tcW w:w="5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(132,131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(12,760</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2"/>
        <w:gridCol w:w="60"/>
        <w:gridCol w:w="60"/>
        <w:gridCol w:w="980"/>
        <w:gridCol w:w="95"/>
        <w:gridCol w:w="60"/>
        <w:gridCol w:w="140"/>
        <w:gridCol w:w="695"/>
        <w:gridCol w:w="60"/>
        <w:gridCol w:w="60"/>
        <w:gridCol w:w="78"/>
        <w:gridCol w:w="601"/>
        <w:gridCol w:w="63"/>
        <w:gridCol w:w="63"/>
        <w:gridCol w:w="280"/>
        <w:gridCol w:w="520"/>
        <w:gridCol w:w="60"/>
        <w:gridCol w:w="60"/>
        <w:gridCol w:w="152"/>
        <w:gridCol w:w="873"/>
        <w:gridCol w:w="60"/>
        <w:gridCol w:w="60"/>
        <w:gridCol w:w="176"/>
        <w:gridCol w:w="1104"/>
        <w:gridCol w:w="95"/>
        <w:gridCol w:w="60"/>
        <w:gridCol w:w="140"/>
        <w:gridCol w:w="1236"/>
        <w:gridCol w:w="112"/>
      </w:tblGrid>
      <w:tr>
        <w:trPr/>
        <w:tc>
          <w:tcPr>
            <w:tcW w:w="22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jc w:val="center"/>
              <w:rPr>
                <w:rFonts w:ascii="Times New Roman;Times;Serif" w:hAnsi="Times New Roman;Times;Serif"/>
              </w:rPr>
            </w:pPr>
            <w:r>
              <w:rPr>
                <w:rFonts w:ascii="Times New Roman;Times;Serif" w:hAnsi="Times New Roman;Times;Serif"/>
              </w:rPr>
              <w:t>Additional</w:t>
            </w:r>
          </w:p>
          <w:p>
            <w:pPr>
              <w:pStyle w:val="TableContents"/>
              <w:bidi w:val="0"/>
              <w:spacing w:before="0" w:after="283"/>
              <w:jc w:val="center"/>
              <w:rPr>
                <w:rFonts w:ascii="Times New Roman;Times;Serif" w:hAnsi="Times New Roman;Times;Serif"/>
              </w:rPr>
            </w:pPr>
            <w:r>
              <w:rPr>
                <w:rFonts w:ascii="Times New Roman;Times;Serif" w:hAnsi="Times New Roman;Times;Serif"/>
              </w:rPr>
              <w:t>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vAlign w:val="center"/>
          </w:tcPr>
          <w:p>
            <w:pPr>
              <w:pStyle w:val="TableContents"/>
              <w:bidi w:val="0"/>
              <w:jc w:val="center"/>
              <w:rPr>
                <w:rFonts w:ascii="Times New Roman;Times;Serif" w:hAnsi="Times New Roman;Times;Serif"/>
              </w:rPr>
            </w:pPr>
            <w:r>
              <w:rPr>
                <w:rFonts w:ascii="Times New Roman;Times;Serif" w:hAnsi="Times New Roman;Times;Serif"/>
              </w:rPr>
              <w:t>Total</w:t>
            </w:r>
          </w:p>
          <w:p>
            <w:pPr>
              <w:pStyle w:val="TableContents"/>
              <w:bidi w:val="0"/>
              <w:jc w:val="center"/>
              <w:rPr>
                <w:rFonts w:ascii="Times New Roman;Times;Serif" w:hAnsi="Times New Roman;Times;Serif"/>
              </w:rPr>
            </w:pPr>
            <w:r>
              <w:rPr>
                <w:rFonts w:ascii="Times New Roman;Times;Serif" w:hAnsi="Times New Roman;Times;Serif"/>
              </w:rPr>
              <w:t xml:space="preserve">Stockholders’ </w:t>
            </w:r>
          </w:p>
          <w:p>
            <w:pPr>
              <w:pStyle w:val="TableContents"/>
              <w:bidi w:val="0"/>
              <w:spacing w:before="0" w:after="283"/>
              <w:jc w:val="center"/>
              <w:rPr>
                <w:rFonts w:ascii="Times New Roman;Times;Serif" w:hAnsi="Times New Roman;Times;Serif"/>
              </w:rPr>
            </w:pPr>
            <w:r>
              <w:rPr>
                <w:rFonts w:ascii="Times New Roman;Times;Serif" w:hAnsi="Times New Roman;Times;Serif"/>
              </w:rPr>
              <w:t>Equity</w:t>
            </w:r>
          </w:p>
        </w:tc>
        <w:tc>
          <w:tcPr>
            <w:tcW w:w="112" w:type="dxa"/>
            <w:tcBorders/>
            <w:vAlign w:val="center"/>
          </w:tcPr>
          <w:p>
            <w:pPr>
              <w:pStyle w:val="TableContents"/>
              <w:bidi w:val="0"/>
              <w:spacing w:before="0" w:after="283"/>
              <w:jc w:val="left"/>
              <w:rPr/>
            </w:pPr>
            <w:r>
              <w:rPr/>
              <w:t> </w:t>
            </w:r>
          </w:p>
        </w:tc>
      </w:tr>
      <w:tr>
        <w:trPr/>
        <w:tc>
          <w:tcPr>
            <w:tcW w:w="22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(Deficit)</w:t>
            </w:r>
          </w:p>
        </w:tc>
        <w:tc>
          <w:tcPr>
            <w:tcW w:w="112" w:type="dxa"/>
            <w:tcBorders/>
            <w:vAlign w:val="center"/>
          </w:tcPr>
          <w:p>
            <w:pPr>
              <w:pStyle w:val="TableContents"/>
              <w:bidi w:val="0"/>
              <w:spacing w:before="0" w:after="283"/>
              <w:jc w:val="left"/>
              <w:rPr/>
            </w:pPr>
            <w:r>
              <w:rPr/>
              <w:t> </w:t>
            </w:r>
            <w:bookmarkStart w:id="157" w:name="xdx_431_c20220701__20220930_eus-gaap--St"/>
            <w:bookmarkEnd w:id="157"/>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30,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8" w:name="xdx_981_eus-gaap--SharesOutstanding_iS_p"/>
            <w:bookmarkEnd w:id="15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2,253,047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5"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59" w:name="xdx_985_eus-gaap--SharesOutstanding_iS_p"/>
            <w:bookmarkEnd w:id="159"/>
          </w:p>
        </w:tc>
        <w:tc>
          <w:tcPr>
            <w:tcW w:w="6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(113,199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6" w:type="dxa"/>
            <w:tcBorders/>
            <w:shd w:fill="CCEEFF" w:val="clear"/>
            <w:vAlign w:val="center"/>
          </w:tcPr>
          <w:p>
            <w:pPr>
              <w:pStyle w:val="TableContents"/>
              <w:bidi w:val="0"/>
              <w:spacing w:before="0" w:after="283"/>
              <w:jc w:val="right"/>
              <w:rPr/>
            </w:pPr>
            <w:r>
              <w:rPr/>
              <w:t>             </w:t>
            </w:r>
            <w:r>
              <w:rPr>
                <w:rFonts w:ascii="Times New Roman;Times;Serif" w:hAnsi="Times New Roman;Times;Serif"/>
              </w:rPr>
              <w:t>(419</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0" w:name="xdx_400_ecustom--AdjustmentsToAdditional"/>
            <w:bookmarkEnd w:id="160"/>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w:t>
            </w:r>
          </w:p>
        </w:tc>
        <w:tc>
          <w:tcPr>
            <w:tcW w:w="112" w:type="dxa"/>
            <w:tcBorders/>
            <w:shd w:fill="FFFFFF" w:val="clear"/>
            <w:vAlign w:val="center"/>
          </w:tcPr>
          <w:p>
            <w:pPr>
              <w:pStyle w:val="TableContents"/>
              <w:bidi w:val="0"/>
              <w:spacing w:before="0" w:after="283"/>
              <w:jc w:val="left"/>
              <w:rPr/>
            </w:pPr>
            <w:r>
              <w:rPr/>
              <w:t> </w:t>
            </w:r>
            <w:bookmarkStart w:id="161" w:name="xdx_40C_eus-gaap--StockIssuedDuringPerio"/>
            <w:bookmarkEnd w:id="161"/>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shares granted to officers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2" w:name="xdx_98C_eus-gaap--StockIssuedDuringPerio"/>
            <w:bookmarkEnd w:id="16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112" w:type="dxa"/>
            <w:tcBorders/>
            <w:shd w:fill="CCEEFF" w:val="clear"/>
            <w:vAlign w:val="center"/>
          </w:tcPr>
          <w:p>
            <w:pPr>
              <w:pStyle w:val="TableContents"/>
              <w:bidi w:val="0"/>
              <w:spacing w:before="0" w:after="283"/>
              <w:jc w:val="left"/>
              <w:rPr/>
            </w:pPr>
            <w:r>
              <w:rPr/>
              <w:t> </w:t>
            </w:r>
            <w:bookmarkStart w:id="163" w:name="xdx_403_eus-gaap--DividendsPreferredStoc"/>
            <w:bookmarkEnd w:id="163"/>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for 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 w:name="xdx_982_eus-gaap--PreferredStockDividend"/>
            <w:bookmarkEnd w:id="16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165" w:name="xdx_400_eus-gaap--StockIssuedDuringPerio"/>
            <w:bookmarkEnd w:id="165"/>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cash,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5_eus-gaap--StockIssuedDuringPerio"/>
            <w:bookmarkEnd w:id="16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67" w:name="xdx_400_eus-gaap--NetIncomeLoss_zXsfY7Sb"/>
            <w:bookmarkEnd w:id="167"/>
          </w:p>
        </w:tc>
      </w:tr>
      <w:tr>
        <w:trPr/>
        <w:tc>
          <w:tcPr>
            <w:tcW w:w="22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(3,231</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8" w:name="xdx_43A_c20220701__20220930_eus-gaap--St"/>
            <w:bookmarkEnd w:id="168"/>
          </w:p>
        </w:tc>
      </w:tr>
      <w:tr>
        <w:trPr/>
        <w:tc>
          <w:tcPr>
            <w:tcW w:w="220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September 30,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9" w:name="xdx_981_eus-gaap--SharesOutstanding_iE_p"/>
            <w:bookmarkEnd w:id="169"/>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2,255,055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0" w:name="xdx_982_eus-gaap--SharesOutstanding_iE_p"/>
            <w:bookmarkEnd w:id="170"/>
          </w:p>
        </w:tc>
        <w:tc>
          <w:tcPr>
            <w:tcW w:w="6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(116,430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1"/>
        <w:gridCol w:w="60"/>
        <w:gridCol w:w="60"/>
        <w:gridCol w:w="980"/>
        <w:gridCol w:w="95"/>
        <w:gridCol w:w="60"/>
        <w:gridCol w:w="156"/>
        <w:gridCol w:w="644"/>
        <w:gridCol w:w="60"/>
        <w:gridCol w:w="60"/>
        <w:gridCol w:w="78"/>
        <w:gridCol w:w="602"/>
        <w:gridCol w:w="63"/>
        <w:gridCol w:w="63"/>
        <w:gridCol w:w="280"/>
        <w:gridCol w:w="520"/>
        <w:gridCol w:w="60"/>
        <w:gridCol w:w="60"/>
        <w:gridCol w:w="152"/>
        <w:gridCol w:w="873"/>
        <w:gridCol w:w="95"/>
        <w:gridCol w:w="60"/>
        <w:gridCol w:w="176"/>
        <w:gridCol w:w="1104"/>
        <w:gridCol w:w="95"/>
        <w:gridCol w:w="60"/>
        <w:gridCol w:w="198"/>
        <w:gridCol w:w="1137"/>
        <w:gridCol w:w="113"/>
      </w:tblGrid>
      <w:tr>
        <w:trPr/>
        <w:tc>
          <w:tcPr>
            <w:tcW w:w="22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Additional</w:t>
              <w:br/>
              <w:t>Paid 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br/>
              <w:t xml:space="preserve">Stockholders’ </w:t>
              <w:br/>
              <w:t>Equity</w:t>
            </w:r>
          </w:p>
        </w:tc>
        <w:tc>
          <w:tcPr>
            <w:tcW w:w="113" w:type="dxa"/>
            <w:tcBorders/>
            <w:vAlign w:val="center"/>
          </w:tcPr>
          <w:p>
            <w:pPr>
              <w:pStyle w:val="TableContents"/>
              <w:bidi w:val="0"/>
              <w:spacing w:before="0" w:after="283"/>
              <w:jc w:val="left"/>
              <w:rPr/>
            </w:pPr>
            <w:r>
              <w:rPr/>
              <w:t> </w:t>
            </w:r>
          </w:p>
        </w:tc>
      </w:tr>
      <w:tr>
        <w:trPr/>
        <w:tc>
          <w:tcPr>
            <w:tcW w:w="22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(Deficit)</w:t>
            </w:r>
          </w:p>
        </w:tc>
        <w:tc>
          <w:tcPr>
            <w:tcW w:w="113" w:type="dxa"/>
            <w:tcBorders/>
            <w:vAlign w:val="center"/>
          </w:tcPr>
          <w:p>
            <w:pPr>
              <w:pStyle w:val="TableContents"/>
              <w:bidi w:val="0"/>
              <w:spacing w:before="0" w:after="283"/>
              <w:jc w:val="left"/>
              <w:rPr/>
            </w:pPr>
            <w:r>
              <w:rPr/>
              <w:t> </w:t>
            </w:r>
            <w:bookmarkStart w:id="171" w:name="xdx_439_c20220101__20220930_eus-gaap--St"/>
            <w:bookmarkEnd w:id="171"/>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2" w:name="xdx_98E_eus-gaap--SharesOutstanding_iS_p"/>
            <w:bookmarkEnd w:id="17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4"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73" w:name="xdx_987_eus-gaap--SharesOutstanding_iS_p"/>
            <w:bookmarkEnd w:id="173"/>
          </w:p>
        </w:tc>
        <w:tc>
          <w:tcPr>
            <w:tcW w:w="6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7" w:type="dxa"/>
            <w:tcBorders/>
            <w:shd w:fill="CCEEFF" w:val="clear"/>
            <w:vAlign w:val="center"/>
          </w:tcPr>
          <w:p>
            <w:pPr>
              <w:pStyle w:val="TableContents"/>
              <w:bidi w:val="0"/>
              <w:spacing w:before="0" w:after="283"/>
              <w:jc w:val="right"/>
              <w:rPr/>
            </w:pPr>
            <w:r>
              <w:rPr/>
              <w:t>    </w:t>
            </w:r>
            <w:r>
              <w:rPr>
                <w:rFonts w:ascii="Times New Roman;Times;Serif" w:hAnsi="Times New Roman;Times;Serif"/>
              </w:rPr>
              <w:t>4,203</w:t>
            </w:r>
          </w:p>
        </w:tc>
        <w:tc>
          <w:tcPr>
            <w:tcW w:w="113" w:type="dxa"/>
            <w:tcBorders/>
            <w:shd w:fill="CCEEFF" w:val="clear"/>
            <w:vAlign w:val="center"/>
          </w:tcPr>
          <w:p>
            <w:pPr>
              <w:pStyle w:val="TableContents"/>
              <w:bidi w:val="0"/>
              <w:spacing w:before="0" w:after="283"/>
              <w:jc w:val="left"/>
              <w:rPr/>
            </w:pPr>
            <w:r>
              <w:rPr/>
              <w:t> </w:t>
            </w:r>
            <w:bookmarkStart w:id="174" w:name="xdx_43D_c20220101__20220930_eus-gaap--St"/>
            <w:bookmarkEnd w:id="174"/>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 w:name="xdx_984_eus-gaap--SharesOutstanding_iS_p"/>
            <w:bookmarkEnd w:id="175"/>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4"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76" w:name="xdx_985_eus-gaap--SharesOutstanding_iS_p"/>
            <w:bookmarkEnd w:id="176"/>
          </w:p>
        </w:tc>
        <w:tc>
          <w:tcPr>
            <w:tcW w:w="6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7" w:type="dxa"/>
            <w:tcBorders/>
            <w:shd w:fill="CCEEFF" w:val="clear"/>
            <w:vAlign w:val="center"/>
          </w:tcPr>
          <w:p>
            <w:pPr>
              <w:pStyle w:val="TableContents"/>
              <w:bidi w:val="0"/>
              <w:spacing w:before="0" w:after="283"/>
              <w:jc w:val="right"/>
              <w:rPr/>
            </w:pPr>
            <w:r>
              <w:rPr/>
              <w:t>    </w:t>
            </w:r>
            <w:r>
              <w:rPr>
                <w:rFonts w:ascii="Times New Roman;Times;Serif" w:hAnsi="Times New Roman;Times;Serif"/>
              </w:rPr>
              <w:t>4,203</w:t>
            </w:r>
          </w:p>
        </w:tc>
        <w:tc>
          <w:tcPr>
            <w:tcW w:w="113" w:type="dxa"/>
            <w:tcBorders/>
            <w:shd w:fill="CCEEFF" w:val="clear"/>
            <w:vAlign w:val="center"/>
          </w:tcPr>
          <w:p>
            <w:pPr>
              <w:pStyle w:val="TableContents"/>
              <w:bidi w:val="0"/>
              <w:spacing w:before="0" w:after="283"/>
              <w:jc w:val="left"/>
              <w:rPr/>
            </w:pPr>
            <w:r>
              <w:rPr/>
              <w:t> </w:t>
            </w:r>
          </w:p>
        </w:tc>
      </w:tr>
      <w:tr>
        <w:trPr/>
        <w:tc>
          <w:tcPr>
            <w:tcW w:w="2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77" w:name="xdx_40D_ecustom--AdjustmentsToAdditional"/>
            <w:bookmarkEnd w:id="177"/>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w:t>
            </w:r>
          </w:p>
        </w:tc>
        <w:tc>
          <w:tcPr>
            <w:tcW w:w="113" w:type="dxa"/>
            <w:tcBorders/>
            <w:shd w:fill="CCEEFF" w:val="clear"/>
            <w:vAlign w:val="center"/>
          </w:tcPr>
          <w:p>
            <w:pPr>
              <w:pStyle w:val="TableContents"/>
              <w:bidi w:val="0"/>
              <w:spacing w:before="0" w:after="283"/>
              <w:jc w:val="left"/>
              <w:rPr/>
            </w:pPr>
            <w:r>
              <w:rPr/>
              <w:t> </w:t>
            </w:r>
            <w:bookmarkStart w:id="178" w:name="xdx_40D_eus-gaap--StockIssuedDuringPerio"/>
            <w:bookmarkEnd w:id="178"/>
          </w:p>
        </w:tc>
      </w:tr>
      <w:tr>
        <w:trPr/>
        <w:tc>
          <w:tcPr>
            <w:tcW w:w="22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shares granted to officers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 w:name="xdx_981_eus-gaap--StockIssuedDuringPerio"/>
            <w:bookmarkEnd w:id="179"/>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w:t>
            </w:r>
          </w:p>
        </w:tc>
        <w:tc>
          <w:tcPr>
            <w:tcW w:w="113" w:type="dxa"/>
            <w:tcBorders/>
            <w:shd w:fill="FFFFFF" w:val="clear"/>
            <w:vAlign w:val="center"/>
          </w:tcPr>
          <w:p>
            <w:pPr>
              <w:pStyle w:val="TableContents"/>
              <w:bidi w:val="0"/>
              <w:spacing w:before="0" w:after="283"/>
              <w:jc w:val="left"/>
              <w:rPr/>
            </w:pPr>
            <w:r>
              <w:rPr/>
              <w:t> </w:t>
            </w:r>
            <w:bookmarkStart w:id="180" w:name="xdx_403_eus-gaap--DividendsPreferredStoc"/>
            <w:bookmarkEnd w:id="180"/>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for dividends on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 w:name="xdx_98D_eus-gaap--PreferredStockDividend"/>
            <w:bookmarkEnd w:id="181"/>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2" w:name="xdx_40A_eus-gaap--StockRepurchasedDuring"/>
            <w:bookmarkEnd w:id="182"/>
          </w:p>
        </w:tc>
      </w:tr>
      <w:tr>
        <w:trPr/>
        <w:tc>
          <w:tcPr>
            <w:tcW w:w="22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3" w:name="xdx_987_eus-gaap--StockRepurchasedDuring"/>
            <w:bookmarkEnd w:id="183"/>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4" w:name="xdx_407_eus-gaap--StockIssuedDuringPerio"/>
            <w:bookmarkEnd w:id="184"/>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financing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5" w:name="xdx_98E_eus-gaap--StockIssuedDuringPerio"/>
            <w:bookmarkEnd w:id="185"/>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13" w:type="dxa"/>
            <w:tcBorders/>
            <w:shd w:fill="CCEEFF" w:val="clear"/>
            <w:vAlign w:val="center"/>
          </w:tcPr>
          <w:p>
            <w:pPr>
              <w:pStyle w:val="TableContents"/>
              <w:bidi w:val="0"/>
              <w:spacing w:before="0" w:after="283"/>
              <w:jc w:val="left"/>
              <w:rPr/>
            </w:pPr>
            <w:r>
              <w:rPr/>
              <w:t> </w:t>
            </w:r>
            <w:bookmarkStart w:id="186" w:name="xdx_400_eus-gaap--StockIssuedDuringPerio"/>
            <w:bookmarkEnd w:id="186"/>
          </w:p>
        </w:tc>
      </w:tr>
      <w:tr>
        <w:trPr/>
        <w:tc>
          <w:tcPr>
            <w:tcW w:w="22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cash, net of 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7" w:name="xdx_98A_eus-gaap--StockIssuedDuringPerio"/>
            <w:bookmarkEnd w:id="187"/>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5,034</w:t>
            </w:r>
          </w:p>
        </w:tc>
        <w:tc>
          <w:tcPr>
            <w:tcW w:w="113" w:type="dxa"/>
            <w:tcBorders/>
            <w:shd w:fill="FFFFFF" w:val="clear"/>
            <w:vAlign w:val="center"/>
          </w:tcPr>
          <w:p>
            <w:pPr>
              <w:pStyle w:val="TableContents"/>
              <w:bidi w:val="0"/>
              <w:spacing w:before="0" w:after="283"/>
              <w:jc w:val="left"/>
              <w:rPr/>
            </w:pPr>
            <w:r>
              <w:rPr/>
              <w:t> </w:t>
            </w:r>
            <w:bookmarkStart w:id="188" w:name="xdx_400_eus-gaap--NetIncomeLoss_zfWxthJi"/>
            <w:bookmarkEnd w:id="188"/>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(13,288</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9" w:name="xdx_43A_c20220101__20220930_eus-gaap--St"/>
            <w:bookmarkEnd w:id="189"/>
          </w:p>
        </w:tc>
      </w:tr>
      <w:tr>
        <w:trPr/>
        <w:tc>
          <w:tcPr>
            <w:tcW w:w="224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September 30, 2022</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0" w:name="xdx_987_eus-gaap--SharesOutstanding_iE_p"/>
            <w:bookmarkEnd w:id="190"/>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2,255,055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1" w:name="xdx_98A_eus-gaap--SharesOutstanding_iE_p"/>
            <w:bookmarkEnd w:id="191"/>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(3,436</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2" w:name="xdx_43A_c20220101__20220930_eus-gaap--St"/>
            <w:bookmarkEnd w:id="192"/>
          </w:p>
        </w:tc>
      </w:tr>
      <w:tr>
        <w:trPr/>
        <w:tc>
          <w:tcPr>
            <w:tcW w:w="224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3" w:name="xdx_984_eus-gaap--SharesOutstanding_iE_p"/>
            <w:bookmarkEnd w:id="19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2,255,055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4" w:name="xdx_980_eus-gaap--SharesOutstanding_iE_p"/>
            <w:bookmarkEnd w:id="194"/>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9,411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(3,436</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4"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5" w:name="hla_006"/>
      <w:bookmarkEnd w:id="195"/>
      <w:r>
        <w:rPr>
          <w:rFonts w:ascii="Times New Roman;Times;Serif" w:hAnsi="Times New Roman;Times;Serif"/>
          <w:b/>
          <w:i w:val="false"/>
          <w:caps w:val="false"/>
          <w:smallCaps w:val="false"/>
          <w:sz w:val="20"/>
        </w:rPr>
        <w:t>CONDENSED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 September 30, 2023 and 2022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6" w:name="xdx_30E_112_pn3n3_zvkg5s1Tovqa"/>
      <w:bookmarkStart w:id="197" w:name="xdx_30E_112_pn3n3_zvkg5s1Tovqa"/>
      <w:bookmarkEnd w:id="197"/>
    </w:p>
    <w:tbl>
      <w:tblPr>
        <w:tblW w:w="10148" w:type="dxa"/>
        <w:jc w:val="left"/>
        <w:tblInd w:w="0" w:type="dxa"/>
        <w:tblLayout w:type="fixed"/>
        <w:tblCellMar>
          <w:top w:w="0" w:type="dxa"/>
          <w:left w:w="0" w:type="dxa"/>
          <w:bottom w:w="0" w:type="dxa"/>
          <w:right w:w="0" w:type="dxa"/>
        </w:tblCellMar>
      </w:tblPr>
      <w:tblGrid>
        <w:gridCol w:w="6875"/>
        <w:gridCol w:w="60"/>
        <w:gridCol w:w="230"/>
        <w:gridCol w:w="1244"/>
        <w:gridCol w:w="95"/>
        <w:gridCol w:w="60"/>
        <w:gridCol w:w="230"/>
        <w:gridCol w:w="1244"/>
        <w:gridCol w:w="110"/>
      </w:tblGrid>
      <w:tr>
        <w:trPr/>
        <w:tc>
          <w:tcPr>
            <w:tcW w:w="6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98" w:name="xdx_49E_20230101__20230930_zPHUYmWiNDf5"/>
            <w:bookmarkEnd w:id="198"/>
          </w:p>
        </w:tc>
        <w:tc>
          <w:tcPr>
            <w:tcW w:w="1474"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September 30,</w:t>
            </w:r>
          </w:p>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9" w:name="xdx_497_20220101__20220930_zDVmQ2uddfwe"/>
            <w:bookmarkEnd w:id="199"/>
          </w:p>
        </w:tc>
        <w:tc>
          <w:tcPr>
            <w:tcW w:w="1474"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September 30,</w:t>
            </w:r>
          </w:p>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110" w:type="dxa"/>
            <w:tcBorders/>
            <w:vAlign w:val="center"/>
          </w:tcPr>
          <w:p>
            <w:pPr>
              <w:pStyle w:val="TableContents"/>
              <w:bidi w:val="0"/>
              <w:spacing w:before="0" w:after="283"/>
              <w:jc w:val="left"/>
              <w:rPr/>
            </w:pPr>
            <w:r>
              <w:rPr/>
              <w:t> </w:t>
            </w:r>
            <w:bookmarkStart w:id="200" w:name="xdx_40C_eus-gaap--NetCashProvidedByUsedI"/>
            <w:bookmarkEnd w:id="200"/>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1" w:name="xdx_401_eus-gaap--NetIncomeLoss_i01_maNC"/>
            <w:bookmarkEnd w:id="201"/>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2" w:name="xdx_40C_eus-gaap--AdjustmentsToReconcile"/>
            <w:bookmarkEnd w:id="202"/>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3" w:name="xdx_405_eus-gaap--DepreciationDepletionA"/>
            <w:bookmarkEnd w:id="203"/>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c>
          <w:tcPr>
            <w:tcW w:w="110" w:type="dxa"/>
            <w:tcBorders/>
            <w:shd w:fill="FFFFFF" w:val="clear"/>
            <w:vAlign w:val="center"/>
          </w:tcPr>
          <w:p>
            <w:pPr>
              <w:pStyle w:val="TableContents"/>
              <w:bidi w:val="0"/>
              <w:spacing w:before="0" w:after="283"/>
              <w:jc w:val="left"/>
              <w:rPr/>
            </w:pPr>
            <w:r>
              <w:rPr/>
              <w:t> </w:t>
            </w:r>
            <w:bookmarkStart w:id="204" w:name="xdx_40E_eus-gaap--GainLossOnDispositionO"/>
            <w:bookmarkEnd w:id="204"/>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05" w:name="xdx_40E_eus-gaap--AmortizationOfDebtDisc"/>
            <w:bookmarkEnd w:id="205"/>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w:t>
            </w:r>
          </w:p>
        </w:tc>
        <w:tc>
          <w:tcPr>
            <w:tcW w:w="110" w:type="dxa"/>
            <w:tcBorders/>
            <w:shd w:fill="FFFFFF" w:val="clear"/>
            <w:vAlign w:val="center"/>
          </w:tcPr>
          <w:p>
            <w:pPr>
              <w:pStyle w:val="TableContents"/>
              <w:bidi w:val="0"/>
              <w:spacing w:before="0" w:after="283"/>
              <w:jc w:val="left"/>
              <w:rPr/>
            </w:pPr>
            <w:r>
              <w:rPr/>
              <w:t> </w:t>
            </w:r>
            <w:bookmarkStart w:id="206" w:name="xdx_40B_eus-gaap--AmortizationOfFinancin"/>
            <w:bookmarkEnd w:id="206"/>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prepaid financing costs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w:t>
            </w:r>
          </w:p>
        </w:tc>
        <w:tc>
          <w:tcPr>
            <w:tcW w:w="110" w:type="dxa"/>
            <w:tcBorders/>
            <w:shd w:fill="CCEEFF" w:val="clear"/>
            <w:vAlign w:val="center"/>
          </w:tcPr>
          <w:p>
            <w:pPr>
              <w:pStyle w:val="TableContents"/>
              <w:bidi w:val="0"/>
              <w:spacing w:before="0" w:after="283"/>
              <w:jc w:val="left"/>
              <w:rPr/>
            </w:pPr>
            <w:r>
              <w:rPr/>
              <w:t> </w:t>
            </w:r>
            <w:bookmarkStart w:id="207" w:name="xdx_40B_ecustom--FairValueOfVestedOption"/>
            <w:bookmarkEnd w:id="207"/>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options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w:t>
            </w:r>
          </w:p>
        </w:tc>
        <w:tc>
          <w:tcPr>
            <w:tcW w:w="110" w:type="dxa"/>
            <w:tcBorders/>
            <w:shd w:fill="FFFFFF" w:val="clear"/>
            <w:vAlign w:val="center"/>
          </w:tcPr>
          <w:p>
            <w:pPr>
              <w:pStyle w:val="TableContents"/>
              <w:bidi w:val="0"/>
              <w:spacing w:before="0" w:after="283"/>
              <w:jc w:val="left"/>
              <w:rPr/>
            </w:pPr>
            <w:r>
              <w:rPr/>
              <w:t> </w:t>
            </w:r>
            <w:bookmarkStart w:id="208" w:name="xdx_40F_ecustom--FairValueOfVestedRestri"/>
            <w:bookmarkEnd w:id="208"/>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shares granted to officers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w:t>
            </w:r>
          </w:p>
        </w:tc>
        <w:tc>
          <w:tcPr>
            <w:tcW w:w="110" w:type="dxa"/>
            <w:tcBorders/>
            <w:shd w:fill="CCEEFF" w:val="clear"/>
            <w:vAlign w:val="center"/>
          </w:tcPr>
          <w:p>
            <w:pPr>
              <w:pStyle w:val="TableContents"/>
              <w:bidi w:val="0"/>
              <w:spacing w:before="0" w:after="283"/>
              <w:jc w:val="left"/>
              <w:rPr/>
            </w:pPr>
            <w:r>
              <w:rPr/>
              <w:t> </w:t>
            </w:r>
            <w:bookmarkStart w:id="209" w:name="xdx_40E_ecustom--FairValueOfCommonShares"/>
            <w:bookmarkEnd w:id="209"/>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common shares issued as financing costs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10" w:type="dxa"/>
            <w:tcBorders/>
            <w:shd w:fill="FFFFFF" w:val="clear"/>
            <w:vAlign w:val="center"/>
          </w:tcPr>
          <w:p>
            <w:pPr>
              <w:pStyle w:val="TableContents"/>
              <w:bidi w:val="0"/>
              <w:spacing w:before="0" w:after="283"/>
              <w:jc w:val="left"/>
              <w:rPr/>
            </w:pPr>
            <w:r>
              <w:rPr/>
              <w:t> </w:t>
            </w:r>
            <w:bookmarkStart w:id="210" w:name="xdx_40A_eus-gaap--ProvisionForDoubtfulAc"/>
            <w:bookmarkEnd w:id="210"/>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allowance for doubtful accounts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1" w:name="xdx_409_eus-gaap--InventoryWriteDown_i02"/>
            <w:bookmarkEnd w:id="211"/>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 write-downs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110" w:type="dxa"/>
            <w:tcBorders/>
            <w:shd w:fill="FFFFFF" w:val="clear"/>
            <w:vAlign w:val="center"/>
          </w:tcPr>
          <w:p>
            <w:pPr>
              <w:pStyle w:val="TableContents"/>
              <w:bidi w:val="0"/>
              <w:spacing w:before="0" w:after="283"/>
              <w:jc w:val="left"/>
              <w:rPr/>
            </w:pPr>
            <w:r>
              <w:rPr/>
              <w:t> </w:t>
            </w:r>
            <w:bookmarkStart w:id="212" w:name="xdx_40A_ecustom--AccrualOfInterestOnConv"/>
            <w:bookmarkEnd w:id="212"/>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w:t>
            </w:r>
          </w:p>
        </w:tc>
        <w:tc>
          <w:tcPr>
            <w:tcW w:w="110" w:type="dxa"/>
            <w:tcBorders/>
            <w:shd w:fill="CCEEFF" w:val="clear"/>
            <w:vAlign w:val="center"/>
          </w:tcPr>
          <w:p>
            <w:pPr>
              <w:pStyle w:val="TableContents"/>
              <w:bidi w:val="0"/>
              <w:spacing w:before="0" w:after="283"/>
              <w:jc w:val="left"/>
              <w:rPr/>
            </w:pPr>
            <w:r>
              <w:rPr/>
              <w:t> </w:t>
            </w:r>
            <w:bookmarkStart w:id="213" w:name="xdx_400_eus-gaap--IncreaseDecreaseInOper"/>
            <w:bookmarkEnd w:id="213"/>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4" w:name="xdx_40F_eus-gaap--IncreaseDecreaseInAcco"/>
            <w:bookmarkEnd w:id="214"/>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5" w:name="xdx_40D_eus-gaap--IncreaseDecreaseInInve"/>
            <w:bookmarkEnd w:id="215"/>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6" w:name="xdx_40E_eus-gaap--IncreaseDecreaseInPrep"/>
            <w:bookmarkEnd w:id="216"/>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7" w:name="xdx_403_ecustom--IncreaseDecreaseInAmort"/>
            <w:bookmarkEnd w:id="217"/>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Decrease in right of use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w:t>
            </w:r>
          </w:p>
        </w:tc>
        <w:tc>
          <w:tcPr>
            <w:tcW w:w="110" w:type="dxa"/>
            <w:tcBorders/>
            <w:shd w:fill="FFFFFF" w:val="clear"/>
            <w:vAlign w:val="center"/>
          </w:tcPr>
          <w:p>
            <w:pPr>
              <w:pStyle w:val="TableContents"/>
              <w:bidi w:val="0"/>
              <w:spacing w:before="0" w:after="283"/>
              <w:jc w:val="left"/>
              <w:rPr/>
            </w:pPr>
            <w:r>
              <w:rPr/>
              <w:t> </w:t>
            </w:r>
            <w:bookmarkStart w:id="218" w:name="xdx_401_eus-gaap--IncreaseDecreaseInAcco"/>
            <w:bookmarkEnd w:id="218"/>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9" w:name="xdx_40D_eus-gaap--IncreaseDecreaseInAccr"/>
            <w:bookmarkEnd w:id="219"/>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0" w:name="xdx_408_ecustom--IncreaseDecreaseInAccru"/>
            <w:bookmarkEnd w:id="220"/>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dividend</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21" w:name="xdx_407_eus-gaap--IncreaseDecreaseInOper"/>
            <w:bookmarkEnd w:id="221"/>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2" w:name="xdx_409_eus-gaap--NetCashProvidedByUsedI"/>
            <w:bookmarkEnd w:id="222"/>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3" w:name="xdx_404_eus-gaap--NetCashProvidedByUsedI"/>
            <w:bookmarkEnd w:id="223"/>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4" w:name="xdx_407_eus-gaap--PaymentsToAcquireIntan"/>
            <w:bookmarkEnd w:id="224"/>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Trademark costs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5" w:name="xdx_40A_eus-gaap--PaymentsToAcquirePrope"/>
            <w:bookmarkEnd w:id="225"/>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6" w:name="xdx_40A_eus-gaap--ProceedsFromSaleOfProp"/>
            <w:bookmarkEnd w:id="226"/>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27" w:name="xdx_400_eus-gaap--NetCashProvidedByUsedI"/>
            <w:bookmarkEnd w:id="227"/>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8" w:name="xdx_402_eus-gaap--NetCashProvidedByUsedI"/>
            <w:bookmarkEnd w:id="228"/>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9" w:name="xdx_409_eus-gaap--ProceedsFromLinesOfCre"/>
            <w:bookmarkEnd w:id="229"/>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line of credit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40,576</w:t>
            </w:r>
          </w:p>
        </w:tc>
        <w:tc>
          <w:tcPr>
            <w:tcW w:w="110" w:type="dxa"/>
            <w:tcBorders/>
            <w:shd w:fill="FFFFFF" w:val="clear"/>
            <w:vAlign w:val="center"/>
          </w:tcPr>
          <w:p>
            <w:pPr>
              <w:pStyle w:val="TableContents"/>
              <w:bidi w:val="0"/>
              <w:spacing w:before="0" w:after="283"/>
              <w:jc w:val="left"/>
              <w:rPr/>
            </w:pPr>
            <w:r>
              <w:rPr/>
              <w:t> </w:t>
            </w:r>
            <w:bookmarkStart w:id="230" w:name="xdx_40C_eus-gaap--RepaymentsOfLinesOfCre"/>
            <w:bookmarkEnd w:id="230"/>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on line of credit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(34,085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(41,299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1" w:name="xdx_405_eus-gaap--PaymentsOfDebtIssuance"/>
            <w:bookmarkEnd w:id="231"/>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debt issuance costs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2" w:name="xdx_40F_eus-gaap--ProceedsFromIssuanceOf"/>
            <w:bookmarkEnd w:id="232"/>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common stock</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5,034</w:t>
            </w:r>
          </w:p>
        </w:tc>
        <w:tc>
          <w:tcPr>
            <w:tcW w:w="110" w:type="dxa"/>
            <w:tcBorders/>
            <w:shd w:fill="CCEEFF" w:val="clear"/>
            <w:vAlign w:val="center"/>
          </w:tcPr>
          <w:p>
            <w:pPr>
              <w:pStyle w:val="TableContents"/>
              <w:bidi w:val="0"/>
              <w:spacing w:before="0" w:after="283"/>
              <w:jc w:val="left"/>
              <w:rPr/>
            </w:pPr>
            <w:r>
              <w:rPr/>
              <w:t> </w:t>
            </w:r>
            <w:bookmarkStart w:id="233" w:name="xdx_409_eus-gaap--ProceedsFromConvertibl"/>
            <w:bookmarkEnd w:id="233"/>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convertible note payable, net of expenses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12,430</w:t>
            </w:r>
          </w:p>
        </w:tc>
        <w:tc>
          <w:tcPr>
            <w:tcW w:w="110" w:type="dxa"/>
            <w:tcBorders/>
            <w:shd w:fill="FFFFFF" w:val="clear"/>
            <w:vAlign w:val="center"/>
          </w:tcPr>
          <w:p>
            <w:pPr>
              <w:pStyle w:val="TableContents"/>
              <w:bidi w:val="0"/>
              <w:spacing w:before="0" w:after="283"/>
              <w:jc w:val="left"/>
              <w:rPr/>
            </w:pPr>
            <w:r>
              <w:rPr/>
              <w:t> </w:t>
            </w:r>
            <w:bookmarkStart w:id="234" w:name="xdx_403_eus-gaap--RepaymentsOfNotesPayab"/>
            <w:bookmarkEnd w:id="234"/>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convertible note payable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5" w:name="xdx_40F_eus-gaap--PaymentsForRepurchaseO"/>
            <w:bookmarkEnd w:id="235"/>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Repurchase of common stock</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6" w:name="xdx_407_eus-gaap--ProceedsFromRepayments"/>
            <w:bookmarkEnd w:id="236"/>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from former related party, net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w:t>
            </w:r>
          </w:p>
        </w:tc>
        <w:tc>
          <w:tcPr>
            <w:tcW w:w="110" w:type="dxa"/>
            <w:tcBorders/>
            <w:shd w:fill="CCEEFF" w:val="clear"/>
            <w:vAlign w:val="center"/>
          </w:tcPr>
          <w:p>
            <w:pPr>
              <w:pStyle w:val="TableContents"/>
              <w:bidi w:val="0"/>
              <w:spacing w:before="0" w:after="283"/>
              <w:jc w:val="left"/>
              <w:rPr/>
            </w:pPr>
            <w:r>
              <w:rPr/>
              <w:t> </w:t>
            </w:r>
            <w:bookmarkStart w:id="237" w:name="xdx_40E_eus-gaap--NetCashProvidedByUsedI"/>
            <w:bookmarkEnd w:id="237"/>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16,485</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8" w:name="xdx_40B_eus-gaap--CashCashEquivalentsRes"/>
            <w:bookmarkEnd w:id="238"/>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9" w:name="xdx_40A_eus-gaap--CashCashEquivalentsRes"/>
            <w:bookmarkEnd w:id="239"/>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beginning of period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110" w:type="dxa"/>
            <w:tcBorders/>
            <w:shd w:fill="CCEEFF" w:val="clear"/>
            <w:vAlign w:val="center"/>
          </w:tcPr>
          <w:p>
            <w:pPr>
              <w:pStyle w:val="TableContents"/>
              <w:bidi w:val="0"/>
              <w:spacing w:before="0" w:after="283"/>
              <w:jc w:val="left"/>
              <w:rPr/>
            </w:pPr>
            <w:r>
              <w:rPr/>
              <w:t> </w:t>
            </w:r>
            <w:bookmarkStart w:id="240" w:name="xdx_40A_eus-gaap--CashCashEquivalentsRes"/>
            <w:bookmarkEnd w:id="240"/>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end of period</w:t>
            </w:r>
          </w:p>
        </w:tc>
        <w:tc>
          <w:tcPr>
            <w:tcW w:w="60"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1" w:name="xdx_404_eus-gaap--SupplementalCashFlowIn"/>
            <w:bookmarkEnd w:id="241"/>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2" w:name="xdx_403_eus-gaap--InterestPaidNet_i01_z9"/>
            <w:bookmarkEnd w:id="242"/>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1,051</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3" w:name="xdx_403_eus-gaap--CashFlowNoncashInvesti"/>
            <w:bookmarkEnd w:id="243"/>
          </w:p>
        </w:tc>
      </w:tr>
      <w:tr>
        <w:trPr/>
        <w:tc>
          <w:tcPr>
            <w:tcW w:w="6875" w:type="dxa"/>
            <w:tcBorders/>
            <w:shd w:fill="CCEEFF" w:val="cle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 -cash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4" w:name="xdx_40B_ecustom--DividendsOnSeriesConver"/>
            <w:bookmarkEnd w:id="244"/>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5" w:name="hla_007"/>
      <w:bookmarkEnd w:id="245"/>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Nine Months Ended September 30, 2023 and 2022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6" w:name="xdx_803_eus-gaap--SignificantAccountingP"/>
      <w:bookmarkEnd w:id="246"/>
      <w:r>
        <w:rPr>
          <w:rFonts w:ascii="Times New Roman;Times;Serif" w:hAnsi="Times New Roman;Times;Serif"/>
          <w:b/>
          <w:i w:val="false"/>
          <w:caps w:val="false"/>
          <w:smallCaps w:val="false"/>
          <w:sz w:val="20"/>
        </w:rPr>
        <w:t xml:space="preserve">1. </w:t>
      </w:r>
      <w:bookmarkStart w:id="247" w:name="xdx_828_zzMWUpCx31of"/>
      <w:bookmarkEnd w:id="247"/>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8" w:name="xdx_869_zDfZ2e59O4t"/>
      <w:bookmarkStart w:id="249" w:name="xdx_84C_eus-gaap--BasisOfAccountingPolic"/>
      <w:bookmarkEnd w:id="248"/>
      <w:bookmarkEnd w:id="249"/>
      <w:r>
        <w:rPr>
          <w:rFonts w:ascii="Times New Roman;Times;Serif" w:hAnsi="Times New Roman;Times;Serif"/>
          <w:b/>
          <w:i w:val="false"/>
          <w:caps w:val="false"/>
          <w:smallCaps w:val="false"/>
          <w:sz w:val="20"/>
        </w:rPr>
        <w:t>Basis of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of Reed’s, Inc. (the “Company”, “we”, “us”, or “our”),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2022, filed with the SEC on May 15, 2023. The accompanying condensed financial statements are unaudited, but in the opinion of management contain all adjustments, including normal recurring adjustments, necessary to present fairly the Company’s financial position as of September 30, 2023, and the results of its operations and its cash flows for the nine months ended September 30, 2023 and 2022. The balance sheet as of December 31, 2022 is derived from the Company’s audited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nine months ended September 30, 2023 are not necessarily indicative of the results of operations to be expected for the full fiscal year ending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0" w:name="xdx_86F_zUrni7aMlzGi"/>
      <w:bookmarkStart w:id="251" w:name="xdx_841_ecustom--GoingConcernPoliciesTex"/>
      <w:bookmarkEnd w:id="250"/>
      <w:bookmarkEnd w:id="251"/>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a going concern basis, which contemplates the realization of assets and the settlement of liabilities and commitments in the normal course of business. As reflected in the accompanying financial statements, for the nine months ended September 30, 2023, the Company recorded a net loss of $</w:t>
      </w:r>
      <w:bookmarkStart w:id="252" w:name="xdx_903_eus-gaap--NetIncomeLoss_iN_pn3n3"/>
      <w:bookmarkEnd w:id="252"/>
      <w:r>
        <w:rPr>
          <w:rFonts w:ascii="Times New Roman;Times;Serif" w:hAnsi="Times New Roman;Times;Serif"/>
          <w:b w:val="false"/>
          <w:i w:val="false"/>
          <w:caps w:val="false"/>
          <w:smallCaps w:val="false"/>
          <w:sz w:val="20"/>
        </w:rPr>
        <w:t>8,927, and at September 30, 2023, had a stockholders’ deficit of $</w:t>
      </w:r>
      <w:bookmarkStart w:id="253" w:name="xdx_904_eus-gaap--StockholdersEquity_iNI"/>
      <w:bookmarkEnd w:id="253"/>
      <w:r>
        <w:rPr>
          <w:rFonts w:ascii="Times New Roman;Times;Serif" w:hAnsi="Times New Roman;Times;Serif"/>
          <w:b w:val="false"/>
          <w:i w:val="false"/>
          <w:caps w:val="false"/>
          <w:smallCaps w:val="false"/>
          <w:sz w:val="20"/>
        </w:rPr>
        <w:t>12,760. These factors raise substantial doubt about the Company’s ability to continue as a going concern within one year of the date that the financial statements are issued. In addition, the Company’s independent registered public accounting firm, in its report on the Company’s December 31, 2022, financial statements, raised substantial doubt about the Company’s ability to continue as a going concern. The financial statements do not include any adjustments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we had a cash balance of $</w:t>
      </w:r>
      <w:bookmarkStart w:id="254" w:name="xdx_907_eus-gaap--Cash_iI_pn3n3_c2023093"/>
      <w:bookmarkEnd w:id="254"/>
      <w:r>
        <w:rPr>
          <w:rFonts w:ascii="Times New Roman;Times;Serif" w:hAnsi="Times New Roman;Times;Serif"/>
          <w:b w:val="false"/>
          <w:i w:val="false"/>
          <w:caps w:val="false"/>
          <w:smallCaps w:val="false"/>
          <w:sz w:val="20"/>
        </w:rPr>
        <w:t>1,004, with $</w:t>
      </w:r>
      <w:bookmarkStart w:id="255" w:name="xdx_906_eus-gaap--LineOfCreditFacilityCu"/>
      <w:bookmarkEnd w:id="255"/>
      <w:r>
        <w:rPr>
          <w:rFonts w:ascii="Times New Roman;Times;Serif" w:hAnsi="Times New Roman;Times;Serif"/>
          <w:b w:val="false"/>
          <w:i w:val="false"/>
          <w:caps w:val="false"/>
          <w:smallCaps w:val="false"/>
          <w:sz w:val="20"/>
        </w:rPr>
        <w:t>14 of current availability on the line of credit, and $</w:t>
      </w:r>
      <w:bookmarkStart w:id="256" w:name="xdx_90F_eus-gaap--LineOfCreditFacilityMa"/>
      <w:bookmarkEnd w:id="256"/>
      <w:r>
        <w:rPr>
          <w:rFonts w:ascii="Times New Roman;Times;Serif" w:hAnsi="Times New Roman;Times;Serif"/>
          <w:b w:val="false"/>
          <w:i w:val="false"/>
          <w:caps w:val="false"/>
          <w:smallCaps w:val="false"/>
          <w:sz w:val="20"/>
        </w:rPr>
        <w:t>3,062 of additional borrowing capacity from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taken decisive action to improve our margins, including fully outsourcing our manufacturing process, streamlining our product portfolio, negotiating improved vendor contracts and restructuring our selling prices.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7" w:name="xdx_861_zPO6dJ44ZgZk"/>
      <w:bookmarkStart w:id="258" w:name="xdx_84F_ecustom--CovidNineteenConsiderat"/>
      <w:bookmarkEnd w:id="257"/>
      <w:bookmarkEnd w:id="258"/>
      <w:r>
        <w:rPr>
          <w:rFonts w:ascii="Times New Roman;Times;Serif" w:hAnsi="Times New Roman;Times;Serif"/>
          <w:b/>
          <w:i w:val="false"/>
          <w:caps w:val="false"/>
          <w:smallCaps w:val="false"/>
          <w:sz w:val="20"/>
        </w:rPr>
        <w:t>Recent Trends -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U.S. economy continued to grow during the third quarter of 2023, the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 We expect the inflationary trends and supply chain pressures to continue throughout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period ended September 30, 2023, the Company experienced moderation from the elevated freight costs experienced in 2022. The average cost of shipping and handling for the three month period ended September 30, 2023, was $</w:t>
      </w:r>
      <w:bookmarkStart w:id="259" w:name="xdx_90D_ecustom--CarryingCostPropertyAnd"/>
      <w:bookmarkEnd w:id="259"/>
      <w:r>
        <w:rPr>
          <w:rFonts w:ascii="Times New Roman;Times;Serif" w:hAnsi="Times New Roman;Times;Serif"/>
          <w:b w:val="false"/>
          <w:i w:val="false"/>
          <w:caps w:val="false"/>
          <w:smallCaps w:val="false"/>
          <w:sz w:val="20"/>
        </w:rPr>
        <w:t>2.98 per case, as compared to $</w:t>
      </w:r>
      <w:bookmarkStart w:id="260" w:name="xdx_90B_ecustom--CarryingCostPropertyAnd"/>
      <w:bookmarkEnd w:id="260"/>
      <w:r>
        <w:rPr>
          <w:rFonts w:ascii="Times New Roman;Times;Serif" w:hAnsi="Times New Roman;Times;Serif"/>
          <w:b w:val="false"/>
          <w:i w:val="false"/>
          <w:caps w:val="false"/>
          <w:smallCaps w:val="false"/>
          <w:sz w:val="20"/>
        </w:rPr>
        <w:t>3.38 per case for the three month period ended September 30, 2022. The average cost of shipping and handling for the nine month period ended September 30, 2023, was $</w:t>
      </w:r>
      <w:bookmarkStart w:id="261" w:name="xdx_908_ecustom--CarryingCostPropertyAnd"/>
      <w:bookmarkEnd w:id="261"/>
      <w:r>
        <w:rPr>
          <w:rFonts w:ascii="Times New Roman;Times;Serif" w:hAnsi="Times New Roman;Times;Serif"/>
          <w:b w:val="false"/>
          <w:i w:val="false"/>
          <w:caps w:val="false"/>
          <w:smallCaps w:val="false"/>
          <w:sz w:val="20"/>
        </w:rPr>
        <w:t>3.17 per case, as compared to $</w:t>
      </w:r>
      <w:bookmarkStart w:id="262" w:name="xdx_903_ecustom--CarryingCostPropertyAnd"/>
      <w:bookmarkEnd w:id="262"/>
      <w:r>
        <w:rPr>
          <w:rFonts w:ascii="Times New Roman;Times;Serif" w:hAnsi="Times New Roman;Times;Serif"/>
          <w:b w:val="false"/>
          <w:i w:val="false"/>
          <w:caps w:val="false"/>
          <w:smallCaps w:val="false"/>
          <w:sz w:val="20"/>
        </w:rPr>
        <w:t>4.13 per case for the nine month period ended September 30, 2022. Although the Company has experienced decreases in freight costs over the last three quarters, in the Company’s opinion there remains a volatile environment and the Company will continue to monitor pricing and availability in transportation. Mitigation plans have been implemented to manage this risk. The Company has been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The Company has experienced moderation in inflation and anticipates this to continue throughout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3" w:name="xdx_86A_zeSzLgVgRDg2"/>
      <w:bookmarkStart w:id="264" w:name="xdx_848_ecustom--ReverseStockSplitPolicy"/>
      <w:bookmarkEnd w:id="263"/>
      <w:bookmarkEnd w:id="264"/>
      <w:r>
        <w:rPr>
          <w:rFonts w:ascii="Times New Roman;Times;Serif" w:hAnsi="Times New Roman;Times;Serif"/>
          <w:b/>
          <w:i w:val="false"/>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 special meeting of shareholders held on January 24, 2023, the Company’s shareholders granted the Company’s board of directors the discretion to effect a reverse stock split of the common stock through an amendment to the Company’s Certificate of Incorporation, as amended, at a ratio of any ratio not less than </w:t>
      </w:r>
      <w:bookmarkStart w:id="265" w:name="xdx_905_eus-gaap--StockholdersEquityReve"/>
      <w:bookmarkEnd w:id="265"/>
      <w:r>
        <w:rPr>
          <w:rFonts w:ascii="Times New Roman;Times;Serif" w:hAnsi="Times New Roman;Times;Serif"/>
          <w:b w:val="false"/>
          <w:i w:val="false"/>
          <w:caps w:val="false"/>
          <w:smallCaps w:val="false"/>
          <w:sz w:val="20"/>
        </w:rPr>
        <w:t xml:space="preserve">1-for-6 and not more than 1-for-50, at any time on or prior to January 24, 2024, with the exact ratio to be set at a whole number within this range by the board of directors in its sole discretion. On January 25, 2023, the Company announced that its board of directors approved a </w:t>
      </w:r>
      <w:bookmarkStart w:id="266" w:name="xdx_908_eus-gaap--StockholdersEquityReve"/>
      <w:bookmarkEnd w:id="266"/>
      <w:r>
        <w:rPr>
          <w:rFonts w:ascii="Times New Roman;Times;Serif" w:hAnsi="Times New Roman;Times;Serif"/>
          <w:b w:val="false"/>
          <w:i w:val="false"/>
          <w:caps w:val="false"/>
          <w:smallCaps w:val="false"/>
          <w:sz w:val="20"/>
        </w:rPr>
        <w:t>1-for-50 reverse stock split of the Company’s issued and outstanding shares of common stock, par value $</w:t>
      </w:r>
      <w:bookmarkStart w:id="267" w:name="xdx_90C_eus-gaap--CommonStockParOrStated"/>
      <w:bookmarkEnd w:id="267"/>
      <w:r>
        <w:rPr>
          <w:rFonts w:ascii="Times New Roman;Times;Serif" w:hAnsi="Times New Roman;Times;Serif"/>
          <w:b w:val="false"/>
          <w:i w:val="false"/>
          <w:caps w:val="false"/>
          <w:smallCaps w:val="false"/>
          <w:sz w:val="20"/>
        </w:rPr>
        <w:t>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number of shares of common stock were not affected by the reverse stock split. No fractional shares were issued in connection with the reverse stock split, as all fractional shares were rounded up to the next whole share. Accordingly, all share and per share amounts presented herein with respect to common stock have been retroactively adjusted to reflect the above-described reverse stock split for all periods presented.</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8" w:name="xdx_862_znK8Mi1OTu7f"/>
      <w:bookmarkStart w:id="269" w:name="xdx_84F_eus-gaap--UseOfEstimates_zufgjtc"/>
      <w:bookmarkEnd w:id="268"/>
      <w:bookmarkEnd w:id="269"/>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credit loss reserves for accounts receivable, assumptions used in valuing inventories at net realizable value, impairment testing of recorded long-term tangible and intangible assets, the valuation allowance for deferred tax assets, accruals for potential liabilities, assumptions made in valuing stock instruments issued for services, and assumptions used in valuing warrant liabilities, and assumptions used in the determination of the Company’s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0" w:name="xdx_863_z29gbSO5WAJ7"/>
      <w:bookmarkStart w:id="271" w:name="xdx_849_eus-gaap--RevenueFromContractWit"/>
      <w:bookmarkEnd w:id="270"/>
      <w:bookmarkEnd w:id="271"/>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allow for returns, except for damaged products when the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2" w:name="xdx_864_ztfMJdqEsQ81"/>
      <w:bookmarkStart w:id="273" w:name="xdx_849_eus-gaap--EarningsPerSharePolicy"/>
      <w:bookmarkEnd w:id="272"/>
      <w:bookmarkEnd w:id="273"/>
      <w:r>
        <w:rPr>
          <w:rFonts w:ascii="Times New Roman;Times;Serif" w:hAnsi="Times New Roman;Times;Serif"/>
          <w:b/>
          <w:i w:val="false"/>
          <w:caps w:val="false"/>
          <w:smallCaps w:val="false"/>
          <w:sz w:val="20"/>
        </w:rPr>
        <w:t>Loss per Common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the net income (loss) applicable to common stockholders by the weighted average number of shares of common stock outstanding during the year, excluding shares of unvested restricted common stock. Shares of restricted stock are included in the basic weighted average number of common shares outstanding from the time they vest.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Shares of restricted stock are included in the diluted weighted average number of common shares outstanding from the date they are granted. Potential common shares are excluded from the computation when their effect is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periods ended September 30, 2023 and 2022, the calculations of basic and diluted loss per share are the same because potential dilutive securities would have had an anti-dilutive effect. The potentially dilutive securities consisted of the following:</w:t>
      </w:r>
    </w:p>
    <w:p>
      <w:pPr>
        <w:pStyle w:val="TextBody"/>
        <w:bidi w:val="0"/>
        <w:spacing w:before="0" w:after="0"/>
        <w:ind w:left="0" w:right="0" w:hanging="0"/>
        <w:jc w:val="both"/>
        <w:rPr>
          <w:caps w:val="false"/>
          <w:smallCaps w:val="false"/>
        </w:rPr>
      </w:pPr>
      <w:bookmarkStart w:id="274" w:name="xdx_89A_eus-gaap--ScheduleOfAntidilutive"/>
      <w:bookmarkEnd w:id="274"/>
      <w:r>
        <w:rPr>
          <w:caps w:val="false"/>
          <w:smallCaps w:val="false"/>
        </w:rPr>
        <w:t> </w:t>
      </w:r>
      <w:bookmarkStart w:id="275" w:name="xdx_8BB_zSiVebKDuZah"/>
      <w:bookmarkEnd w:id="275"/>
      <w:r>
        <w:rPr>
          <w:rFonts w:ascii="Times New Roman;Times;Serif" w:hAnsi="Times New Roman;Times;Serif"/>
          <w:b w:val="false"/>
          <w:i w:val="false"/>
          <w:caps w:val="false"/>
          <w:smallCaps w:val="false"/>
          <w:sz w:val="20"/>
        </w:rPr>
        <w:t>Schedule of Potentially Dilutive Securities</w:t>
      </w:r>
    </w:p>
    <w:tbl>
      <w:tblPr>
        <w:tblW w:w="8983" w:type="dxa"/>
        <w:jc w:val="left"/>
        <w:tblInd w:w="0" w:type="dxa"/>
        <w:tblLayout w:type="fixed"/>
        <w:tblCellMar>
          <w:top w:w="0" w:type="dxa"/>
          <w:left w:w="0" w:type="dxa"/>
          <w:bottom w:w="0" w:type="dxa"/>
          <w:right w:w="0" w:type="dxa"/>
        </w:tblCellMar>
      </w:tblPr>
      <w:tblGrid>
        <w:gridCol w:w="6290"/>
        <w:gridCol w:w="60"/>
        <w:gridCol w:w="70"/>
        <w:gridCol w:w="1149"/>
        <w:gridCol w:w="60"/>
        <w:gridCol w:w="60"/>
        <w:gridCol w:w="84"/>
        <w:gridCol w:w="1135"/>
        <w:gridCol w:w="75"/>
      </w:tblGrid>
      <w:tr>
        <w:trPr/>
        <w:tc>
          <w:tcPr>
            <w:tcW w:w="6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76" w:name="xdx_49B_20230101__20230930_z8FOR1Epj7O7"/>
            <w:bookmarkEnd w:id="276"/>
          </w:p>
        </w:tc>
        <w:tc>
          <w:tcPr>
            <w:tcW w:w="121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7" w:name="xdx_493_20220101__20220930_zFmRThLsMCX6"/>
            <w:bookmarkEnd w:id="277"/>
          </w:p>
        </w:tc>
        <w:tc>
          <w:tcPr>
            <w:tcW w:w="121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vAlign w:val="center"/>
          </w:tcPr>
          <w:p>
            <w:pPr>
              <w:pStyle w:val="TableContents"/>
              <w:bidi w:val="0"/>
              <w:spacing w:before="0" w:after="283"/>
              <w:jc w:val="left"/>
              <w:rPr/>
            </w:pPr>
            <w:r>
              <w:rPr/>
              <w:t> </w:t>
            </w:r>
            <w:bookmarkStart w:id="278" w:name="xdx_403_eus-gaap--AntidilutiveSecurities"/>
            <w:bookmarkEnd w:id="278"/>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549,292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250,946</w:t>
            </w:r>
          </w:p>
        </w:tc>
        <w:tc>
          <w:tcPr>
            <w:tcW w:w="75" w:type="dxa"/>
            <w:tcBorders/>
            <w:shd w:fill="CCEEFF" w:val="clear"/>
            <w:vAlign w:val="center"/>
          </w:tcPr>
          <w:p>
            <w:pPr>
              <w:pStyle w:val="TableContents"/>
              <w:bidi w:val="0"/>
              <w:spacing w:before="0" w:after="283"/>
              <w:jc w:val="left"/>
              <w:rPr/>
            </w:pPr>
            <w:r>
              <w:rPr/>
              <w:t> </w:t>
            </w:r>
            <w:bookmarkStart w:id="279" w:name="xdx_409_eus-gaap--AntidilutiveSecurities"/>
            <w:bookmarkEnd w:id="279"/>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176,737</w:t>
            </w:r>
          </w:p>
        </w:tc>
        <w:tc>
          <w:tcPr>
            <w:tcW w:w="75" w:type="dxa"/>
            <w:tcBorders/>
            <w:shd w:fill="FFFFFF" w:val="clear"/>
            <w:vAlign w:val="center"/>
          </w:tcPr>
          <w:p>
            <w:pPr>
              <w:pStyle w:val="TableContents"/>
              <w:bidi w:val="0"/>
              <w:spacing w:before="0" w:after="283"/>
              <w:jc w:val="left"/>
              <w:rPr/>
            </w:pPr>
            <w:r>
              <w:rPr/>
              <w:t> </w:t>
            </w:r>
            <w:bookmarkStart w:id="280" w:name="xdx_400_eus-gaap--AntidilutiveSecurities"/>
            <w:bookmarkEnd w:id="280"/>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 payable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449,156</w:t>
            </w:r>
          </w:p>
        </w:tc>
        <w:tc>
          <w:tcPr>
            <w:tcW w:w="75" w:type="dxa"/>
            <w:tcBorders/>
            <w:shd w:fill="CCEEFF" w:val="clear"/>
            <w:vAlign w:val="center"/>
          </w:tcPr>
          <w:p>
            <w:pPr>
              <w:pStyle w:val="TableContents"/>
              <w:bidi w:val="0"/>
              <w:spacing w:before="0" w:after="283"/>
              <w:jc w:val="left"/>
              <w:rPr/>
            </w:pPr>
            <w:r>
              <w:rPr/>
              <w:t> </w:t>
            </w:r>
            <w:bookmarkStart w:id="281" w:name="xdx_407_eus-gaap--AntidilutiveSecurities"/>
            <w:bookmarkEnd w:id="281"/>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restricted common stock</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3,509</w:t>
            </w:r>
          </w:p>
        </w:tc>
        <w:tc>
          <w:tcPr>
            <w:tcW w:w="75" w:type="dxa"/>
            <w:tcBorders/>
            <w:shd w:fill="FFFFFF" w:val="clear"/>
            <w:vAlign w:val="center"/>
          </w:tcPr>
          <w:p>
            <w:pPr>
              <w:pStyle w:val="TableContents"/>
              <w:bidi w:val="0"/>
              <w:spacing w:before="0" w:after="283"/>
              <w:jc w:val="left"/>
              <w:rPr/>
            </w:pPr>
            <w:r>
              <w:rPr/>
              <w:t> </w:t>
            </w:r>
            <w:bookmarkStart w:id="282" w:name="xdx_403_eus-gaap--AntidilutiveSecurities"/>
            <w:bookmarkEnd w:id="282"/>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equivalent of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w:t>
            </w:r>
          </w:p>
        </w:tc>
        <w:tc>
          <w:tcPr>
            <w:tcW w:w="75" w:type="dxa"/>
            <w:tcBorders/>
            <w:shd w:fill="CCEEFF" w:val="clear"/>
            <w:vAlign w:val="center"/>
          </w:tcPr>
          <w:p>
            <w:pPr>
              <w:pStyle w:val="TableContents"/>
              <w:bidi w:val="0"/>
              <w:spacing w:before="0" w:after="283"/>
              <w:jc w:val="left"/>
              <w:rPr/>
            </w:pPr>
            <w:r>
              <w:rPr/>
              <w:t> </w:t>
            </w:r>
            <w:bookmarkStart w:id="283" w:name="xdx_409_eus-gaap--AntidilutiveSecurities"/>
            <w:bookmarkEnd w:id="283"/>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2,170,782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881,100</w:t>
            </w:r>
          </w:p>
        </w:tc>
        <w:tc>
          <w:tcPr>
            <w:tcW w:w="75" w:type="dxa"/>
            <w:tcBorders/>
            <w:shd w:fill="FFFFFF" w:val="clear"/>
            <w:vAlign w:val="center"/>
          </w:tcPr>
          <w:p>
            <w:pPr>
              <w:pStyle w:val="TableContents"/>
              <w:bidi w:val="0"/>
              <w:spacing w:before="0" w:after="283"/>
              <w:jc w:val="left"/>
              <w:rPr/>
            </w:pPr>
            <w:r>
              <w:rPr/>
              <w:t> </w:t>
            </w:r>
            <w:bookmarkStart w:id="284" w:name="xdx_40D_eus-gaap--AntidilutiveSecurities"/>
            <w:bookmarkEnd w:id="284"/>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Antidilutive Securities</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2,170,782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881,100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85" w:name="xdx_8AC_zen5dh5WaK8b"/>
      <w:bookmarkEnd w:id="285"/>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6" w:name="xdx_868_zU0TWfFK9NEh"/>
      <w:bookmarkStart w:id="287" w:name="xdx_84D_eus-gaap--ShareBasedCompensation"/>
      <w:bookmarkEnd w:id="286"/>
      <w:bookmarkEnd w:id="287"/>
      <w:r>
        <w:rPr>
          <w:rFonts w:ascii="Times New Roman;Times;Serif" w:hAnsi="Times New Roman;Times;Serif"/>
          <w:b/>
          <w:i w:val="false"/>
          <w:caps w:val="false"/>
          <w:smallCaps w:val="false"/>
          <w:sz w:val="20"/>
        </w:rPr>
        <w:t>Stock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 The Company recognizes the fair value of stock-based compensation within its Statements of Operations with classification depending on the nature of the services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8" w:name="xdx_86A_zIeRA2C5bYf"/>
      <w:bookmarkStart w:id="289" w:name="xdx_849_eus-gaap--AdvertisingCostsPolicy"/>
      <w:bookmarkEnd w:id="288"/>
      <w:bookmarkEnd w:id="289"/>
      <w:r>
        <w:rPr>
          <w:rFonts w:ascii="Times New Roman;Times;Serif" w:hAnsi="Times New Roman;Times;Serif"/>
          <w:b/>
          <w:i w:val="false"/>
          <w:caps w:val="false"/>
          <w:smallCaps w:val="false"/>
          <w:sz w:val="20"/>
        </w:rPr>
        <w:t>Advertising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and are included in selling and marketing expense. Advertising costs for the three months ended September 30, 2023 and 2022, aggregated $</w:t>
      </w:r>
      <w:bookmarkStart w:id="290" w:name="xdx_90A_eus-gaap--AdvertisingExpense_pn3"/>
      <w:bookmarkEnd w:id="290"/>
      <w:r>
        <w:rPr>
          <w:rFonts w:ascii="Times New Roman;Times;Serif" w:hAnsi="Times New Roman;Times;Serif"/>
          <w:b w:val="false"/>
          <w:i w:val="false"/>
          <w:caps w:val="false"/>
          <w:smallCaps w:val="false"/>
          <w:sz w:val="20"/>
        </w:rPr>
        <w:t>22 and $</w:t>
      </w:r>
      <w:bookmarkStart w:id="291" w:name="xdx_900_eus-gaap--AdvertisingExpense_pn3"/>
      <w:bookmarkEnd w:id="291"/>
      <w:r>
        <w:rPr>
          <w:rFonts w:ascii="Times New Roman;Times;Serif" w:hAnsi="Times New Roman;Times;Serif"/>
          <w:b w:val="false"/>
          <w:i w:val="false"/>
          <w:caps w:val="false"/>
          <w:smallCaps w:val="false"/>
          <w:sz w:val="20"/>
        </w:rPr>
        <w:t>116, respectively. Advertising costs for the nine months ended September 30, 2023 and 2022, aggregated $</w:t>
      </w:r>
      <w:bookmarkStart w:id="292" w:name="xdx_907_eus-gaap--AdvertisingExpense_pn3"/>
      <w:bookmarkEnd w:id="292"/>
      <w:r>
        <w:rPr>
          <w:rFonts w:ascii="Times New Roman;Times;Serif" w:hAnsi="Times New Roman;Times;Serif"/>
          <w:b w:val="false"/>
          <w:i w:val="false"/>
          <w:caps w:val="false"/>
          <w:smallCaps w:val="false"/>
          <w:sz w:val="20"/>
        </w:rPr>
        <w:t>82 and $</w:t>
      </w:r>
      <w:bookmarkStart w:id="293" w:name="xdx_905_eus-gaap--AdvertisingExpense_pn3"/>
      <w:bookmarkEnd w:id="293"/>
      <w:r>
        <w:rPr>
          <w:rFonts w:ascii="Times New Roman;Times;Serif" w:hAnsi="Times New Roman;Times;Serif"/>
          <w:b w:val="false"/>
          <w:i w:val="false"/>
          <w:caps w:val="false"/>
          <w:smallCaps w:val="false"/>
          <w:sz w:val="20"/>
        </w:rPr>
        <w:t>539,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4" w:name="xdx_865_zLPPphg0KXy1"/>
      <w:bookmarkStart w:id="295" w:name="xdx_84D_eus-gaap--ConcentrationRiskCredi"/>
      <w:bookmarkEnd w:id="294"/>
      <w:bookmarkEnd w:id="295"/>
      <w:r>
        <w:rPr>
          <w:rFonts w:ascii="Times New Roman;Times;Serif" w:hAnsi="Times New Roman;Times;Serif"/>
          <w:b/>
          <w:i w:val="false"/>
          <w:caps w:val="false"/>
          <w:smallCaps w:val="false"/>
          <w:sz w:val="20"/>
        </w:rPr>
        <w:t>Concentrations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sales.</w:t>
      </w:r>
      <w:r>
        <w:rPr>
          <w:rFonts w:ascii="Times New Roman;Times;Serif" w:hAnsi="Times New Roman;Times;Serif"/>
          <w:b w:val="false"/>
          <w:i w:val="false"/>
          <w:caps w:val="false"/>
          <w:smallCaps w:val="false"/>
          <w:sz w:val="20"/>
        </w:rPr>
        <w:t xml:space="preserve"> During the three months ended September 30, 2023, three customers accounted for </w:t>
      </w:r>
      <w:bookmarkStart w:id="296" w:name="xdx_903_eus-gaap--ConcentrationRiskPerce"/>
      <w:bookmarkEnd w:id="296"/>
      <w:r>
        <w:rPr>
          <w:rFonts w:ascii="Times New Roman;Times;Serif" w:hAnsi="Times New Roman;Times;Serif"/>
          <w:b w:val="false"/>
          <w:i w:val="false"/>
          <w:caps w:val="false"/>
          <w:smallCaps w:val="false"/>
          <w:sz w:val="20"/>
        </w:rPr>
        <w:t xml:space="preserve">22%, </w:t>
      </w:r>
      <w:bookmarkStart w:id="297" w:name="xdx_905_eus-gaap--ConcentrationRiskPerce"/>
      <w:bookmarkEnd w:id="297"/>
      <w:r>
        <w:rPr>
          <w:rFonts w:ascii="Times New Roman;Times;Serif" w:hAnsi="Times New Roman;Times;Serif"/>
          <w:b w:val="false"/>
          <w:i w:val="false"/>
          <w:caps w:val="false"/>
          <w:smallCaps w:val="false"/>
          <w:sz w:val="20"/>
        </w:rPr>
        <w:t xml:space="preserve">14%, and </w:t>
      </w:r>
      <w:bookmarkStart w:id="298" w:name="xdx_90B_eus-gaap--ConcentrationRiskPerce"/>
      <w:bookmarkEnd w:id="298"/>
      <w:r>
        <w:rPr>
          <w:rFonts w:ascii="Times New Roman;Times;Serif" w:hAnsi="Times New Roman;Times;Serif"/>
          <w:b w:val="false"/>
          <w:i w:val="false"/>
          <w:caps w:val="false"/>
          <w:smallCaps w:val="false"/>
          <w:sz w:val="20"/>
        </w:rPr>
        <w:t xml:space="preserve">12% of gross billing, respectively, and during the nine months ended September 30, 2023, two customers accounted for </w:t>
      </w:r>
      <w:bookmarkStart w:id="299" w:name="xdx_904_eus-gaap--ConcentrationRiskPerce"/>
      <w:bookmarkEnd w:id="299"/>
      <w:r>
        <w:rPr>
          <w:rFonts w:ascii="Times New Roman;Times;Serif" w:hAnsi="Times New Roman;Times;Serif"/>
          <w:b w:val="false"/>
          <w:i w:val="false"/>
          <w:caps w:val="false"/>
          <w:smallCaps w:val="false"/>
          <w:sz w:val="20"/>
        </w:rPr>
        <w:t xml:space="preserve">19% and </w:t>
      </w:r>
      <w:bookmarkStart w:id="300" w:name="xdx_903_eus-gaap--ConcentrationRiskPerce"/>
      <w:bookmarkEnd w:id="300"/>
      <w:r>
        <w:rPr>
          <w:rFonts w:ascii="Times New Roman;Times;Serif" w:hAnsi="Times New Roman;Times;Serif"/>
          <w:b w:val="false"/>
          <w:i w:val="false"/>
          <w:caps w:val="false"/>
          <w:smallCaps w:val="false"/>
          <w:sz w:val="20"/>
        </w:rPr>
        <w:t xml:space="preserve">13% of gross billing, respectively. During the three months ended September 30, 2022, three customers accounted for </w:t>
      </w:r>
      <w:bookmarkStart w:id="301" w:name="xdx_90B_eus-gaap--ConcentrationRiskPerce"/>
      <w:bookmarkEnd w:id="301"/>
      <w:r>
        <w:rPr>
          <w:rFonts w:ascii="Times New Roman;Times;Serif" w:hAnsi="Times New Roman;Times;Serif"/>
          <w:b w:val="false"/>
          <w:i w:val="false"/>
          <w:caps w:val="false"/>
          <w:smallCaps w:val="false"/>
          <w:sz w:val="20"/>
        </w:rPr>
        <w:t xml:space="preserve">16%, </w:t>
      </w:r>
      <w:bookmarkStart w:id="302" w:name="xdx_903_eus-gaap--ConcentrationRiskPerce"/>
      <w:bookmarkEnd w:id="302"/>
      <w:r>
        <w:rPr>
          <w:rFonts w:ascii="Times New Roman;Times;Serif" w:hAnsi="Times New Roman;Times;Serif"/>
          <w:b w:val="false"/>
          <w:i w:val="false"/>
          <w:caps w:val="false"/>
          <w:smallCaps w:val="false"/>
          <w:sz w:val="20"/>
        </w:rPr>
        <w:t xml:space="preserve">11%, and </w:t>
      </w:r>
      <w:bookmarkStart w:id="303" w:name="xdx_90E_eus-gaap--ConcentrationRiskPerce"/>
      <w:bookmarkEnd w:id="303"/>
      <w:r>
        <w:rPr>
          <w:rFonts w:ascii="Times New Roman;Times;Serif" w:hAnsi="Times New Roman;Times;Serif"/>
          <w:b w:val="false"/>
          <w:i w:val="false"/>
          <w:caps w:val="false"/>
          <w:smallCaps w:val="false"/>
          <w:sz w:val="20"/>
        </w:rPr>
        <w:t xml:space="preserve">10% of sales, respectively, and during the nine months ended September 30, 2022, three customers accounted for </w:t>
      </w:r>
      <w:bookmarkStart w:id="304" w:name="xdx_90C_eus-gaap--ConcentrationRiskPerce"/>
      <w:bookmarkEnd w:id="304"/>
      <w:r>
        <w:rPr>
          <w:rFonts w:ascii="Times New Roman;Times;Serif" w:hAnsi="Times New Roman;Times;Serif"/>
          <w:b w:val="false"/>
          <w:i w:val="false"/>
          <w:caps w:val="false"/>
          <w:smallCaps w:val="false"/>
          <w:sz w:val="20"/>
        </w:rPr>
        <w:t xml:space="preserve">19%, </w:t>
      </w:r>
      <w:bookmarkStart w:id="305" w:name="xdx_901_eus-gaap--ConcentrationRiskPerce"/>
      <w:bookmarkEnd w:id="305"/>
      <w:r>
        <w:rPr>
          <w:rFonts w:ascii="Times New Roman;Times;Serif" w:hAnsi="Times New Roman;Times;Serif"/>
          <w:b w:val="false"/>
          <w:i w:val="false"/>
          <w:caps w:val="false"/>
          <w:smallCaps w:val="false"/>
          <w:sz w:val="20"/>
        </w:rPr>
        <w:t xml:space="preserve">11%, and </w:t>
      </w:r>
      <w:bookmarkStart w:id="306" w:name="xdx_90B_eus-gaap--ConcentrationRiskPerce"/>
      <w:bookmarkEnd w:id="306"/>
      <w:r>
        <w:rPr>
          <w:rFonts w:ascii="Times New Roman;Times;Serif" w:hAnsi="Times New Roman;Times;Serif"/>
          <w:b w:val="false"/>
          <w:i w:val="false"/>
          <w:caps w:val="false"/>
          <w:smallCaps w:val="false"/>
          <w:sz w:val="20"/>
        </w:rPr>
        <w:t>10% of sales, respectively. No other customers exceeded 10% of sales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receivable.</w:t>
      </w:r>
      <w:r>
        <w:rPr>
          <w:rFonts w:ascii="Times New Roman;Times;Serif" w:hAnsi="Times New Roman;Times;Serif"/>
          <w:b w:val="false"/>
          <w:i w:val="false"/>
          <w:caps w:val="false"/>
          <w:smallCaps w:val="false"/>
          <w:sz w:val="20"/>
        </w:rPr>
        <w:t xml:space="preserve"> As of September 30, 2023, the Company had accounts receivable from four customers which comprised </w:t>
      </w:r>
      <w:bookmarkStart w:id="307" w:name="xdx_90C_eus-gaap--ConcentrationRiskPerce"/>
      <w:bookmarkEnd w:id="307"/>
      <w:r>
        <w:rPr>
          <w:rFonts w:ascii="Times New Roman;Times;Serif" w:hAnsi="Times New Roman;Times;Serif"/>
          <w:b w:val="false"/>
          <w:i w:val="false"/>
          <w:caps w:val="false"/>
          <w:smallCaps w:val="false"/>
          <w:sz w:val="20"/>
        </w:rPr>
        <w:t xml:space="preserve">16%, </w:t>
      </w:r>
      <w:bookmarkStart w:id="308" w:name="xdx_905_eus-gaap--ConcentrationRiskPerce"/>
      <w:bookmarkEnd w:id="308"/>
      <w:r>
        <w:rPr>
          <w:rFonts w:ascii="Times New Roman;Times;Serif" w:hAnsi="Times New Roman;Times;Serif"/>
          <w:b w:val="false"/>
          <w:i w:val="false"/>
          <w:caps w:val="false"/>
          <w:smallCaps w:val="false"/>
          <w:sz w:val="20"/>
        </w:rPr>
        <w:t xml:space="preserve">14%, </w:t>
      </w:r>
      <w:bookmarkStart w:id="309" w:name="xdx_902_eus-gaap--ConcentrationRiskPerce"/>
      <w:bookmarkEnd w:id="309"/>
      <w:r>
        <w:rPr>
          <w:rFonts w:ascii="Times New Roman;Times;Serif" w:hAnsi="Times New Roman;Times;Serif"/>
          <w:b w:val="false"/>
          <w:i w:val="false"/>
          <w:caps w:val="false"/>
          <w:smallCaps w:val="false"/>
          <w:sz w:val="20"/>
        </w:rPr>
        <w:t xml:space="preserve">13%, and </w:t>
      </w:r>
      <w:bookmarkStart w:id="310" w:name="xdx_906_eus-gaap--ConcentrationRiskPerce"/>
      <w:bookmarkEnd w:id="310"/>
      <w:r>
        <w:rPr>
          <w:rFonts w:ascii="Times New Roman;Times;Serif" w:hAnsi="Times New Roman;Times;Serif"/>
          <w:b w:val="false"/>
          <w:i w:val="false"/>
          <w:caps w:val="false"/>
          <w:smallCaps w:val="false"/>
          <w:sz w:val="20"/>
        </w:rPr>
        <w:t xml:space="preserve">10% of its gross accounts receivable. As of December 31, 2022, the Company had accounts receivable from two customers which comprised </w:t>
      </w:r>
      <w:bookmarkStart w:id="311" w:name="xdx_907_eus-gaap--ConcentrationRiskPerce"/>
      <w:bookmarkEnd w:id="311"/>
      <w:r>
        <w:rPr>
          <w:rFonts w:ascii="Times New Roman;Times;Serif" w:hAnsi="Times New Roman;Times;Serif"/>
          <w:b w:val="false"/>
          <w:i w:val="false"/>
          <w:caps w:val="false"/>
          <w:smallCaps w:val="false"/>
          <w:sz w:val="20"/>
        </w:rPr>
        <w:t xml:space="preserve">19% and </w:t>
      </w:r>
      <w:bookmarkStart w:id="312" w:name="xdx_90F_eus-gaap--ConcentrationRiskPerce"/>
      <w:bookmarkEnd w:id="312"/>
      <w:r>
        <w:rPr>
          <w:rFonts w:ascii="Times New Roman;Times;Serif" w:hAnsi="Times New Roman;Times;Serif"/>
          <w:b w:val="false"/>
          <w:i w:val="false"/>
          <w:caps w:val="false"/>
          <w:smallCaps w:val="false"/>
          <w:sz w:val="20"/>
        </w:rPr>
        <w:t>11% of its gross accounts receivable, respectively. No other customers exceeded 10% of gross accounts receivable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Company utilizes co-packers to produce 100% of its products.</w:t>
      </w:r>
      <w:r>
        <w:rPr>
          <w:rFonts w:ascii="Times New Roman;Times;Serif" w:hAnsi="Times New Roman;Times;Serif"/>
          <w:b w:val="false"/>
          <w:i w:val="false"/>
          <w:caps w:val="false"/>
          <w:smallCaps w:val="false"/>
          <w:sz w:val="20"/>
        </w:rPr>
        <w:t xml:space="preserve"> During the nine months ended September 30, 2023 and the year ended December 31, 2022, the Company utilized six separate co-packers for most its production and bottling of beverage products in the United States. The Company has long-standing relationships with two different co-packers, and a third co-packing agreement with California Custom Beverage LLC (“CCB”), a former related party (see Note 11). Although there are other packers, a change in co-packers may cause a delay in the production process, which could ultimately affect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Purchases from vendors.</w:t>
      </w:r>
      <w:r>
        <w:rPr>
          <w:rFonts w:ascii="Times New Roman;Times;Serif" w:hAnsi="Times New Roman;Times;Serif"/>
          <w:b w:val="false"/>
          <w:i w:val="false"/>
          <w:caps w:val="false"/>
          <w:smallCaps w:val="false"/>
          <w:sz w:val="20"/>
        </w:rPr>
        <w:t xml:space="preserve"> During the three and nine months ended September 30, 2023 and 2022, no vendor accounted for more than 10% of all purchases. During the three months ended September 30, 2022, one vendor accounted for </w:t>
      </w:r>
      <w:bookmarkStart w:id="313" w:name="xdx_90E_eus-gaap--ConcentrationRiskPerce"/>
      <w:bookmarkEnd w:id="313"/>
      <w:r>
        <w:rPr>
          <w:rFonts w:ascii="Times New Roman;Times;Serif" w:hAnsi="Times New Roman;Times;Serif"/>
          <w:b w:val="false"/>
          <w:i w:val="false"/>
          <w:caps w:val="false"/>
          <w:smallCaps w:val="false"/>
          <w:sz w:val="20"/>
        </w:rPr>
        <w:t xml:space="preserve">18% of purchases. During the nine months ended September 30, 2022, one vendor accounted for </w:t>
      </w:r>
      <w:bookmarkStart w:id="314" w:name="xdx_905_eus-gaap--ConcentrationRiskPerce"/>
      <w:bookmarkEnd w:id="314"/>
      <w:r>
        <w:rPr>
          <w:rFonts w:ascii="Times New Roman;Times;Serif" w:hAnsi="Times New Roman;Times;Serif"/>
          <w:b w:val="false"/>
          <w:i w:val="false"/>
          <w:caps w:val="false"/>
          <w:smallCaps w:val="false"/>
          <w:sz w:val="20"/>
        </w:rPr>
        <w:t>15% of purchases. No other vendors exceeded 10% of all purchases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payable.</w:t>
      </w:r>
      <w:r>
        <w:rPr>
          <w:rFonts w:ascii="Times New Roman;Times;Serif" w:hAnsi="Times New Roman;Times;Serif"/>
          <w:b w:val="false"/>
          <w:i w:val="false"/>
          <w:caps w:val="false"/>
          <w:smallCaps w:val="false"/>
          <w:sz w:val="20"/>
        </w:rPr>
        <w:t xml:space="preserve"> As of September 30, 2023, the Company’s had one vendor which comprised </w:t>
      </w:r>
      <w:bookmarkStart w:id="315" w:name="xdx_901_eus-gaap--ConcentrationRiskPerce"/>
      <w:bookmarkEnd w:id="315"/>
      <w:r>
        <w:rPr>
          <w:rFonts w:ascii="Times New Roman;Times;Serif" w:hAnsi="Times New Roman;Times;Serif"/>
          <w:b w:val="false"/>
          <w:i w:val="false"/>
          <w:caps w:val="false"/>
          <w:smallCaps w:val="false"/>
          <w:sz w:val="20"/>
        </w:rPr>
        <w:t>10% of total accounts payable. As of December 31, 2022, no vendor accounted for more than 10% of the total accounts payable. No other vendors exceeded 10% of gross accounts payable in either period.</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6" w:name="xdx_869_z3Tp5bXsmes4"/>
      <w:bookmarkStart w:id="317" w:name="xdx_846_eus-gaap--FairValueOfFinancialIn"/>
      <w:bookmarkEnd w:id="316"/>
      <w:bookmarkEnd w:id="317"/>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other than the quoted prices in active markets, that are observable either directly or indirectly.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based on the Company’s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8" w:name="xdx_869_ztpei71hUVMi"/>
      <w:bookmarkStart w:id="319" w:name="xdx_847_eus-gaap--NewAccountingPronounce"/>
      <w:bookmarkEnd w:id="318"/>
      <w:bookmarkEnd w:id="319"/>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the FASB issued ASU 2021-04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(“ASU 2021-04”). ASU 2021-04 provides guidance as to how an issuer should account for a modification of the terms or conditions or an exchange of a freestanding equity-classified written call option (i.e., a warrant) that remains equity classified after modification or exchange as an exchange of the original instrument for a new instrument. An issuer should measure the effect of a modification or exchange as the difference between the fair value of the modified or exchanged warrant and the fair value of that warrant immediately before modification or exchange and then apply a recognition model that comprises four categories of transactions and the corresponding accounting treatment for each category (equity issuance, debt origination, debt modification, and modifications unrelated to equity issuance and debt origination or modification). ASU 2021-04 is effective for all entities for fiscal years beginning after December 15, 2021, including interim periods within those fiscal years. An entity should apply the guidance provided in ASU 2021-04 prospectively to modifications or exchanges occurring on or after the effective date. The Company adopted ASU 2021-04 effective January 1, 2022. The adoption of ASU 2021-04 did not have any impact on the Company’s financial statement presentation or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2016, the FASB issued ASU 2016-13, </w:t>
      </w:r>
      <w:r>
        <w:rPr>
          <w:rFonts w:ascii="Times New Roman;Times;Serif" w:hAnsi="Times New Roman;Times;Serif"/>
          <w:b w:val="false"/>
          <w:i/>
          <w:caps w:val="false"/>
          <w:smallCaps w:val="false"/>
          <w:sz w:val="20"/>
        </w:rPr>
        <w:t>Measurement of Credit Losses on Financial Instruments</w:t>
      </w:r>
      <w:r>
        <w:rPr>
          <w:rFonts w:ascii="Times New Roman;Times;Serif" w:hAnsi="Times New Roman;Times;Serif"/>
          <w:b w:val="false"/>
          <w:i w:val="false"/>
          <w:caps w:val="false"/>
          <w:smallCaps w:val="false"/>
          <w:sz w:val="20"/>
        </w:rPr>
        <w:t>.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adopted this standard effective January 1, 2023 and there was no material impact of adopting this standard on the Company’s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bidi w:val="0"/>
        <w:spacing w:before="0" w:after="0"/>
        <w:ind w:left="0" w:right="0" w:hanging="0"/>
        <w:jc w:val="both"/>
        <w:rPr>
          <w:caps w:val="false"/>
          <w:smallCaps w:val="false"/>
        </w:rPr>
      </w:pPr>
      <w:bookmarkStart w:id="320" w:name="xdx_857_z3wX58AvwQck"/>
      <w:bookmarkEnd w:id="32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1" w:name="xdx_80C_eus-gaap--InventoryDisclosureTex"/>
      <w:bookmarkEnd w:id="321"/>
      <w:r>
        <w:rPr>
          <w:rFonts w:ascii="Times New Roman;Times;Serif" w:hAnsi="Times New Roman;Times;Serif"/>
          <w:b/>
          <w:i w:val="false"/>
          <w:caps w:val="false"/>
          <w:smallCaps w:val="false"/>
          <w:sz w:val="20"/>
        </w:rPr>
        <w:t xml:space="preserve">2. </w:t>
      </w:r>
      <w:bookmarkStart w:id="322" w:name="xdx_82F_zoyW3cBvZkfe"/>
      <w:bookmarkEnd w:id="322"/>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3" w:name="xdx_89A_eus-gaap--ScheduleOfInventoryCur"/>
      <w:bookmarkEnd w:id="323"/>
      <w:r>
        <w:rPr>
          <w:rFonts w:ascii="Times New Roman;Times;Serif" w:hAnsi="Times New Roman;Times;Serif"/>
          <w:b w:val="false"/>
          <w:i w:val="false"/>
          <w:caps w:val="false"/>
          <w:smallCaps w:val="false"/>
          <w:sz w:val="20"/>
        </w:rPr>
        <w:t>Inventory is valued at the lower of cost (first-in, first-out) or net realizable value, net of write downs, and is comprised of the following (in thousands):</w:t>
      </w:r>
    </w:p>
    <w:p>
      <w:pPr>
        <w:pStyle w:val="TextBody"/>
        <w:bidi w:val="0"/>
        <w:spacing w:before="0" w:after="0"/>
        <w:ind w:left="0" w:right="0" w:hanging="0"/>
        <w:jc w:val="left"/>
        <w:rPr>
          <w:caps w:val="false"/>
          <w:smallCaps w:val="false"/>
        </w:rPr>
      </w:pPr>
      <w:r>
        <w:rPr>
          <w:caps w:val="false"/>
          <w:smallCaps w:val="false"/>
        </w:rPr>
        <w:t> </w:t>
      </w:r>
      <w:bookmarkStart w:id="324" w:name="xdx_8B4_z9kJtavpjt54"/>
      <w:bookmarkEnd w:id="324"/>
      <w:r>
        <w:rPr>
          <w:rFonts w:ascii="Times New Roman;Times;Serif" w:hAnsi="Times New Roman;Times;Serif"/>
          <w:b w:val="false"/>
          <w:i w:val="false"/>
          <w:caps w:val="false"/>
          <w:smallCaps w:val="false"/>
          <w:sz w:val="20"/>
        </w:rPr>
        <w:t>Schedule of Inventory</w:t>
      </w:r>
    </w:p>
    <w:tbl>
      <w:tblPr>
        <w:tblW w:w="5473" w:type="dxa"/>
        <w:jc w:val="left"/>
        <w:tblInd w:w="0" w:type="dxa"/>
        <w:tblLayout w:type="fixed"/>
        <w:tblCellMar>
          <w:top w:w="0" w:type="dxa"/>
          <w:left w:w="0" w:type="dxa"/>
          <w:bottom w:w="0" w:type="dxa"/>
          <w:right w:w="0" w:type="dxa"/>
        </w:tblCellMar>
      </w:tblPr>
      <w:tblGrid>
        <w:gridCol w:w="2825"/>
        <w:gridCol w:w="60"/>
        <w:gridCol w:w="208"/>
        <w:gridCol w:w="1011"/>
        <w:gridCol w:w="60"/>
        <w:gridCol w:w="60"/>
        <w:gridCol w:w="200"/>
        <w:gridCol w:w="974"/>
        <w:gridCol w:w="7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25" w:name="xdx_498_20230930_z52x79Yj8iK2"/>
            <w:bookmarkEnd w:id="325"/>
          </w:p>
        </w:tc>
        <w:tc>
          <w:tcPr>
            <w:tcW w:w="121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6" w:name="xdx_496_20221231_zwWWonDMsbI7"/>
            <w:bookmarkEnd w:id="326"/>
          </w:p>
        </w:tc>
        <w:tc>
          <w:tcPr>
            <w:tcW w:w="11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vAlign w:val="center"/>
          </w:tcPr>
          <w:p>
            <w:pPr>
              <w:pStyle w:val="TableContents"/>
              <w:bidi w:val="0"/>
              <w:spacing w:before="0" w:after="283"/>
              <w:jc w:val="left"/>
              <w:rPr/>
            </w:pPr>
            <w:r>
              <w:rPr/>
              <w:t> </w:t>
            </w:r>
            <w:bookmarkStart w:id="327" w:name="xdx_405_eus-gaap--InventoryRawMaterials_"/>
            <w:bookmarkEnd w:id="327"/>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materials and packaging</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8,526</w:t>
            </w:r>
          </w:p>
        </w:tc>
        <w:tc>
          <w:tcPr>
            <w:tcW w:w="75" w:type="dxa"/>
            <w:tcBorders/>
            <w:shd w:fill="CCEEFF" w:val="clear"/>
            <w:vAlign w:val="center"/>
          </w:tcPr>
          <w:p>
            <w:pPr>
              <w:pStyle w:val="TableContents"/>
              <w:bidi w:val="0"/>
              <w:spacing w:before="0" w:after="283"/>
              <w:jc w:val="left"/>
              <w:rPr/>
            </w:pPr>
            <w:r>
              <w:rPr/>
              <w:t> </w:t>
            </w:r>
            <w:bookmarkStart w:id="328" w:name="xdx_401_eus-gaap--InventoryFinishedGoods"/>
            <w:bookmarkEnd w:id="328"/>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Finished products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7,649</w:t>
            </w:r>
          </w:p>
        </w:tc>
        <w:tc>
          <w:tcPr>
            <w:tcW w:w="75" w:type="dxa"/>
            <w:tcBorders/>
            <w:shd w:fill="FFFFFF" w:val="clear"/>
            <w:vAlign w:val="center"/>
          </w:tcPr>
          <w:p>
            <w:pPr>
              <w:pStyle w:val="TableContents"/>
              <w:bidi w:val="0"/>
              <w:spacing w:before="0" w:after="283"/>
              <w:jc w:val="left"/>
              <w:rPr/>
            </w:pPr>
            <w:r>
              <w:rPr/>
              <w:t> </w:t>
            </w:r>
            <w:bookmarkStart w:id="329" w:name="xdx_403_eus-gaap--InventoryNet_iTI_pn3n3"/>
            <w:bookmarkEnd w:id="329"/>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0" w:name="xdx_8A7_zRIbJlnRwotk"/>
      <w:bookmarkEnd w:id="330"/>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1" w:name="xdx_804_eus-gaap--PropertyPlantAndEquipm"/>
      <w:bookmarkEnd w:id="331"/>
      <w:r>
        <w:rPr>
          <w:rFonts w:ascii="Times New Roman;Times;Serif" w:hAnsi="Times New Roman;Times;Serif"/>
          <w:b/>
          <w:i w:val="false"/>
          <w:caps w:val="false"/>
          <w:smallCaps w:val="false"/>
          <w:sz w:val="20"/>
        </w:rPr>
        <w:t xml:space="preserve">3. </w:t>
      </w:r>
      <w:bookmarkStart w:id="332" w:name="xdx_825_zNbAYoO98WC1"/>
      <w:bookmarkEnd w:id="332"/>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3" w:name="xdx_89D_eus-gaap--PropertyPlantAndEquipm"/>
      <w:bookmarkEnd w:id="333"/>
      <w:r>
        <w:rPr>
          <w:rFonts w:ascii="Times New Roman;Times;Serif" w:hAnsi="Times New Roman;Times;Serif"/>
          <w:b w:val="false"/>
          <w:i w:val="false"/>
          <w:caps w:val="false"/>
          <w:smallCaps w:val="false"/>
          <w:sz w:val="20"/>
        </w:rPr>
        <w:t>Property and equipment is comprised of the following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4" w:name="xdx_8BC_zRSfWg7N1wC8"/>
      <w:bookmarkEnd w:id="334"/>
      <w:r>
        <w:rPr>
          <w:rFonts w:ascii="Times New Roman;Times;Serif" w:hAnsi="Times New Roman;Times;Serif"/>
          <w:b w:val="false"/>
          <w:i w:val="false"/>
          <w:caps w:val="false"/>
          <w:smallCaps w:val="false"/>
          <w:sz w:val="20"/>
        </w:rPr>
        <w:t>Schedule of Property and Equipment</w:t>
      </w:r>
    </w:p>
    <w:tbl>
      <w:tblPr>
        <w:tblW w:w="6864" w:type="dxa"/>
        <w:jc w:val="left"/>
        <w:tblInd w:w="0" w:type="dxa"/>
        <w:tblLayout w:type="fixed"/>
        <w:tblCellMar>
          <w:top w:w="0" w:type="dxa"/>
          <w:left w:w="0" w:type="dxa"/>
          <w:bottom w:w="0" w:type="dxa"/>
          <w:right w:w="0" w:type="dxa"/>
        </w:tblCellMar>
      </w:tblPr>
      <w:tblGrid>
        <w:gridCol w:w="4145"/>
        <w:gridCol w:w="60"/>
        <w:gridCol w:w="220"/>
        <w:gridCol w:w="999"/>
        <w:gridCol w:w="95"/>
        <w:gridCol w:w="60"/>
        <w:gridCol w:w="235"/>
        <w:gridCol w:w="940"/>
        <w:gridCol w:w="110"/>
      </w:tblGrid>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35" w:name="xdx_494_20230930_zafgeBibmUth"/>
            <w:bookmarkEnd w:id="335"/>
          </w:p>
        </w:tc>
        <w:tc>
          <w:tcPr>
            <w:tcW w:w="121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6" w:name="xdx_492_20221231_zsZsDQZMmp9g"/>
            <w:bookmarkEnd w:id="336"/>
          </w:p>
        </w:tc>
        <w:tc>
          <w:tcPr>
            <w:tcW w:w="117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10" w:type="dxa"/>
            <w:tcBorders/>
            <w:vAlign w:val="center"/>
          </w:tcPr>
          <w:p>
            <w:pPr>
              <w:pStyle w:val="TableContents"/>
              <w:bidi w:val="0"/>
              <w:spacing w:before="0" w:after="283"/>
              <w:jc w:val="left"/>
              <w:rPr/>
            </w:pPr>
            <w:r>
              <w:rPr/>
              <w:t> </w:t>
            </w:r>
            <w:bookmarkStart w:id="337" w:name="xdx_402_eus-gaap--PropertyPlantAndEquipm"/>
            <w:bookmarkEnd w:id="337"/>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under operating leases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724</w:t>
            </w:r>
          </w:p>
        </w:tc>
        <w:tc>
          <w:tcPr>
            <w:tcW w:w="110" w:type="dxa"/>
            <w:tcBorders/>
            <w:shd w:fill="CCEEFF" w:val="clear"/>
            <w:vAlign w:val="center"/>
          </w:tcPr>
          <w:p>
            <w:pPr>
              <w:pStyle w:val="TableContents"/>
              <w:bidi w:val="0"/>
              <w:spacing w:before="0" w:after="283"/>
              <w:jc w:val="left"/>
              <w:rPr/>
            </w:pPr>
            <w:r>
              <w:rPr/>
              <w:t> </w:t>
            </w:r>
            <w:bookmarkStart w:id="338" w:name="xdx_40C_eus-gaap--PropertyPlantAndEquipm"/>
            <w:bookmarkEnd w:id="338"/>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 hardware and software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110" w:type="dxa"/>
            <w:tcBorders/>
            <w:shd w:fill="FFFFFF" w:val="clear"/>
            <w:vAlign w:val="center"/>
          </w:tcPr>
          <w:p>
            <w:pPr>
              <w:pStyle w:val="TableContents"/>
              <w:bidi w:val="0"/>
              <w:spacing w:before="0" w:after="283"/>
              <w:jc w:val="left"/>
              <w:rPr/>
            </w:pPr>
            <w:r>
              <w:rPr/>
              <w:t> </w:t>
            </w:r>
            <w:bookmarkStart w:id="339" w:name="xdx_407_eus-gaap--PropertyPlantAndEquipm"/>
            <w:bookmarkEnd w:id="339"/>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Machinery and equipment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w:t>
            </w:r>
          </w:p>
        </w:tc>
        <w:tc>
          <w:tcPr>
            <w:tcW w:w="110" w:type="dxa"/>
            <w:tcBorders/>
            <w:shd w:fill="CCEEFF" w:val="clear"/>
            <w:vAlign w:val="center"/>
          </w:tcPr>
          <w:p>
            <w:pPr>
              <w:pStyle w:val="TableContents"/>
              <w:bidi w:val="0"/>
              <w:spacing w:before="0" w:after="283"/>
              <w:jc w:val="left"/>
              <w:rPr/>
            </w:pPr>
            <w:r>
              <w:rPr/>
              <w:t> </w:t>
            </w:r>
            <w:bookmarkStart w:id="340" w:name="xdx_406_eus-gaap--PropertyPlantAndEquipm"/>
            <w:bookmarkEnd w:id="340"/>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Construction in progress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341" w:name="xdx_404_eus-gaap--PropertyPlantAndEquipm"/>
            <w:bookmarkEnd w:id="341"/>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1,553</w:t>
            </w:r>
          </w:p>
        </w:tc>
        <w:tc>
          <w:tcPr>
            <w:tcW w:w="110" w:type="dxa"/>
            <w:tcBorders/>
            <w:shd w:fill="CCEEFF" w:val="clear"/>
            <w:vAlign w:val="center"/>
          </w:tcPr>
          <w:p>
            <w:pPr>
              <w:pStyle w:val="TableContents"/>
              <w:bidi w:val="0"/>
              <w:spacing w:before="0" w:after="283"/>
              <w:jc w:val="left"/>
              <w:rPr/>
            </w:pPr>
            <w:r>
              <w:rPr/>
              <w:t> </w:t>
            </w:r>
            <w:bookmarkStart w:id="342" w:name="xdx_40A_eus-gaap--AccumulatedDepreciatio"/>
            <w:bookmarkEnd w:id="342"/>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3" w:name="xdx_408_eus-gaap--PropertyPlantAndEquipm"/>
            <w:bookmarkEnd w:id="343"/>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book value</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44" w:name="xdx_8AB_zgebkBvvFps3"/>
      <w:bookmarkEnd w:id="34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nine months ended September 30, 2023 and 2022 was $</w:t>
      </w:r>
      <w:bookmarkStart w:id="345" w:name="xdx_902_eus-gaap--Depreciation_pn3n3_c20"/>
      <w:bookmarkEnd w:id="345"/>
      <w:r>
        <w:rPr>
          <w:rFonts w:ascii="Times New Roman;Times;Serif" w:hAnsi="Times New Roman;Times;Serif"/>
          <w:b w:val="false"/>
          <w:i w:val="false"/>
          <w:caps w:val="false"/>
          <w:smallCaps w:val="false"/>
          <w:sz w:val="20"/>
        </w:rPr>
        <w:t>112 and $</w:t>
      </w:r>
      <w:bookmarkStart w:id="346" w:name="xdx_908_eus-gaap--Depreciation_pn3n3_c20"/>
      <w:bookmarkEnd w:id="346"/>
      <w:r>
        <w:rPr>
          <w:rFonts w:ascii="Times New Roman;Times;Serif" w:hAnsi="Times New Roman;Times;Serif"/>
          <w:b w:val="false"/>
          <w:i w:val="false"/>
          <w:caps w:val="false"/>
          <w:smallCaps w:val="false"/>
          <w:sz w:val="20"/>
        </w:rPr>
        <w:t>79, respectively, and amortization of right-of-use assets for the nine months ended September 30, 2023 and 2022 was $</w:t>
      </w:r>
      <w:bookmarkStart w:id="347" w:name="xdx_90A_eus-gaap--OperatingLeaseRightOfU"/>
      <w:bookmarkEnd w:id="347"/>
      <w:r>
        <w:rPr>
          <w:rFonts w:ascii="Times New Roman;Times;Serif" w:hAnsi="Times New Roman;Times;Serif"/>
          <w:b w:val="false"/>
          <w:i w:val="false"/>
          <w:caps w:val="false"/>
          <w:smallCaps w:val="false"/>
          <w:sz w:val="20"/>
        </w:rPr>
        <w:t>102 and $</w:t>
      </w:r>
      <w:bookmarkStart w:id="348" w:name="xdx_904_eus-gaap--OperatingLeaseRightOfU"/>
      <w:bookmarkEnd w:id="348"/>
      <w:r>
        <w:rPr>
          <w:rFonts w:ascii="Times New Roman;Times;Serif" w:hAnsi="Times New Roman;Times;Serif"/>
          <w:b w:val="false"/>
          <w:i w:val="false"/>
          <w:caps w:val="false"/>
          <w:smallCaps w:val="false"/>
          <w:sz w:val="20"/>
        </w:rPr>
        <w:t>86,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9" w:name="xdx_80A_eus-gaap--IntangibleAssetsDisclo"/>
      <w:bookmarkEnd w:id="349"/>
      <w:r>
        <w:rPr>
          <w:rFonts w:ascii="Times New Roman;Times;Serif" w:hAnsi="Times New Roman;Times;Serif"/>
          <w:b/>
          <w:i w:val="false"/>
          <w:caps w:val="false"/>
          <w:smallCaps w:val="false"/>
          <w:sz w:val="20"/>
        </w:rPr>
        <w:t xml:space="preserve">4. </w:t>
      </w:r>
      <w:bookmarkStart w:id="350" w:name="xdx_827_z6NNLrDqH8Rd"/>
      <w:bookmarkEnd w:id="350"/>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1" w:name="xdx_896_eus-gaap--ScheduleOfIndefiniteLi"/>
      <w:bookmarkEnd w:id="351"/>
      <w:r>
        <w:rPr>
          <w:rFonts w:ascii="Times New Roman;Times;Serif" w:hAnsi="Times New Roman;Times;Serif"/>
          <w:b w:val="false"/>
          <w:i w:val="false"/>
          <w:caps w:val="false"/>
          <w:smallCaps w:val="false"/>
          <w:sz w:val="20"/>
        </w:rPr>
        <w:t>Intangible assets consist of the following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2" w:name="xdx_8B7_zrwi45ndz9L4"/>
      <w:bookmarkEnd w:id="352"/>
      <w:r>
        <w:rPr>
          <w:rFonts w:ascii="Times New Roman;Times;Serif" w:hAnsi="Times New Roman;Times;Serif"/>
          <w:b w:val="false"/>
          <w:i w:val="false"/>
          <w:caps w:val="false"/>
          <w:smallCaps w:val="false"/>
          <w:sz w:val="20"/>
        </w:rPr>
        <w:t>Summary of Intangible Assets</w:t>
      </w:r>
    </w:p>
    <w:tbl>
      <w:tblPr>
        <w:tblW w:w="3928" w:type="dxa"/>
        <w:jc w:val="left"/>
        <w:tblInd w:w="0" w:type="dxa"/>
        <w:tblLayout w:type="fixed"/>
        <w:tblCellMar>
          <w:top w:w="0" w:type="dxa"/>
          <w:left w:w="0" w:type="dxa"/>
          <w:bottom w:w="0" w:type="dxa"/>
          <w:right w:w="0" w:type="dxa"/>
        </w:tblCellMar>
      </w:tblPr>
      <w:tblGrid>
        <w:gridCol w:w="1280"/>
        <w:gridCol w:w="60"/>
        <w:gridCol w:w="327"/>
        <w:gridCol w:w="892"/>
        <w:gridCol w:w="60"/>
        <w:gridCol w:w="60"/>
        <w:gridCol w:w="315"/>
        <w:gridCol w:w="859"/>
        <w:gridCol w:w="75"/>
      </w:tblGrid>
      <w:tr>
        <w:trPr/>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53" w:name="xdx_491_20230930_zGu9qRyaEm77"/>
            <w:bookmarkEnd w:id="353"/>
          </w:p>
        </w:tc>
        <w:tc>
          <w:tcPr>
            <w:tcW w:w="121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4" w:name="xdx_497_20221231_zEOxz5tZklsg"/>
            <w:bookmarkEnd w:id="354"/>
          </w:p>
        </w:tc>
        <w:tc>
          <w:tcPr>
            <w:tcW w:w="11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vAlign w:val="center"/>
          </w:tcPr>
          <w:p>
            <w:pPr>
              <w:pStyle w:val="TableContents"/>
              <w:bidi w:val="0"/>
              <w:spacing w:before="0" w:after="283"/>
              <w:jc w:val="left"/>
              <w:rPr/>
            </w:pPr>
            <w:r>
              <w:rPr/>
              <w:t> </w:t>
            </w:r>
            <w:bookmarkStart w:id="355" w:name="xdx_403_eus-gaap--IndefiniteLivedTradeNa"/>
            <w:bookmarkEnd w:id="355"/>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Brand names</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w:t>
            </w:r>
          </w:p>
        </w:tc>
        <w:tc>
          <w:tcPr>
            <w:tcW w:w="75" w:type="dxa"/>
            <w:tcBorders/>
            <w:shd w:fill="CCEEFF" w:val="clear"/>
            <w:vAlign w:val="center"/>
          </w:tcPr>
          <w:p>
            <w:pPr>
              <w:pStyle w:val="TableContents"/>
              <w:bidi w:val="0"/>
              <w:spacing w:before="0" w:after="283"/>
              <w:jc w:val="left"/>
              <w:rPr/>
            </w:pPr>
            <w:r>
              <w:rPr/>
              <w:t> </w:t>
            </w:r>
            <w:bookmarkStart w:id="356" w:name="xdx_407_eus-gaap--IndefiniteLivedTradema"/>
            <w:bookmarkEnd w:id="356"/>
          </w:p>
        </w:tc>
      </w:tr>
      <w:tr>
        <w:trPr/>
        <w:tc>
          <w:tcPr>
            <w:tcW w:w="12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Trademarks</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75" w:type="dxa"/>
            <w:tcBorders/>
            <w:shd w:fill="FFFFFF" w:val="clear"/>
            <w:vAlign w:val="center"/>
          </w:tcPr>
          <w:p>
            <w:pPr>
              <w:pStyle w:val="TableContents"/>
              <w:bidi w:val="0"/>
              <w:spacing w:before="0" w:after="283"/>
              <w:jc w:val="left"/>
              <w:rPr/>
            </w:pPr>
            <w:r>
              <w:rPr/>
              <w:t> </w:t>
            </w:r>
            <w:bookmarkStart w:id="357" w:name="xdx_402_eus-gaap--IndefiniteLivedIntangi"/>
            <w:bookmarkEnd w:id="357"/>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3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8" w:name="xdx_8A0_znzVjeLxcQIk"/>
      <w:bookmarkEnd w:id="35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9" w:name="xdx_80A_eus-gaap--ShortTermDebtTextBlock"/>
      <w:bookmarkEnd w:id="359"/>
      <w:r>
        <w:rPr>
          <w:rFonts w:ascii="Times New Roman;Times;Serif" w:hAnsi="Times New Roman;Times;Serif"/>
          <w:b/>
          <w:i w:val="false"/>
          <w:caps w:val="false"/>
          <w:smallCaps w:val="false"/>
          <w:sz w:val="20"/>
        </w:rPr>
        <w:t xml:space="preserve">5. </w:t>
      </w:r>
      <w:bookmarkStart w:id="360" w:name="xdx_823_zopCdQWDRenh"/>
      <w:bookmarkEnd w:id="360"/>
      <w:r>
        <w:rPr>
          <w:rFonts w:ascii="Times New Roman;Times;Serif" w:hAnsi="Times New Roman;Times;Serif"/>
          <w:b/>
          <w:i w:val="false"/>
          <w:caps w:val="false"/>
          <w:smallCaps w:val="false"/>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1" w:name="xdx_89F_eus-gaap--ScheduleOfLineOfCredit"/>
      <w:bookmarkEnd w:id="361"/>
      <w:r>
        <w:rPr>
          <w:rFonts w:ascii="Times New Roman;Times;Serif" w:hAnsi="Times New Roman;Times;Serif"/>
          <w:b w:val="false"/>
          <w:i w:val="false"/>
          <w:caps w:val="false"/>
          <w:smallCaps w:val="false"/>
          <w:sz w:val="20"/>
        </w:rPr>
        <w:t>Amounts outstanding under the Company’s credit facilities are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2" w:name="xdx_8B8_zBdOShwCylwj"/>
      <w:bookmarkEnd w:id="362"/>
      <w:r>
        <w:rPr>
          <w:rFonts w:ascii="Times New Roman;Times;Serif" w:hAnsi="Times New Roman;Times;Serif"/>
          <w:b w:val="false"/>
          <w:i w:val="false"/>
          <w:caps w:val="false"/>
          <w:smallCaps w:val="false"/>
          <w:sz w:val="20"/>
        </w:rPr>
        <w:t>Schedule of Amount Outstanding Under Credit Facilities</w:t>
      </w:r>
    </w:p>
    <w:tbl>
      <w:tblPr>
        <w:tblW w:w="6654" w:type="dxa"/>
        <w:jc w:val="left"/>
        <w:tblInd w:w="0" w:type="dxa"/>
        <w:tblLayout w:type="fixed"/>
        <w:tblCellMar>
          <w:top w:w="0" w:type="dxa"/>
          <w:left w:w="0" w:type="dxa"/>
          <w:bottom w:w="0" w:type="dxa"/>
          <w:right w:w="0" w:type="dxa"/>
        </w:tblCellMar>
      </w:tblPr>
      <w:tblGrid>
        <w:gridCol w:w="3935"/>
        <w:gridCol w:w="60"/>
        <w:gridCol w:w="244"/>
        <w:gridCol w:w="976"/>
        <w:gridCol w:w="95"/>
        <w:gridCol w:w="60"/>
        <w:gridCol w:w="200"/>
        <w:gridCol w:w="974"/>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Line of credit – Alterna Capital Solutions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3" w:name="xdx_983_eus-gaap--LinesOfCreditCurrent_i"/>
            <w:bookmarkEnd w:id="363"/>
          </w:p>
        </w:tc>
        <w:tc>
          <w:tcPr>
            <w:tcW w:w="9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4" w:name="xdx_984_eus-gaap--LinesOfCreditCurrent_i"/>
            <w:bookmarkEnd w:id="364"/>
          </w:p>
        </w:tc>
        <w:tc>
          <w:tcPr>
            <w:tcW w:w="9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11,337</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financing costs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65" w:name="xdx_988_eus-gaap--DeferredFinanceCostsCu"/>
            <w:bookmarkEnd w:id="365"/>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66" w:name="xdx_983_eus-gaap--DeferredFinanceCostsCu"/>
            <w:bookmarkEnd w:id="366"/>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7" w:name="xdx_988_eus-gaap--LinesOfCreditCurrent_i"/>
            <w:bookmarkEnd w:id="367"/>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8" w:name="xdx_98F_eus-gaap--LinesOfCreditCurrent_i"/>
            <w:bookmarkEnd w:id="368"/>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10,974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9" w:name="xdx_8AA_zaGEpm1Bo792"/>
      <w:bookmarkEnd w:id="3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2022, the Company entered into a financing agreement with Alterna Capital Solutions (“ACS”), for a line of credit to replace its former credit facility. The ACS line of credit is for a term of </w:t>
      </w:r>
      <w:bookmarkStart w:id="370" w:name="xdx_906_eus-gaap--DebtInstrumentTerm_dtY"/>
      <w:bookmarkEnd w:id="370"/>
      <w:r>
        <w:rPr>
          <w:rFonts w:ascii="Times New Roman;Times;Serif" w:hAnsi="Times New Roman;Times;Serif"/>
          <w:b w:val="false"/>
          <w:i w:val="false"/>
          <w:caps w:val="false"/>
          <w:smallCaps w:val="false"/>
          <w:sz w:val="20"/>
        </w:rPr>
        <w:t>3 years, provides for borrowings of up to $</w:t>
      </w:r>
      <w:bookmarkStart w:id="371" w:name="xdx_907_eus-gaap--LineOfCreditFacilityMa"/>
      <w:bookmarkEnd w:id="371"/>
      <w:r>
        <w:rPr>
          <w:rFonts w:ascii="Times New Roman;Times;Serif" w:hAnsi="Times New Roman;Times;Serif"/>
          <w:b w:val="false"/>
          <w:i w:val="false"/>
          <w:caps w:val="false"/>
          <w:smallCaps w:val="false"/>
          <w:sz w:val="20"/>
        </w:rPr>
        <w:t>13,000, and is secured by eligible accounts receivable and inventory. An over advance rider provides for up to $</w:t>
      </w:r>
      <w:bookmarkStart w:id="372" w:name="xdx_90E_eus-gaap--LineOfCreditFacilityMa"/>
      <w:bookmarkEnd w:id="372"/>
      <w:r>
        <w:rPr>
          <w:rFonts w:ascii="Times New Roman;Times;Serif" w:hAnsi="Times New Roman;Times;Serif"/>
          <w:b w:val="false"/>
          <w:i w:val="false"/>
          <w:caps w:val="false"/>
          <w:smallCaps w:val="false"/>
          <w:sz w:val="20"/>
        </w:rPr>
        <w:t>400 of additional borrowing above the collateralized base (the “Over Advance”) up to a total borrowing of $</w:t>
      </w:r>
      <w:bookmarkStart w:id="373" w:name="xdx_90A_eus-gaap--LineOfCreditFacilityMa"/>
      <w:bookmarkEnd w:id="373"/>
      <w:r>
        <w:rPr>
          <w:rFonts w:ascii="Times New Roman;Times;Serif" w:hAnsi="Times New Roman;Times;Serif"/>
          <w:b w:val="false"/>
          <w:i w:val="false"/>
          <w:caps w:val="false"/>
          <w:smallCaps w:val="false"/>
          <w:sz w:val="20"/>
        </w:rPr>
        <w:t>13,000. At September 30, 2023, $</w:t>
      </w:r>
      <w:bookmarkStart w:id="374" w:name="xdx_90A_eus-gaap--LineOfCreditFacilityCu"/>
      <w:bookmarkEnd w:id="374"/>
      <w:r>
        <w:rPr>
          <w:rFonts w:ascii="Times New Roman;Times;Serif" w:hAnsi="Times New Roman;Times;Serif"/>
          <w:b w:val="false"/>
          <w:i w:val="false"/>
          <w:caps w:val="false"/>
          <w:smallCaps w:val="false"/>
          <w:sz w:val="20"/>
        </w:rPr>
        <w:t>14 of current availability and $</w:t>
      </w:r>
      <w:bookmarkStart w:id="375" w:name="xdx_900_eus-gaap--LineOfCreditFacilityMa"/>
      <w:bookmarkEnd w:id="375"/>
      <w:r>
        <w:rPr>
          <w:rFonts w:ascii="Times New Roman;Times;Serif" w:hAnsi="Times New Roman;Times;Serif"/>
          <w:b w:val="false"/>
          <w:i w:val="false"/>
          <w:caps w:val="false"/>
          <w:smallCaps w:val="false"/>
          <w:sz w:val="20"/>
        </w:rPr>
        <w:t>3,062 of borrowing capacity was available under the financing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6" w:name="xdx_906_eus-gaap--LineOfCreditFacilityIn"/>
      <w:bookmarkEnd w:id="376"/>
      <w:r>
        <w:rPr>
          <w:rFonts w:ascii="Times New Roman;Times;Serif" w:hAnsi="Times New Roman;Times;Serif"/>
          <w:b w:val="false"/>
          <w:i w:val="false"/>
          <w:caps w:val="false"/>
          <w:smallCaps w:val="false"/>
          <w:sz w:val="20"/>
        </w:rPr>
        <w:t>Borrowings based on receivables bears an interest of prime plus 4.75% but not less than 8.0% (13.25% at September 30, 2023 and 12.25% at December 31, 2022). Borrowings based on inventory bears an interest of prime plus 5.25% but not less than 8.5% (13.90 % at September 30, 2023 and 12.90% at December 31, 2022). The additional over advance rider bears a rate of prime plus 12.75%, but not less than 16.00% (18.00% at September 30, 2023 and 18.00% at December 31, 2022). Additionally, the line of credit is subject to monthly monitoring fee of $1 with a minimum usage requirement on the credit facility. A loan balance of less than $</w:t>
      </w:r>
      <w:bookmarkStart w:id="377" w:name="xdx_908_eus-gaap--LineOfCredit_iI_c20230"/>
      <w:bookmarkEnd w:id="377"/>
      <w:r>
        <w:rPr>
          <w:rFonts w:ascii="Times New Roman;Times;Serif" w:hAnsi="Times New Roman;Times;Serif"/>
          <w:b w:val="false"/>
          <w:i w:val="false"/>
          <w:caps w:val="false"/>
          <w:smallCaps w:val="false"/>
          <w:sz w:val="20"/>
        </w:rPr>
        <w:t>1,500 will bear interest at a rate in line with account receivables advances plus the monthly monitoring fee of $</w:t>
      </w:r>
      <w:bookmarkStart w:id="378" w:name="xdx_90C_ecustom--LineOfCreditMonitoringF"/>
      <w:bookmarkEnd w:id="378"/>
      <w:r>
        <w:rPr>
          <w:rFonts w:ascii="Times New Roman;Times;Serif" w:hAnsi="Times New Roman;Times;Serif"/>
          <w:b w:val="false"/>
          <w:i w:val="false"/>
          <w:caps w:val="false"/>
          <w:smallCaps w:val="false"/>
          <w:sz w:val="20"/>
        </w:rPr>
        <w:t>1.</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w:t>
      </w:r>
      <w:bookmarkStart w:id="379" w:name="xdx_906_eus-gaap--DirectOperatingCosts_p"/>
      <w:bookmarkEnd w:id="379"/>
      <w:r>
        <w:rPr>
          <w:rFonts w:ascii="Times New Roman;Times;Serif" w:hAnsi="Times New Roman;Times;Serif"/>
          <w:b w:val="false"/>
          <w:i w:val="false"/>
          <w:caps w:val="false"/>
          <w:smallCaps w:val="false"/>
          <w:sz w:val="20"/>
        </w:rPr>
        <w:t xml:space="preserve">483 of direct costs of the transaction, consisting primarily of broker, bank and legal fees. These costs have been capitalized and are being amortized over the </w:t>
      </w:r>
      <w:bookmarkStart w:id="380" w:name="xdx_909_ecustom--AmortizationOfLineOfCre"/>
      <w:bookmarkEnd w:id="380"/>
      <w:r>
        <w:rPr>
          <w:rFonts w:ascii="Times New Roman;Times;Serif" w:hAnsi="Times New Roman;Times;Serif"/>
          <w:b w:val="false"/>
          <w:i w:val="false"/>
          <w:caps w:val="false"/>
          <w:smallCaps w:val="false"/>
          <w:sz w:val="20"/>
        </w:rPr>
        <w:t>3-year life of the ACS agreement. The unamortized debt discount balance was $</w:t>
      </w:r>
      <w:bookmarkStart w:id="381" w:name="xdx_90D_eus-gaap--AmortizationOfDebtDisc"/>
      <w:bookmarkEnd w:id="381"/>
      <w:r>
        <w:rPr>
          <w:rFonts w:ascii="Times New Roman;Times;Serif" w:hAnsi="Times New Roman;Times;Serif"/>
          <w:b w:val="false"/>
          <w:i w:val="false"/>
          <w:caps w:val="false"/>
          <w:smallCaps w:val="false"/>
          <w:sz w:val="20"/>
        </w:rPr>
        <w:t>363 at December 31, 2022. For the nine months ended September 30, 2023, amortization of debt discount was $</w:t>
      </w:r>
      <w:bookmarkStart w:id="382" w:name="xdx_90D_eus-gaap--AmortizationOfDebtDisc"/>
      <w:bookmarkEnd w:id="382"/>
      <w:r>
        <w:rPr>
          <w:rFonts w:ascii="Times New Roman;Times;Serif" w:hAnsi="Times New Roman;Times;Serif"/>
          <w:b w:val="false"/>
          <w:i w:val="false"/>
          <w:caps w:val="false"/>
          <w:smallCaps w:val="false"/>
          <w:sz w:val="20"/>
        </w:rPr>
        <w:t>121, and as of September 30, 2023, the remaining unamortized debt discount balance is $</w:t>
      </w:r>
      <w:bookmarkStart w:id="383" w:name="xdx_906_ecustom--DebtInstrumentRemaining"/>
      <w:bookmarkEnd w:id="383"/>
      <w:r>
        <w:rPr>
          <w:rFonts w:ascii="Times New Roman;Times;Serif" w:hAnsi="Times New Roman;Times;Serif"/>
          <w:b w:val="false"/>
          <w:i w:val="false"/>
          <w:caps w:val="false"/>
          <w:smallCaps w:val="false"/>
          <w:sz w:val="20"/>
        </w:rPr>
        <w:t>242.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4" w:name="xdx_80B_eus-gaap--DebtDisclosureTextBloc"/>
      <w:bookmarkEnd w:id="384"/>
      <w:r>
        <w:rPr>
          <w:rFonts w:ascii="Times New Roman;Times;Serif" w:hAnsi="Times New Roman;Times;Serif"/>
          <w:b/>
          <w:i w:val="false"/>
          <w:caps w:val="false"/>
          <w:smallCaps w:val="false"/>
          <w:sz w:val="20"/>
        </w:rPr>
        <w:t xml:space="preserve">6. </w:t>
      </w:r>
      <w:bookmarkStart w:id="385" w:name="xdx_825_zr3EwGiN1Cc4"/>
      <w:bookmarkEnd w:id="385"/>
      <w:r>
        <w:rPr>
          <w:rFonts w:ascii="Times New Roman;Times;Serif" w:hAnsi="Times New Roman;Times;Serif"/>
          <w:b/>
          <w:i w:val="false"/>
          <w:caps w:val="false"/>
          <w:smallCaps w:val="false"/>
          <w:sz w:val="20"/>
        </w:rPr>
        <w:t>Secured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6" w:name="xdx_89B_eus-gaap--ScheduleOfDebtTableTex"/>
      <w:bookmarkEnd w:id="386"/>
      <w:r>
        <w:rPr>
          <w:rFonts w:ascii="Times New Roman;Times;Serif" w:hAnsi="Times New Roman;Times;Serif"/>
          <w:b w:val="false"/>
          <w:i w:val="false"/>
          <w:caps w:val="false"/>
          <w:smallCaps w:val="false"/>
          <w:sz w:val="20"/>
        </w:rPr>
        <w:t>Amounts outstanding under secured convertible notes payable are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7" w:name="xdx_8B1_zk25zgitKYAg"/>
      <w:bookmarkEnd w:id="387"/>
      <w:r>
        <w:rPr>
          <w:rFonts w:ascii="Times New Roman;Times;Serif" w:hAnsi="Times New Roman;Times;Serif"/>
          <w:b w:val="false"/>
          <w:i w:val="false"/>
          <w:caps w:val="false"/>
          <w:smallCaps w:val="false"/>
          <w:sz w:val="20"/>
        </w:rPr>
        <w:t>Schedule of Debt</w:t>
      </w:r>
    </w:p>
    <w:tbl>
      <w:tblPr>
        <w:tblW w:w="8873" w:type="dxa"/>
        <w:jc w:val="left"/>
        <w:tblInd w:w="0" w:type="dxa"/>
        <w:tblLayout w:type="fixed"/>
        <w:tblCellMar>
          <w:top w:w="0" w:type="dxa"/>
          <w:left w:w="0" w:type="dxa"/>
          <w:bottom w:w="0" w:type="dxa"/>
          <w:right w:w="0" w:type="dxa"/>
        </w:tblCellMar>
      </w:tblPr>
      <w:tblGrid>
        <w:gridCol w:w="6155"/>
        <w:gridCol w:w="60"/>
        <w:gridCol w:w="208"/>
        <w:gridCol w:w="1011"/>
        <w:gridCol w:w="95"/>
        <w:gridCol w:w="60"/>
        <w:gridCol w:w="200"/>
        <w:gridCol w:w="974"/>
        <w:gridCol w:w="110"/>
      </w:tblGrid>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8" w:name="xdx_49D_20230930_zOjIMT1hjj4h"/>
            <w:bookmarkEnd w:id="388"/>
          </w:p>
        </w:tc>
        <w:tc>
          <w:tcPr>
            <w:tcW w:w="121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9" w:name="xdx_492_20221231_zRvXv9QLoxYd"/>
            <w:bookmarkEnd w:id="389"/>
          </w:p>
        </w:tc>
        <w:tc>
          <w:tcPr>
            <w:tcW w:w="11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10" w:type="dxa"/>
            <w:tcBorders/>
            <w:vAlign w:val="center"/>
          </w:tcPr>
          <w:p>
            <w:pPr>
              <w:pStyle w:val="TableContents"/>
              <w:bidi w:val="0"/>
              <w:spacing w:before="0" w:after="283"/>
              <w:jc w:val="left"/>
              <w:rPr/>
            </w:pPr>
            <w:r>
              <w:rPr/>
              <w:t> </w:t>
            </w:r>
            <w:bookmarkStart w:id="390" w:name="xdx_402_eus-gaap--SecuredDebt_iI_pn3n3_m"/>
            <w:bookmarkEnd w:id="390"/>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Secured Convertible Note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10,450</w:t>
            </w:r>
          </w:p>
        </w:tc>
        <w:tc>
          <w:tcPr>
            <w:tcW w:w="110" w:type="dxa"/>
            <w:tcBorders/>
            <w:shd w:fill="CCEEFF" w:val="clear"/>
            <w:vAlign w:val="center"/>
          </w:tcPr>
          <w:p>
            <w:pPr>
              <w:pStyle w:val="TableContents"/>
              <w:bidi w:val="0"/>
              <w:spacing w:before="0" w:after="283"/>
              <w:jc w:val="left"/>
              <w:rPr/>
            </w:pPr>
            <w:r>
              <w:rPr/>
              <w:t> </w:t>
            </w:r>
            <w:bookmarkStart w:id="391" w:name="xdx_40D_eus-gaap--InterestPayableCurrent"/>
            <w:bookmarkEnd w:id="391"/>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(includes excess ABL fees of $</w:t>
            </w:r>
            <w:bookmarkStart w:id="392" w:name="xdx_90A_eus-gaap--DebtInstrumentFaceAmou"/>
            <w:bookmarkEnd w:id="392"/>
            <w:r>
              <w:rPr>
                <w:rFonts w:ascii="Times New Roman;Times;Serif" w:hAnsi="Times New Roman;Times;Serif"/>
              </w:rPr>
              <w:t>2,152 and $</w:t>
            </w:r>
            <w:bookmarkStart w:id="393" w:name="xdx_90C_eus-gaap--DebtInstrumentFaceAmou"/>
            <w:bookmarkEnd w:id="393"/>
            <w:r>
              <w:rPr>
                <w:rFonts w:ascii="Times New Roman;Times;Serif" w:hAnsi="Times New Roman;Times;Serif"/>
              </w:rPr>
              <w:t>648)</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1,052</w:t>
            </w:r>
          </w:p>
        </w:tc>
        <w:tc>
          <w:tcPr>
            <w:tcW w:w="110" w:type="dxa"/>
            <w:tcBorders/>
            <w:shd w:fill="FFFFFF" w:val="clear"/>
            <w:vAlign w:val="center"/>
          </w:tcPr>
          <w:p>
            <w:pPr>
              <w:pStyle w:val="TableContents"/>
              <w:bidi w:val="0"/>
              <w:spacing w:before="0" w:after="283"/>
              <w:jc w:val="left"/>
              <w:rPr/>
            </w:pPr>
            <w:r>
              <w:rPr/>
              <w:t> </w:t>
            </w:r>
            <w:bookmarkStart w:id="394" w:name="xdx_404_eus-gaap--DeferredFinanceCostsNe"/>
            <w:bookmarkEnd w:id="394"/>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financing costs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5" w:name="xdx_401_eus-gaap--ConvertibleNotesPayabl"/>
            <w:bookmarkEnd w:id="395"/>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10,526</w:t>
            </w:r>
          </w:p>
        </w:tc>
        <w:tc>
          <w:tcPr>
            <w:tcW w:w="110" w:type="dxa"/>
            <w:tcBorders/>
            <w:shd w:fill="FFFFFF" w:val="clear"/>
            <w:vAlign w:val="center"/>
          </w:tcPr>
          <w:p>
            <w:pPr>
              <w:pStyle w:val="TableContents"/>
              <w:bidi w:val="0"/>
              <w:spacing w:before="0" w:after="283"/>
              <w:jc w:val="left"/>
              <w:rPr/>
            </w:pPr>
            <w:r>
              <w:rPr/>
              <w:t> </w:t>
            </w:r>
            <w:bookmarkStart w:id="396" w:name="xdx_40E_eus-gaap--ConvertibleNotesPayabl"/>
            <w:bookmarkEnd w:id="396"/>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7" w:name="xdx_40E_eus-gaap--ConvertibleLongTermNot"/>
            <w:bookmarkEnd w:id="397"/>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 term portion</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8,092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8" w:name="xdx_8AD_zawGjvj1db3l"/>
      <w:bookmarkEnd w:id="398"/>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Secured Convertible Note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2022, the Company issued $</w:t>
      </w:r>
      <w:bookmarkStart w:id="399" w:name="xdx_906_eus-gaap--DebtInstrumentFaceAmou"/>
      <w:bookmarkEnd w:id="399"/>
      <w:r>
        <w:rPr>
          <w:rFonts w:ascii="Times New Roman;Times;Serif" w:hAnsi="Times New Roman;Times;Serif"/>
          <w:b w:val="false"/>
          <w:i w:val="false"/>
          <w:caps w:val="false"/>
          <w:smallCaps w:val="false"/>
          <w:sz w:val="20"/>
        </w:rPr>
        <w:t xml:space="preserve">11,250 of convertible notes payable to entities affiliated with Whitebox Advisors, LLC (collectively, “Whitebox”). </w:t>
      </w:r>
      <w:bookmarkStart w:id="400" w:name="xdx_90F_eus-gaap--DebtInstrumentInterest"/>
      <w:bookmarkEnd w:id="400"/>
      <w:r>
        <w:rPr>
          <w:rFonts w:ascii="Times New Roman;Times;Serif" w:hAnsi="Times New Roman;Times;Serif"/>
          <w:b w:val="false"/>
          <w:i w:val="false"/>
          <w:caps w:val="false"/>
          <w:smallCaps w:val="false"/>
          <w:sz w:val="20"/>
        </w:rPr>
        <w:t xml:space="preserve">The notes bear interest at a rate of </w:t>
      </w:r>
      <w:bookmarkStart w:id="401" w:name="xdx_902_eus-gaap--DebtInstrumentInterest"/>
      <w:bookmarkEnd w:id="401"/>
      <w:r>
        <w:rPr>
          <w:rFonts w:ascii="Times New Roman;Times;Serif" w:hAnsi="Times New Roman;Times;Serif"/>
          <w:b w:val="false"/>
          <w:i w:val="false"/>
          <w:caps w:val="false"/>
          <w:smallCaps w:val="false"/>
          <w:sz w:val="20"/>
        </w:rPr>
        <w:t xml:space="preserve">10% per annum (with 5% per annum payable in cash and 5% per annum payable in kind (“PIK”) by adding such PIK interest to the principal amount of the notes), are secured by substantially all of the Company’s assets (including all of its intellectual property) and are subject to a collateral sharing agreement with ACS, the Company’s existing secured lender (see Note 5). The notes mature on </w:t>
      </w:r>
      <w:bookmarkStart w:id="402" w:name="xdx_909_eus-gaap--DebtInstrumentMaturity"/>
      <w:bookmarkEnd w:id="402"/>
      <w:r>
        <w:rPr>
          <w:rFonts w:ascii="Times New Roman;Times;Serif" w:hAnsi="Times New Roman;Times;Serif"/>
          <w:b w:val="false"/>
          <w:i w:val="false"/>
          <w:caps w:val="false"/>
          <w:smallCaps w:val="false"/>
          <w:sz w:val="20"/>
        </w:rPr>
        <w:t>May 9, 2025. In September 2022, the Company issued an additional $</w:t>
      </w:r>
      <w:bookmarkStart w:id="403" w:name="xdx_903_eus-gaap--ConvertibleNotesPayabl"/>
      <w:bookmarkEnd w:id="403"/>
      <w:r>
        <w:rPr>
          <w:rFonts w:ascii="Times New Roman;Times;Serif" w:hAnsi="Times New Roman;Times;Serif"/>
          <w:b w:val="false"/>
          <w:i w:val="false"/>
          <w:caps w:val="false"/>
          <w:smallCaps w:val="false"/>
          <w:sz w:val="20"/>
        </w:rPr>
        <w:t>2,500 of convertible notes payable to Whitebox, which were repaid in full in November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August 2022, the convertible notes payable have an amortization feature which requires the Company to make monthly payments of principal of $</w:t>
      </w:r>
      <w:bookmarkStart w:id="404" w:name="xdx_902_eus-gaap--DebtInstrumentPeriodic"/>
      <w:bookmarkEnd w:id="404"/>
      <w:r>
        <w:rPr>
          <w:rFonts w:ascii="Times New Roman;Times;Serif" w:hAnsi="Times New Roman;Times;Serif"/>
          <w:b w:val="false"/>
          <w:i w:val="false"/>
          <w:caps w:val="false"/>
          <w:smallCaps w:val="false"/>
          <w:sz w:val="20"/>
        </w:rPr>
        <w:t xml:space="preserve">200 plus accrued interest, payable in cash or in shares of the Company’s common stock at the option of the Company, based on </w:t>
      </w:r>
      <w:bookmarkStart w:id="405" w:name="xdx_907_eus-gaap--DebtInstrumentConverti"/>
      <w:bookmarkEnd w:id="405"/>
      <w:r>
        <w:rPr>
          <w:rFonts w:ascii="Times New Roman;Times;Serif" w:hAnsi="Times New Roman;Times;Serif"/>
          <w:b w:val="false"/>
          <w:i w:val="false"/>
          <w:caps w:val="false"/>
          <w:smallCaps w:val="false"/>
          <w:sz w:val="20"/>
        </w:rPr>
        <w:t>90% of the average prices of the Company’s common stock, as defined. In February 2023, May 2023, and again in September 2023, Whitebox waived the requirement for the December 2022 to October 2023 monthly amortization payments, and they are to resume November 1, 2023. Remaining amortization payments of principal are scheduled to total approximately $</w:t>
      </w:r>
      <w:bookmarkStart w:id="406" w:name="xdx_90C_eus-gaap--LongTermDebtMaturities"/>
      <w:bookmarkEnd w:id="406"/>
      <w:r>
        <w:rPr>
          <w:rFonts w:ascii="Times New Roman;Times;Serif" w:hAnsi="Times New Roman;Times;Serif"/>
          <w:b w:val="false"/>
          <w:i w:val="false"/>
          <w:caps w:val="false"/>
          <w:smallCaps w:val="false"/>
          <w:sz w:val="20"/>
        </w:rPr>
        <w:t>400 in 2023, $</w:t>
      </w:r>
      <w:bookmarkStart w:id="407" w:name="xdx_90A_eus-gaap--LongTermDebtMaturities"/>
      <w:bookmarkEnd w:id="407"/>
      <w:r>
        <w:rPr>
          <w:rFonts w:ascii="Times New Roman;Times;Serif" w:hAnsi="Times New Roman;Times;Serif"/>
          <w:b w:val="false"/>
          <w:i w:val="false"/>
          <w:caps w:val="false"/>
          <w:smallCaps w:val="false"/>
          <w:sz w:val="20"/>
        </w:rPr>
        <w:t>2,400 in 2024, and $</w:t>
      </w:r>
      <w:bookmarkStart w:id="408" w:name="xdx_903_eus-gaap--LongTermDebtMaturities"/>
      <w:bookmarkEnd w:id="408"/>
      <w:r>
        <w:rPr>
          <w:rFonts w:ascii="Times New Roman;Times;Serif" w:hAnsi="Times New Roman;Times;Serif"/>
          <w:b w:val="false"/>
          <w:i w:val="false"/>
          <w:caps w:val="false"/>
          <w:smallCaps w:val="false"/>
          <w:sz w:val="20"/>
        </w:rPr>
        <w:t>1,000 in 2025, leaving a principal balance of the convertible notes of approximately $</w:t>
      </w:r>
      <w:bookmarkStart w:id="409" w:name="xdx_901_eus-gaap--ConvertibleNotesPayabl"/>
      <w:bookmarkEnd w:id="409"/>
      <w:r>
        <w:rPr>
          <w:rFonts w:ascii="Times New Roman;Times;Serif" w:hAnsi="Times New Roman;Times;Serif"/>
          <w:b w:val="false"/>
          <w:i w:val="false"/>
          <w:caps w:val="false"/>
          <w:smallCaps w:val="false"/>
          <w:sz w:val="20"/>
        </w:rPr>
        <w:t xml:space="preserve">7.9 million due at maturity on </w:t>
      </w:r>
      <w:bookmarkStart w:id="410" w:name="xdx_902_eus-gaap--DebtInstrumentInterest"/>
      <w:bookmarkEnd w:id="410"/>
      <w:r>
        <w:rPr>
          <w:rFonts w:ascii="Times New Roman;Times;Serif" w:hAnsi="Times New Roman;Times;Serif"/>
          <w:b w:val="false"/>
          <w:i w:val="false"/>
          <w:caps w:val="false"/>
          <w:smallCaps w:val="false"/>
          <w:sz w:val="20"/>
        </w:rPr>
        <w:t>May 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permit indebtedness to ASC (see Note 5) as an asset based loan (“ABL”) up to $</w:t>
      </w:r>
      <w:bookmarkStart w:id="411" w:name="xdx_902_eus-gaap--LoansPayable_iI_pn3n3_"/>
      <w:bookmarkEnd w:id="411"/>
      <w:r>
        <w:rPr>
          <w:rFonts w:ascii="Times New Roman;Times;Serif" w:hAnsi="Times New Roman;Times;Serif"/>
          <w:b w:val="false"/>
          <w:i w:val="false"/>
          <w:caps w:val="false"/>
          <w:smallCaps w:val="false"/>
          <w:sz w:val="20"/>
        </w:rPr>
        <w:t>8,000. In February 2023, May 2023 and again in September 2023, Whitebox waived the Company’s covenant violation of excess ABL amounts and deferred payment of such ABL fees. At September 30, 2023, the excess ABL fees totaled $</w:t>
      </w:r>
      <w:bookmarkStart w:id="412" w:name="xdx_908_eus-gaap--DebtInstrumentFeeAmoun"/>
      <w:bookmarkEnd w:id="412"/>
      <w:r>
        <w:rPr>
          <w:rFonts w:ascii="Times New Roman;Times;Serif" w:hAnsi="Times New Roman;Times;Serif"/>
          <w:b w:val="false"/>
          <w:i w:val="false"/>
          <w:caps w:val="false"/>
          <w:smallCaps w:val="false"/>
          <w:sz w:val="20"/>
        </w:rPr>
        <w:t xml:space="preserve">2,152 and are due </w:t>
      </w:r>
      <w:bookmarkStart w:id="413" w:name="xdx_903_eus-gaap--DebtInstrumentInterest"/>
      <w:bookmarkEnd w:id="413"/>
      <w:r>
        <w:rPr>
          <w:rFonts w:ascii="Times New Roman;Times;Serif" w:hAnsi="Times New Roman;Times;Serif"/>
          <w:b w:val="false"/>
          <w:i w:val="false"/>
          <w:caps w:val="false"/>
          <w:smallCaps w:val="false"/>
          <w:sz w:val="20"/>
        </w:rPr>
        <w:t>November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experiences a fundamental change as defined in the convertible notes, the holders of the notes have the right to require the Company to repurchase the notes for cash at a repurchase price equal to </w:t>
      </w:r>
      <w:bookmarkStart w:id="414" w:name="xdx_905_ecustom--RepurchasePricePercenta"/>
      <w:bookmarkEnd w:id="414"/>
      <w:r>
        <w:rPr>
          <w:rFonts w:ascii="Times New Roman;Times;Serif" w:hAnsi="Times New Roman;Times;Serif"/>
          <w:b w:val="false"/>
          <w:i w:val="false"/>
          <w:caps w:val="false"/>
          <w:smallCaps w:val="false"/>
          <w:sz w:val="20"/>
        </w:rPr>
        <w:t>110% (amended from 100%) of the principal amount, plus accrued interest, and among other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2022, the principal balance of the Notes was $</w:t>
      </w:r>
      <w:bookmarkStart w:id="415" w:name="xdx_90C_eus-gaap--DebtInstrumentFaceAmou"/>
      <w:bookmarkEnd w:id="415"/>
      <w:r>
        <w:rPr>
          <w:rFonts w:ascii="Times New Roman;Times;Serif" w:hAnsi="Times New Roman;Times;Serif"/>
          <w:b w:val="false"/>
          <w:i w:val="false"/>
          <w:caps w:val="false"/>
          <w:smallCaps w:val="false"/>
          <w:sz w:val="20"/>
        </w:rPr>
        <w:t>10,450. In February 2023 and May 2023, the Company issued an aggregate of $</w:t>
      </w:r>
      <w:bookmarkStart w:id="416" w:name="xdx_905_eus-gaap--ConvertibleNotesPayabl"/>
      <w:bookmarkStart w:id="417" w:name="xdx_90F_eus-gaap--ConvertibleNotesPayabl"/>
      <w:bookmarkEnd w:id="416"/>
      <w:bookmarkEnd w:id="417"/>
      <w:r>
        <w:rPr>
          <w:rFonts w:ascii="Times New Roman;Times;Serif" w:hAnsi="Times New Roman;Times;Serif"/>
          <w:b w:val="false"/>
          <w:i w:val="false"/>
          <w:caps w:val="false"/>
          <w:smallCaps w:val="false"/>
          <w:sz w:val="20"/>
        </w:rPr>
        <w:t>4,050 of additional convertible notes to Whitebox that substantially have the same terms as the notes issued in May 2022, except the $</w:t>
      </w:r>
      <w:bookmarkStart w:id="418" w:name="xdx_908_eus-gaap--ConvertibleNotesPayabl"/>
      <w:bookmarkEnd w:id="418"/>
      <w:r>
        <w:rPr>
          <w:rFonts w:ascii="Times New Roman;Times;Serif" w:hAnsi="Times New Roman;Times;Serif"/>
          <w:b w:val="false"/>
          <w:i w:val="false"/>
          <w:caps w:val="false"/>
          <w:smallCaps w:val="false"/>
          <w:sz w:val="20"/>
        </w:rPr>
        <w:t xml:space="preserve">4,050 convertible notes do not require any amortization payments, and are due </w:t>
      </w:r>
      <w:bookmarkStart w:id="419" w:name="xdx_90A_eus-gaap--DebtInstrumentInterest"/>
      <w:bookmarkEnd w:id="419"/>
      <w:r>
        <w:rPr>
          <w:rFonts w:ascii="Times New Roman;Times;Serif" w:hAnsi="Times New Roman;Times;Serif"/>
          <w:b w:val="false"/>
          <w:i w:val="false"/>
          <w:caps w:val="false"/>
          <w:smallCaps w:val="false"/>
          <w:sz w:val="20"/>
        </w:rPr>
        <w:t>November 28, 2023. At September 30, 2023, the balance of all convertible notes payable to Whitebox was $</w:t>
      </w:r>
      <w:bookmarkStart w:id="420" w:name="xdx_90D_eus-gaap--ConvertibleNotesPayabl"/>
      <w:bookmarkEnd w:id="420"/>
      <w:r>
        <w:rPr>
          <w:rFonts w:ascii="Times New Roman;Times;Serif" w:hAnsi="Times New Roman;Times;Serif"/>
          <w:b w:val="false"/>
          <w:i w:val="false"/>
          <w:caps w:val="false"/>
          <w:smallCaps w:val="false"/>
          <w:sz w:val="20"/>
        </w:rPr>
        <w:t>14,500.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2022, the balance of accrued interest was $</w:t>
      </w:r>
      <w:bookmarkStart w:id="421" w:name="xdx_90F_eus-gaap--InterestPayableCurrent"/>
      <w:bookmarkEnd w:id="421"/>
      <w:r>
        <w:rPr>
          <w:rFonts w:ascii="Times New Roman;Times;Serif" w:hAnsi="Times New Roman;Times;Serif"/>
          <w:b w:val="false"/>
          <w:i w:val="false"/>
          <w:caps w:val="false"/>
          <w:smallCaps w:val="false"/>
          <w:sz w:val="20"/>
        </w:rPr>
        <w:t>1,052. During the nine months ended September 30, 2023, the Company recorded interest of $</w:t>
      </w:r>
      <w:bookmarkStart w:id="422" w:name="xdx_90A_eus-gaap--InterestExpenseDebt_pn"/>
      <w:bookmarkEnd w:id="422"/>
      <w:r>
        <w:rPr>
          <w:rFonts w:ascii="Times New Roman;Times;Serif" w:hAnsi="Times New Roman;Times;Serif"/>
          <w:b w:val="false"/>
          <w:i w:val="false"/>
          <w:caps w:val="false"/>
          <w:smallCaps w:val="false"/>
          <w:sz w:val="20"/>
        </w:rPr>
        <w:t>2,483, made up of $</w:t>
      </w:r>
      <w:bookmarkStart w:id="423" w:name="xdx_90A_ecustom--InterestOnConvertibleNo"/>
      <w:bookmarkEnd w:id="423"/>
      <w:r>
        <w:rPr>
          <w:rFonts w:ascii="Times New Roman;Times;Serif" w:hAnsi="Times New Roman;Times;Serif"/>
          <w:b w:val="false"/>
          <w:i w:val="false"/>
          <w:caps w:val="false"/>
          <w:smallCaps w:val="false"/>
          <w:sz w:val="20"/>
        </w:rPr>
        <w:t>979 of interest on the convertible notes, and $</w:t>
      </w:r>
      <w:bookmarkStart w:id="424" w:name="xdx_900_ecustom--ExcessOfAssetBaseLoanFe"/>
      <w:bookmarkEnd w:id="424"/>
      <w:r>
        <w:rPr>
          <w:rFonts w:ascii="Times New Roman;Times;Serif" w:hAnsi="Times New Roman;Times;Serif"/>
          <w:b w:val="false"/>
          <w:i w:val="false"/>
          <w:caps w:val="false"/>
          <w:smallCaps w:val="false"/>
          <w:sz w:val="20"/>
        </w:rPr>
        <w:t>1,504 related to the excess ABL fees. In addition, accrued interest of $</w:t>
      </w:r>
      <w:bookmarkStart w:id="425" w:name="xdx_904_ecustom--AccruedInterestPaid_pn3"/>
      <w:bookmarkEnd w:id="425"/>
      <w:r>
        <w:rPr>
          <w:rFonts w:ascii="Times New Roman;Times;Serif" w:hAnsi="Times New Roman;Times;Serif"/>
          <w:b w:val="false"/>
          <w:i w:val="false"/>
          <w:caps w:val="false"/>
          <w:smallCaps w:val="false"/>
          <w:sz w:val="20"/>
        </w:rPr>
        <w:t>268 was paid. At September 30, 2023, the balance of accrued interest was $</w:t>
      </w:r>
      <w:bookmarkStart w:id="426" w:name="xdx_903_eus-gaap--InterestPayableCurrent"/>
      <w:bookmarkEnd w:id="426"/>
      <w:r>
        <w:rPr>
          <w:rFonts w:ascii="Times New Roman;Times;Serif" w:hAnsi="Times New Roman;Times;Serif"/>
          <w:b w:val="false"/>
          <w:i w:val="false"/>
          <w:caps w:val="false"/>
          <w:smallCaps w:val="false"/>
          <w:sz w:val="20"/>
        </w:rPr>
        <w:t>3,267.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2022, the unamortized debt discount was $</w:t>
      </w:r>
      <w:bookmarkStart w:id="427" w:name="xdx_90C_eus-gaap--DebtInstrumentUnamorti"/>
      <w:bookmarkEnd w:id="427"/>
      <w:r>
        <w:rPr>
          <w:rFonts w:ascii="Times New Roman;Times;Serif" w:hAnsi="Times New Roman;Times;Serif"/>
          <w:b w:val="false"/>
          <w:i w:val="false"/>
          <w:caps w:val="false"/>
          <w:smallCaps w:val="false"/>
          <w:sz w:val="20"/>
        </w:rPr>
        <w:t>976. During the nine months ended September 30, 2023, the Company incurred $</w:t>
      </w:r>
      <w:bookmarkStart w:id="428" w:name="xdx_901_ecustom--DirectCostsOfIssuingLoa"/>
      <w:bookmarkEnd w:id="428"/>
      <w:r>
        <w:rPr>
          <w:rFonts w:ascii="Times New Roman;Times;Serif" w:hAnsi="Times New Roman;Times;Serif"/>
          <w:b w:val="false"/>
          <w:i w:val="false"/>
          <w:caps w:val="false"/>
          <w:smallCaps w:val="false"/>
          <w:sz w:val="20"/>
        </w:rPr>
        <w:t xml:space="preserve">253 of direct costs of issuing loans and issued </w:t>
      </w:r>
      <w:bookmarkStart w:id="429" w:name="xdx_90A_ecustom--CommonSharesIssuedForFi"/>
      <w:bookmarkEnd w:id="429"/>
      <w:r>
        <w:rPr>
          <w:rFonts w:ascii="Times New Roman;Times;Serif" w:hAnsi="Times New Roman;Times;Serif"/>
          <w:b w:val="false"/>
          <w:i w:val="false"/>
          <w:caps w:val="false"/>
          <w:smallCaps w:val="false"/>
          <w:sz w:val="20"/>
        </w:rPr>
        <w:t>82,438 shares of the Company’s common stock valued at $</w:t>
      </w:r>
      <w:bookmarkStart w:id="430" w:name="xdx_90F_ecustom--CommonSharesIssuedForFi"/>
      <w:bookmarkEnd w:id="430"/>
      <w:r>
        <w:rPr>
          <w:rFonts w:ascii="Times New Roman;Times;Serif" w:hAnsi="Times New Roman;Times;Serif"/>
          <w:b w:val="false"/>
          <w:i w:val="false"/>
          <w:caps w:val="false"/>
          <w:smallCaps w:val="false"/>
          <w:sz w:val="20"/>
        </w:rPr>
        <w:t>273 as inducement for the aforementioned waivers. These costs have been capitalized and are being amortized over the term of the convertible notes or waiver period. For the nine months ended September 30, 2023, amortization of debt discount was $</w:t>
      </w:r>
      <w:bookmarkStart w:id="431" w:name="xdx_905_eus-gaap--AmortizationOfDebtDisc"/>
      <w:bookmarkEnd w:id="431"/>
      <w:r>
        <w:rPr>
          <w:rFonts w:ascii="Times New Roman;Times;Serif" w:hAnsi="Times New Roman;Times;Serif"/>
          <w:b w:val="false"/>
          <w:i w:val="false"/>
          <w:caps w:val="false"/>
          <w:smallCaps w:val="false"/>
          <w:sz w:val="20"/>
        </w:rPr>
        <w:t>820, and as of September 30, 2023, the remaining unamortized debt discount balance is $</w:t>
      </w:r>
      <w:bookmarkStart w:id="432" w:name="xdx_902_eus-gaap--DebtInstrumentUnamorti"/>
      <w:bookmarkEnd w:id="432"/>
      <w:r>
        <w:rPr>
          <w:rFonts w:ascii="Times New Roman;Times;Serif" w:hAnsi="Times New Roman;Times;Serif"/>
          <w:b w:val="false"/>
          <w:i w:val="false"/>
          <w:caps w:val="false"/>
          <w:smallCaps w:val="false"/>
          <w:sz w:val="20"/>
        </w:rPr>
        <w:t>666.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3" w:name="xdx_90D_eus-gaap--DebtConversionConverte"/>
      <w:bookmarkEnd w:id="433"/>
      <w:r>
        <w:rPr>
          <w:rFonts w:ascii="Times New Roman;Times;Serif" w:hAnsi="Times New Roman;Times;Serif"/>
          <w:b w:val="false"/>
          <w:i w:val="false"/>
          <w:caps w:val="false"/>
          <w:smallCaps w:val="false"/>
          <w:sz w:val="20"/>
        </w:rPr>
        <w:t>The convertible notes are convertible at an initial conversion rate of 0.08306 shares of the Company’s common stock per one dollar of principal converted, or approximately $12.04 per share, subject to customary anti-dilution adjustments. In addition, if certain corporate events occur that constitute a make-whole fundamental change as defined, then the note holders are, under certain circumstances, are entitled to an increase in the conversion rate, limited to 0.12155 shares of Common Stock per one dollar of principal, or approximately $8.23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conversion, holders of the convertible notes are entitled to receive an interest make-whole payment, as defined. The make-whole amount is equal to the sum of the remaining scheduled payments of interest on the convertible notes to be converted that would be due at maturity, payable, at the Company’s option in cash or in shares of common stock. The Company’s ability to settle conversions and make amortization payments and interest make-whole payments using shares of the Company’s common stock is subject to certain limitations set forth in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September 30, 2023, the Notes, including accrued interest, are convertible into </w:t>
      </w:r>
      <w:bookmarkStart w:id="434" w:name="xdx_90A_eus-gaap--DebtConversionConverte"/>
      <w:bookmarkEnd w:id="434"/>
      <w:r>
        <w:rPr>
          <w:rFonts w:ascii="Times New Roman;Times;Serif" w:hAnsi="Times New Roman;Times;Serif"/>
          <w:b w:val="false"/>
          <w:i w:val="false"/>
          <w:caps w:val="false"/>
          <w:smallCaps w:val="false"/>
          <w:sz w:val="20"/>
        </w:rPr>
        <w:t>1,475,725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clarity, under the terms of the Notes, a holder may not convert or be issued shares of common stock to the extent such conversion or issuance would cause such holder, together with its affiliates and attribution parties and any group of which it is a member, to beneficially own a number of shares of common stock which would exceed 9.9% of our then outstanding common stock following such conversion or issuance.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registration rights agreement with Whitebox dated May 9, 2023 pursuant to which the Company registered for resale by holders all shares potentially issuable upon conversion of, or in satisfaction of amortization or interest make-whole payments with respect to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5" w:name="xdx_804_eus-gaap--LesseeOperatingLeasesT"/>
      <w:bookmarkEnd w:id="435"/>
      <w:r>
        <w:rPr>
          <w:rFonts w:ascii="Times New Roman;Times;Serif" w:hAnsi="Times New Roman;Times;Serif"/>
          <w:b/>
          <w:i w:val="false"/>
          <w:caps w:val="false"/>
          <w:smallCaps w:val="false"/>
          <w:sz w:val="20"/>
        </w:rPr>
        <w:t xml:space="preserve">7. </w:t>
      </w:r>
      <w:bookmarkStart w:id="436" w:name="xdx_820_zEYSi2qNuSJc"/>
      <w:bookmarkEnd w:id="436"/>
      <w:r>
        <w:rPr>
          <w:rFonts w:ascii="Times New Roman;Times;Serif" w:hAnsi="Times New Roman;Times;Serif"/>
          <w:b/>
          <w:i w:val="false"/>
          <w:caps w:val="false"/>
          <w:smallCaps w:val="false"/>
          <w:sz w:val="20"/>
        </w:rPr>
        <w:t xml:space="preserve">Leases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2023 and 2022, lease costs totaled $</w:t>
      </w:r>
      <w:bookmarkStart w:id="437" w:name="xdx_90F_eus-gaap--LeaseCost_pn3n3_c20230"/>
      <w:bookmarkEnd w:id="437"/>
      <w:r>
        <w:rPr>
          <w:rFonts w:ascii="Times New Roman;Times;Serif" w:hAnsi="Times New Roman;Times;Serif"/>
          <w:b w:val="false"/>
          <w:i w:val="false"/>
          <w:caps w:val="false"/>
          <w:smallCaps w:val="false"/>
          <w:sz w:val="20"/>
        </w:rPr>
        <w:t>67 and $</w:t>
      </w:r>
      <w:bookmarkStart w:id="438" w:name="xdx_90B_eus-gaap--LeaseCost_pn3n3_c20220"/>
      <w:bookmarkEnd w:id="438"/>
      <w:r>
        <w:rPr>
          <w:rFonts w:ascii="Times New Roman;Times;Serif" w:hAnsi="Times New Roman;Times;Serif"/>
          <w:b w:val="false"/>
          <w:i w:val="false"/>
          <w:caps w:val="false"/>
          <w:smallCaps w:val="false"/>
          <w:sz w:val="20"/>
        </w:rPr>
        <w:t>56,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operating lease liability totaled $</w:t>
      </w:r>
      <w:bookmarkStart w:id="439" w:name="xdx_905_eus-gaap--OperatingLeaseLiabilit"/>
      <w:bookmarkEnd w:id="439"/>
      <w:r>
        <w:rPr>
          <w:rFonts w:ascii="Times New Roman;Times;Serif" w:hAnsi="Times New Roman;Times;Serif"/>
          <w:b w:val="false"/>
          <w:i w:val="false"/>
          <w:caps w:val="false"/>
          <w:smallCaps w:val="false"/>
          <w:sz w:val="20"/>
        </w:rPr>
        <w:t>394. During the nine months ended September 30, 2023, the Company made payments of $</w:t>
      </w:r>
      <w:bookmarkStart w:id="440" w:name="xdx_902_eus-gaap--OperatingLeasePayments"/>
      <w:bookmarkEnd w:id="440"/>
      <w:r>
        <w:rPr>
          <w:rFonts w:ascii="Times New Roman;Times;Serif" w:hAnsi="Times New Roman;Times;Serif"/>
          <w:b w:val="false"/>
          <w:i w:val="false"/>
          <w:caps w:val="false"/>
          <w:smallCaps w:val="false"/>
          <w:sz w:val="20"/>
        </w:rPr>
        <w:t>138 towards its operating lease liability. As of September 30, 2023, the operating lease liability totaled $</w:t>
      </w:r>
      <w:bookmarkStart w:id="441" w:name="xdx_904_eus-gaap--OperatingLeaseLiabilit"/>
      <w:bookmarkEnd w:id="441"/>
      <w:r>
        <w:rPr>
          <w:rFonts w:ascii="Times New Roman;Times;Serif" w:hAnsi="Times New Roman;Times;Serif"/>
          <w:b w:val="false"/>
          <w:i w:val="false"/>
          <w:caps w:val="false"/>
          <w:smallCaps w:val="false"/>
          <w:sz w:val="20"/>
        </w:rPr>
        <w:t>256.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2023, the weighted average remaining lease terms for an operating lease are </w:t>
      </w:r>
      <w:bookmarkStart w:id="442" w:name="xdx_901_eus-gaap--OperatingLeaseWeighted"/>
      <w:bookmarkEnd w:id="442"/>
      <w:r>
        <w:rPr>
          <w:rFonts w:ascii="Times New Roman;Times;Serif" w:hAnsi="Times New Roman;Times;Serif"/>
          <w:b w:val="false"/>
          <w:i w:val="false"/>
          <w:caps w:val="false"/>
          <w:smallCaps w:val="false"/>
          <w:sz w:val="20"/>
        </w:rPr>
        <w:t xml:space="preserve">1.25 years. As of September 30, 2023, the weighted average discount rate on the operating lease is </w:t>
      </w:r>
      <w:bookmarkStart w:id="443" w:name="xdx_908_eus-gaap--OperatingLeaseWeighted"/>
      <w:bookmarkEnd w:id="443"/>
      <w:r>
        <w:rPr>
          <w:rFonts w:ascii="Times New Roman;Times;Serif" w:hAnsi="Times New Roman;Times;Serif"/>
          <w:b w:val="false"/>
          <w:i w:val="false"/>
          <w:caps w:val="false"/>
          <w:smallCaps w:val="false"/>
          <w:sz w:val="20"/>
        </w:rPr>
        <w:t>12.60%.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4" w:name="xdx_80E_eus-gaap--StockholdersEquityNote"/>
      <w:bookmarkEnd w:id="444"/>
      <w:r>
        <w:rPr>
          <w:rFonts w:ascii="Times New Roman;Times;Serif" w:hAnsi="Times New Roman;Times;Serif"/>
          <w:b/>
          <w:i w:val="false"/>
          <w:caps w:val="false"/>
          <w:smallCaps w:val="false"/>
          <w:sz w:val="20"/>
        </w:rPr>
        <w:t xml:space="preserve">8. </w:t>
      </w:r>
      <w:bookmarkStart w:id="445" w:name="xdx_82D_zwZBzX9HEra6"/>
      <w:bookmarkEnd w:id="445"/>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Common 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25, 2023, the Company entered into a Securities Purchase Agreement with D&amp;D Source of Life Holding Ltd., as the lead investor, and certain of Reed’s affiliates pursuant to which the investors agreed to purchase an aggregate of </w:t>
      </w:r>
      <w:bookmarkStart w:id="446" w:name="xdx_90F_eus-gaap--StockIssuedDuringPerio"/>
      <w:bookmarkEnd w:id="446"/>
      <w:r>
        <w:rPr>
          <w:rFonts w:ascii="Times New Roman;Times;Serif" w:hAnsi="Times New Roman;Times;Serif"/>
          <w:b w:val="false"/>
          <w:i w:val="false"/>
          <w:caps w:val="false"/>
          <w:smallCaps w:val="false"/>
          <w:sz w:val="20"/>
        </w:rPr>
        <w:t xml:space="preserve">1,566,732 shares of Reed’s common stock and warrants to purchase </w:t>
      </w:r>
      <w:bookmarkStart w:id="447" w:name="xdx_905_eus-gaap--ClassOfWarrantOrRightN"/>
      <w:bookmarkEnd w:id="447"/>
      <w:r>
        <w:rPr>
          <w:rFonts w:ascii="Times New Roman;Times;Serif" w:hAnsi="Times New Roman;Times;Serif"/>
          <w:b w:val="false"/>
          <w:i w:val="false"/>
          <w:caps w:val="false"/>
          <w:smallCaps w:val="false"/>
          <w:sz w:val="20"/>
        </w:rPr>
        <w:t>313,346 shares of Common Stock. The purchase price was $</w:t>
      </w:r>
      <w:bookmarkStart w:id="448" w:name="xdx_90D_eus-gaap--SharePrice_iI_pid_c202"/>
      <w:bookmarkEnd w:id="448"/>
      <w:r>
        <w:rPr>
          <w:rFonts w:ascii="Times New Roman;Times;Serif" w:hAnsi="Times New Roman;Times;Serif"/>
          <w:b w:val="false"/>
          <w:i w:val="false"/>
          <w:caps w:val="false"/>
          <w:smallCaps w:val="false"/>
          <w:sz w:val="20"/>
        </w:rPr>
        <w:t>2.585 per share of Common Stock with the associated warrant. The net proceeds to the Company, after deducting offering expenses, was $</w:t>
      </w:r>
      <w:bookmarkStart w:id="449" w:name="xdx_90E_eus-gaap--ProceedsFromIssuanceOf"/>
      <w:bookmarkEnd w:id="449"/>
      <w:r>
        <w:rPr>
          <w:rFonts w:ascii="Times New Roman;Times;Serif" w:hAnsi="Times New Roman;Times;Serif"/>
          <w:b w:val="false"/>
          <w:i w:val="false"/>
          <w:caps w:val="false"/>
          <w:smallCaps w:val="false"/>
          <w:sz w:val="20"/>
        </w:rPr>
        <w:t>4,016. The warrants are exercisable for a term of three years at an exercise price of $</w:t>
      </w:r>
      <w:bookmarkStart w:id="450" w:name="xdx_90C_eus-gaap--ClassOfWarrantOrRightE"/>
      <w:bookmarkEnd w:id="450"/>
      <w:r>
        <w:rPr>
          <w:rFonts w:ascii="Times New Roman;Times;Serif" w:hAnsi="Times New Roman;Times;Serif"/>
          <w:b w:val="false"/>
          <w:i w:val="false"/>
          <w:caps w:val="false"/>
          <w:smallCaps w:val="false"/>
          <w:sz w:val="20"/>
        </w:rPr>
        <w:t>2.50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2023, in order to induce the lead investor to subscribe, the Company granted the lead investor certain preemptive rights and agreed to support the lead investor’s nomination of two board designees, one of which shall be an independent director.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Common stock repurchases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2023, the Company repurchased </w:t>
      </w:r>
      <w:bookmarkStart w:id="451" w:name="xdx_90C_eus-gaap--StockRepurchasedDuring"/>
      <w:bookmarkEnd w:id="451"/>
      <w:r>
        <w:rPr>
          <w:rFonts w:ascii="Times New Roman;Times;Serif" w:hAnsi="Times New Roman;Times;Serif"/>
          <w:b w:val="false"/>
          <w:i w:val="false"/>
          <w:caps w:val="false"/>
          <w:smallCaps w:val="false"/>
          <w:sz w:val="20"/>
        </w:rPr>
        <w:t>274 shares of common stock from an officer for $</w:t>
      </w:r>
      <w:bookmarkStart w:id="452" w:name="xdx_908_eus-gaap--StockRepurchasedDuring"/>
      <w:bookmarkEnd w:id="452"/>
      <w:r>
        <w:rPr>
          <w:rFonts w:ascii="Times New Roman;Times;Serif" w:hAnsi="Times New Roman;Times;Serif"/>
          <w:b w:val="false"/>
          <w:i w:val="false"/>
          <w:caps w:val="false"/>
          <w:smallCaps w:val="false"/>
          <w:sz w:val="20"/>
        </w:rPr>
        <w:t>1 based on the market value of share on the date repurchased. The Company retired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3" w:name="xdx_80F_eus-gaap--DisclosureOfCompensati"/>
      <w:bookmarkEnd w:id="453"/>
      <w:r>
        <w:rPr>
          <w:rFonts w:ascii="Times New Roman;Times;Serif" w:hAnsi="Times New Roman;Times;Serif"/>
          <w:b/>
          <w:i w:val="false"/>
          <w:caps w:val="false"/>
          <w:smallCaps w:val="false"/>
          <w:sz w:val="20"/>
        </w:rPr>
        <w:t xml:space="preserve">9. </w:t>
      </w:r>
      <w:bookmarkStart w:id="454" w:name="xdx_822_zTIofggPpnO2"/>
      <w:bookmarkEnd w:id="454"/>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Restricted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5" w:name="xdx_89A_eus-gaap--NonvestedRestrictedSto"/>
      <w:bookmarkEnd w:id="455"/>
      <w:r>
        <w:rPr>
          <w:rFonts w:ascii="Times New Roman;Times;Serif" w:hAnsi="Times New Roman;Times;Serif"/>
          <w:b w:val="false"/>
          <w:i w:val="false"/>
          <w:caps w:val="false"/>
          <w:smallCaps w:val="false"/>
          <w:sz w:val="20"/>
        </w:rPr>
        <w:t>The following table summarizes restricted stock activity during the nine months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6" w:name="xdx_8B1_zdpwBoD9t8B9"/>
      <w:bookmarkEnd w:id="456"/>
      <w:r>
        <w:rPr>
          <w:rFonts w:ascii="Times New Roman;Times;Serif" w:hAnsi="Times New Roman;Times;Serif"/>
          <w:b w:val="false"/>
          <w:i w:val="false"/>
          <w:caps w:val="false"/>
          <w:smallCaps w:val="false"/>
          <w:sz w:val="20"/>
        </w:rPr>
        <w:t>Summary of Non-vested Restricted Stock Activity</w:t>
      </w:r>
    </w:p>
    <w:tbl>
      <w:tblPr>
        <w:tblW w:w="7525" w:type="dxa"/>
        <w:jc w:val="left"/>
        <w:tblInd w:w="0" w:type="dxa"/>
        <w:tblLayout w:type="fixed"/>
        <w:tblCellMar>
          <w:top w:w="0" w:type="dxa"/>
          <w:left w:w="0" w:type="dxa"/>
          <w:bottom w:w="0" w:type="dxa"/>
          <w:right w:w="0" w:type="dxa"/>
        </w:tblCellMar>
      </w:tblPr>
      <w:tblGrid>
        <w:gridCol w:w="2825"/>
        <w:gridCol w:w="60"/>
        <w:gridCol w:w="93"/>
        <w:gridCol w:w="872"/>
        <w:gridCol w:w="95"/>
        <w:gridCol w:w="60"/>
        <w:gridCol w:w="98"/>
        <w:gridCol w:w="747"/>
        <w:gridCol w:w="95"/>
        <w:gridCol w:w="60"/>
        <w:gridCol w:w="223"/>
        <w:gridCol w:w="892"/>
        <w:gridCol w:w="95"/>
        <w:gridCol w:w="60"/>
        <w:gridCol w:w="235"/>
        <w:gridCol w:w="940"/>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Unvested</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Issuable</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br/>
              <w:t>at Date of</w:t>
              <w:br/>
              <w:t>Issuance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w:t>
              <w:br/>
              <w:t xml:space="preserve">Average </w:t>
              <w:br/>
              <w:t>Grant Date</w:t>
              <w:br/>
              <w:t>Fair Value</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December 31, 2022</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bookmarkStart w:id="457" w:name="xdx_986_eus-gaap--SharebasedCompensation"/>
            <w:bookmarkEnd w:id="457"/>
          </w:p>
        </w:tc>
        <w:tc>
          <w:tcPr>
            <w:tcW w:w="8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bookmarkStart w:id="458" w:name="xdx_983_ecustom--SharebasedCompensationA"/>
            <w:bookmarkEnd w:id="458"/>
          </w:p>
        </w:tc>
        <w:tc>
          <w:tcPr>
            <w:tcW w:w="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9" w:name="xdx_986_ecustom--SharebasedCompensationA"/>
            <w:bookmarkEnd w:id="459"/>
          </w:p>
        </w:tc>
        <w:tc>
          <w:tcPr>
            <w:tcW w:w="8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bookmarkStart w:id="460" w:name="xdx_984_eus-gaap--SharebasedCompensation"/>
            <w:bookmarkEnd w:id="460"/>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44.75</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bookmarkStart w:id="461" w:name="xdx_98B_ecustom--ShareBasedCompensationA"/>
            <w:bookmarkEnd w:id="461"/>
          </w:p>
        </w:tc>
        <w:tc>
          <w:tcPr>
            <w:tcW w:w="8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bookmarkStart w:id="462" w:name="xdx_980_ecustom--ShareBasedCompensationA"/>
            <w:bookmarkEnd w:id="462"/>
          </w:p>
        </w:tc>
        <w:tc>
          <w:tcPr>
            <w:tcW w:w="7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bookmarkStart w:id="463" w:name="xdx_98B_ecustom--SharebasedCompensationA"/>
            <w:bookmarkEnd w:id="463"/>
          </w:p>
        </w:tc>
        <w:tc>
          <w:tcPr>
            <w:tcW w:w="8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bookmarkStart w:id="464" w:name="xdx_98A_eus-gaap--SharebasedCompensation"/>
            <w:bookmarkEnd w:id="464"/>
          </w:p>
        </w:tc>
        <w:tc>
          <w:tcPr>
            <w:tcW w:w="8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bookmarkStart w:id="465" w:name="xdx_983_ecustom--SharebasedCompensationA"/>
            <w:bookmarkEnd w:id="465"/>
          </w:p>
        </w:tc>
        <w:tc>
          <w:tcPr>
            <w:tcW w:w="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bookmarkStart w:id="466" w:name="xdx_985_eus-gaap--SharebasedCompensation"/>
            <w:bookmarkEnd w:id="466"/>
          </w:p>
        </w:tc>
        <w:tc>
          <w:tcPr>
            <w:tcW w:w="8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bookmarkStart w:id="467" w:name="xdx_987_eus-gaap--SharebasedCompensation"/>
            <w:bookmarkEnd w:id="467"/>
          </w:p>
        </w:tc>
        <w:tc>
          <w:tcPr>
            <w:tcW w:w="8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bookmarkStart w:id="468" w:name="xdx_985_ecustom--ShareBasedCompensationA"/>
            <w:bookmarkEnd w:id="468"/>
          </w:p>
        </w:tc>
        <w:tc>
          <w:tcPr>
            <w:tcW w:w="7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bookmarkStart w:id="469" w:name="xdx_987_ecustom--SharebasedCompensationA"/>
            <w:bookmarkEnd w:id="469"/>
          </w:p>
        </w:tc>
        <w:tc>
          <w:tcPr>
            <w:tcW w:w="8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70" w:name="xdx_98C_eus-gaap--ShareBasedCompensation"/>
            <w:bookmarkEnd w:id="470"/>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71" w:name="xdx_98F_ecustom--ShareBasedCompensationA"/>
            <w:bookmarkEnd w:id="471"/>
          </w:p>
        </w:tc>
        <w:tc>
          <w:tcPr>
            <w:tcW w:w="74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72" w:name="xdx_98E_ecustom--SharebasedCompensationA"/>
            <w:bookmarkEnd w:id="472"/>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2023</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73" w:name="xdx_981_eus-gaap--SharebasedCompensation"/>
            <w:bookmarkEnd w:id="473"/>
          </w:p>
        </w:tc>
        <w:tc>
          <w:tcPr>
            <w:tcW w:w="8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74" w:name="xdx_98B_ecustom--SharebasedCompensationA"/>
            <w:bookmarkEnd w:id="474"/>
          </w:p>
        </w:tc>
        <w:tc>
          <w:tcPr>
            <w:tcW w:w="7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75" w:name="xdx_987_ecustom--SharebasedCompensationA"/>
            <w:bookmarkEnd w:id="475"/>
          </w:p>
        </w:tc>
        <w:tc>
          <w:tcPr>
            <w:tcW w:w="8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76" w:name="xdx_98A_eus-gaap--SharebasedCompensation"/>
            <w:bookmarkEnd w:id="476"/>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7" w:name="xdx_8AB_zxnvkFjliGn3"/>
      <w:bookmarkEnd w:id="4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restricted common stock vesting during the nine months ended September 30, 2023 and 2022, was $</w:t>
      </w:r>
      <w:bookmarkStart w:id="478" w:name="xdx_903_eus-gaap--StockIssuedDuringPerio"/>
      <w:bookmarkEnd w:id="478"/>
      <w:r>
        <w:rPr>
          <w:rFonts w:ascii="Times New Roman;Times;Serif" w:hAnsi="Times New Roman;Times;Serif"/>
          <w:b w:val="false"/>
          <w:i w:val="false"/>
          <w:caps w:val="false"/>
          <w:smallCaps w:val="false"/>
          <w:sz w:val="20"/>
        </w:rPr>
        <w:t>3 and $</w:t>
      </w:r>
      <w:bookmarkStart w:id="479" w:name="xdx_90C_eus-gaap--StockIssuedDuringPerio"/>
      <w:bookmarkEnd w:id="479"/>
      <w:r>
        <w:rPr>
          <w:rFonts w:ascii="Times New Roman;Times;Serif" w:hAnsi="Times New Roman;Times;Serif"/>
          <w:b w:val="false"/>
          <w:i w:val="false"/>
          <w:caps w:val="false"/>
          <w:smallCaps w:val="false"/>
          <w:sz w:val="20"/>
        </w:rPr>
        <w:t>137, respectively, and is included in general and administrative expenses in the accompanying statements of operations. As of September 30, 2023, the amount of unvested compensation related to issuances of restricted common stock was $</w:t>
      </w:r>
      <w:bookmarkStart w:id="480" w:name="xdx_90D_eus-gaap--EmployeeServiceShareBa"/>
      <w:bookmarkEnd w:id="480"/>
      <w:r>
        <w:rPr>
          <w:rFonts w:ascii="Times New Roman;Times;Serif" w:hAnsi="Times New Roman;Times;Serif"/>
          <w:b w:val="false"/>
          <w:i w:val="false"/>
          <w:caps w:val="false"/>
          <w:smallCaps w:val="false"/>
          <w:sz w:val="20"/>
        </w:rPr>
        <w:t>0.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1" w:name="xdx_89E_eus-gaap--ScheduleOfShareBasedCo"/>
      <w:bookmarkEnd w:id="481"/>
      <w:r>
        <w:rPr>
          <w:rFonts w:ascii="Times New Roman;Times;Serif" w:hAnsi="Times New Roman;Times;Serif"/>
          <w:b w:val="false"/>
          <w:i w:val="false"/>
          <w:caps w:val="false"/>
          <w:smallCaps w:val="false"/>
          <w:sz w:val="20"/>
        </w:rPr>
        <w:t>The following table summarizes stock option activity during the nine months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2" w:name="xdx_8BA_z88U1XVugXmf"/>
      <w:bookmarkEnd w:id="482"/>
      <w:r>
        <w:rPr>
          <w:rFonts w:ascii="Times New Roman;Times;Serif" w:hAnsi="Times New Roman;Times;Serif"/>
          <w:b w:val="false"/>
          <w:i w:val="false"/>
          <w:caps w:val="false"/>
          <w:smallCaps w:val="false"/>
          <w:sz w:val="20"/>
        </w:rPr>
        <w:t>Schedule of Stock Option Activity</w:t>
      </w:r>
    </w:p>
    <w:tbl>
      <w:tblPr>
        <w:tblW w:w="8609" w:type="dxa"/>
        <w:jc w:val="left"/>
        <w:tblInd w:w="0" w:type="dxa"/>
        <w:tblLayout w:type="fixed"/>
        <w:tblCellMar>
          <w:top w:w="0" w:type="dxa"/>
          <w:left w:w="0" w:type="dxa"/>
          <w:bottom w:w="0" w:type="dxa"/>
          <w:right w:w="0" w:type="dxa"/>
        </w:tblCellMar>
      </w:tblPr>
      <w:tblGrid>
        <w:gridCol w:w="3380"/>
        <w:gridCol w:w="60"/>
        <w:gridCol w:w="60"/>
        <w:gridCol w:w="800"/>
        <w:gridCol w:w="95"/>
        <w:gridCol w:w="60"/>
        <w:gridCol w:w="292"/>
        <w:gridCol w:w="1168"/>
        <w:gridCol w:w="60"/>
        <w:gridCol w:w="60"/>
        <w:gridCol w:w="150"/>
        <w:gridCol w:w="1100"/>
        <w:gridCol w:w="60"/>
        <w:gridCol w:w="60"/>
        <w:gridCol w:w="164"/>
        <w:gridCol w:w="965"/>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w:t>
              <w:br/>
              <w:t xml:space="preserve">Average </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w:t>
              <w:br/>
              <w:t>Average</w:t>
              <w:br/>
              <w:t>Remaining</w:t>
              <w:br/>
              <w:t>Contractual</w:t>
              <w:br/>
              <w:t xml:space="preserve">Terms </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Aggregate </w:t>
              <w:br/>
              <w:t xml:space="preserve">Intrinsic </w:t>
              <w:br/>
              <w:t>Value</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83" w:name="xdx_980_eus-gaap--ShareBasedCompensation"/>
            <w:bookmarkEnd w:id="483"/>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4" w:name="xdx_98D_eus-gaap--ShareBasedCompensation"/>
            <w:bookmarkEnd w:id="484"/>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bookmarkStart w:id="485" w:name="xdx_90B_eus-gaap--SharebasedCompensation"/>
            <w:bookmarkEnd w:id="485"/>
            <w:r>
              <w:rPr>
                <w:rFonts w:ascii="Times New Roman;Times;Serif" w:hAnsi="Times New Roman;Times;Serif"/>
              </w:rPr>
              <w:t>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6" w:name="xdx_98E_eus-gaap--ShareBasedCompensation"/>
            <w:bookmarkEnd w:id="486"/>
          </w:p>
        </w:tc>
        <w:tc>
          <w:tcPr>
            <w:tcW w:w="965"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87" w:name="xdx_980_eus-gaap--ShareBasedCompensation"/>
            <w:bookmarkEnd w:id="487"/>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bookmarkStart w:id="488" w:name="xdx_98B_eus-gaap--ShareBasedCompensation"/>
            <w:bookmarkEnd w:id="488"/>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89" w:name="xdx_98D_eus-gaap--StockIssuedDuringPerio"/>
            <w:bookmarkEnd w:id="489"/>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bookmarkStart w:id="490" w:name="xdx_98B_eus-gaap--ShareBasedCompensation"/>
            <w:bookmarkEnd w:id="490"/>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91" w:name="xdx_982_eus-gaap--ShareBasedCompensation"/>
            <w:bookmarkEnd w:id="491"/>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bookmarkStart w:id="492" w:name="xdx_986_eus-gaap--ShareBasedCompensation"/>
            <w:bookmarkEnd w:id="492"/>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93" w:name="xdx_98C_ecustom--ShareBasedCompensationA"/>
            <w:bookmarkEnd w:id="493"/>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(18,951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494" w:name="xdx_98F_ecustom--ShareBasedCompensationA"/>
            <w:bookmarkEnd w:id="494"/>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95" w:name="xdx_98F_eus-gaap--ShareBasedCompensation"/>
            <w:bookmarkEnd w:id="495"/>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6" w:name="xdx_98E_eus-gaap--ShareBasedCompensation"/>
            <w:bookmarkEnd w:id="496"/>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497" w:name="xdx_90E_eus-gaap--SharebasedCompensation"/>
            <w:bookmarkEnd w:id="497"/>
            <w:r>
              <w:rPr>
                <w:rFonts w:ascii="Times New Roman;Times;Serif" w:hAnsi="Times New Roman;Times;Serif"/>
              </w:rPr>
              <w:t>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98" w:name="xdx_982_eus-gaap--ShareBasedCompensation"/>
            <w:bookmarkEnd w:id="498"/>
          </w:p>
        </w:tc>
        <w:tc>
          <w:tcPr>
            <w:tcW w:w="9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at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99" w:name="xdx_989_eus-gaap--ShareBasedCompensation"/>
            <w:bookmarkEnd w:id="499"/>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0" w:name="xdx_98C_eus-gaap--ShareBasedCompensation"/>
            <w:bookmarkEnd w:id="500"/>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501" w:name="xdx_901_eus-gaap--SharebasedCompensation"/>
            <w:bookmarkEnd w:id="501"/>
            <w:r>
              <w:rPr>
                <w:rFonts w:ascii="Times New Roman;Times;Serif" w:hAnsi="Times New Roman;Times;Serif"/>
              </w:rPr>
              <w:t>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2" w:name="xdx_986_eus-gaap--SharebasedCompensation"/>
            <w:bookmarkEnd w:id="502"/>
          </w:p>
        </w:tc>
        <w:tc>
          <w:tcPr>
            <w:tcW w:w="9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3" w:name="xdx_8A3_zhiwmHirPNhg"/>
      <w:bookmarkEnd w:id="50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2023, the Company approved options exercisable into </w:t>
      </w:r>
      <w:bookmarkStart w:id="504" w:name="xdx_90A_eus-gaap--StockIssuedDuringPerio"/>
      <w:bookmarkEnd w:id="504"/>
      <w:r>
        <w:rPr>
          <w:rFonts w:ascii="Times New Roman;Times;Serif" w:hAnsi="Times New Roman;Times;Serif"/>
          <w:b w:val="false"/>
          <w:i w:val="false"/>
          <w:caps w:val="false"/>
          <w:smallCaps w:val="false"/>
          <w:sz w:val="20"/>
        </w:rPr>
        <w:t xml:space="preserve">10,037 shares to be issued pursuant to Reed’s 2020 Equity Incentive Plan. </w:t>
      </w:r>
      <w:bookmarkStart w:id="505" w:name="xdx_905_eus-gaap--StockIssuedDuringPerio"/>
      <w:bookmarkEnd w:id="505"/>
      <w:r>
        <w:rPr>
          <w:rFonts w:ascii="Times New Roman;Times;Serif" w:hAnsi="Times New Roman;Times;Serif"/>
          <w:b w:val="false"/>
          <w:i w:val="false"/>
          <w:caps w:val="false"/>
          <w:smallCaps w:val="false"/>
          <w:sz w:val="20"/>
        </w:rPr>
        <w:t xml:space="preserve">10,037 options were issued to employees, </w:t>
      </w:r>
      <w:bookmarkStart w:id="506" w:name="xdx_902_eus-gaap--SharebasedCompensation"/>
      <w:bookmarkEnd w:id="506"/>
      <w:r>
        <w:rPr>
          <w:rFonts w:ascii="Times New Roman;Times;Serif" w:hAnsi="Times New Roman;Times;Serif"/>
          <w:b w:val="false"/>
          <w:i w:val="false"/>
          <w:caps w:val="false"/>
          <w:smallCaps w:val="false"/>
          <w:sz w:val="20"/>
        </w:rPr>
        <w:t xml:space="preserve">5,016 options vesting annually over a </w:t>
      </w:r>
      <w:bookmarkStart w:id="507" w:name="xdx_90D_eus-gaap--ShareBasedCompensation"/>
      <w:bookmarkEnd w:id="507"/>
      <w:r>
        <w:rPr>
          <w:rFonts w:ascii="Times New Roman;Times;Serif" w:hAnsi="Times New Roman;Times;Serif"/>
          <w:b w:val="false"/>
          <w:i w:val="false"/>
          <w:caps w:val="false"/>
          <w:smallCaps w:val="false"/>
          <w:sz w:val="20"/>
        </w:rPr>
        <w:t xml:space="preserve">four-year vesting period, and </w:t>
      </w:r>
      <w:bookmarkStart w:id="508" w:name="xdx_908_eus-gaap--SharebasedCompensation"/>
      <w:bookmarkEnd w:id="508"/>
      <w:r>
        <w:rPr>
          <w:rFonts w:ascii="Times New Roman;Times;Serif" w:hAnsi="Times New Roman;Times;Serif"/>
          <w:b w:val="false"/>
          <w:i w:val="false"/>
          <w:caps w:val="false"/>
          <w:smallCaps w:val="false"/>
          <w:sz w:val="20"/>
        </w:rPr>
        <w:t>5,021 options vesting based on performance criteria to be established by the board of directors.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are exercisable at a price of $</w:t>
      </w:r>
      <w:bookmarkStart w:id="509" w:name="xdx_90D_eus-gaap--ShareBasedCompensation"/>
      <w:bookmarkEnd w:id="509"/>
      <w:r>
        <w:rPr>
          <w:rFonts w:ascii="Times New Roman;Times;Serif" w:hAnsi="Times New Roman;Times;Serif"/>
          <w:b w:val="false"/>
          <w:i w:val="false"/>
          <w:caps w:val="false"/>
          <w:smallCaps w:val="false"/>
          <w:sz w:val="20"/>
        </w:rPr>
        <w:t xml:space="preserve">4.50 per share and expire in </w:t>
      </w:r>
      <w:bookmarkStart w:id="510" w:name="xdx_90F_eus-gaap--SharebasedCompensation"/>
      <w:bookmarkEnd w:id="510"/>
      <w:r>
        <w:rPr>
          <w:rFonts w:ascii="Times New Roman;Times;Serif" w:hAnsi="Times New Roman;Times;Serif"/>
          <w:b w:val="false"/>
          <w:i w:val="false"/>
          <w:caps w:val="false"/>
          <w:smallCaps w:val="false"/>
          <w:sz w:val="20"/>
        </w:rPr>
        <w:t>ten years. The total fair value of these options at grant date was approximately $</w:t>
      </w:r>
      <w:bookmarkStart w:id="511" w:name="xdx_909_eus-gaap--SharebasedCompensation"/>
      <w:bookmarkEnd w:id="511"/>
      <w:r>
        <w:rPr>
          <w:rFonts w:ascii="Times New Roman;Times;Serif" w:hAnsi="Times New Roman;Times;Serif"/>
          <w:b w:val="false"/>
          <w:i w:val="false"/>
          <w:caps w:val="false"/>
          <w:smallCaps w:val="false"/>
          <w:sz w:val="20"/>
        </w:rPr>
        <w:t>32, which was determined using a Black-Scholes-Merton option pricing model with the following average assumption: stock price of $</w:t>
      </w:r>
      <w:bookmarkStart w:id="512" w:name="xdx_904_eus-gaap--SharePrice_iI_pid_c202"/>
      <w:bookmarkEnd w:id="512"/>
      <w:r>
        <w:rPr>
          <w:rFonts w:ascii="Times New Roman;Times;Serif" w:hAnsi="Times New Roman;Times;Serif"/>
          <w:b w:val="false"/>
          <w:i w:val="false"/>
          <w:caps w:val="false"/>
          <w:smallCaps w:val="false"/>
          <w:sz w:val="20"/>
        </w:rPr>
        <w:t xml:space="preserve">4.50 share, expected term of </w:t>
      </w:r>
      <w:bookmarkStart w:id="513" w:name="xdx_90E_eus-gaap--SharebasedCompensation"/>
      <w:bookmarkEnd w:id="513"/>
      <w:r>
        <w:rPr>
          <w:rFonts w:ascii="Times New Roman;Times;Serif" w:hAnsi="Times New Roman;Times;Serif"/>
          <w:b w:val="false"/>
          <w:i w:val="false"/>
          <w:caps w:val="false"/>
          <w:smallCaps w:val="false"/>
          <w:sz w:val="20"/>
        </w:rPr>
        <w:t xml:space="preserve">six years, volatility of </w:t>
      </w:r>
      <w:bookmarkStart w:id="514" w:name="xdx_90B_eus-gaap--ShareBasedCompensation"/>
      <w:bookmarkEnd w:id="514"/>
      <w:r>
        <w:rPr>
          <w:rFonts w:ascii="Times New Roman;Times;Serif" w:hAnsi="Times New Roman;Times;Serif"/>
          <w:b w:val="false"/>
          <w:i w:val="false"/>
          <w:caps w:val="false"/>
          <w:smallCaps w:val="false"/>
          <w:sz w:val="20"/>
        </w:rPr>
        <w:t xml:space="preserve">82%, dividend rate of </w:t>
      </w:r>
      <w:bookmarkStart w:id="515" w:name="xdx_90A_eus-gaap--ShareBasedCompensation"/>
      <w:bookmarkEnd w:id="515"/>
      <w:r>
        <w:rPr>
          <w:rFonts w:ascii="Times New Roman;Times;Serif" w:hAnsi="Times New Roman;Times;Serif"/>
          <w:b w:val="false"/>
          <w:i w:val="false"/>
          <w:caps w:val="false"/>
          <w:smallCaps w:val="false"/>
          <w:sz w:val="20"/>
        </w:rPr>
        <w:t xml:space="preserve">0%, and weighted average risk-free interest rate of </w:t>
      </w:r>
      <w:bookmarkStart w:id="516" w:name="xdx_900_eus-gaap--ShareBasedCompensation"/>
      <w:bookmarkEnd w:id="516"/>
      <w:r>
        <w:rPr>
          <w:rFonts w:ascii="Times New Roman;Times;Serif" w:hAnsi="Times New Roman;Times;Serif"/>
          <w:b w:val="false"/>
          <w:i w:val="false"/>
          <w:caps w:val="false"/>
          <w:smallCaps w:val="false"/>
          <w:sz w:val="20"/>
        </w:rPr>
        <w:t>3.59%.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2023 and 2022, the Company recognized $</w:t>
      </w:r>
      <w:bookmarkStart w:id="517" w:name="xdx_90B_ecustom--FairValueOfVestedStockO"/>
      <w:bookmarkEnd w:id="517"/>
      <w:r>
        <w:rPr>
          <w:rFonts w:ascii="Times New Roman;Times;Serif" w:hAnsi="Times New Roman;Times;Serif"/>
          <w:b w:val="false"/>
          <w:i w:val="false"/>
          <w:caps w:val="false"/>
          <w:smallCaps w:val="false"/>
          <w:sz w:val="20"/>
        </w:rPr>
        <w:t>351 and $</w:t>
      </w:r>
      <w:bookmarkStart w:id="518" w:name="xdx_908_ecustom--FairValueOfVestedStockO"/>
      <w:bookmarkEnd w:id="518"/>
      <w:r>
        <w:rPr>
          <w:rFonts w:ascii="Times New Roman;Times;Serif" w:hAnsi="Times New Roman;Times;Serif"/>
          <w:b w:val="false"/>
          <w:i w:val="false"/>
          <w:caps w:val="false"/>
          <w:smallCaps w:val="false"/>
          <w:sz w:val="20"/>
        </w:rPr>
        <w:t>448 of compensation expense relating to vested stock options. As of September 30, 2023, the aggregate amount of unvested compensation related to stock options was approximately $</w:t>
      </w:r>
      <w:bookmarkStart w:id="519" w:name="xdx_904_eus-gaap--EmployeeServiceShareBa"/>
      <w:bookmarkEnd w:id="519"/>
      <w:r>
        <w:rPr>
          <w:rFonts w:ascii="Times New Roman;Times;Serif" w:hAnsi="Times New Roman;Times;Serif"/>
          <w:b w:val="false"/>
          <w:i w:val="false"/>
          <w:caps w:val="false"/>
          <w:smallCaps w:val="false"/>
          <w:sz w:val="20"/>
        </w:rPr>
        <w:t>582 which will be recognized as an expense as the options vest in future periods through March 28,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the outstanding and exercisable options have no intrinsic value. The aggregate intrinsic value was calculated as the difference between the closing market price as of September 30, 2023, which was $</w:t>
      </w:r>
      <w:bookmarkStart w:id="520" w:name="xdx_904_eus-gaap--SharePrice_iI_pid_c202"/>
      <w:bookmarkEnd w:id="520"/>
      <w:r>
        <w:rPr>
          <w:rFonts w:ascii="Times New Roman;Times;Serif" w:hAnsi="Times New Roman;Times;Serif"/>
          <w:b w:val="false"/>
          <w:i w:val="false"/>
          <w:caps w:val="false"/>
          <w:smallCaps w:val="false"/>
          <w:sz w:val="20"/>
        </w:rPr>
        <w:t>3.26, and the exercise price of the outstanding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1" w:name="xdx_805_ecustom--StockWarrantsTextBlock_"/>
      <w:bookmarkEnd w:id="521"/>
      <w:r>
        <w:rPr>
          <w:rFonts w:ascii="Times New Roman;Times;Serif" w:hAnsi="Times New Roman;Times;Serif"/>
          <w:b/>
          <w:i w:val="false"/>
          <w:caps w:val="false"/>
          <w:smallCaps w:val="false"/>
          <w:sz w:val="20"/>
        </w:rPr>
        <w:t xml:space="preserve">10. </w:t>
      </w:r>
      <w:bookmarkStart w:id="522" w:name="xdx_828_z5VXRzhanu2h"/>
      <w:bookmarkEnd w:id="522"/>
      <w:r>
        <w:rPr>
          <w:rFonts w:ascii="Times New Roman;Times;Serif" w:hAnsi="Times New Roman;Times;Serif"/>
          <w:b/>
          <w:i w:val="false"/>
          <w:caps w:val="false"/>
          <w:smallCaps w:val="false"/>
          <w:sz w:val="20"/>
        </w:rPr>
        <w:t>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3" w:name="xdx_890_eus-gaap--ScheduleOfStockholders"/>
      <w:bookmarkEnd w:id="523"/>
      <w:r>
        <w:rPr>
          <w:rFonts w:ascii="Times New Roman;Times;Serif" w:hAnsi="Times New Roman;Times;Serif"/>
          <w:b w:val="false"/>
          <w:i w:val="false"/>
          <w:caps w:val="false"/>
          <w:smallCaps w:val="false"/>
          <w:sz w:val="20"/>
        </w:rPr>
        <w:t>The Company’s warrant activity during the nine months ended September 30, 2023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4" w:name="xdx_8BA_zUcmO9MGCH34"/>
      <w:bookmarkEnd w:id="524"/>
      <w:r>
        <w:rPr>
          <w:rFonts w:ascii="Times New Roman;Times;Serif" w:hAnsi="Times New Roman;Times;Serif"/>
          <w:b w:val="false"/>
          <w:i w:val="false"/>
          <w:caps w:val="false"/>
          <w:smallCaps w:val="false"/>
          <w:sz w:val="20"/>
        </w:rPr>
        <w:t>Schedule of Warrant Activity</w:t>
      </w:r>
    </w:p>
    <w:tbl>
      <w:tblPr>
        <w:tblW w:w="10205" w:type="dxa"/>
        <w:jc w:val="left"/>
        <w:tblInd w:w="0" w:type="dxa"/>
        <w:tblLayout w:type="fixed"/>
        <w:tblCellMar>
          <w:top w:w="0" w:type="dxa"/>
          <w:left w:w="0" w:type="dxa"/>
          <w:bottom w:w="0" w:type="dxa"/>
          <w:right w:w="0" w:type="dxa"/>
        </w:tblCellMar>
      </w:tblPr>
      <w:tblGrid>
        <w:gridCol w:w="2490"/>
        <w:gridCol w:w="60"/>
        <w:gridCol w:w="60"/>
        <w:gridCol w:w="800"/>
        <w:gridCol w:w="60"/>
        <w:gridCol w:w="60"/>
        <w:gridCol w:w="306"/>
        <w:gridCol w:w="1226"/>
        <w:gridCol w:w="60"/>
        <w:gridCol w:w="60"/>
        <w:gridCol w:w="336"/>
        <w:gridCol w:w="2484"/>
        <w:gridCol w:w="60"/>
        <w:gridCol w:w="60"/>
        <w:gridCol w:w="539"/>
        <w:gridCol w:w="1465"/>
        <w:gridCol w:w="79"/>
      </w:tblGrid>
      <w:tr>
        <w:trPr/>
        <w:tc>
          <w:tcPr>
            <w:tcW w:w="2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Remaining Contractual Terms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Aggregate Intrinsic Value</w:t>
            </w:r>
          </w:p>
        </w:tc>
        <w:tc>
          <w:tcPr>
            <w:tcW w:w="79" w:type="dxa"/>
            <w:tcBorders/>
            <w:vAlign w:val="center"/>
          </w:tcPr>
          <w:p>
            <w:pPr>
              <w:pStyle w:val="TableContents"/>
              <w:bidi w:val="0"/>
              <w:spacing w:before="0" w:after="283"/>
              <w:jc w:val="left"/>
              <w:rPr/>
            </w:pPr>
            <w:r>
              <w:rPr/>
              <w:t> </w:t>
            </w:r>
          </w:p>
        </w:tc>
      </w:tr>
      <w:tr>
        <w:trPr/>
        <w:tc>
          <w:tcPr>
            <w:tcW w:w="2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4"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2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25" w:name="xdx_988_eus-gaap--ClassOfWarrantOrRightN"/>
            <w:bookmarkEnd w:id="525"/>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6" w:name="xdx_980_ecustom--ClassOfWarrantOrRightNu"/>
            <w:bookmarkEnd w:id="526"/>
          </w:p>
        </w:tc>
        <w:tc>
          <w:tcPr>
            <w:tcW w:w="12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2484" w:type="dxa"/>
            <w:tcBorders/>
            <w:shd w:fill="CCEEFF" w:val="clear"/>
            <w:vAlign w:val="center"/>
          </w:tcPr>
          <w:p>
            <w:pPr>
              <w:pStyle w:val="TableContents"/>
              <w:bidi w:val="0"/>
              <w:spacing w:before="0" w:after="283"/>
              <w:jc w:val="right"/>
              <w:rPr>
                <w:rFonts w:ascii="Times New Roman;Times;Serif" w:hAnsi="Times New Roman;Times;Serif"/>
              </w:rPr>
            </w:pPr>
            <w:bookmarkStart w:id="527" w:name="xdx_904_ecustom--ClassOfWarrantOrRightNu"/>
            <w:bookmarkEnd w:id="527"/>
            <w:r>
              <w:rPr>
                <w:rFonts w:ascii="Times New Roman;Times;Serif" w:hAnsi="Times New Roman;Times;Serif"/>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8" w:name="xdx_98E_ecustom--ClassOfWarrantOrRightNu"/>
            <w:bookmarkEnd w:id="528"/>
          </w:p>
        </w:tc>
        <w:tc>
          <w:tcPr>
            <w:tcW w:w="14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r>
      <w:tr>
        <w:trPr/>
        <w:tc>
          <w:tcPr>
            <w:tcW w:w="2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29" w:name="xdx_985_ecustom--ClassOfWarrantOrRightNu"/>
            <w:bookmarkEnd w:id="529"/>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bookmarkStart w:id="530" w:name="xdx_98C_ecustom--ClassOfWarrantOrRightNu"/>
            <w:bookmarkEnd w:id="530"/>
          </w:p>
        </w:tc>
        <w:tc>
          <w:tcPr>
            <w:tcW w:w="12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2484" w:type="dxa"/>
            <w:tcBorders/>
            <w:shd w:fill="FFFFFF" w:val="clear"/>
            <w:vAlign w:val="center"/>
          </w:tcPr>
          <w:p>
            <w:pPr>
              <w:pStyle w:val="TableContents"/>
              <w:bidi w:val="0"/>
              <w:spacing w:before="0" w:after="283"/>
              <w:jc w:val="right"/>
              <w:rPr>
                <w:rFonts w:ascii="Times New Roman;Times;Serif" w:hAnsi="Times New Roman;Times;Serif"/>
              </w:rPr>
            </w:pPr>
            <w:bookmarkStart w:id="531" w:name="xdx_904_ecustom--ClassOfWarrantOrRightNu"/>
            <w:bookmarkEnd w:id="531"/>
            <w:r>
              <w:rPr>
                <w:rFonts w:ascii="Times New Roman;Times;Serif" w:hAnsi="Times New Roman;Times;Serif"/>
              </w:rPr>
              <w:t>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2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32" w:name="xdx_98A_ecustom--ClassOfWarrantOrRightNu"/>
            <w:bookmarkEnd w:id="532"/>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bookmarkStart w:id="533" w:name="xdx_983_ecustom--ClassOfWarrantOrRightNu"/>
            <w:bookmarkEnd w:id="533"/>
          </w:p>
        </w:tc>
        <w:tc>
          <w:tcPr>
            <w:tcW w:w="12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24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534" w:name="xdx_98E_ecustom--ClassOfWarrantOrRightNu"/>
            <w:bookmarkEnd w:id="534"/>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535" w:name="xdx_981_ecustom--ClassOfWarrantOrRightNu"/>
            <w:bookmarkEnd w:id="535"/>
          </w:p>
        </w:tc>
        <w:tc>
          <w:tcPr>
            <w:tcW w:w="122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4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2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36" w:name="xdx_982_eus-gaap--ClassOfWarrantOrRightN"/>
            <w:bookmarkEnd w:id="536"/>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549,292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7" w:name="xdx_985_ecustom--ClassOfWarrantOrRightNu"/>
            <w:bookmarkEnd w:id="537"/>
          </w:p>
        </w:tc>
        <w:tc>
          <w:tcPr>
            <w:tcW w:w="12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538" w:name="xdx_908_ecustom--ClassOfWarrantOrRightNu"/>
            <w:bookmarkEnd w:id="538"/>
            <w:r>
              <w:rPr>
                <w:rFonts w:ascii="Times New Roman;Times;Serif" w:hAnsi="Times New Roman;Times;Serif"/>
              </w:rPr>
              <w:t>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9" w:name="xdx_98D_ecustom--ClassOfWarrantOrRightNu"/>
            <w:bookmarkEnd w:id="539"/>
          </w:p>
        </w:tc>
        <w:tc>
          <w:tcPr>
            <w:tcW w:w="14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w:t>
            </w:r>
          </w:p>
        </w:tc>
        <w:tc>
          <w:tcPr>
            <w:tcW w:w="79" w:type="dxa"/>
            <w:tcBorders/>
            <w:shd w:fill="CCEEFF" w:val="clear"/>
            <w:vAlign w:val="center"/>
          </w:tcPr>
          <w:p>
            <w:pPr>
              <w:pStyle w:val="TableContents"/>
              <w:bidi w:val="0"/>
              <w:spacing w:before="0" w:after="283"/>
              <w:jc w:val="left"/>
              <w:rPr/>
            </w:pPr>
            <w:r>
              <w:rPr/>
              <w:t> </w:t>
            </w:r>
          </w:p>
        </w:tc>
      </w:tr>
      <w:tr>
        <w:trPr/>
        <w:tc>
          <w:tcPr>
            <w:tcW w:w="2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at 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540" w:name="xdx_98F_ecustom--ClassOfWarrantOrRightNu"/>
            <w:bookmarkEnd w:id="540"/>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549,292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41" w:name="xdx_98A_ecustom--ClassOfWarrantOrRightNu"/>
            <w:bookmarkEnd w:id="541"/>
          </w:p>
        </w:tc>
        <w:tc>
          <w:tcPr>
            <w:tcW w:w="122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4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542" w:name="xdx_900_ecustom--ClassOfWarrantOrRightNu"/>
            <w:bookmarkEnd w:id="542"/>
            <w:r>
              <w:rPr>
                <w:rFonts w:ascii="Times New Roman;Times;Serif" w:hAnsi="Times New Roman;Times;Serif"/>
              </w:rPr>
              <w:t>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9"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43" w:name="xdx_982_ecustom--ClassOfWarrantOrRightNu"/>
            <w:bookmarkEnd w:id="543"/>
          </w:p>
        </w:tc>
        <w:tc>
          <w:tcPr>
            <w:tcW w:w="14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4" w:name="xdx_8A9_zA0yDO1Mnuv7"/>
      <w:bookmarkEnd w:id="54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the outstanding and exercisable warrants have an aggregate intrinsic value of $</w:t>
      </w:r>
      <w:bookmarkStart w:id="545" w:name="xdx_908_ecustom--ClassOfWarrantOrRightNu"/>
      <w:bookmarkEnd w:id="545"/>
      <w:r>
        <w:rPr>
          <w:rFonts w:ascii="Times New Roman;Times;Serif" w:hAnsi="Times New Roman;Times;Serif"/>
          <w:b w:val="false"/>
          <w:i w:val="false"/>
          <w:caps w:val="false"/>
          <w:smallCaps w:val="false"/>
          <w:sz w:val="20"/>
        </w:rPr>
        <w:t>238. The aggregate intrinsic value was calculated as the difference between the closing market price as of September 30, 2023, which was $</w:t>
      </w:r>
      <w:bookmarkStart w:id="546" w:name="xdx_90B_eus-gaap--SharePrice_iI_pid_c202"/>
      <w:bookmarkEnd w:id="546"/>
      <w:r>
        <w:rPr>
          <w:rFonts w:ascii="Times New Roman;Times;Serif" w:hAnsi="Times New Roman;Times;Serif"/>
          <w:b w:val="false"/>
          <w:i w:val="false"/>
          <w:caps w:val="false"/>
          <w:smallCaps w:val="false"/>
          <w:sz w:val="20"/>
        </w:rPr>
        <w:t>3.26, and the exercise price of the Company’s warrants to purchase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25, 2023, the Company entered into a Securities Purchase Agreement with D&amp;D Source of Life Holding Ltd., as the lead investor, and certain of Reed’s affiliates pursuant to which the investors agreed to purchase an aggregate of </w:t>
      </w:r>
      <w:bookmarkStart w:id="547" w:name="xdx_900_eus-gaap--StockIssuedDuringPerio"/>
      <w:bookmarkEnd w:id="547"/>
      <w:r>
        <w:rPr>
          <w:rFonts w:ascii="Times New Roman;Times;Serif" w:hAnsi="Times New Roman;Times;Serif"/>
          <w:b w:val="false"/>
          <w:i w:val="false"/>
          <w:caps w:val="false"/>
          <w:smallCaps w:val="false"/>
          <w:sz w:val="20"/>
        </w:rPr>
        <w:t xml:space="preserve">1,566,732 shares of Reed’s common stock and warrants to purchase </w:t>
      </w:r>
      <w:bookmarkStart w:id="548" w:name="xdx_900_eus-gaap--ClassOfWarrantOrRightN"/>
      <w:bookmarkEnd w:id="548"/>
      <w:r>
        <w:rPr>
          <w:rFonts w:ascii="Times New Roman;Times;Serif" w:hAnsi="Times New Roman;Times;Serif"/>
          <w:b w:val="false"/>
          <w:i w:val="false"/>
          <w:caps w:val="false"/>
          <w:smallCaps w:val="false"/>
          <w:sz w:val="20"/>
        </w:rPr>
        <w:t>313,346 shares of Common Stock. The purchase price per share of Common Stock and associated warrant was $</w:t>
      </w:r>
      <w:bookmarkStart w:id="549" w:name="xdx_908_eus-gaap--SharePrice_iI_c2023052"/>
      <w:bookmarkEnd w:id="549"/>
      <w:r>
        <w:rPr>
          <w:rFonts w:ascii="Times New Roman;Times;Serif" w:hAnsi="Times New Roman;Times;Serif"/>
          <w:b w:val="false"/>
          <w:i w:val="false"/>
          <w:caps w:val="false"/>
          <w:smallCaps w:val="false"/>
          <w:sz w:val="20"/>
        </w:rPr>
        <w:t>2.585. The warrants are exercisable for a term of three years at a per share exercise price of $</w:t>
      </w:r>
      <w:bookmarkStart w:id="550" w:name="xdx_90A_eus-gaap--ClassOfWarrantOrRightE"/>
      <w:bookmarkEnd w:id="550"/>
      <w:r>
        <w:rPr>
          <w:rFonts w:ascii="Times New Roman;Times;Serif" w:hAnsi="Times New Roman;Times;Serif"/>
          <w:b w:val="false"/>
          <w:i w:val="false"/>
          <w:caps w:val="false"/>
          <w:smallCaps w:val="false"/>
          <w:sz w:val="20"/>
        </w:rPr>
        <w:t>2.50.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1" w:name="xdx_80E_eus-gaap--RelatedPartyTransactio"/>
      <w:bookmarkEnd w:id="551"/>
      <w:r>
        <w:rPr>
          <w:rFonts w:ascii="Times New Roman;Times;Serif" w:hAnsi="Times New Roman;Times;Serif"/>
          <w:b/>
          <w:i w:val="false"/>
          <w:caps w:val="false"/>
          <w:smallCaps w:val="false"/>
          <w:sz w:val="20"/>
        </w:rPr>
        <w:t xml:space="preserve">11. </w:t>
      </w:r>
      <w:bookmarkStart w:id="552" w:name="xdx_825_zHuiZPSw6BD2"/>
      <w:bookmarkEnd w:id="552"/>
      <w:r>
        <w:rPr>
          <w:rFonts w:ascii="Times New Roman;Times;Serif" w:hAnsi="Times New Roman;Times;Serif"/>
          <w:b/>
          <w:i w:val="false"/>
          <w:caps w:val="false"/>
          <w:smallCaps w:val="false"/>
          <w:sz w:val="20"/>
        </w:rPr>
        <w:t>Transactions with California Custom Beverage, LLC, former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2018, the Company signed a co-packing agreement with California Custom Beverage, LLC’s (“CCB”), an entity owned by Christopher J. Reed, a former related party, pursuant to which CCB agreed to produce certain products for the Company for agreed fees. The co-packing agreement, as amended, includes certain provisions for product inputs, shrinkage, and quality assurance. Also beginning in 2019, CCB agreed to pay the Company a </w:t>
      </w:r>
      <w:bookmarkStart w:id="553" w:name="xdx_906_ecustom--RoyaltyPercentage_iI_dp"/>
      <w:bookmarkEnd w:id="553"/>
      <w:r>
        <w:rPr>
          <w:rFonts w:ascii="Times New Roman;Times;Serif" w:hAnsi="Times New Roman;Times;Serif"/>
          <w:b w:val="false"/>
          <w:i w:val="false"/>
          <w:caps w:val="false"/>
          <w:smallCaps w:val="false"/>
          <w:sz w:val="20"/>
        </w:rPr>
        <w:t>5% royalty through 2021 on certain private label sales made by CCB.</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2023 and 2022, the Company incurred co-packing fees due to CCB of $</w:t>
      </w:r>
      <w:bookmarkStart w:id="554" w:name="xdx_900_eus-gaap--OtherLiabilities_iI_pn"/>
      <w:bookmarkEnd w:id="554"/>
      <w:r>
        <w:rPr>
          <w:rFonts w:ascii="Times New Roman;Times;Serif" w:hAnsi="Times New Roman;Times;Serif"/>
          <w:b w:val="false"/>
          <w:i w:val="false"/>
          <w:caps w:val="false"/>
          <w:smallCaps w:val="false"/>
          <w:sz w:val="20"/>
        </w:rPr>
        <w:t>1,127 and $</w:t>
      </w:r>
      <w:bookmarkStart w:id="555" w:name="xdx_904_eus-gaap--OtherLiabilities_iI_pn"/>
      <w:bookmarkEnd w:id="555"/>
      <w:r>
        <w:rPr>
          <w:rFonts w:ascii="Times New Roman;Times;Serif" w:hAnsi="Times New Roman;Times;Serif"/>
          <w:b w:val="false"/>
          <w:i w:val="false"/>
          <w:caps w:val="false"/>
          <w:smallCaps w:val="false"/>
          <w:sz w:val="20"/>
        </w:rPr>
        <w:t>2,611, respectively. As of September 30, 2023 and 2022, the aggregate of co-packing fees payable to CCB were $</w:t>
      </w:r>
      <w:bookmarkStart w:id="556" w:name="xdx_901_eus-gaap--NotesPayable_iI_pn3n3_"/>
      <w:bookmarkEnd w:id="556"/>
      <w:r>
        <w:rPr>
          <w:rFonts w:ascii="Times New Roman;Times;Serif" w:hAnsi="Times New Roman;Times;Serif"/>
          <w:b w:val="false"/>
          <w:i w:val="false"/>
          <w:caps w:val="false"/>
          <w:smallCaps w:val="false"/>
          <w:sz w:val="20"/>
        </w:rPr>
        <w:t>452 and $</w:t>
      </w:r>
      <w:bookmarkStart w:id="557" w:name="xdx_90B_eus-gaap--NotesPayable_iI_pn3n3_"/>
      <w:bookmarkEnd w:id="557"/>
      <w:r>
        <w:rPr>
          <w:rFonts w:ascii="Times New Roman;Times;Serif" w:hAnsi="Times New Roman;Times;Serif"/>
          <w:b w:val="false"/>
          <w:i w:val="false"/>
          <w:caps w:val="false"/>
          <w:smallCaps w:val="false"/>
          <w:sz w:val="20"/>
        </w:rPr>
        <w:t>2,025, respectively. At September 30, 2023 and December 31, 2022, the Company had also recorded receivables from CCB of $</w:t>
      </w:r>
      <w:bookmarkStart w:id="558" w:name="xdx_90E_eus-gaap--ReceivablesNetCurrent_"/>
      <w:bookmarkEnd w:id="558"/>
      <w:r>
        <w:rPr>
          <w:rFonts w:ascii="Times New Roman;Times;Serif" w:hAnsi="Times New Roman;Times;Serif"/>
          <w:b w:val="false"/>
          <w:i w:val="false"/>
          <w:caps w:val="false"/>
          <w:smallCaps w:val="false"/>
          <w:sz w:val="20"/>
        </w:rPr>
        <w:t>1,315 and $</w:t>
      </w:r>
      <w:bookmarkStart w:id="559" w:name="xdx_90B_eus-gaap--ReceivablesNetCurrent_"/>
      <w:bookmarkEnd w:id="559"/>
      <w:r>
        <w:rPr>
          <w:rFonts w:ascii="Times New Roman;Times;Serif" w:hAnsi="Times New Roman;Times;Serif"/>
          <w:b w:val="false"/>
          <w:i w:val="false"/>
          <w:caps w:val="false"/>
          <w:smallCaps w:val="false"/>
          <w:sz w:val="20"/>
        </w:rPr>
        <w:t>1,315, respectively, including royalty receivable of $</w:t>
      </w:r>
      <w:bookmarkStart w:id="560" w:name="xdx_90B_ecustom--RoyaltyReceivable_pn3n3"/>
      <w:bookmarkEnd w:id="560"/>
      <w:r>
        <w:rPr>
          <w:rFonts w:ascii="Times New Roman;Times;Serif" w:hAnsi="Times New Roman;Times;Serif"/>
          <w:b w:val="false"/>
          <w:i w:val="false"/>
          <w:caps w:val="false"/>
          <w:smallCaps w:val="false"/>
          <w:sz w:val="20"/>
        </w:rPr>
        <w:t>297 and $</w:t>
      </w:r>
      <w:bookmarkStart w:id="561" w:name="xdx_904_ecustom--RoyaltyReceivable_pn3n3"/>
      <w:bookmarkEnd w:id="561"/>
      <w:r>
        <w:rPr>
          <w:rFonts w:ascii="Times New Roman;Times;Serif" w:hAnsi="Times New Roman;Times;Serif"/>
          <w:b w:val="false"/>
          <w:i w:val="false"/>
          <w:caps w:val="false"/>
          <w:smallCaps w:val="false"/>
          <w:sz w:val="20"/>
        </w:rPr>
        <w:t>297, and charge backs of certain costs management determined were permittable under the co-packing agreement of $</w:t>
      </w:r>
      <w:bookmarkStart w:id="562" w:name="xdx_90B_ecustom--CopackingFees_pn3n3_c20"/>
      <w:bookmarkEnd w:id="562"/>
      <w:r>
        <w:rPr>
          <w:rFonts w:ascii="Times New Roman;Times;Serif" w:hAnsi="Times New Roman;Times;Serif"/>
          <w:b w:val="false"/>
          <w:i w:val="false"/>
          <w:caps w:val="false"/>
          <w:smallCaps w:val="false"/>
          <w:sz w:val="20"/>
        </w:rPr>
        <w:t>1,018 and $</w:t>
      </w:r>
      <w:bookmarkStart w:id="563" w:name="xdx_90B_ecustom--CopackingFees_pn3n3_c20"/>
      <w:bookmarkEnd w:id="563"/>
      <w:r>
        <w:rPr>
          <w:rFonts w:ascii="Times New Roman;Times;Serif" w:hAnsi="Times New Roman;Times;Serif"/>
          <w:b w:val="false"/>
          <w:i w:val="false"/>
          <w:caps w:val="false"/>
          <w:smallCaps w:val="false"/>
          <w:sz w:val="20"/>
        </w:rPr>
        <w:t>1,018,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4" w:name="xdx_89C_eus-gaap--ScheduleOfRelatedParty"/>
      <w:bookmarkEnd w:id="564"/>
      <w:r>
        <w:rPr>
          <w:rFonts w:ascii="Times New Roman;Times;Serif" w:hAnsi="Times New Roman;Times;Serif"/>
          <w:b w:val="false"/>
          <w:i w:val="false"/>
          <w:caps w:val="false"/>
          <w:smallCaps w:val="false"/>
          <w:sz w:val="20"/>
        </w:rPr>
        <w:t>At September 30, 2023 and December 31, 2022, accounts receivable due from and accounts payable due to CCB were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5" w:name="xdx_8B1_zVrv5i1oxuQ3"/>
      <w:bookmarkEnd w:id="565"/>
      <w:r>
        <w:rPr>
          <w:rFonts w:ascii="Times New Roman;Times;Serif" w:hAnsi="Times New Roman;Times;Serif"/>
          <w:b w:val="false"/>
          <w:i w:val="false"/>
          <w:caps w:val="false"/>
          <w:smallCaps w:val="false"/>
          <w:sz w:val="20"/>
        </w:rPr>
        <w:t>Schedule of Related Parties</w:t>
      </w:r>
    </w:p>
    <w:tbl>
      <w:tblPr>
        <w:tblW w:w="10205" w:type="dxa"/>
        <w:jc w:val="left"/>
        <w:tblInd w:w="0" w:type="dxa"/>
        <w:tblLayout w:type="fixed"/>
        <w:tblCellMar>
          <w:top w:w="0" w:type="dxa"/>
          <w:left w:w="0" w:type="dxa"/>
          <w:bottom w:w="0" w:type="dxa"/>
          <w:right w:w="0" w:type="dxa"/>
        </w:tblCellMar>
      </w:tblPr>
      <w:tblGrid>
        <w:gridCol w:w="7689"/>
        <w:gridCol w:w="60"/>
        <w:gridCol w:w="129"/>
        <w:gridCol w:w="988"/>
        <w:gridCol w:w="95"/>
        <w:gridCol w:w="60"/>
        <w:gridCol w:w="91"/>
        <w:gridCol w:w="981"/>
        <w:gridCol w:w="112"/>
      </w:tblGrid>
      <w:tr>
        <w:trPr/>
        <w:tc>
          <w:tcPr>
            <w:tcW w:w="76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66" w:name="xdx_49D_20230930_zYWjhDuGMmX9"/>
            <w:bookmarkEnd w:id="566"/>
          </w:p>
        </w:tc>
        <w:tc>
          <w:tcPr>
            <w:tcW w:w="111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7" w:name="xdx_49D_20221231_zXLBngEdC839"/>
            <w:bookmarkEnd w:id="567"/>
          </w:p>
        </w:tc>
        <w:tc>
          <w:tcPr>
            <w:tcW w:w="107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12" w:type="dxa"/>
            <w:tcBorders/>
            <w:vAlign w:val="center"/>
          </w:tcPr>
          <w:p>
            <w:pPr>
              <w:pStyle w:val="TableContents"/>
              <w:bidi w:val="0"/>
              <w:spacing w:before="0" w:after="283"/>
              <w:jc w:val="left"/>
              <w:rPr/>
            </w:pPr>
            <w:r>
              <w:rPr/>
              <w:t> </w:t>
            </w:r>
            <w:bookmarkStart w:id="568" w:name="xdx_400_eus-gaap--OtherReceivablesNetCur"/>
            <w:bookmarkEnd w:id="568"/>
          </w:p>
        </w:tc>
      </w:tr>
      <w:tr>
        <w:trPr/>
        <w:tc>
          <w:tcPr>
            <w:tcW w:w="76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provision of $</w:t>
            </w:r>
            <w:bookmarkStart w:id="569" w:name="xdx_90B_ecustom--ProvisionForReceivableW"/>
            <w:bookmarkEnd w:id="569"/>
            <w:r>
              <w:rPr>
                <w:rFonts w:ascii="Times New Roman;Times;Serif" w:hAnsi="Times New Roman;Times;Serif"/>
              </w:rPr>
              <w:t>538 and $</w:t>
            </w:r>
            <w:bookmarkStart w:id="570" w:name="xdx_904_ecustom--ProvisionForReceivableW"/>
            <w:bookmarkEnd w:id="570"/>
            <w:r>
              <w:rPr>
                <w:rFonts w:ascii="Times New Roman;Times;Serif" w:hAnsi="Times New Roman;Times;Serif"/>
              </w:rPr>
              <w:t>538 at September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777</w:t>
            </w:r>
          </w:p>
        </w:tc>
        <w:tc>
          <w:tcPr>
            <w:tcW w:w="112" w:type="dxa"/>
            <w:tcBorders/>
            <w:shd w:fill="CCEEFF" w:val="clear"/>
            <w:vAlign w:val="center"/>
          </w:tcPr>
          <w:p>
            <w:pPr>
              <w:pStyle w:val="TableContents"/>
              <w:bidi w:val="0"/>
              <w:spacing w:before="0" w:after="283"/>
              <w:jc w:val="left"/>
              <w:rPr/>
            </w:pPr>
            <w:r>
              <w:rPr/>
              <w:t> </w:t>
            </w:r>
            <w:bookmarkStart w:id="571" w:name="xdx_407_eus-gaap--OtherLiabilitiesCurren"/>
            <w:bookmarkEnd w:id="571"/>
          </w:p>
        </w:tc>
      </w:tr>
      <w:tr>
        <w:trPr/>
        <w:tc>
          <w:tcPr>
            <w:tcW w:w="768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2" w:name="xdx_401_ecustom--OtherPayableReceivables"/>
            <w:bookmarkEnd w:id="572"/>
          </w:p>
        </w:tc>
      </w:tr>
      <w:tr>
        <w:trPr/>
        <w:tc>
          <w:tcPr>
            <w:tcW w:w="768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(payable) receivable</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(1,248</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573" w:name="xdx_8AC_zcVgZXNQW35g"/>
      <w:bookmarkEnd w:id="57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2022, CCB disputes that it owes $</w:t>
      </w:r>
      <w:bookmarkStart w:id="574" w:name="xdx_909_eus-gaap--OtherReceivables_iI_pn"/>
      <w:bookmarkEnd w:id="574"/>
      <w:r>
        <w:rPr>
          <w:rFonts w:ascii="Times New Roman;Times;Serif" w:hAnsi="Times New Roman;Times;Serif"/>
          <w:b w:val="false"/>
          <w:i w:val="false"/>
          <w:caps w:val="false"/>
          <w:smallCaps w:val="false"/>
          <w:sz w:val="20"/>
        </w:rPr>
        <w:t>1,043 of the $</w:t>
      </w:r>
      <w:bookmarkStart w:id="575" w:name="xdx_905_eus-gaap--ReceivablesNetCurrent_"/>
      <w:bookmarkEnd w:id="575"/>
      <w:r>
        <w:rPr>
          <w:rFonts w:ascii="Times New Roman;Times;Serif" w:hAnsi="Times New Roman;Times;Serif"/>
          <w:b w:val="false"/>
          <w:i w:val="false"/>
          <w:caps w:val="false"/>
          <w:smallCaps w:val="false"/>
          <w:sz w:val="20"/>
        </w:rPr>
        <w:t>1,315 recorded as receivable by the Company. The Company believes that it will prevail in this dispute, however, as of September 30, 2023 and December 31, 2022, due to the uncertainty about the ultimate amount that will be settled, the Company has provided a reserve for $</w:t>
      </w:r>
      <w:bookmarkStart w:id="576" w:name="xdx_904_ecustom--ProvisionForReceivableW"/>
      <w:bookmarkEnd w:id="576"/>
      <w:r>
        <w:rPr>
          <w:rFonts w:ascii="Times New Roman;Times;Serif" w:hAnsi="Times New Roman;Times;Serif"/>
          <w:b w:val="false"/>
          <w:i w:val="false"/>
          <w:caps w:val="false"/>
          <w:smallCaps w:val="false"/>
          <w:sz w:val="20"/>
        </w:rPr>
        <w:t>538 based on management’s estimate. In addition, on April 19, 2023, the Company received a letter from CCB demanding payment of various amounts, including the $</w:t>
      </w:r>
      <w:bookmarkStart w:id="577" w:name="xdx_90C_eus-gaap--OtherLiabilitiesCurren"/>
      <w:bookmarkEnd w:id="577"/>
      <w:r>
        <w:rPr>
          <w:rFonts w:ascii="Times New Roman;Times;Serif" w:hAnsi="Times New Roman;Times;Serif"/>
          <w:b w:val="false"/>
          <w:i w:val="false"/>
          <w:caps w:val="false"/>
          <w:smallCaps w:val="false"/>
          <w:sz w:val="20"/>
        </w:rPr>
        <w:t>452 and $</w:t>
      </w:r>
      <w:bookmarkStart w:id="578" w:name="xdx_904_eus-gaap--OtherLiabilitiesCurren"/>
      <w:bookmarkEnd w:id="578"/>
      <w:r>
        <w:rPr>
          <w:rFonts w:ascii="Times New Roman;Times;Serif" w:hAnsi="Times New Roman;Times;Serif"/>
          <w:b w:val="false"/>
          <w:i w:val="false"/>
          <w:caps w:val="false"/>
          <w:smallCaps w:val="false"/>
          <w:sz w:val="20"/>
        </w:rPr>
        <w:t>2,025 outstanding at September 30, 2023 and December 31, 2022, respectively. The Company has determined that the probability of realizing any loss on the demand from CCB is remote and therefore has not recorded any additional accruals related to the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9" w:name="xdx_801_eus-gaap--CommitmentsAndContinge"/>
      <w:bookmarkEnd w:id="579"/>
      <w:r>
        <w:rPr>
          <w:rFonts w:ascii="Times New Roman;Times;Serif" w:hAnsi="Times New Roman;Times;Serif"/>
          <w:b/>
          <w:i w:val="false"/>
          <w:caps w:val="false"/>
          <w:smallCaps w:val="false"/>
          <w:sz w:val="20"/>
        </w:rPr>
        <w:t xml:space="preserve">12. </w:t>
      </w:r>
      <w:bookmarkStart w:id="580" w:name="xdx_825_zbByHw9OdFng"/>
      <w:bookmarkEnd w:id="580"/>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CCB assumed the monthly payments on our lease obligation for a Los Angeles manufacturing plant, and our release from the obligation by the lessor, however, is dependent upon CCB’s deposit of $</w:t>
      </w:r>
      <w:bookmarkStart w:id="581" w:name="xdx_90C_eus-gaap--SecurityDeposit_iI_pn3"/>
      <w:bookmarkEnd w:id="581"/>
      <w:r>
        <w:rPr>
          <w:rFonts w:ascii="Times New Roman;Times;Serif" w:hAnsi="Times New Roman;Times;Serif"/>
          <w:b w:val="false"/>
          <w:i w:val="false"/>
          <w:caps w:val="false"/>
          <w:smallCaps w:val="false"/>
          <w:sz w:val="20"/>
        </w:rPr>
        <w:t>1,200 of security with the lessor. As of September 30, 2023, $</w:t>
      </w:r>
      <w:bookmarkStart w:id="582" w:name="xdx_902_eus-gaap--SecurityDeposit_iI_pn3"/>
      <w:bookmarkEnd w:id="582"/>
      <w:r>
        <w:rPr>
          <w:rFonts w:ascii="Times New Roman;Times;Serif" w:hAnsi="Times New Roman;Times;Serif"/>
          <w:b w:val="false"/>
          <w:i w:val="false"/>
          <w:caps w:val="false"/>
          <w:smallCaps w:val="false"/>
          <w:sz w:val="20"/>
        </w:rPr>
        <w:t xml:space="preserve">800 has been deposited with the lessor and Chris J. Reed has placed approximately </w:t>
      </w:r>
      <w:bookmarkStart w:id="583" w:name="xdx_902_eus-gaap--StockIssuedDuringPerio"/>
      <w:bookmarkEnd w:id="583"/>
      <w:r>
        <w:rPr>
          <w:rFonts w:ascii="Times New Roman;Times;Serif" w:hAnsi="Times New Roman;Times;Serif"/>
          <w:b w:val="false"/>
          <w:i w:val="false"/>
          <w:caps w:val="false"/>
          <w:smallCaps w:val="false"/>
          <w:sz w:val="20"/>
        </w:rPr>
        <w:t>7,260 shares of the Company’s common stock valued at $</w:t>
      </w:r>
      <w:bookmarkStart w:id="584" w:name="xdx_907_eus-gaap--StockIssuedDuringPerio"/>
      <w:bookmarkEnd w:id="584"/>
      <w:r>
        <w:rPr>
          <w:rFonts w:ascii="Times New Roman;Times;Serif" w:hAnsi="Times New Roman;Times;Serif"/>
          <w:b w:val="false"/>
          <w:i w:val="false"/>
          <w:caps w:val="false"/>
          <w:smallCaps w:val="false"/>
          <w:sz w:val="20"/>
        </w:rPr>
        <w:t>24 that remain in escrow with the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are no material litigation matters at the current time. Although the results of such litigation matters and claims cannot be predicted with certainty, we believe that the final outcome of such claims and proceedings will not have a material adverse impact on our financial position, liquidity, or results of operations.</w:t>
      </w:r>
    </w:p>
    <w:p>
      <w:pPr>
        <w:pStyle w:val="TextBody"/>
        <w:bidi w:val="0"/>
        <w:spacing w:before="0" w:after="0"/>
        <w:ind w:left="0" w:right="0" w:hanging="0"/>
        <w:jc w:val="both"/>
        <w:rPr>
          <w:caps w:val="false"/>
          <w:smallCaps w:val="false"/>
        </w:rPr>
      </w:pPr>
      <w:bookmarkStart w:id="585" w:name="xdx_81C_zqtyqIu5o0cj"/>
      <w:bookmarkEnd w:id="58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6" w:name="hla_008"/>
      <w:bookmarkEnd w:id="586"/>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 and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financial statements and the related notes appearing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September 30, 2023, the Company continued to strengthen its supply chain, implement gross margin enhancement initiatives, drive efficiencies in transportation and warehouse costs and reduce operating expenses. In addition, it continues to build its innovation pipeline with sustained growth in Reed’s Real Ginger Ale, Virgil’s Zero Sugar handcrafted sodas, Reed’s Classic and Stormy Mule, and Reed’s Hard Ginger 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remains focused on driving sales growth, improving gross margin, and reducing freight costs. The sales growth focus is on channel expansion, increase in store placements, new product introduction and improved sales execution. The margin enhancement initiative is driven by packaging savings, co-packer upgrades, and better leveraged purchasing and improved efficiency. Underpinning these initiatives is a focus on strategically reducing operating costs particularly delivery and handling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Trends -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U.S. economy continued to grow during the third quarter of 2023, the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 We expect the inflationary trends and supply chain pressures to continue throughout 2023.</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 period ended September 30, 2023, the Company experienced moderation from the elevated freight costs experienced in 2022. The average cost of shipping and handling for the three month period ended September 30, 2023, was $2.98 per case, as compared to $3.38 per case for the three month period ended September 30, 2022. The average cost of shipping and handling for the nine month period ended September 30, 2023, was $3.17 per case, as compared to $4.13 per case for the nine month period ended September 30, 2022. Although the Company has experienced decreases in freight costs over the last three quarters, in the Company’s opinion there remains a volatile environment and the Company will continue to monitor pricing and availability in transportation. Mitigation plans have been implemented to manage this risk. The Company has been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The Company has experienced moderation in inflation and anticipates this to continue throughout 2023.</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September 30, 2023, we continued to generate cash flows to meet our short-term liquidity needs, and we expected to maintain access to the capital markets.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September 30, 2023, as compared to Three Months Ended September 30,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three months ended September 30, 2023 and 2022, respectively, in thousands.</w:t>
      </w:r>
    </w:p>
    <w:p>
      <w:pPr>
        <w:pStyle w:val="TextBody"/>
        <w:bidi w:val="0"/>
        <w:spacing w:before="0" w:after="0"/>
        <w:ind w:left="0" w:right="0" w:hanging="0"/>
        <w:jc w:val="both"/>
        <w:rPr>
          <w:caps w:val="false"/>
          <w:smallCaps w:val="false"/>
        </w:rPr>
      </w:pPr>
      <w:r>
        <w:rPr>
          <w:caps w:val="false"/>
          <w:smallCaps w:val="false"/>
        </w:rPr>
        <w:t> </w:t>
      </w:r>
    </w:p>
    <w:tbl>
      <w:tblPr>
        <w:tblW w:w="9563" w:type="dxa"/>
        <w:jc w:val="left"/>
        <w:tblInd w:w="0" w:type="dxa"/>
        <w:tblLayout w:type="fixed"/>
        <w:tblCellMar>
          <w:top w:w="0" w:type="dxa"/>
          <w:left w:w="0" w:type="dxa"/>
          <w:bottom w:w="0" w:type="dxa"/>
          <w:right w:w="0" w:type="dxa"/>
        </w:tblCellMar>
      </w:tblPr>
      <w:tblGrid>
        <w:gridCol w:w="5165"/>
        <w:gridCol w:w="60"/>
        <w:gridCol w:w="171"/>
        <w:gridCol w:w="1200"/>
        <w:gridCol w:w="263"/>
        <w:gridCol w:w="73"/>
        <w:gridCol w:w="171"/>
        <w:gridCol w:w="1200"/>
        <w:gridCol w:w="215"/>
        <w:gridCol w:w="60"/>
        <w:gridCol w:w="114"/>
        <w:gridCol w:w="641"/>
        <w:gridCol w:w="230"/>
      </w:tblGrid>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7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Three Months Ended </w:t>
            </w:r>
            <w:r>
              <w:rPr>
                <w:rFonts w:ascii="Times New Roman;Times;Serif" w:hAnsi="Times New Roman;Times;Serif"/>
                <w:sz w:val="20"/>
              </w:rPr>
              <w:t> </w:t>
            </w:r>
            <w:r>
              <w:rPr>
                <w:rFonts w:ascii="Times New Roman;Times;Serif" w:hAnsi="Times New Roman;Times;Serif"/>
                <w:b/>
                <w:sz w:val="20"/>
              </w:rP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3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Pct.</w:t>
            </w:r>
          </w:p>
        </w:tc>
        <w:tc>
          <w:tcPr>
            <w:tcW w:w="23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6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Change</w:t>
            </w:r>
          </w:p>
        </w:tc>
        <w:tc>
          <w:tcPr>
            <w:tcW w:w="23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billing (A)</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13,219</w:t>
            </w:r>
          </w:p>
        </w:tc>
        <w:tc>
          <w:tcPr>
            <w:tcW w:w="26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14,101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Promotional and other allowances (B)</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1,363</w:t>
            </w:r>
          </w:p>
        </w:tc>
        <w:tc>
          <w:tcPr>
            <w:tcW w:w="26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sales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11,856</w:t>
            </w:r>
          </w:p>
        </w:tc>
        <w:tc>
          <w:tcPr>
            <w:tcW w:w="26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goods sold</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7,823</w:t>
            </w:r>
          </w:p>
        </w:tc>
        <w:tc>
          <w:tcPr>
            <w:tcW w:w="26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Gross billing</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59</w:t>
            </w:r>
          </w:p>
        </w:tc>
        <w:tc>
          <w:tcPr>
            <w:tcW w:w="263"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68</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66</w:t>
            </w:r>
          </w:p>
        </w:tc>
        <w:tc>
          <w:tcPr>
            <w:tcW w:w="263"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80</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4,033</w:t>
            </w:r>
          </w:p>
        </w:tc>
        <w:tc>
          <w:tcPr>
            <w:tcW w:w="26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34</w:t>
            </w:r>
          </w:p>
        </w:tc>
        <w:tc>
          <w:tcPr>
            <w:tcW w:w="263"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20</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26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Delivery and handling</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1,908</w:t>
            </w:r>
          </w:p>
        </w:tc>
        <w:tc>
          <w:tcPr>
            <w:tcW w:w="26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16</w:t>
            </w:r>
          </w:p>
        </w:tc>
        <w:tc>
          <w:tcPr>
            <w:tcW w:w="263"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19</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Dollar per case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12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2.98</w:t>
            </w:r>
          </w:p>
        </w:tc>
        <w:tc>
          <w:tcPr>
            <w:tcW w:w="26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12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3.38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w:t>
            </w:r>
          </w:p>
        </w:tc>
        <w:tc>
          <w:tcPr>
            <w:tcW w:w="26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7</w:t>
            </w:r>
          </w:p>
        </w:tc>
        <w:tc>
          <w:tcPr>
            <w:tcW w:w="263"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10</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1,407</w:t>
            </w:r>
          </w:p>
        </w:tc>
        <w:tc>
          <w:tcPr>
            <w:tcW w:w="26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12</w:t>
            </w:r>
          </w:p>
        </w:tc>
        <w:tc>
          <w:tcPr>
            <w:tcW w:w="263"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73"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12</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4,176</w:t>
            </w:r>
          </w:p>
        </w:tc>
        <w:tc>
          <w:tcPr>
            <w:tcW w:w="26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(1,293</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(777</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(3,231</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(0.34</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4,169,131</w:t>
            </w:r>
          </w:p>
        </w:tc>
        <w:tc>
          <w:tcPr>
            <w:tcW w:w="26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2,254,356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key statistics for the transition of the Company’s top line activity from the third quarter of 2022 through the third quarter of 2023.</w:t>
      </w:r>
    </w:p>
    <w:p>
      <w:pPr>
        <w:pStyle w:val="TextBody"/>
        <w:bidi w:val="0"/>
        <w:spacing w:before="0" w:after="0"/>
        <w:ind w:left="0" w:right="0" w:hanging="0"/>
        <w:jc w:val="left"/>
        <w:rPr>
          <w:caps w:val="false"/>
          <w:smallCaps w:val="false"/>
        </w:rPr>
      </w:pPr>
      <w:r>
        <w:rPr>
          <w:caps w:val="false"/>
          <w:smallCaps w:val="false"/>
        </w:rPr>
        <w:t> </w:t>
      </w:r>
    </w:p>
    <w:tbl>
      <w:tblPr>
        <w:tblW w:w="17265" w:type="dxa"/>
        <w:jc w:val="left"/>
        <w:tblInd w:w="0" w:type="dxa"/>
        <w:tblLayout w:type="fixed"/>
        <w:tblCellMar>
          <w:top w:w="0" w:type="dxa"/>
          <w:left w:w="0" w:type="dxa"/>
          <w:bottom w:w="0" w:type="dxa"/>
          <w:right w:w="0" w:type="dxa"/>
        </w:tblCellMar>
      </w:tblPr>
      <w:tblGrid>
        <w:gridCol w:w="1025"/>
        <w:gridCol w:w="60"/>
        <w:gridCol w:w="740"/>
        <w:gridCol w:w="60"/>
        <w:gridCol w:w="140"/>
        <w:gridCol w:w="680"/>
        <w:gridCol w:w="215"/>
        <w:gridCol w:w="60"/>
        <w:gridCol w:w="140"/>
        <w:gridCol w:w="680"/>
        <w:gridCol w:w="215"/>
        <w:gridCol w:w="60"/>
        <w:gridCol w:w="140"/>
        <w:gridCol w:w="680"/>
        <w:gridCol w:w="215"/>
        <w:gridCol w:w="60"/>
        <w:gridCol w:w="140"/>
        <w:gridCol w:w="755"/>
        <w:gridCol w:w="215"/>
        <w:gridCol w:w="60"/>
        <w:gridCol w:w="60"/>
        <w:gridCol w:w="455"/>
        <w:gridCol w:w="260"/>
        <w:gridCol w:w="60"/>
        <w:gridCol w:w="82"/>
        <w:gridCol w:w="463"/>
        <w:gridCol w:w="260"/>
        <w:gridCol w:w="60"/>
        <w:gridCol w:w="140"/>
        <w:gridCol w:w="680"/>
        <w:gridCol w:w="215"/>
        <w:gridCol w:w="60"/>
        <w:gridCol w:w="140"/>
        <w:gridCol w:w="755"/>
        <w:gridCol w:w="215"/>
        <w:gridCol w:w="60"/>
        <w:gridCol w:w="140"/>
        <w:gridCol w:w="680"/>
        <w:gridCol w:w="215"/>
        <w:gridCol w:w="60"/>
        <w:gridCol w:w="140"/>
        <w:gridCol w:w="755"/>
        <w:gridCol w:w="215"/>
        <w:gridCol w:w="60"/>
        <w:gridCol w:w="140"/>
        <w:gridCol w:w="515"/>
        <w:gridCol w:w="95"/>
        <w:gridCol w:w="60"/>
        <w:gridCol w:w="140"/>
        <w:gridCol w:w="515"/>
        <w:gridCol w:w="95"/>
        <w:gridCol w:w="60"/>
        <w:gridCol w:w="60"/>
        <w:gridCol w:w="335"/>
        <w:gridCol w:w="260"/>
        <w:gridCol w:w="60"/>
        <w:gridCol w:w="140"/>
        <w:gridCol w:w="560"/>
        <w:gridCol w:w="95"/>
        <w:gridCol w:w="60"/>
        <w:gridCol w:w="140"/>
        <w:gridCol w:w="515"/>
        <w:gridCol w:w="95"/>
        <w:gridCol w:w="60"/>
        <w:gridCol w:w="420"/>
        <w:gridCol w:w="275"/>
      </w:tblGrid>
      <w:tr>
        <w:trPr/>
        <w:tc>
          <w:tcPr>
            <w:tcW w:w="1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83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Q3 Per Case</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 YTD Per Case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YTD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Q3 vs PY</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YTD vs PY</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YTD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vs PY</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vs PY</w:t>
            </w:r>
          </w:p>
        </w:tc>
        <w:tc>
          <w:tcPr>
            <w:tcW w:w="2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Cases: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 w:type="dxa"/>
            <w:gridSpan w:val="2"/>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Reed’s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-5</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Virgil’s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241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197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238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676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351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957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Total Core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611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552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640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1,803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b/>
              </w:rPr>
            </w:pPr>
            <w:r>
              <w:rPr>
                <w:b/>
              </w:rPr>
              <w:t>-3</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b/>
              </w:rPr>
            </w:pPr>
            <w:r>
              <w:rPr>
                <w:b/>
              </w:rPr>
              <w:t>-16</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717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761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661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2,139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Non Core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-100</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FFFFFF" w:val="clear"/>
            <w:tcMar>
              <w:bottom w:w="28" w:type="dxa"/>
            </w:tcMar>
            <w:vAlign w:val="center"/>
          </w:tcPr>
          <w:p>
            <w:pPr>
              <w:pStyle w:val="TableContents"/>
              <w:bidi w:val="0"/>
              <w:spacing w:before="0" w:after="283"/>
              <w:jc w:val="right"/>
              <w:rPr/>
            </w:pPr>
            <w:r>
              <w:rPr/>
              <w:t>-85</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613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552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640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1,805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b/>
              </w:rPr>
            </w:pPr>
            <w:r>
              <w:rPr>
                <w:b/>
              </w:rPr>
              <w:t>-4</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b/>
              </w:rPr>
            </w:pPr>
            <w:r>
              <w:rPr>
                <w:b/>
              </w:rPr>
              <w:t>-16</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721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766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665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2,152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b/>
              </w:rPr>
            </w:pPr>
            <w:r>
              <w:rPr>
                <w:b/>
              </w:rPr>
              <w:t>Gross Billing:</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Core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12,333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11,095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13,197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36,626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-5</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-13</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13,287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14,972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13,876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42,135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20.6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-2</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19.7</w:t>
            </w:r>
          </w:p>
        </w:tc>
        <w:tc>
          <w:tcPr>
            <w:tcW w:w="95"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3</w:t>
            </w:r>
          </w:p>
          <w:p>
            <w:pPr>
              <w:pStyle w:val="TableContents"/>
              <w:bidi w:val="0"/>
              <w:spacing w:before="0" w:after="283"/>
              <w:jc w:val="left"/>
              <w:rPr/>
            </w:pPr>
            <w:r>
              <w:rPr/>
              <w:t>%</w:t>
            </w:r>
          </w:p>
        </w:tc>
      </w:tr>
      <w:tr>
        <w:trPr/>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Non Core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-90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CCEEFF" w:val="clear"/>
            <w:tcMar>
              <w:bottom w:w="28" w:type="dxa"/>
            </w:tcMar>
            <w:vAlign w:val="center"/>
          </w:tcPr>
          <w:p>
            <w:pPr>
              <w:pStyle w:val="TableContents"/>
              <w:bidi w:val="0"/>
              <w:spacing w:before="0" w:after="283"/>
              <w:jc w:val="right"/>
              <w:rPr/>
            </w:pPr>
            <w:r>
              <w:rPr/>
              <w:t>-72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274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167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58.2</w:t>
            </w:r>
          </w:p>
        </w:tc>
        <w:tc>
          <w:tcPr>
            <w:tcW w:w="95" w:type="dxa"/>
            <w:tcBorders/>
            <w:shd w:fill="CCEE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81</w:t>
            </w:r>
          </w:p>
          <w:p>
            <w:pPr>
              <w:pStyle w:val="TableContents"/>
              <w:bidi w:val="0"/>
              <w:spacing w:before="0" w:after="283"/>
              <w:jc w:val="left"/>
              <w:rPr/>
            </w:pPr>
            <w:r>
              <w:rPr/>
              <w:t>%</w:t>
            </w:r>
          </w:p>
        </w:tc>
      </w:tr>
      <w:tr>
        <w:trPr/>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680" w:type="dxa"/>
            <w:tcBorders/>
            <w:shd w:fill="FFFFFF" w:val="clear"/>
            <w:vAlign w:val="center"/>
          </w:tcPr>
          <w:p>
            <w:pPr>
              <w:pStyle w:val="TableContents"/>
              <w:bidi w:val="0"/>
              <w:spacing w:before="0" w:after="283"/>
              <w:jc w:val="right"/>
              <w:rPr>
                <w:b/>
              </w:rPr>
            </w:pPr>
            <w:r>
              <w:rPr>
                <w:b/>
              </w:rPr>
              <w:t>12,453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680" w:type="dxa"/>
            <w:tcBorders/>
            <w:shd w:fill="FFFFFF" w:val="clear"/>
            <w:vAlign w:val="center"/>
          </w:tcPr>
          <w:p>
            <w:pPr>
              <w:pStyle w:val="TableContents"/>
              <w:bidi w:val="0"/>
              <w:spacing w:before="0" w:after="283"/>
              <w:jc w:val="right"/>
              <w:rPr>
                <w:b/>
              </w:rPr>
            </w:pPr>
            <w:r>
              <w:rPr>
                <w:b/>
              </w:rPr>
              <w:t>11,164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680" w:type="dxa"/>
            <w:tcBorders/>
            <w:shd w:fill="FFFFFF" w:val="clear"/>
            <w:vAlign w:val="center"/>
          </w:tcPr>
          <w:p>
            <w:pPr>
              <w:pStyle w:val="TableContents"/>
              <w:bidi w:val="0"/>
              <w:spacing w:before="0" w:after="283"/>
              <w:jc w:val="right"/>
              <w:rPr>
                <w:b/>
              </w:rPr>
            </w:pPr>
            <w:r>
              <w:rPr>
                <w:b/>
              </w:rPr>
              <w:t>13,219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36,837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b/>
              </w:rPr>
            </w:pPr>
            <w:r>
              <w:rPr>
                <w:b/>
              </w:rPr>
              <w:t>-6</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b/>
              </w:rPr>
            </w:pPr>
            <w:r>
              <w:rPr>
                <w:b/>
              </w:rPr>
              <w:t>-14</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680" w:type="dxa"/>
            <w:tcBorders/>
            <w:shd w:fill="FFFFFF" w:val="clear"/>
            <w:vAlign w:val="center"/>
          </w:tcPr>
          <w:p>
            <w:pPr>
              <w:pStyle w:val="TableContents"/>
              <w:bidi w:val="0"/>
              <w:spacing w:before="0" w:after="283"/>
              <w:jc w:val="right"/>
              <w:rPr>
                <w:b/>
              </w:rPr>
            </w:pPr>
            <w:r>
              <w:rPr>
                <w:b/>
              </w:rPr>
              <w:t>13,636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15,155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680" w:type="dxa"/>
            <w:tcBorders/>
            <w:shd w:fill="FFFFFF" w:val="clear"/>
            <w:vAlign w:val="center"/>
          </w:tcPr>
          <w:p>
            <w:pPr>
              <w:pStyle w:val="TableContents"/>
              <w:bidi w:val="0"/>
              <w:spacing w:before="0" w:after="283"/>
              <w:jc w:val="right"/>
              <w:rPr>
                <w:b/>
              </w:rPr>
            </w:pPr>
            <w:r>
              <w:rPr>
                <w:b/>
              </w:rPr>
              <w:t>14,101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42,892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515" w:type="dxa"/>
            <w:tcBorders/>
            <w:shd w:fill="FFFFFF" w:val="clear"/>
            <w:vAlign w:val="center"/>
          </w:tcPr>
          <w:p>
            <w:pPr>
              <w:pStyle w:val="TableContents"/>
              <w:bidi w:val="0"/>
              <w:spacing w:before="0" w:after="283"/>
              <w:jc w:val="right"/>
              <w:rPr>
                <w:b/>
              </w:rPr>
            </w:pPr>
            <w:r>
              <w:rPr>
                <w:b/>
              </w:rPr>
              <w:t>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515" w:type="dxa"/>
            <w:tcBorders/>
            <w:shd w:fill="FFFFFF" w:val="clear"/>
            <w:vAlign w:val="center"/>
          </w:tcPr>
          <w:p>
            <w:pPr>
              <w:pStyle w:val="TableContents"/>
              <w:bidi w:val="0"/>
              <w:spacing w:before="0" w:after="283"/>
              <w:jc w:val="right"/>
              <w:rPr>
                <w:b/>
              </w:rPr>
            </w:pPr>
            <w:r>
              <w:rPr>
                <w:b/>
              </w:rPr>
              <w:t>21.2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b/>
              </w:rPr>
            </w:pPr>
            <w:r>
              <w:rPr>
                <w:b/>
              </w:rPr>
              <w:t>-3</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b/>
              </w:rPr>
            </w:pPr>
            <w:r>
              <w:rPr>
                <w:b/>
              </w:rPr>
              <w:t>19.9</w:t>
            </w:r>
          </w:p>
        </w:tc>
        <w:tc>
          <w:tcPr>
            <w:tcW w:w="95"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2</w:t>
            </w:r>
          </w:p>
          <w:p>
            <w:pPr>
              <w:pStyle w:val="TableContents"/>
              <w:bidi w:val="0"/>
              <w:spacing w:before="0" w:after="283"/>
              <w:jc w:val="left"/>
              <w:rPr>
                <w:b/>
              </w:rPr>
            </w:pPr>
            <w:r>
              <w:rPr>
                <w:b/>
              </w:rPr>
              <w:t>%</w:t>
            </w:r>
          </w:p>
        </w:tc>
      </w:tr>
      <w:tr>
        <w:trPr/>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b/>
              </w:rPr>
            </w:pPr>
            <w:r>
              <w:rPr>
                <w:b/>
              </w:rPr>
              <w:t>Discounts:</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680" w:type="dxa"/>
            <w:tcBorders/>
            <w:shd w:fill="FFFFFF" w:val="clear"/>
            <w:vAlign w:val="center"/>
          </w:tcPr>
          <w:p>
            <w:pPr>
              <w:pStyle w:val="TableContents"/>
              <w:bidi w:val="0"/>
              <w:spacing w:before="0" w:after="283"/>
              <w:jc w:val="right"/>
              <w:rPr>
                <w:b/>
              </w:rPr>
            </w:pPr>
            <w:r>
              <w:rPr>
                <w:b/>
              </w:rPr>
              <w:t>(1,296</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680" w:type="dxa"/>
            <w:tcBorders/>
            <w:shd w:fill="FFFFFF" w:val="clear"/>
            <w:vAlign w:val="center"/>
          </w:tcPr>
          <w:p>
            <w:pPr>
              <w:pStyle w:val="TableContents"/>
              <w:bidi w:val="0"/>
              <w:spacing w:before="0" w:after="283"/>
              <w:jc w:val="right"/>
              <w:rPr>
                <w:b/>
              </w:rPr>
            </w:pPr>
            <w:r>
              <w:rPr>
                <w:b/>
              </w:rPr>
              <w:t>(1,159</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680" w:type="dxa"/>
            <w:tcBorders/>
            <w:shd w:fill="FFFFFF" w:val="clear"/>
            <w:vAlign w:val="center"/>
          </w:tcPr>
          <w:p>
            <w:pPr>
              <w:pStyle w:val="TableContents"/>
              <w:bidi w:val="0"/>
              <w:spacing w:before="0" w:after="283"/>
              <w:jc w:val="right"/>
              <w:rPr>
                <w:b/>
              </w:rPr>
            </w:pPr>
            <w:r>
              <w:rPr>
                <w:b/>
              </w:rPr>
              <w:t>(1,363</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(3,819</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b/>
              </w:rPr>
            </w:pPr>
            <w:r>
              <w:rPr>
                <w:b/>
              </w:rPr>
              <w:t>-32</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b/>
              </w:rPr>
            </w:pPr>
            <w:r>
              <w:rPr>
                <w:b/>
              </w:rPr>
              <w:t>-22</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680" w:type="dxa"/>
            <w:tcBorders/>
            <w:shd w:fill="FFFFFF" w:val="clear"/>
            <w:vAlign w:val="center"/>
          </w:tcPr>
          <w:p>
            <w:pPr>
              <w:pStyle w:val="TableContents"/>
              <w:bidi w:val="0"/>
              <w:spacing w:before="0" w:after="283"/>
              <w:jc w:val="right"/>
              <w:rPr>
                <w:b/>
              </w:rPr>
            </w:pPr>
            <w:r>
              <w:rPr>
                <w:b/>
              </w:rPr>
              <w:t>(1,454</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(1,430</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680" w:type="dxa"/>
            <w:tcBorders/>
            <w:shd w:fill="FFFFFF" w:val="clear"/>
            <w:vAlign w:val="center"/>
          </w:tcPr>
          <w:p>
            <w:pPr>
              <w:pStyle w:val="TableContents"/>
              <w:bidi w:val="0"/>
              <w:spacing w:before="0" w:after="283"/>
              <w:jc w:val="right"/>
              <w:rPr>
                <w:b/>
              </w:rPr>
            </w:pPr>
            <w:r>
              <w:rPr>
                <w:b/>
              </w:rPr>
              <w:t>(2,007</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(4,891</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515" w:type="dxa"/>
            <w:tcBorders/>
            <w:shd w:fill="FFFFFF" w:val="clear"/>
            <w:vAlign w:val="center"/>
          </w:tcPr>
          <w:p>
            <w:pPr>
              <w:pStyle w:val="TableContents"/>
              <w:bidi w:val="0"/>
              <w:spacing w:before="0" w:after="283"/>
              <w:jc w:val="right"/>
              <w:rPr>
                <w:b/>
              </w:rPr>
            </w:pPr>
            <w:r>
              <w:rPr>
                <w:b/>
              </w:rPr>
              <w:t>(2.1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515" w:type="dxa"/>
            <w:tcBorders/>
            <w:shd w:fill="FFFFFF" w:val="clear"/>
            <w:vAlign w:val="center"/>
          </w:tcPr>
          <w:p>
            <w:pPr>
              <w:pStyle w:val="TableContents"/>
              <w:bidi w:val="0"/>
              <w:spacing w:before="0" w:after="283"/>
              <w:jc w:val="right"/>
              <w:rPr>
                <w:b/>
              </w:rPr>
            </w:pPr>
            <w:r>
              <w:rPr>
                <w:b/>
              </w:rPr>
              <w:t>(3.0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b/>
              </w:rPr>
            </w:pPr>
            <w:r>
              <w:rPr>
                <w:b/>
              </w:rPr>
              <w:t>-29</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560" w:type="dxa"/>
            <w:tcBorders/>
            <w:shd w:fill="FFFFFF" w:val="clear"/>
            <w:vAlign w:val="center"/>
          </w:tcPr>
          <w:p>
            <w:pPr>
              <w:pStyle w:val="TableContents"/>
              <w:bidi w:val="0"/>
              <w:spacing w:before="0" w:after="283"/>
              <w:jc w:val="right"/>
              <w:rPr>
                <w:b/>
              </w:rPr>
            </w:pPr>
            <w:r>
              <w:rPr>
                <w:b/>
              </w:rPr>
              <w:t>(2.1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515" w:type="dxa"/>
            <w:tcBorders/>
            <w:shd w:fill="FFFFFF" w:val="clear"/>
            <w:vAlign w:val="center"/>
          </w:tcPr>
          <w:p>
            <w:pPr>
              <w:pStyle w:val="TableContents"/>
              <w:bidi w:val="0"/>
              <w:spacing w:before="0" w:after="283"/>
              <w:jc w:val="right"/>
              <w:rPr>
                <w:b/>
              </w:rPr>
            </w:pPr>
            <w:r>
              <w:rPr>
                <w:b/>
              </w:rPr>
              <w:t>(2.3</w:t>
            </w:r>
          </w:p>
        </w:tc>
        <w:tc>
          <w:tcPr>
            <w:tcW w:w="95" w:type="dxa"/>
            <w:tcBorders/>
            <w:shd w:fill="FFFFFF" w:val="clear"/>
            <w:vAlign w:val="center"/>
          </w:tcPr>
          <w:p>
            <w:pPr>
              <w:pStyle w:val="TableContents"/>
              <w:bidi w:val="0"/>
              <w:spacing w:before="0" w:after="283"/>
              <w:jc w:val="left"/>
              <w:rPr>
                <w:b/>
              </w:rPr>
            </w:pPr>
            <w:r>
              <w:rPr>
                <w:b/>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-7</w:t>
            </w:r>
          </w:p>
          <w:p>
            <w:pPr>
              <w:pStyle w:val="TableContents"/>
              <w:bidi w:val="0"/>
              <w:spacing w:before="0" w:after="283"/>
              <w:jc w:val="left"/>
              <w:rPr>
                <w:b/>
              </w:rPr>
            </w:pPr>
            <w:r>
              <w:rPr>
                <w:b/>
              </w:rPr>
              <w:t>%</w:t>
            </w:r>
          </w:p>
        </w:tc>
      </w:tr>
      <w:tr>
        <w:trPr/>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b/>
              </w:rPr>
            </w:pPr>
            <w:r>
              <w:rPr>
                <w:b/>
              </w:rPr>
              <w:t>COGS:</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Core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(8,422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(7,408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(7,820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(23,650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-18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(9,150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(10,286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(9,548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(28,984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(12.2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-15</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(13.6</w:t>
            </w:r>
          </w:p>
        </w:tc>
        <w:tc>
          <w:tcPr>
            <w:tcW w:w="95" w:type="dxa"/>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-3</w:t>
            </w:r>
          </w:p>
          <w:p>
            <w:pPr>
              <w:pStyle w:val="TableContents"/>
              <w:bidi w:val="0"/>
              <w:spacing w:before="0" w:after="283"/>
              <w:jc w:val="left"/>
              <w:rPr/>
            </w:pPr>
            <w:r>
              <w:rPr/>
              <w:t>%</w:t>
            </w:r>
          </w:p>
        </w:tc>
      </w:tr>
      <w:tr>
        <w:trPr/>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Non Core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(128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-97</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FFFFFF" w:val="clear"/>
            <w:tcMar>
              <w:bottom w:w="28" w:type="dxa"/>
            </w:tcMar>
            <w:vAlign w:val="center"/>
          </w:tcPr>
          <w:p>
            <w:pPr>
              <w:pStyle w:val="TableContents"/>
              <w:bidi w:val="0"/>
              <w:spacing w:before="0" w:after="283"/>
              <w:jc w:val="right"/>
              <w:rPr/>
            </w:pPr>
            <w:r>
              <w:rPr/>
              <w:t>-64</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(126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(106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(319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(64.0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(27.0</w:t>
            </w:r>
          </w:p>
        </w:tc>
        <w:tc>
          <w:tcPr>
            <w:tcW w:w="95" w:type="dxa"/>
            <w:tcBorders/>
            <w:shd w:fill="FFFFFF" w:val="clear"/>
            <w:vAlign w:val="center"/>
          </w:tcPr>
          <w:p>
            <w:pPr>
              <w:pStyle w:val="TableContents"/>
              <w:bidi w:val="0"/>
              <w:spacing w:before="0" w:after="283"/>
              <w:jc w:val="lef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w:t>
            </w:r>
          </w:p>
        </w:tc>
      </w:tr>
      <w:tr>
        <w:trPr/>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(8,459</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(7,496</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(7,823</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(23,778</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b/>
              </w:rPr>
            </w:pPr>
            <w:r>
              <w:rPr>
                <w:b/>
              </w:rPr>
              <w:t>-19</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b/>
              </w:rPr>
            </w:pPr>
            <w:r>
              <w:rPr>
                <w:b/>
              </w:rPr>
              <w:t>-19</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(9,250</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(10,426</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(9,659</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(29,335</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15" w:type="dxa"/>
            <w:tcBorders/>
            <w:shd w:fill="CCEEFF" w:val="clear"/>
            <w:vAlign w:val="center"/>
          </w:tcPr>
          <w:p>
            <w:pPr>
              <w:pStyle w:val="TableContents"/>
              <w:bidi w:val="0"/>
              <w:spacing w:before="0" w:after="283"/>
              <w:jc w:val="right"/>
              <w:rPr>
                <w:b/>
              </w:rPr>
            </w:pPr>
            <w:r>
              <w:rPr>
                <w:b/>
              </w:rPr>
              <w:t>(12.2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15" w:type="dxa"/>
            <w:tcBorders/>
            <w:shd w:fill="CCEEFF" w:val="clear"/>
            <w:vAlign w:val="center"/>
          </w:tcPr>
          <w:p>
            <w:pPr>
              <w:pStyle w:val="TableContents"/>
              <w:bidi w:val="0"/>
              <w:spacing w:before="0" w:after="283"/>
              <w:jc w:val="right"/>
              <w:rPr>
                <w:b/>
              </w:rPr>
            </w:pPr>
            <w:r>
              <w:rPr>
                <w:b/>
              </w:rPr>
              <w:t>(14.5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-16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60" w:type="dxa"/>
            <w:tcBorders/>
            <w:shd w:fill="CCEEFF" w:val="clear"/>
            <w:vAlign w:val="center"/>
          </w:tcPr>
          <w:p>
            <w:pPr>
              <w:pStyle w:val="TableContents"/>
              <w:bidi w:val="0"/>
              <w:spacing w:before="0" w:after="283"/>
              <w:jc w:val="right"/>
              <w:rPr>
                <w:b/>
              </w:rPr>
            </w:pPr>
            <w:r>
              <w:rPr>
                <w:b/>
              </w:rPr>
              <w:t>(13.2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15" w:type="dxa"/>
            <w:tcBorders/>
            <w:shd w:fill="CCEEFF" w:val="clear"/>
            <w:vAlign w:val="center"/>
          </w:tcPr>
          <w:p>
            <w:pPr>
              <w:pStyle w:val="TableContents"/>
              <w:bidi w:val="0"/>
              <w:spacing w:before="0" w:after="283"/>
              <w:jc w:val="right"/>
              <w:rPr>
                <w:b/>
              </w:rPr>
            </w:pPr>
            <w:r>
              <w:rPr>
                <w:b/>
              </w:rPr>
              <w:t>(13.6</w:t>
            </w:r>
          </w:p>
        </w:tc>
        <w:tc>
          <w:tcPr>
            <w:tcW w:w="95" w:type="dxa"/>
            <w:tcBorders/>
            <w:shd w:fill="CCEEFF" w:val="clear"/>
            <w:vAlign w:val="center"/>
          </w:tcPr>
          <w:p>
            <w:pPr>
              <w:pStyle w:val="TableContents"/>
              <w:bidi w:val="0"/>
              <w:spacing w:before="0" w:after="283"/>
              <w:jc w:val="left"/>
              <w:rPr>
                <w:b/>
              </w:rPr>
            </w:pPr>
            <w:r>
              <w:rPr>
                <w:b/>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-3</w:t>
            </w:r>
          </w:p>
          <w:p>
            <w:pPr>
              <w:pStyle w:val="TableContents"/>
              <w:bidi w:val="0"/>
              <w:spacing w:before="0" w:after="283"/>
              <w:jc w:val="left"/>
              <w:rPr>
                <w:b/>
              </w:rPr>
            </w:pPr>
            <w:r>
              <w:rPr>
                <w:b/>
              </w:rPr>
              <w:t>%</w:t>
            </w:r>
          </w:p>
        </w:tc>
      </w:tr>
      <w:tr>
        <w:trPr/>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b/>
              </w:rPr>
            </w:pPr>
            <w:r>
              <w:rPr>
                <w:b/>
              </w:rPr>
              <w:t>Gross Margin:</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2,698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2,509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4,033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9,240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b/>
              </w:rPr>
            </w:pPr>
            <w:r>
              <w:rPr>
                <w:b/>
              </w:rPr>
              <w:t>66</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b/>
              </w:rPr>
            </w:pPr>
            <w:r>
              <w:rPr>
                <w:b/>
              </w:rPr>
              <w:t>7</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2,932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3,299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2,435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8,666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15" w:type="dxa"/>
            <w:tcBorders/>
            <w:shd w:fill="CCEEFF" w:val="clear"/>
            <w:vAlign w:val="center"/>
          </w:tcPr>
          <w:p>
            <w:pPr>
              <w:pStyle w:val="TableContents"/>
              <w:bidi w:val="0"/>
              <w:spacing w:before="0" w:after="283"/>
              <w:jc w:val="right"/>
              <w:rPr>
                <w:b/>
              </w:rPr>
            </w:pPr>
            <w:r>
              <w:rPr>
                <w:b/>
              </w:rPr>
              <w:t>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15" w:type="dxa"/>
            <w:tcBorders/>
            <w:shd w:fill="CCEEFF" w:val="clear"/>
            <w:vAlign w:val="center"/>
          </w:tcPr>
          <w:p>
            <w:pPr>
              <w:pStyle w:val="TableContents"/>
              <w:bidi w:val="0"/>
              <w:spacing w:before="0" w:after="283"/>
              <w:jc w:val="right"/>
              <w:rPr>
                <w:b/>
              </w:rPr>
            </w:pPr>
            <w:r>
              <w:rPr>
                <w:b/>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b/>
              </w:rPr>
            </w:pPr>
            <w:r>
              <w:rPr>
                <w:b/>
              </w:rPr>
              <w:t>72</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60" w:type="dxa"/>
            <w:tcBorders/>
            <w:shd w:fill="CCEEFF" w:val="clear"/>
            <w:vAlign w:val="center"/>
          </w:tcPr>
          <w:p>
            <w:pPr>
              <w:pStyle w:val="TableContents"/>
              <w:bidi w:val="0"/>
              <w:spacing w:before="0" w:after="283"/>
              <w:jc w:val="right"/>
              <w:rPr>
                <w:b/>
              </w:rPr>
            </w:pPr>
            <w:r>
              <w:rPr>
                <w:b/>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15" w:type="dxa"/>
            <w:tcBorders/>
            <w:shd w:fill="CCEEFF" w:val="clear"/>
            <w:vAlign w:val="center"/>
          </w:tcPr>
          <w:p>
            <w:pPr>
              <w:pStyle w:val="TableContents"/>
              <w:bidi w:val="0"/>
              <w:spacing w:before="0" w:after="283"/>
              <w:jc w:val="right"/>
              <w:rPr>
                <w:b/>
              </w:rPr>
            </w:pPr>
            <w:r>
              <w:rPr>
                <w:b/>
              </w:rPr>
              <w:t>4.0</w:t>
            </w:r>
          </w:p>
        </w:tc>
        <w:tc>
          <w:tcPr>
            <w:tcW w:w="95" w:type="dxa"/>
            <w:tcBorders/>
            <w:shd w:fill="CCEE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27</w:t>
            </w:r>
          </w:p>
          <w:p>
            <w:pPr>
              <w:pStyle w:val="TableContents"/>
              <w:bidi w:val="0"/>
              <w:spacing w:before="0" w:after="283"/>
              <w:jc w:val="left"/>
              <w:rPr>
                <w:b/>
              </w:rPr>
            </w:pPr>
            <w:r>
              <w:rPr>
                <w:b/>
              </w:rPr>
              <w:t>%</w:t>
            </w:r>
          </w:p>
        </w:tc>
      </w:tr>
      <w:tr>
        <w:trPr/>
        <w:tc>
          <w:tcPr>
            <w:tcW w:w="1025" w:type="dxa"/>
            <w:tcBorders/>
            <w:shd w:fill="FFFFFF" w:val="clear"/>
            <w:vAlign w:val="center"/>
          </w:tcPr>
          <w:p>
            <w:pPr>
              <w:pStyle w:val="TableContents"/>
              <w:bidi w:val="0"/>
              <w:spacing w:before="0" w:after="283"/>
              <w:jc w:val="left"/>
              <w:rPr>
                <w:b/>
              </w:rPr>
            </w:pPr>
            <w:r>
              <w:rPr>
                <w:b/>
              </w:rPr>
              <w:t>as % Net Sales</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beverage volume for the three months ended September 30, 2023, represents 99% of all beverage volume.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brand gross billing decreased by 5% to $13,197 compared to $13,876 during the same period last year, driven by a Reed’s volume increase of 13% and Virgil’s volume decline of 22%. The result is a decrease in total gross billing of 5%, to $13,219 during the three months ended September 30, 2023, from $14,101 in the same period last year. Price on our core brands decreased 2% to $20.62 per case. The decrease was a result of volume declines that have impacted the CSD segment as a result of price increases coupled with the Company’s inability to produce sufficient levels of inventory to meet current demand as a result of tighter credit terms from suppliers.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as a percentage of gross sales was 10% compared to 14% in the same period last year. As a result, net sales revenue decreased 2% in the three months ended September 30, 2023, to $11,856, compared to $12,094 in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decreased $1,836 during the three months ended September 30, 2023, as compared to the same period last year. As a percentage of net sales, cost of goods sold for the three months ended September 30, 2023, was 66% as compared to 80% for the same period last year. The decrease was primarily driven by lower supply chain and input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of goods per case decreased to $12.22 per case in the three months ended September 30, 2023, from $14.52 per case for the same period last year. The cost of goods sold per case on core brands was $12.22 during the three months ended September 30, 2023, compared to $14.44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34% for the three months ended September 30, 2023, compared to 20%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and Handling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consist of delivery costs to customers and warehousing costs incurred for handling our finished goods after production. Delivery and handling expenses decreased by $341 in the three months ended September 30, 2023, to $1,908 from $2,249 in the same period last year, driven by our efforts to mitigate inflationary costs. Delivery costs in the three months ended September 30, 2023, were 16% of net sales and $2.98 per case, compared to 19% of net sales and $3.38 per case during the same period last year.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 consist of direct marketing, marketing labor, and marketing support costs. Selling expenses consist of all other selling-related expenses including personnel and contractor support. Total selling and marketing expenses were $861 during the three months ended September 30, 2023, compared to $1,220 during the same period last year. As a percentage of net sales, selling and marketing costs was 7% during the three months ended September 30, 2023, as compared to 10% during the same period last year. The decrease was primarily driven by lower marketing expenditures, broker commissions, IT related charges, and travel and entertainment expenses, partially offset by higher employee related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 of executive, administrative, and finance personnel, as well as professional fees. General and administrative expenses decreased in the three months ended September 30, 2023, to $1,407 from $1,420, a decrease of $13 over the same period last year. As a percentage of net sales, general and administrative expenses were 12% during the three months ended September 30, 2023, as compared to 12% during the same period last year. The decrease was driven by lower stock compensation, consultant fees, investor relation expenses and information technology expenditures, partially offset by higher employee related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from operations was $143 for the three months ended September 30, 2023, as compared to a loss of $2,454 in the same period last year driven by increased gross profit offset by decreases in operating expenses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for the three months ended September 30, 2023, consisted of $1,293 of interest expense. During the same period last year, interest expense consisted of $777 of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Modified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legal settlements, and one-time restructuring-related costs including employee severance and asset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reconciliation of net loss to Modified EBITDA for the three months ended September 30, 2023 and 2022 (unaudited; in thousands):</w:t>
      </w:r>
    </w:p>
    <w:p>
      <w:pPr>
        <w:pStyle w:val="TextBody"/>
        <w:bidi w:val="0"/>
        <w:spacing w:before="0" w:after="0"/>
        <w:ind w:left="0" w:right="0" w:hanging="0"/>
        <w:jc w:val="center"/>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4385"/>
        <w:gridCol w:w="60"/>
        <w:gridCol w:w="146"/>
        <w:gridCol w:w="666"/>
        <w:gridCol w:w="99"/>
        <w:gridCol w:w="62"/>
        <w:gridCol w:w="146"/>
        <w:gridCol w:w="666"/>
        <w:gridCol w:w="110"/>
      </w:tblGrid>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w:t>
            </w:r>
          </w:p>
        </w:tc>
        <w:tc>
          <w:tcPr>
            <w:tcW w:w="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Modified EBITDA adjustments: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777</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 and other noncash compensation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Severance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settlements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EBITDA adjustments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1,049</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Modified EBITDA</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our cash expenditures, or future requirements, for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changes in, or cash requirements for, our working capital needs;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future interest expense, or the cash requirements necessary to service interest or principal payments, on our debts;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Modified EBITDA does not reflect any cash requirements for such replacements.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Nine Months ended September 30, 2023, as compared to Nine Months Ended September 30,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nine months ended September 30, 2023 and 2022, respectively, in thousands.</w:t>
      </w:r>
    </w:p>
    <w:p>
      <w:pPr>
        <w:pStyle w:val="TextBody"/>
        <w:bidi w:val="0"/>
        <w:spacing w:before="0" w:after="0"/>
        <w:ind w:left="0" w:right="0" w:hanging="0"/>
        <w:jc w:val="both"/>
        <w:rPr>
          <w:caps w:val="false"/>
          <w:smallCaps w:val="false"/>
        </w:rPr>
      </w:pPr>
      <w:r>
        <w:rPr>
          <w:caps w:val="false"/>
          <w:smallCaps w:val="false"/>
        </w:rPr>
        <w:t> </w:t>
      </w:r>
    </w:p>
    <w:tbl>
      <w:tblPr>
        <w:tblW w:w="10013" w:type="dxa"/>
        <w:jc w:val="left"/>
        <w:tblInd w:w="0" w:type="dxa"/>
        <w:tblLayout w:type="fixed"/>
        <w:tblCellMar>
          <w:top w:w="0" w:type="dxa"/>
          <w:left w:w="0" w:type="dxa"/>
          <w:bottom w:w="0" w:type="dxa"/>
          <w:right w:w="0" w:type="dxa"/>
        </w:tblCellMar>
      </w:tblPr>
      <w:tblGrid>
        <w:gridCol w:w="5165"/>
        <w:gridCol w:w="60"/>
        <w:gridCol w:w="198"/>
        <w:gridCol w:w="1387"/>
        <w:gridCol w:w="304"/>
        <w:gridCol w:w="84"/>
        <w:gridCol w:w="198"/>
        <w:gridCol w:w="1387"/>
        <w:gridCol w:w="215"/>
        <w:gridCol w:w="60"/>
        <w:gridCol w:w="60"/>
        <w:gridCol w:w="665"/>
        <w:gridCol w:w="230"/>
      </w:tblGrid>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Pct.</w:t>
            </w:r>
          </w:p>
        </w:tc>
        <w:tc>
          <w:tcPr>
            <w:tcW w:w="230" w:type="dxa"/>
            <w:tcBorders/>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30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Change</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billing (A)</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36,837</w:t>
            </w:r>
          </w:p>
        </w:tc>
        <w:tc>
          <w:tcPr>
            <w:tcW w:w="30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42,892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Promotional and other allowances (B)</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3,819</w:t>
            </w:r>
          </w:p>
        </w:tc>
        <w:tc>
          <w:tcPr>
            <w:tcW w:w="30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sales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33,018</w:t>
            </w:r>
          </w:p>
        </w:tc>
        <w:tc>
          <w:tcPr>
            <w:tcW w:w="30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38,001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goods sold</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23,778</w:t>
            </w:r>
          </w:p>
        </w:tc>
        <w:tc>
          <w:tcPr>
            <w:tcW w:w="30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29,335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Gross billing</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65</w:t>
            </w:r>
          </w:p>
        </w:tc>
        <w:tc>
          <w:tcPr>
            <w:tcW w:w="304"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68</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72</w:t>
            </w:r>
          </w:p>
        </w:tc>
        <w:tc>
          <w:tcPr>
            <w:tcW w:w="304"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84"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77</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9,240</w:t>
            </w:r>
          </w:p>
        </w:tc>
        <w:tc>
          <w:tcPr>
            <w:tcW w:w="30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28</w:t>
            </w:r>
          </w:p>
        </w:tc>
        <w:tc>
          <w:tcPr>
            <w:tcW w:w="304"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23</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30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Delivery and handling</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5,714</w:t>
            </w:r>
          </w:p>
        </w:tc>
        <w:tc>
          <w:tcPr>
            <w:tcW w:w="30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17</w:t>
            </w:r>
          </w:p>
        </w:tc>
        <w:tc>
          <w:tcPr>
            <w:tcW w:w="304"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23</w:t>
            </w:r>
          </w:p>
        </w:tc>
        <w:tc>
          <w:tcPr>
            <w:tcW w:w="21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Dollar per case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3.17</w:t>
            </w:r>
          </w:p>
        </w:tc>
        <w:tc>
          <w:tcPr>
            <w:tcW w:w="30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4.13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3,567</w:t>
            </w:r>
          </w:p>
        </w:tc>
        <w:tc>
          <w:tcPr>
            <w:tcW w:w="30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11</w:t>
            </w:r>
          </w:p>
        </w:tc>
        <w:tc>
          <w:tcPr>
            <w:tcW w:w="304"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15</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4,427</w:t>
            </w:r>
          </w:p>
        </w:tc>
        <w:tc>
          <w:tcPr>
            <w:tcW w:w="30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 of Net sales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13</w:t>
            </w:r>
          </w:p>
        </w:tc>
        <w:tc>
          <w:tcPr>
            <w:tcW w:w="304"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84"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i/>
              </w:rPr>
            </w:pPr>
            <w:r>
              <w:rPr>
                <w:rFonts w:ascii="Times New Roman;Times;Serif" w:hAnsi="Times New Roman;Times;Serif"/>
                <w:i/>
              </w:rPr>
              <w:t>14</w:t>
            </w:r>
          </w:p>
        </w:tc>
        <w:tc>
          <w:tcPr>
            <w:tcW w:w="21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13,708</w:t>
            </w:r>
          </w:p>
        </w:tc>
        <w:tc>
          <w:tcPr>
            <w:tcW w:w="30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19,835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(4,468</w:t>
            </w:r>
          </w:p>
        </w:tc>
        <w:tc>
          <w:tcPr>
            <w:tcW w:w="3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(11,169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(4,459</w:t>
            </w:r>
          </w:p>
        </w:tc>
        <w:tc>
          <w:tcPr>
            <w:tcW w:w="3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(8,927</w:t>
            </w:r>
          </w:p>
        </w:tc>
        <w:tc>
          <w:tcPr>
            <w:tcW w:w="3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w:t>
            </w:r>
          </w:p>
        </w:tc>
        <w:tc>
          <w:tcPr>
            <w:tcW w:w="3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3,322,959</w:t>
            </w:r>
          </w:p>
        </w:tc>
        <w:tc>
          <w:tcPr>
            <w:tcW w:w="30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2,030,503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beverage volume for the nine months ended September 30, 2023, represents 99% of all beverage volume.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brand gross billing decreased by 5% to $36,626 compared to $42,135 during the same period last year, driven by Reed’s volume decline of 5% and Virgil’s volume decline of 29%. The result is a decrease in total gross billing of 14%, to $36,837 during the nine months ended September 30, 2022, from $42,892 in the same period last year. Price on our core brands increased 3% to $20.3 per case. The decrease was a result of volume declines that have impacted the CSD segment as a result of price increases coupled with the Company’s inability to produce sufficient levels of inventory to meet current demand as a result of tighter credit terms from suppliers.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as a percentage of gross sales was 10% compared to 11% in the same period last year. As a result, net sales revenue decreased 13% in the nine months ended September 30, 2023, to $33,018, compared to $38,001 in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decreased $5,557 during the nine months ended September 30, 2023, as compared to the same period last year. As a percentage of net sales, cost of goods sold for the nine months ended September 30, 2022, was 72% as compared to 77% for the same period last year. The decrease was primarily driven by lower supply chain and input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of goods per case increased to $13.17 per case in the nine months ended September 30, 2023, from $13.63 per case for the same period last year. The cost of goods sold per case on core brands was $13.12 during the nine months ended September 30, 2023, compared to $13.55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increased to 28% for the nine months ended September 30, 2023, compared to 23%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and Handling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consist of delivery costs to customers and warehousing costs incurred for handling our finished goods after production. Delivery and handling expenses decreased by $3,179 in the nine months ended September 30, 2023, to $5,714 from $8,893 in the same period last year, driven by our efforts to mitigate inflationary costs. Delivery costs in the nine months ended September 30, 2023, were 17% of net sales and $3.17 per case, compared to 23% of net sales and $4.13 per case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 consist of direct marketing, marketing labor, and marketing support costs. Selling expenses consist of all other selling-related expenses including personnel and contractor support. Total selling and marketing expenses were $3,567 during the nine months ended September 30, 2023, compared to $5,623 during the same period last year. As a percentage of net sales, selling and marketing were 11% of net sales during the nine months ended September 30, 2023, as compared to 15% of net sales during the same period last year. The decrease was driven by lower marketing related expenditures, headcount, broker commissions, information technology charges, travel and entertainment expenses partially offset by stock compensation and trade show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 of executive, administrative, and finance personnel, as well as professional fees. General and administrative expenses decreased in the nine months ended September 30, 2023, to $4,427 from $5,319, a decrease of $892 over the same period last year. The decrease was driven by lower stock compensation, employee related expenses, information technology charges, consulting fees, and investor relation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from operations was $4,468 for the nine months ended September 30, 2023, as compared to a loss of $11,169 in the same period last year driven by increased gross profit offset by decreases in operating expenses discussed above.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for the nine months ended September 30, 2023, consisted of $4,459 of interest expense. During the same period last year, interest expense consisted of $2,119 of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Modified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reconciliation of net loss to Modified EBITDA for the nine months ended September 30, 2022 and 2021 (unaudited; in thousands):</w:t>
      </w:r>
    </w:p>
    <w:p>
      <w:pPr>
        <w:pStyle w:val="TextBody"/>
        <w:bidi w:val="0"/>
        <w:spacing w:before="0" w:after="0"/>
        <w:ind w:left="0" w:right="0" w:hanging="0"/>
        <w:jc w:val="left"/>
        <w:rPr>
          <w:caps w:val="false"/>
          <w:smallCaps w:val="false"/>
        </w:rPr>
      </w:pPr>
      <w:r>
        <w:rPr>
          <w:caps w:val="false"/>
          <w:smallCaps w:val="false"/>
        </w:rPr>
        <w:t> </w:t>
      </w:r>
    </w:p>
    <w:tbl>
      <w:tblPr>
        <w:tblW w:w="8113" w:type="dxa"/>
        <w:jc w:val="left"/>
        <w:tblInd w:w="0" w:type="dxa"/>
        <w:tblLayout w:type="fixed"/>
        <w:tblCellMar>
          <w:top w:w="0" w:type="dxa"/>
          <w:left w:w="0" w:type="dxa"/>
          <w:bottom w:w="0" w:type="dxa"/>
          <w:right w:w="0" w:type="dxa"/>
        </w:tblCellMar>
      </w:tblPr>
      <w:tblGrid>
        <w:gridCol w:w="4385"/>
        <w:gridCol w:w="60"/>
        <w:gridCol w:w="273"/>
        <w:gridCol w:w="1238"/>
        <w:gridCol w:w="185"/>
        <w:gridCol w:w="117"/>
        <w:gridCol w:w="273"/>
        <w:gridCol w:w="1472"/>
        <w:gridCol w:w="11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September 30,</w:t>
            </w:r>
          </w:p>
        </w:tc>
        <w:tc>
          <w:tcPr>
            <w:tcW w:w="110" w:type="dxa"/>
            <w:tcBorders/>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85"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2"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(8,927</w:t>
            </w:r>
          </w:p>
        </w:tc>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Modified EBITDA adjustments: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185"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4,459</w:t>
            </w:r>
          </w:p>
        </w:tc>
        <w:tc>
          <w:tcPr>
            <w:tcW w:w="18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 and other noncash compensation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w:t>
            </w:r>
          </w:p>
        </w:tc>
        <w:tc>
          <w:tcPr>
            <w:tcW w:w="185"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Severance</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w:t>
            </w:r>
          </w:p>
        </w:tc>
        <w:tc>
          <w:tcPr>
            <w:tcW w:w="18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settlements</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85"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EBITDA adjustments</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5,216</w:t>
            </w:r>
          </w:p>
        </w:tc>
        <w:tc>
          <w:tcPr>
            <w:tcW w:w="185"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7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2,935</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Modified EBITDA</w:t>
            </w:r>
          </w:p>
        </w:tc>
        <w:tc>
          <w:tcPr>
            <w:tcW w:w="60"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(3,711</w:t>
            </w:r>
          </w:p>
        </w:tc>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(10,353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our cash expenditures, or future requirements, for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changes in, or cash requirements for, our working capital needs;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future interest expense, or the cash requirements necessary to service interest or principal payments, on our debts;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Modified EBITDA does not reflect any cash requirements for such replacements.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under the assumption that the Company will continue as a going concern. Such assumption contemplates the realization of assets and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we recorded a net loss of $8,927. As of September 30, 2023, we had a cash balance of $1,004, with $14 of current availability, and $3,062 of additional borrowing capacity, a stockholder’s deficit of $12,760 and negative working capital of $4,177, compared to a cash balance of $533, with $110 of current availability, and $1,633 of additional borrowing capacity, a stockholder’s deficit of $8,470 and negative working capital of $1,563 at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decisive action to improve our margins, including fully outsourcing our manufacturing process, streamlining our product portfolio, negotiating improved vendor contracts and restructuring our selling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financial statements in conformity with generally accepted accounting principles in the United States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condensed financial statements included in our Annual Report on Form 10-K for the fiscal year ended December 31, 2022, that impacted our condensed financial statements and related notes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of the Notes to Condensed Financial Statements for a discussion of 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7" w:name="hla_009"/>
      <w:bookmarkEnd w:id="587"/>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smaller reporting company is not required to provide the information required by this Item.</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8" w:name="hla_010"/>
      <w:bookmarkEnd w:id="588"/>
      <w:r>
        <w:rPr>
          <w:rFonts w:ascii="Times New Roman;Times;Serif" w:hAnsi="Times New Roman;Times;Serif"/>
          <w:b/>
          <w:i w:val="false"/>
          <w:caps w:val="false"/>
          <w:smallCaps w:val="false"/>
          <w:sz w:val="20"/>
        </w:rPr>
        <w:t>Item 4.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September 30, 2023,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the Company’s internal control over financial reporting during the three months ended September 30, 2023 that have materially affected, or are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9" w:name="hla_011"/>
      <w:bookmarkEnd w:id="589"/>
      <w:r>
        <w:rPr>
          <w:rFonts w:ascii="Times New Roman;Times;Serif" w:hAnsi="Times New Roman;Times;Serif"/>
          <w:b/>
          <w:i w:val="false"/>
          <w:caps w:val="false"/>
          <w:smallCaps w:val="false"/>
          <w:sz w:val="20"/>
        </w:rPr>
        <w:t>PART II – OTHER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0" w:name="hla_012"/>
      <w:bookmarkEnd w:id="590"/>
      <w:r>
        <w:rPr>
          <w:rFonts w:ascii="Times New Roman;Times;Serif" w:hAnsi="Times New Roman;Times;Serif"/>
          <w:b/>
          <w:i w:val="false"/>
          <w:caps w:val="false"/>
          <w:smallCaps w:val="false"/>
          <w:sz w:val="20"/>
        </w:rPr>
        <w:t>Item 1.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legal proceedings from time to time in the ordinary course of business, none of which are required to be disclosed under this Item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1" w:name="hla_013"/>
      <w:bookmarkEnd w:id="591"/>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other information set forth in this Quarterly Report on Form 10-Q, you should carefully consider the risk factors discussed in Part I, Item 1A of our Annual Report on Form 10-K (our Form 10-K) for the year ended December 31, 2022 and any subsequent filings with the Securities and Exchange Commission (SEC) made prior to the date hereof, which could materially affect our business, financial condition, results of operations or future results. These risks and uncertainties discussed in our Form 10-K and in any subsequent filings with the SEC made prior to the date hereof are not the only ones facing our business. Additional risks and uncertainties not currently known to us or that we currently deem to be immaterial may materially adversely affect our business, cash flows, financial condition and/or results of operations. Please also read the Cautionary Notice Regarding Forward-Looking Statements and Information of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2" w:name="hla_014"/>
      <w:bookmarkEnd w:id="592"/>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that have not been previously disclosed in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3" w:name="hla_015"/>
      <w:bookmarkEnd w:id="593"/>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4" w:name="hla_016"/>
      <w:bookmarkEnd w:id="594"/>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5" w:name="hla_017"/>
      <w:bookmarkEnd w:id="595"/>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6" w:name="hla_018"/>
      <w:bookmarkEnd w:id="596"/>
      <w:r>
        <w:rPr>
          <w:rFonts w:ascii="Times New Roman;Times;Serif" w:hAnsi="Times New Roman;Times;Serif"/>
          <w:b/>
          <w:i w:val="false"/>
          <w:caps w:val="false"/>
          <w:smallCaps w:val="false"/>
          <w:sz w:val="20"/>
        </w:rPr>
        <w:t>Item 6. Exhibits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5"/>
        <w:gridCol w:w="60"/>
        <w:gridCol w:w="5794"/>
        <w:gridCol w:w="60"/>
        <w:gridCol w:w="800"/>
        <w:gridCol w:w="60"/>
        <w:gridCol w:w="525"/>
        <w:gridCol w:w="60"/>
        <w:gridCol w:w="650"/>
        <w:gridCol w:w="60"/>
        <w:gridCol w:w="704"/>
        <w:gridCol w:w="60"/>
        <w:gridCol w:w="657"/>
      </w:tblGrid>
      <w:tr>
        <w:trPr/>
        <w:tc>
          <w:tcPr>
            <w:tcW w:w="7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16" w:type="dxa"/>
            <w:gridSpan w:val="7"/>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9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0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Filed</w:t>
            </w:r>
          </w:p>
        </w:tc>
      </w:tr>
      <w:tr>
        <w:trPr/>
        <w:tc>
          <w:tcPr>
            <w:tcW w:w="7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94"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Certificate of Incorporation of Reed’s, Inc., as amended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5/15/2023</w:t>
            </w:r>
          </w:p>
        </w:tc>
      </w:tr>
      <w:tr>
        <w:trPr/>
        <w:tc>
          <w:tcPr>
            <w:tcW w:w="7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94"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of Reed’s,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4/08/2020</w:t>
            </w:r>
          </w:p>
        </w:tc>
      </w:tr>
      <w:tr>
        <w:trPr/>
        <w:tc>
          <w:tcPr>
            <w:tcW w:w="7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94"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4" w:type="dxa"/>
            <w:tcBorders/>
            <w:shd w:fill="FFFFFF" w:val="cle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94"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4" w:type="dxa"/>
            <w:tcBorders/>
            <w:shd w:fill="FFFFFF" w:val="cle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portions of this exhibit have been redacted pursuant to Item 601(b)(10)(iv) of Regulations S-K. The Company will furnish supplementally an unredacted copy of such exhibit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Release 33-8238, Exhibits 32.1 and 32.2 are being furnished and not filed.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 XBRL (Extensive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97" w:name="hla_019"/>
      <w:bookmarkEnd w:id="597"/>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015"/>
        <w:gridCol w:w="2360"/>
      </w:tblGrid>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9, 2023</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9, 2023</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Joann Tinnelly</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 Tinnelly</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ind w:left="0" w:right="0" w:hanging="0"/>
        <w:jc w:val="left"/>
        <w:rPr/>
      </w:pPr>
      <w:bookmarkStart w:id="598" w:name="ex31-1.htm"/>
      <w:bookmarkStart w:id="599" w:name="ksex311"/>
      <w:bookmarkEnd w:id="598"/>
      <w:bookmarkEnd w:id="599"/>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 TO SECTION 302</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Norman E. Snyder, Jr., certify that:</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Reed’s, Inc.;</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ind w:left="0" w:right="0" w:firstLine="72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015"/>
        <w:gridCol w:w="2360"/>
      </w:tblGrid>
      <w:tr>
        <w:trPr/>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9, 2023</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Norman E. Snyder, Jr.</w:t>
            </w:r>
          </w:p>
        </w:tc>
      </w:tr>
      <w:tr>
        <w:trPr/>
        <w:tc>
          <w:tcPr>
            <w:tcW w:w="201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Norman E. Snyder, Jr.</w:t>
            </w:r>
          </w:p>
        </w:tc>
      </w:tr>
      <w:tr>
        <w:trPr/>
        <w:tc>
          <w:tcPr>
            <w:tcW w:w="201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201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left"/>
        <w:rPr/>
      </w:pPr>
      <w:bookmarkStart w:id="600" w:name="ex31-2.htm"/>
      <w:bookmarkStart w:id="601" w:name="ksex312"/>
      <w:bookmarkEnd w:id="600"/>
      <w:bookmarkEnd w:id="60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 PURSUANT TO SECTION 302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Joann Tinnelly, certify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Reed’s, Inc.;</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firstLine="72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015"/>
        <w:gridCol w:w="2300"/>
      </w:tblGrid>
      <w:tr>
        <w:trPr/>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9, 2023</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Joann Tinnelly</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 Tinnelly</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left"/>
        <w:rPr/>
      </w:pPr>
      <w:bookmarkStart w:id="602" w:name="ex32-1.htm"/>
      <w:bookmarkStart w:id="603" w:name="ksex321"/>
      <w:bookmarkEnd w:id="602"/>
      <w:bookmarkEnd w:id="60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Reed’s, Inc., a Delaware corporation (the “Company”) for the period ending September 30, 2023 as filed with the U.S. Securities and Exchange Commission on the date hereof (the “Report”), Norman E. Snyder, Jr., Chief Executive Officer of the Company, hereby certifies, pursuant to 18 U.S.C. § 1350, as adopted pursuant to § 906 of the Sarbanes-Oxley Act of 2002, that, to the best of his knowledge and belief: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tbl>
      <w:tblPr>
        <w:tblW w:w="4740" w:type="dxa"/>
        <w:jc w:val="left"/>
        <w:tblInd w:w="0" w:type="dxa"/>
        <w:tblLayout w:type="fixed"/>
        <w:tblCellMar>
          <w:top w:w="0" w:type="dxa"/>
          <w:left w:w="0" w:type="dxa"/>
          <w:bottom w:w="0" w:type="dxa"/>
          <w:right w:w="0" w:type="dxa"/>
        </w:tblCellMar>
      </w:tblPr>
      <w:tblGrid>
        <w:gridCol w:w="2015"/>
        <w:gridCol w:w="365"/>
        <w:gridCol w:w="2360"/>
      </w:tblGrid>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72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9, 2023</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ind w:left="0" w:right="0" w:hanging="0"/>
        <w:jc w:val="left"/>
        <w:rPr/>
      </w:pPr>
      <w:bookmarkStart w:id="604" w:name="ex32-2.htm"/>
      <w:bookmarkStart w:id="605" w:name="ksex322"/>
      <w:bookmarkEnd w:id="604"/>
      <w:bookmarkEnd w:id="605"/>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Reed’s, Inc., a Delaware corporation (the “Company”) for the period ending September 30, 2023 as filed with the U.S. Securities and Exchange Commission on the date hereof (the “Report”), Joann Tinnelly, Interim Chief Financial Officer of the Company, hereby certifies, pursuant to 18 U.S.C. § 1350, as adopted pursuant to § 906 of the Sarbanes-Oxley Act of 2002, that, to the best of her knowledge and belief: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jc w:val="both"/>
        <w:rPr>
          <w:caps w:val="false"/>
          <w:smallCaps w:val="false"/>
        </w:rPr>
      </w:pPr>
      <w:r>
        <w:rPr>
          <w:caps w:val="false"/>
          <w:smallCaps w:val="false"/>
        </w:rPr>
        <w:t> </w:t>
      </w:r>
    </w:p>
    <w:tbl>
      <w:tblPr>
        <w:tblW w:w="4680" w:type="dxa"/>
        <w:jc w:val="left"/>
        <w:tblInd w:w="0" w:type="dxa"/>
        <w:tblLayout w:type="fixed"/>
        <w:tblCellMar>
          <w:top w:w="0" w:type="dxa"/>
          <w:left w:w="0" w:type="dxa"/>
          <w:bottom w:w="0" w:type="dxa"/>
          <w:right w:w="0" w:type="dxa"/>
        </w:tblCellMar>
      </w:tblPr>
      <w:tblGrid>
        <w:gridCol w:w="2015"/>
        <w:gridCol w:w="365"/>
        <w:gridCol w:w="2300"/>
      </w:tblGrid>
      <w:tr>
        <w:trPr/>
        <w:tc>
          <w:tcPr>
            <w:tcW w:w="201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REED’S, INC.</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9, 2023</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Joann Tinnelly</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Joann Tinnelly</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0215/000149315223017571/ex3i.htm" TargetMode="External"/><Relationship Id="rId3" Type="http://schemas.openxmlformats.org/officeDocument/2006/relationships/hyperlink" Target="https://www.sec.gov/Archives/edgar/data/1140215/000149315220006033/ex3-8.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16641</Words>
  <Characters>88962</Characters>
  <CharactersWithSpaces>108031</CharactersWithSpaces>
  <Paragraphs>6824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