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jc w:val="center"/>
        <w:ind w:left="4000" w:right="1120" w:hanging="2869"/>
        <w:spacing w:after="0" w:line="486" w:lineRule="auto"/>
        <w:tabs>
          <w:tab w:leader="none" w:pos="1323"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December 31, 2021</w:t>
      </w:r>
    </w:p>
    <w:p>
      <w:pPr>
        <w:spacing w:after="0" w:line="25" w:lineRule="exact"/>
        <w:rPr>
          <w:rFonts w:ascii="MS PGothic" w:cs="MS PGothic" w:eastAsia="MS PGothic" w:hAnsi="MS PGothic"/>
          <w:sz w:val="18"/>
          <w:szCs w:val="18"/>
          <w:color w:val="auto"/>
          <w:highlight w:val="black"/>
        </w:rPr>
      </w:pPr>
    </w:p>
    <w:p>
      <w:pPr>
        <w:jc w:val="center"/>
        <w:ind w:left="3780" w:right="940" w:hanging="2837"/>
        <w:spacing w:after="0" w:line="503" w:lineRule="auto"/>
        <w:tabs>
          <w:tab w:leader="none" w:pos="113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 to _______</w:t>
      </w:r>
    </w:p>
    <w:p>
      <w:pPr>
        <w:ind w:left="42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Commission File Number: 001-32501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REED’S,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Delaware</w:t>
            </w:r>
          </w:p>
        </w:tc>
        <w:tc>
          <w:tcPr>
            <w:tcW w:w="6620" w:type="dxa"/>
            <w:vAlign w:val="bottom"/>
            <w:gridSpan w:val="3"/>
          </w:tcPr>
          <w:p>
            <w:pPr>
              <w:jc w:val="right"/>
              <w:ind w:right="2230"/>
              <w:spacing w:after="0"/>
              <w:rPr>
                <w:sz w:val="20"/>
                <w:szCs w:val="20"/>
                <w:color w:val="auto"/>
              </w:rPr>
            </w:pPr>
            <w:r>
              <w:rPr>
                <w:rFonts w:ascii="Times New Roman" w:cs="Times New Roman" w:eastAsia="Times New Roman" w:hAnsi="Times New Roman"/>
                <w:sz w:val="18"/>
                <w:szCs w:val="18"/>
                <w:color w:val="auto"/>
              </w:rPr>
              <w:t>35-2177773</w:t>
            </w:r>
          </w:p>
        </w:tc>
      </w:tr>
      <w:tr>
        <w:trPr>
          <w:trHeight w:val="234"/>
        </w:trPr>
        <w:tc>
          <w:tcPr>
            <w:tcW w:w="4620" w:type="dxa"/>
            <w:vAlign w:val="bottom"/>
            <w:tcBorders>
              <w:top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9"/>
              </w:rPr>
              <w:t>(State of incorporation)</w:t>
            </w: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21"/>
        </w:trPr>
        <w:tc>
          <w:tcPr>
            <w:tcW w:w="462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201 Merritt 7, Norwalk, CT</w:t>
            </w:r>
          </w:p>
        </w:tc>
        <w:tc>
          <w:tcPr>
            <w:tcW w:w="6620" w:type="dxa"/>
            <w:vAlign w:val="bottom"/>
            <w:gridSpan w:val="3"/>
          </w:tcPr>
          <w:p>
            <w:pPr>
              <w:jc w:val="right"/>
              <w:ind w:right="2430"/>
              <w:spacing w:after="0"/>
              <w:rPr>
                <w:sz w:val="20"/>
                <w:szCs w:val="20"/>
                <w:color w:val="auto"/>
              </w:rPr>
            </w:pPr>
            <w:r>
              <w:rPr>
                <w:rFonts w:ascii="Times New Roman" w:cs="Times New Roman" w:eastAsia="Times New Roman" w:hAnsi="Times New Roman"/>
                <w:sz w:val="18"/>
                <w:szCs w:val="18"/>
                <w:color w:val="auto"/>
              </w:rPr>
              <w:t>06851</w:t>
            </w:r>
          </w:p>
        </w:tc>
      </w:tr>
      <w:tr>
        <w:trPr>
          <w:trHeight w:val="234"/>
        </w:trPr>
        <w:tc>
          <w:tcPr>
            <w:tcW w:w="4620" w:type="dxa"/>
            <w:vAlign w:val="bottom"/>
            <w:tcBorders>
              <w:top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4620" w:type="dxa"/>
            <w:vAlign w:val="bottom"/>
          </w:tcPr>
          <w:p>
            <w:pPr>
              <w:spacing w:after="0"/>
              <w:rPr>
                <w:sz w:val="24"/>
                <w:szCs w:val="24"/>
                <w:color w:val="auto"/>
              </w:rPr>
            </w:pPr>
          </w:p>
        </w:tc>
        <w:tc>
          <w:tcPr>
            <w:tcW w:w="6620" w:type="dxa"/>
            <w:vAlign w:val="bottom"/>
            <w:gridSpan w:val="3"/>
          </w:tcPr>
          <w:p>
            <w:pPr>
              <w:jc w:val="right"/>
              <w:ind w:right="4970"/>
              <w:spacing w:after="0"/>
              <w:rPr>
                <w:sz w:val="20"/>
                <w:szCs w:val="20"/>
                <w:color w:val="auto"/>
              </w:rPr>
            </w:pPr>
            <w:r>
              <w:rPr>
                <w:rFonts w:ascii="Times New Roman" w:cs="Times New Roman" w:eastAsia="Times New Roman" w:hAnsi="Times New Roman"/>
                <w:sz w:val="18"/>
                <w:szCs w:val="18"/>
                <w:color w:val="auto"/>
              </w:rPr>
              <w:t>(800) 997-3337</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816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439"/>
        </w:trPr>
        <w:tc>
          <w:tcPr>
            <w:tcW w:w="308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080" w:type="dxa"/>
            <w:vAlign w:val="bottom"/>
            <w:tcBorders>
              <w:top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Common Stock</w:t>
            </w:r>
          </w:p>
        </w:tc>
        <w:tc>
          <w:tcPr>
            <w:tcW w:w="7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REED</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5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33" w:gutter="0" w:footer="0" w:header="0"/>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020" w:space="720"/>
            <w:col w:w="5500"/>
          </w:cols>
          <w:pgMar w:left="320" w:top="740" w:right="339" w:bottom="33" w:gutter="0" w:footer="0" w:header="0"/>
          <w:type w:val="continuous"/>
        </w:sectPr>
      </w:pPr>
    </w:p>
    <w:p>
      <w:pPr>
        <w:spacing w:after="0" w:line="17"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(excluding voting shares held by officers and directors) as of June 30, 2021 was $76,114.</w:t>
      </w:r>
    </w:p>
    <w:p>
      <w:pPr>
        <w:sectPr>
          <w:pgSz w:w="11900" w:h="16838" w:orient="portrait"/>
          <w:cols w:equalWidth="0" w:num="1">
            <w:col w:w="11240"/>
          </w:cols>
          <w:pgMar w:left="320" w:top="740" w:right="339" w:bottom="33" w:gutter="0" w:footer="0" w:header="0"/>
          <w:type w:val="continuous"/>
        </w:sectPr>
      </w:pPr>
    </w:p>
    <w:bookmarkStart w:id="1" w:name="page2"/>
    <w:bookmarkEnd w:id="1"/>
    <w:p>
      <w:pPr>
        <w:ind w:firstLine="324"/>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There were a total of 112,842,146 shares of Common Stock outstanding as of March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20" w:type="dxa"/>
            <w:vAlign w:val="bottom"/>
            <w:gridSpan w:val="9"/>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20" w:type="dxa"/>
            <w:vAlign w:val="bottom"/>
          </w:tcPr>
          <w:p>
            <w:pPr>
              <w:spacing w:after="0"/>
              <w:rPr>
                <w:sz w:val="20"/>
                <w:szCs w:val="20"/>
                <w:color w:val="auto"/>
              </w:rPr>
            </w:pPr>
          </w:p>
        </w:tc>
      </w:t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PART I</w:t>
              </w:r>
            </w:hyperlink>
          </w:p>
        </w:tc>
        <w:tc>
          <w:tcPr>
            <w:tcW w:w="1520" w:type="dxa"/>
            <w:vAlign w:val="bottom"/>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Item 1. Business</w:t>
              </w:r>
            </w:hyperlink>
          </w:p>
        </w:tc>
        <w:tc>
          <w:tcPr>
            <w:tcW w:w="1520" w:type="dxa"/>
            <w:vAlign w:val="bottom"/>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Item 1A. Risk Factors</w:t>
              </w:r>
            </w:hyperlink>
          </w:p>
        </w:tc>
        <w:tc>
          <w:tcPr>
            <w:tcW w:w="1520" w:type="dxa"/>
            <w:vAlign w:val="bottom"/>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1B. Unresolved Staff Comments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2. Properties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3. Legal Proceedings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4. Mine Safety Disclosures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PART II</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5. Market for Registrant’s Common Equity, Related Stockholder Matters and Issuer Purchases of Equity Securities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6. [Reserved]</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7. Management’s Discussion and Analysis of Financial Condition and Results of Operations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7A. Quantitative and Qualitative Disclosures About Market Risk</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8. Financial Statements and Supplementary Data</w:t>
              </w:r>
            </w:hyperlink>
          </w:p>
        </w:tc>
        <w:tc>
          <w:tcPr>
            <w:tcW w:w="152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Item 9. Changes in and Disagreements with Accountants on Accounting and Financial Disclosure</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Item 9A. Controls and Procedures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Item 9B. Other Information</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Item 9C. Disclosure Regarding Foreign Jurisdictions that Prevent Inspections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PART III</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Item 10. Directors, Executive Officers and Corporate Governance</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11. Executive Compensation</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Item 12. Security Ownership of Certain Beneficial Owners and Management and Related Stockholder Matters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Item 13. Certain Relationships and Related Transactions, and Director Independence</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14. Principal Accountant Fees and Services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PART IV</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Item 15. Exhibits, Financial Statement Schedules</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Item 16. Form 10-K Summary</w:t>
              </w:r>
            </w:hyperlink>
          </w:p>
        </w:tc>
        <w:tc>
          <w:tcPr>
            <w:tcW w:w="152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439"/>
        </w:trPr>
        <w:tc>
          <w:tcPr>
            <w:tcW w:w="5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4140" w:type="dxa"/>
            <w:vAlign w:val="bottom"/>
            <w:tcBorders>
              <w:top w:val="single" w:sz="8" w:color="CCEEFF"/>
              <w:bottom w:val="single" w:sz="8" w:color="auto"/>
            </w:tcBorders>
            <w:gridSpan w:val="6"/>
          </w:tcPr>
          <w:p>
            <w:pPr>
              <w:jc w:val="center"/>
              <w:ind w:right="4060"/>
              <w:spacing w:after="0"/>
              <w:rPr>
                <w:sz w:val="20"/>
                <w:szCs w:val="20"/>
                <w:color w:val="auto"/>
              </w:rPr>
            </w:pPr>
            <w:r>
              <w:rPr>
                <w:rFonts w:ascii="Times New Roman" w:cs="Times New Roman" w:eastAsia="Times New Roman" w:hAnsi="Times New Roman"/>
                <w:sz w:val="18"/>
                <w:szCs w:val="18"/>
                <w:color w:val="auto"/>
                <w:w w:val="78"/>
              </w:rPr>
              <w:t>i</w:t>
            </w:r>
          </w:p>
        </w:tc>
        <w:tc>
          <w:tcPr>
            <w:tcW w:w="15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 AND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(“Annual Report”), the other reports, statements, and information that we have previously filed or that we may subsequently file with the Securities and Exchange Commission (“SEC”) and public announcements that we have previously made or may subsequently make include, may include, incorporate by reference or may incorporate by reference certain statements that may be deemed to be forward-looking statements. The forward-looking statements included or incorporated by reference in this Annual Report and those reports, statements, information and announcements address activities, events or developments that Reed’s, Inc. (hereinafter referred to as “we,” “us,” “our” or “Reed’s”) expects or anticipates will or may occur in the future. Any statements in this document about expectations, beliefs, plans, objectives, assumptions or future events or performance are not historical facts and are forward-looking statements. These statements are often, but not always, made through the use of words or phrases such as “may,” “should,” “could,” “predict,” “potential,” “believe,” “will likely result,” “expect,” “will continue,” “anticipate,” “seek,” “estimate,” “intend,” “plan,” “projection,” “would” and “outlook” and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document. All forward-looking statements concerning economic conditions, rates of growth, rates of income or values as may be included in this document are based on information available to us on the dates noted, and we assume no obligation to update any such forward-looking statements.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risk factors referred to in this Annual Report beginning on page 9 could cause actual results or outcomes to differ materially from those expressed in any forward-looking statements made by us, and you should not place undue reliance on any such forward-looking statements. Any forward-looking statement speaks only as of the date on which it is made, and we do not undertake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cautions that these statements are qualified by their terms and/or important factors, many of which are outside of our control, involve a number of risks, uncertainties and other factors that could cause actual results and events to differ materially from the statements made, including, but not limited to, the following risk factors:</w:t>
      </w:r>
    </w:p>
    <w:p>
      <w:pPr>
        <w:spacing w:after="0" w:line="176" w:lineRule="exact"/>
        <w:rPr>
          <w:sz w:val="20"/>
          <w:szCs w:val="20"/>
          <w:color w:val="auto"/>
        </w:rPr>
      </w:pPr>
    </w:p>
    <w:p>
      <w:pPr>
        <w:ind w:left="800" w:hanging="144"/>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capital to finance working capital and our operating plans,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0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listing of our common stock on the Nasdaq Capital Market or other national securities exchange. We will be subject to delisting if we do not meet the Nasdaq bid price rule by August 15, 2022,</w:t>
      </w:r>
    </w:p>
    <w:p>
      <w:pPr>
        <w:spacing w:after="0" w:line="161"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 to support marketing and product development plans and general operating activities,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resulting from changes in consumer preferences,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 and our ability to gain or maintain our share of sales in the marketplace,</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1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being subject to a broad range of evolving federal, state and local laws and regulations including those regarding the labeling and safety of food products, establishing ingredient designations and standards of identity for certain foods, environmental protections, as well as worker health and safety. Changes in these laws and regulations could have a material effect on the way in which we produce and market our products and could result in increased costs,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and availability of raw materials and the ability to maintain our supply arrangements and relationships and procure timely and/or adequate production of all or any of our products,</w:t>
      </w:r>
    </w:p>
    <w:p>
      <w:pPr>
        <w:spacing w:after="0" w:line="161"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markets and maintain or expand existing markets,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existing relationships and expanding the distributor network of our products,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global financial markets and economic downturn resulting from the coronavirus COVID-19 global pandemic,</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the coronavirus COVID-19 global pandemic,</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weaknesses we may identify in our disclosure controls and procedures and our internal control over financial reporting in future periods in a timely enough manner to eliminate the risks posed by such material weaknesses,</w:t>
      </w:r>
    </w:p>
    <w:p>
      <w:pPr>
        <w:spacing w:after="0" w:line="161"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efforts of distributors of our products, most of whom also distribute products that are competitive with our products,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8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distributors, grocery chains, specialty chain stores, club stores and other customers to discontinue carrying all or any of our products that they are carrying at any time,</w:t>
      </w:r>
    </w:p>
    <w:p>
      <w:pPr>
        <w:spacing w:after="0" w:line="161"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advertising, marketing and promotional programs,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category consumption,</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changes,</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new products, including taste test comparisons, and</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recalls of our products.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Reed’s, Inc,, a Delaware corporation (“Reed’s”, the “Company,” “we,” or “us” throughout this report) owns a leading portfolio of handcrafted, natural beverages that is sold in over 45,000 outlets nationwide. These outlets include the natural and specialty food channel, grocery stores, mass merchants, drug stores, convenience stores, club stores and on-premise locations including bars and restaurants. Reed’s two core brands are Reed’s, which includes Reed’s Craft Ginger Beer and Reed’s Real Ginger Ale, and Virgil’s Handcrafted sodas. Reed’s Craft Ginger Beers are unique due to the proprietary process of using fresh ginger root combined with a Jamaican inspired recipe of natural spices, honey and fruit juices. Reed’s uses this same handcrafted approach in its Reed’s Real Ginger Ale and Virgil’s line of great tasting, bold flavored craft sodas, including its award-winning Virgil’s Root Beer.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Reed’s is the leading ginger beer in the US; Virgil’s is the independent natural full line craft soda and is a leader in the craft soda category.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Reed’s Original Ginger Brew, created in 1987 by Christopher J. Reed, our founder, was introduced to the market in Southern California stores in 1989. By 1990, we began marketing our products through United Natural Foods Inc. (“UNFI”) and other natural food distributors and moved our production to a larger facility in Boulder, Colorado.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1991, we incorporated our business operations in the state of Florida under the name of Original Beverage Corporation and moved all production to a co-pack facility in Pennsylvania. Throughout the 1990’s, we continued to develop and launch new Ginger Brew varieties. Reed’s Ginger Brews reached broad placement in natural and gourmet foods stores nationwide through UNFI and other major specialty, natural/gourmet and mainstream food and beverage distributors.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1997, we began licensing the products of China Cola and eventually acquired the rights to that product in 2000. In 1999, we purchased the Virgil’s Root Beer brand from the Crowley Beverage Company. In 2000, we moved into an 18,000-square foot warehouse property, the Brewery, in Los Angeles, California, to headquarters. In 2001, pursuant to a reincorporation merger, we changed our state of incorporation to Delaware and also changed our name to “Reed’s, Inc.”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2018, we completed the relocation of its headquarters to Norwalk, Connecticut. In December 2018, after a lengthy marketing and bidding process, we sold the Brewery to a company owned by Christopher J. Reed, our founder. The sale of the Brewery marked a fundamental shift in the nature of our operations and effectively eliminated our costs associated with excess manufacturing capacity.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statements as of December 31, 2021 were prepared on a going concern basis. For the year ended December 31, 2021, the Company recorded a net loss of $16,402 and used cash in operations of $17,589. As of December 31, 2021, we had a cash balance of $49 with borrowing capacity of $109, stockholders’ equity of $4,203 and a working capital of $2,981. These conditions raise substantial doubt about the Company’s ability to continue as a going concern. The Company believes that its current level of cash and cash equivalents are not sufficient to fund its operations for the next 12 months.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As we seek additional sources of financing, there can be no assurance that such financing will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Reed’s offers its portfolio of natural hand-crafted beverages in the craft specialty foods industry as natural alternatives to the $25 billion mainstream carbonated soft drinks (“CSD”) market in the United States as measured by IRI Multi Outlet scan data. Reed’s products are sold across the country and internationally in the following major channels: natural food, specialty food, grocery, mass merchant, convenience, club, drug, and on-premise locations (bars and restaurants).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Even after a year of the pandemic, overall sales growth of natural food and beverage products continues to outpace sales growth for conventional products across all retail channels. We see ample opportunity to scale our natural beverage business and grow our distribution in these channels.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Carbonated Soft Drink Industry Overview</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retail CSD category grew 9% during 2021 and the ginger ale segment grew 5% and is now a $1.3 billion dollar market. Ginger ale growth, we believe, is driven primarily by a consumer perception of ginger ale as a healthier alternative to other sodas. Our new line of ginger ales made with real ginger deliver on this perception and are poised to breakout in the segment.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COVID-19 pandemic, consumers are shifting consumption to better-for-you products. We believe there is significant growth potential from consumers switching away from mainstream beverages that contain artificial ingredients and preservatives towards great-tasting, natural alternatives.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Trends Driving Growth for Our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consumer trends that are accelerating as we exit the pandemic, and which support our brands.</w:t>
      </w:r>
    </w:p>
    <w:p>
      <w:pPr>
        <w:spacing w:after="0" w:line="22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Natural</w:t>
      </w:r>
      <w:r>
        <w:rPr>
          <w:rFonts w:ascii="Times New Roman" w:cs="Times New Roman" w:eastAsia="Times New Roman" w:hAnsi="Times New Roman"/>
          <w:sz w:val="18"/>
          <w:szCs w:val="18"/>
          <w:color w:val="auto"/>
        </w:rPr>
        <w:t>: Interest in natural products has gone mainstream.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Clean Label</w:t>
      </w:r>
      <w:r>
        <w:rPr>
          <w:rFonts w:ascii="Times New Roman" w:cs="Times New Roman" w:eastAsia="Times New Roman" w:hAnsi="Times New Roman"/>
          <w:sz w:val="18"/>
          <w:szCs w:val="18"/>
          <w:color w:val="auto"/>
        </w:rPr>
        <w:t>: 62% of Americans are avoiding at least one ingredient.</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Reduced Sugar</w:t>
      </w:r>
      <w:r>
        <w:rPr>
          <w:rFonts w:ascii="Times New Roman" w:cs="Times New Roman" w:eastAsia="Times New Roman" w:hAnsi="Times New Roman"/>
          <w:sz w:val="18"/>
          <w:szCs w:val="18"/>
          <w:color w:val="auto"/>
        </w:rPr>
        <w:t>: A favorable trend for our zero-sugar beverages, 67% of consumers prefer low or no sugar soft drinks. say they are reducing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sugar intake.</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Plant Based</w:t>
      </w:r>
      <w:r>
        <w:rPr>
          <w:rFonts w:ascii="Times New Roman" w:cs="Times New Roman" w:eastAsia="Times New Roman" w:hAnsi="Times New Roman"/>
          <w:sz w:val="18"/>
          <w:szCs w:val="18"/>
          <w:color w:val="auto"/>
        </w:rPr>
        <w:t>: 39% of consumers actively try to eat more plant based foods.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Craft: </w:t>
      </w:r>
      <w:r>
        <w:rPr>
          <w:rFonts w:ascii="Times New Roman" w:cs="Times New Roman" w:eastAsia="Times New Roman" w:hAnsi="Times New Roman"/>
          <w:sz w:val="18"/>
          <w:szCs w:val="18"/>
          <w:color w:val="auto"/>
        </w:rPr>
        <w:t>Appeal continues to grow of higher-quality, independent, and more authentic brands.</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Premiumization: </w:t>
      </w:r>
      <w:r>
        <w:rPr>
          <w:rFonts w:ascii="Times New Roman" w:cs="Times New Roman" w:eastAsia="Times New Roman" w:hAnsi="Times New Roman"/>
          <w:sz w:val="18"/>
          <w:szCs w:val="18"/>
          <w:color w:val="auto"/>
        </w:rPr>
        <w:t>A trend towards embracing quality has accelerated during the pandemic with consumers splurging on premium beverages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retail, including premium mixers.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Better-for-you Mocktails</w:t>
      </w:r>
      <w:r>
        <w:rPr>
          <w:rFonts w:ascii="Times New Roman" w:cs="Times New Roman" w:eastAsia="Times New Roman" w:hAnsi="Times New Roman"/>
          <w:sz w:val="18"/>
          <w:szCs w:val="18"/>
          <w:color w:val="auto"/>
        </w:rPr>
        <w:t>: More consumers are seeking non-alcoholic alternatives with bold and unique flavors.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Ready-to-Drink Cocktails (RTD)</w:t>
      </w:r>
      <w:r>
        <w:rPr>
          <w:rFonts w:ascii="Times New Roman" w:cs="Times New Roman" w:eastAsia="Times New Roman" w:hAnsi="Times New Roman"/>
          <w:sz w:val="18"/>
          <w:szCs w:val="18"/>
          <w:color w:val="auto"/>
        </w:rPr>
        <w:t>: The RTD category grew 126% in 2021 is exploding alongside hard seltzer as people seek novelty and variety.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strategies will remain responsive to these macro consumer trends as we concentrate our efforts on developing the Company’s sales and marketing functions.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make our hand-crafted beverages with only premium, natural ingredients. Our products are free of genetically modified organisms (“GMOs”) and artificial preservatives. Over the years, Reed’s has developed several product offerings. In 2019, we streamlined our focus to our core categories of Reed’s Ginger Beverages and Virgil’s Craft Sodas. In April 2020, we launched our new line of Reed’s Real Ginger Ales, in both Full Sugar and Zero Sugar varieties, made with 2,000 mg of fresh organic ginger. In 2021, we extended our Ginger Ale offerings with Mocktails and we entered the alcohol space with the launch of our RTD Classic Mule that is 7% ALC and Zero Sugar.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Reed’s Craft Ginger Beer</w:t>
      </w:r>
    </w:p>
    <w:p>
      <w:pPr>
        <w:spacing w:after="0" w:line="22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Reed’s Craft Ginger Beer is set apart from other ginger beers by its proprietary process of brewing fresh ginger root, its exclusive use of natural ingredients, and its authentic Jamaican-inspired recipe. We do not use artificial preservatives, artificial flavors, or colors, and Reed’s Ginger Beer is certified kosher. We offer different levels of fresh ginger content, ranging from our lightest-spiced Original, to our medium-spiced Extra, and finally to our spiciest Strongest. We also offer three sweetener options: one with cane sugar, honey and fruit juices; one with honey and pineapple juice; and another without sugar (Zero Sugar) made from an innovative blend of natural sweeteners. In 2021, we expanded our Extra Ginger Beer portfolio into cans offerings.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As of the end of 2021, the Reed’s Craft Ginger Beer line included five major varieties with a mix of bottles and cans: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Reed’s Original Ginger Beer – </w:t>
      </w:r>
      <w:r>
        <w:rPr>
          <w:rFonts w:ascii="Times New Roman" w:cs="Times New Roman" w:eastAsia="Times New Roman" w:hAnsi="Times New Roman"/>
          <w:sz w:val="18"/>
          <w:szCs w:val="18"/>
          <w:color w:val="auto"/>
        </w:rPr>
        <w:t>Our first to market product uses a Jamaican-inspired recipe that calls for fresh ginger root, lemon, lime, pineapple juice,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honey, raw cane sugar, herbs and spices.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Reed’s Premium Ginger Beer – </w:t>
      </w:r>
      <w:r>
        <w:rPr>
          <w:rFonts w:ascii="Times New Roman" w:cs="Times New Roman" w:eastAsia="Times New Roman" w:hAnsi="Times New Roman"/>
          <w:sz w:val="18"/>
          <w:szCs w:val="18"/>
          <w:color w:val="auto"/>
        </w:rPr>
        <w:t>Our Original Ginger Beer sweetened with honey and pineapple juice. (No cane sugar added.)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Reed’s Extra Ginger Beer – </w:t>
      </w:r>
      <w:r>
        <w:rPr>
          <w:rFonts w:ascii="Times New Roman" w:cs="Times New Roman" w:eastAsia="Times New Roman" w:hAnsi="Times New Roman"/>
          <w:sz w:val="18"/>
          <w:szCs w:val="18"/>
          <w:color w:val="auto"/>
        </w:rPr>
        <w:t>Contains 100% more fresh ginger than Reed’s Original recipe for extra spice.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Reed’s Strongest Ginger Beer </w:t>
      </w:r>
      <w:r>
        <w:rPr>
          <w:rFonts w:ascii="Times New Roman" w:cs="Times New Roman" w:eastAsia="Times New Roman" w:hAnsi="Times New Roman"/>
          <w:sz w:val="18"/>
          <w:szCs w:val="18"/>
          <w:color w:val="auto"/>
        </w:rPr>
        <w:t>– Contains 200% more fresh ginger than Reed’s Original for the strongest spice.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Reed’s Zero Sugar Extra Ginger Beer – </w:t>
      </w:r>
      <w:r>
        <w:rPr>
          <w:rFonts w:ascii="Times New Roman" w:cs="Times New Roman" w:eastAsia="Times New Roman" w:hAnsi="Times New Roman"/>
          <w:sz w:val="18"/>
          <w:szCs w:val="18"/>
          <w:color w:val="auto"/>
        </w:rPr>
        <w:t>launched in 2019, it uses a proprietary natural sweetening system for a zero-calorie version of our Reed’s Extra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Ginger Beer.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Reed’s Real Ginger Ale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Reed’s Real Ginger Ale is unique for the category because it combines real fresh ginger with the classic, refreshing taste that consumers love. It contains nothing artificial and is Non-GMO project verified. We offer two sweetener options: one with cane sugar and the other with our zero-calorie proprietary natural sweetening system.</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Reed’s Real Ginger Ale </w:t>
      </w:r>
      <w:r>
        <w:rPr>
          <w:rFonts w:ascii="Times New Roman" w:cs="Times New Roman" w:eastAsia="Times New Roman" w:hAnsi="Times New Roman"/>
          <w:sz w:val="18"/>
          <w:szCs w:val="18"/>
          <w:color w:val="auto"/>
        </w:rPr>
        <w:t>– launched in April 2020 in standard and sleek 12-ounce cans. It is the only mass market ginger ale made with organic fresh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ginger.</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Reed’s Zero Sugar Real Ginger Ale </w:t>
      </w:r>
      <w:r>
        <w:rPr>
          <w:rFonts w:ascii="Times New Roman" w:cs="Times New Roman" w:eastAsia="Times New Roman" w:hAnsi="Times New Roman"/>
          <w:sz w:val="18"/>
          <w:szCs w:val="18"/>
          <w:color w:val="auto"/>
        </w:rPr>
        <w:t>– also launched in April 2020 in standard and slim cans. It uses proprietary sweetening system to match the great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taste of the cane sugar version in a zero-calorie drink.</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NEW! Reed’s Mocktails- </w:t>
      </w:r>
      <w:r>
        <w:rPr>
          <w:rFonts w:ascii="Times New Roman" w:cs="Times New Roman" w:eastAsia="Times New Roman" w:hAnsi="Times New Roman"/>
          <w:sz w:val="18"/>
          <w:szCs w:val="18"/>
          <w:color w:val="auto"/>
        </w:rPr>
        <w:t>In 2021 Reed’s line extended its Zero Sugar Ginger Ale, with the launch of Mocktail Flavors. It uses our proprietary sweetening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to match the great taste of the cane sugar version in a zero-calorie drink. The two flavors are Shirley Tempting and Transfusion.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Reed’s Ready to Drink</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Reed’s Zero Sugar Classic Mule: </w:t>
      </w:r>
      <w:r>
        <w:rPr>
          <w:rFonts w:ascii="Times New Roman" w:cs="Times New Roman" w:eastAsia="Times New Roman" w:hAnsi="Times New Roman"/>
          <w:sz w:val="18"/>
          <w:szCs w:val="18"/>
          <w:color w:val="auto"/>
        </w:rPr>
        <w:t>Launched in 2020 and expanded to 37 states in 2021, Reed’s first-ever alcoholic offering is packed with REAL,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fresh ginger root and made through a unique handcrafted brewing and fermentation process. It contains 7% alcohol, and a light-spice flavor profile with no artificial colors, gluten, GMOs or caffeine. It is the ultimate mule, made with fresh ginger root, to be enjoyed anytime, anywhere.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New Ginger Beverages under the Reed’s brand</w:t>
      </w:r>
    </w:p>
    <w:p>
      <w:pPr>
        <w:spacing w:after="0" w:line="2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Reed’s Wellness Ginger Shots </w:t>
      </w:r>
      <w:r>
        <w:rPr>
          <w:rFonts w:ascii="Times New Roman" w:cs="Times New Roman" w:eastAsia="Times New Roman" w:hAnsi="Times New Roman"/>
          <w:sz w:val="18"/>
          <w:szCs w:val="18"/>
          <w:color w:val="auto"/>
        </w:rPr>
        <w:t>– launched in February 2020 offered in two varieties: Daily Ginger and Ginger Energize. These convenient, shelf-stable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shots provide a ginger boost on the go.</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Virgil’s Handcrafted Sodas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Virgil’s is a premium handcrafted soda that uses only natural ingredients to create bold renditions of classic flavors. We don’t use any artificial preservatives, any artificial colors, or any GMO-sourced ingredients, and our Virgil’s line is certified kosher.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Virgil’s line includes the following products: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Handcrafted Line: </w:t>
      </w:r>
      <w:r>
        <w:rPr>
          <w:rFonts w:ascii="Times New Roman" w:cs="Times New Roman" w:eastAsia="Times New Roman" w:hAnsi="Times New Roman"/>
          <w:sz w:val="18"/>
          <w:szCs w:val="18"/>
          <w:color w:val="auto"/>
        </w:rPr>
        <w:t>Virgil’s first Handcrafted soda was launched in 1994. It began as one man’s passion to create the finest root beer ever produced 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won numerous awards. Virgil’s difference is using natural ingredients to craft bold, classic soda flavors. Virgil’s Handcrafted line includes Root Beer, Vanilla Cream, Black Cherry, and Orange Cream.</w:t>
      </w:r>
    </w:p>
    <w:p>
      <w:pPr>
        <w:spacing w:after="0" w:line="17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Zero Sugar Line: </w:t>
      </w:r>
      <w:r>
        <w:rPr>
          <w:rFonts w:ascii="Times New Roman" w:cs="Times New Roman" w:eastAsia="Times New Roman" w:hAnsi="Times New Roman"/>
          <w:sz w:val="18"/>
          <w:szCs w:val="18"/>
          <w:color w:val="auto"/>
        </w:rPr>
        <w:t>Virgil’s launched a new line of Zero Sugar, Zero Calorie craft sodas in 2019. Each Zero Sugar soda is sweetened with a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blend of natural sweeteners with no added sugars and is certified Keto. This natural line of Zero Sugar flavors includes Root Beer, Cola, Black Cherry, Vanilla Cream, Orange Cream, Lemon-Lime, Ginger Ale, Grapefruit and Dr. Better. .</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2022 Product Launches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of 2021, Reed’s will launch the below:</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Reed’s Hard Ginger Ale in Variety 8 Packs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Virgil’s Zero Sugar in 12-ounce sleek 4 packs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Reed’s Zero Sugar Stormy Mule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Primary Markets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target a smaller segment of the estimated $25 billion mainstream carbonated and non-carbonated soft drink markets in the United States. Our brands are generally considered premium and natural, with upscale packaging. They are loosely defined as the craft specialty bottled carbonated soft drink category.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experienced and geographically diverse sales force promoting our products, with senior sales representatives strategically placed in multiple regions across the country, supported by local Reed’s sales staff. Additionally, we have sales managers handling national accounts for natural, specialty, grocery, mass, club, drug and convenience channels. Our sales managers are responsible for all activities related to the sales, distribution, and marketing of our brands to our entire retail partner and distributor network in North America. The Company not only employs an internal sales force but has partnered with independent sales brokers and outside representatives to promote our products in specific channels and key targeted accounts.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sell to well-known popular natural food and gourmet retailers, large grocery store chains, mass merchants, club stores, convenience and drug stores, liquor stores, industrial cafeterias (corporate feeders), and to on-premise bars and restaurants nationwide and in some international markets. We also sell our products and promotional merchandise directly to consumers via the Internet through our Amazon storefront which can be accessed through our company web site www.drinkreeds.com.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our representative key customers include:</w:t>
      </w:r>
    </w:p>
    <w:p>
      <w:pPr>
        <w:spacing w:after="0" w:line="22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Natural stores</w:t>
      </w:r>
      <w:r>
        <w:rPr>
          <w:rFonts w:ascii="Times New Roman" w:cs="Times New Roman" w:eastAsia="Times New Roman" w:hAnsi="Times New Roman"/>
          <w:sz w:val="18"/>
          <w:szCs w:val="18"/>
          <w:color w:val="auto"/>
        </w:rPr>
        <w:t>: Whole Foods Market, Sprouts, Natural Grocers by Vitamin Cottage, Fresh Thyme Farmers Market, Mother’s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Gourmet &amp; specialty stores</w:t>
      </w:r>
      <w:r>
        <w:rPr>
          <w:rFonts w:ascii="Times New Roman" w:cs="Times New Roman" w:eastAsia="Times New Roman" w:hAnsi="Times New Roman"/>
          <w:sz w:val="18"/>
          <w:szCs w:val="18"/>
          <w:color w:val="auto"/>
        </w:rPr>
        <w:t>: Trader Joe’s, Bristol Farms, Lazy Acres, The Fresh Market, Central Market</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Grocery and mass chains</w:t>
      </w:r>
      <w:r>
        <w:rPr>
          <w:rFonts w:ascii="Times New Roman" w:cs="Times New Roman" w:eastAsia="Times New Roman" w:hAnsi="Times New Roman"/>
          <w:sz w:val="18"/>
          <w:szCs w:val="18"/>
          <w:color w:val="auto"/>
        </w:rPr>
        <w:t>: Kroger (and all Kroger banners), Albertson’s/Safeway, Publix, Food Lion, Stop &amp; Shop, H.E.B., Wegmans,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Walmart</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Club stores</w:t>
      </w:r>
      <w:r>
        <w:rPr>
          <w:rFonts w:ascii="Times New Roman" w:cs="Times New Roman" w:eastAsia="Times New Roman" w:hAnsi="Times New Roman"/>
          <w:sz w:val="18"/>
          <w:szCs w:val="18"/>
          <w:color w:val="auto"/>
        </w:rPr>
        <w:t>: Costco and BJ’s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Liquor stores</w:t>
      </w:r>
      <w:r>
        <w:rPr>
          <w:rFonts w:ascii="Times New Roman" w:cs="Times New Roman" w:eastAsia="Times New Roman" w:hAnsi="Times New Roman"/>
          <w:sz w:val="18"/>
          <w:szCs w:val="18"/>
          <w:color w:val="auto"/>
        </w:rPr>
        <w:t>: BevMo!, Total Wine &amp; More, Spec’s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Convenience &amp; drug stores</w:t>
      </w:r>
      <w:r>
        <w:rPr>
          <w:rFonts w:ascii="Times New Roman" w:cs="Times New Roman" w:eastAsia="Times New Roman" w:hAnsi="Times New Roman"/>
          <w:sz w:val="18"/>
          <w:szCs w:val="18"/>
          <w:color w:val="auto"/>
        </w:rPr>
        <w:t>: Circle K, CVS Health, Rite Aid, QuikTrip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Distribution Network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products are brought to market through an extremely flexible and fluid hybrid distribution model, which is a mix of direct-store-delivery, customer warehouse, and distributor networks. The distribution system used depends on customer needs, product characteristics, and local trade practices.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Our product reaches the market in the following ways: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to Natural &amp; Specialty Wholesale Distributors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natural and specialty distributor partners operate a distribution network delivering thousands of SKUs of natural and gourmet products to thousands of small, independent, natural retail outlets around the U.S., along with national chain customers, both conventional and natural. This system of distribution allows our brands far reaching access to some of the most remote parts of North America. During the past year we expanded, and will continue to expand, in this distribution network.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to Store Distribution (“DSD”) Through Non-Alcoholic and Alcoholic Beverage Distributor Network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independent distributor partners operate DSD systems which deliver primarily beverages, foods, and snacks directly to retail stores where the products are merchandised by their route sales and field sales employees. DSD enables us to merchandise with maximum visibility and appeal. DSD is especially well-suited to products frequently restocked and responds to in-store promotion and merchandising. We are primarily focused on expanding our DSD network on a national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to Store Warehouse Distribution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products are delivered from our co-packers and warehouses directly to customer warehouses. Some retailers mandate we deliver directly to them, as it is more cost effective and allows them to pass savings along to their customers. Other retailers may not mandate direct delivery, but they recommend and prefer it as they have the capability to self-distribute and can realize significant savings with direct delivery.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Wholesale Distribution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Wholesale Distributor network handles the wholesale shipments of our products. These distributors have a warehouse and distribution center, and ship Reed’s and Virgil’s products directly to the retailer (or to customers who opt for drop shipping).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Distribution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presently export Reed’s and Virgil’s brands throughout international markets via US based exporters. International markets where our brands are present are France, UK, South Africa, portions of the Caribbean, Canada, Spain, Philippines, Israel and Australia.</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International sales to some areas of the world are cost prohibitive, except for some specialty sales, since our premium sodas were historically packed in glass, which drives substantial freight costs when shipping overseas. Despite these cost challenges, we believe there are good opportunities to expand internationally, and we are increasing our marketing focus on these areas by adding freight friendly packages such as aluminum cans. We are open to exporting and co-packing internationally and expanding our brands into foreign markets, and we have held preliminary discussions with trading companies and import/export companies for the distribution of our products throughout Asia, Europe, Australia, and South America. We believe these areas are a natural fit for Reed’s ginger products because of the popularity and importance of ginger in international markets, especially the Asian market, where ginger is a significant part of the local diet and nutrition.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the strength of our brands, innovation, and marketing, coupled with the quality of our products and flexibility of our distribution network, allows us to compete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agreements with some of our distributors that commit us to “termination fees” if we terminate our agreements early or without cause. These agreements provide for our distributor partners to have the right to distribute our products to a defined type of retailer within a defined geographic region. As is customary in the beverage industry, if we should terminate the agreement or not automatically renew the agreement, we would be obligated to make certain payments to our distributor partners. We constantly review our distribution agreements with our partners across North America.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Some of our outside distributors are not bound by written agreements with us and may discontinue their relationship with us on short notice. Most distributors handle a number of competitive products. In addition, our products are sometimes a small part of our distributors’ businesses.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Our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Reed’s products are produced by our co-pack partners. They brew, blend, bottle, and package our products and charge us a fee, generally by the case, for the products produced. We have a long-standing relationship with two co-packers in Pennsylvania and two in California. During 2020 we entered into co-packing agreements with a co-packer on the East Coast, Clinton’s Ditch, and on the West Coast, Noel Canning. We are in discussions and negotiations with additional co-packers to secure added capability for future production needs. We periodically review our co-packing relationships to ensure that they are optimal with respect to quality of production, cost and location.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Warehousing and Logistics are a significant portion of the Company’s operational costs. In order to drive efficiency and reduce costs, on February 1, 2019 we entered into a strategic partnership with Veritiv Logistics Solutions to manage all freight movement for the Company. Veritiv is one of the largest distribution service providers in North America and has expertise that will provide a competitive advantage in the movement of raw materials and finished goods. This partnership will support planning and execution of all inventory movement, assessment of storage needs and cost management.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follow a “fill as needed” model to the best of our ability and have no significant order backlog.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Product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have simplified our business and have streamlined a significant number of SKUs in order to further our primary objective of accelerating the growth of the Reed’s and Virgil’s core product offerings, we believe significant opportunity remains in the natural beverage space.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Healthier alternatives will be the future for carbonated soft drinks. We will continue to drive product development in the natural, no and low sugar offerings in the “better for you” beverage categories. In addition, we believe there are powerful consumer trends that will help propel the growth of our brand portfolio including the increased consumption of ginger as a recognized superfood, the growing use of ginger beer in today’s popular cocktail drinks, and consumers’ increased demand for higher quality, natural handcrafted beverages.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Christopher J. Reed, the Company’s founder continues to support our new product development efforts in 2022. Mr. Reed possesses thirty plus years of product development and innovation experience. Recent innovations include our compelling line of full flavor, natural, zero sugar, zero calorie sodas. Reed’s has also begun to expand and broaden its product development capabilities by engaging and working with larger, experienced beverage flavor houses and innovative ingredient research and supply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new business model enhances our ability to be nimble and innovative, producing category leading new products in a short period of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Nonalcoholic Beverages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nonalcoholic beverage segment of the commercial beverage industry is highly competitive, consisting of numerous companies ranging from small or emerging to very large and well established. The principal areas of competition include pricing, packaging, development of new products and flavors, and marketing campaigns. Our products compete with a wide range of drinks produced by a relatively large number of manufacturers. Many of these brands have enjoyed broad, well-established national recognition for years, through well-funded ad and other branding campaigns. Competitors in the ginger beer category include Goslings, Fever Tree, Bundaberg, Cock ‘n Bull and Q Tonic; in the craft soda category we compete with brands such as Stewart’s, IBC, Zevia, Henry Weinhard’s, Boylan, and Jones Soda; In the Ginger Ale category we compete with Canada Dry, Schweppes, Seagram’s and Zevia.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Important factors affecting our ability to compete successfully include the taste and flavor of products, trade and consumer promotions, rapid and effective development of new, unique cutting-edge products, attractive and different packaging, branded product advertising, and pricing. We also compete for distributors who will concentrate on marketing our products over those of our competitors, provide stable and reliable distribution, and secure adequate shelf space in retail outlets. Competitive pressures in the soft drink category could also cause our products to be unable to gain or even lose market share, or we could experience price erosion.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our products having a relatively high price for a craft premium beverage product, minimal mass media advertising to date, and a small but growing presence in the mainstream market compared to many of our competitors, we believe our natural innovative beverage recipes, packaging, use of premium ingredients, and a proprietary ginger processing formula provide us with a competitive advantage. Our commitments to the highest quality standards and brand innovation are keys to our success.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Ginger Shots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Reed’s Wellness Ginger Shot was introduced during 2020. The shot category is very competitive, and a few mainstream companies dominate the category, but there is room for an natural alternative. Competition for market share and acceptance of new products is significant. Main competitors are 5-Hour Energy, Ginger Time, and Rescue Ginger Shots.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Candy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Reed’s Crystallized Ginger and Reed’s Ginger Chews restaged their product line up in 2020. The category is small and there is not a significant number of entrants. Key competitors are Chimes and Gin Gins.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Ready to Drink:</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RTD category refers to canned cocktails that offer convenience and quality for cocktail drinkers. RTD sales held strong in 2021 with triple-digit growth. According to NielsenIQ, year-over-year off-premise dollar sales increased 126 percent for RTD cocktails for the 52-week period ending October 2, 2021. According to IRI, premixed cocktails spirits-based and malt-based seltzers accounted for just over $7 billion in off-premise sales over the 52 weeks ending November 28, 2021.</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start of Covid-19, when restaurants and bars closed in March 2020, helped propel the category with consumers bringing the on-premise cocktail occasion to their homes. This was a major boost for canned, single-serve RTDs. Without the recent quality improvements of RTD cocktails, however, it’s unlikely that the category would have taken off. Today’s RTD cocktails bring much higher quality versus earlier wine coolers and malt-based hard lemonades. Premiumization has resulted in a new wave of products that boast less sugar and more transparency. Variety has also been a key driver, allowing consumers ways to experiment without buying costly ingredients or spirits. Reed’s is poised to leverage these trends bringing high-quality, crafted Mules made with real fresh ginger to the market.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Top selling brands in the category are High Noon, Cutwater Spirits, On The Rocks, Jose Cuervo, Skinnygirl, 1800 Tequila, Buzzballz, Bacardi, The Long Drink Company, and Fisher’s Island. In the Mule segment, the key players include ‘Merican Mule, Cutwater Mule, and Copper Can.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raw materials used in the preparation, bottling and packaging of our products are purchased by Reed’s or by our contract packers in accordance with our specifications.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the raw materials used in our products are obtained from domestic and foreign suppliers and many of the materials have multiple reliable suppliers. This provides a level of protection against a major supply constriction or adverse cost or supply impacts. Since our raw materials are common ingredients and supply is easily accessible, we have few long-term contracts in place with our suppliers.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Glass Bottles and Aluminum Cans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component of our product cost is the purchase of glass bottles and aluminum cans. In December 2017, we entered into an exclusive strategic partnership with Owens-Illinois (glass), and in February 2018 we entered into a strategic partnership with Crown Cork &amp; Seal for aluminum cans. During 2021 we entered into an agreement with a packaging broker to supply us with 25 million sleek 12-ounce cans during 2022. These suppliers provide expertise in emerging package and material innovation that can be leveraged to further expand marketing and package offerings.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Practices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Licensing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2020 we entered into a licensing agreement with Full Sail Brewery headquartered in Hood River, Oregon to manufacture and sell our new line of Reed’s Alcoholic Classic Mule in 4 and 12 pack 12-ounce cans, and 12 pack 16-ounce cans. Full Sail manages all aspects of production and distribution. We subsequently amended that agreement to assume the distribution rights from Full Sail and instead utilize Full Sail as a co-packer of our RTD Classic Mule line. We now fully control the sales and marketing process, and this change in distribution ownership enables us to recognize gross revenue as opposed to a royalty fee going forward.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of our nonalcoholic beverages are somewhat seasonal with higher than average volume in the warmer months. The volume of sales in the beverage business may be affected by weather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Proprietary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copyrights, trademarks and trade secrets relating to our products and the processes for their production; the packages used for our products; and the design and operation of various processes and equipment used in our business. Some of our proprietary rights are licensed to our co-packers and suppliers and other parties. Reed’s ginger processing and brewing process finished beverage products and concentrate formulas are among its most valuable trade secrets.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trademarks in the United States that we consider material to our business. Trademarks in the United States are valid as long as they are in use and/or their registrations are properly maintained. Pursuant to our manufacturing and bottling agreements, we authorize our bottlers to use applicable Reed’s trademarks in connection with their manufacture, sale and distribution of our products. We have registered and intend to obtain additional trademarks in international markets as may become necessary.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confidentiality and non-disclosure agreements with employees, manufacturers and distributors to protect our proprietary rights. Mr. Reed is also subject to an intellectual property agreement with Reed’s restricting competition consistent with his fiduciary obligations to Reed’s.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Company is required to comply, and it is our policy to comply, with all applicable laws in all jurisdictions in which we do business.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production, distribution and sale in the United States of many of our products are subject to the Federal Food, Drug, and Cosmetic Act, the Federal Trade Commission Act, the Lanham Act, state consumer protection laws, competition laws, federal, state and local workplace health and safety laws, various federal, state and local environmental protection laws, and various other federal, state and local statutes and regulations applicable to the production, transportation, sale, safety, advertising, labeling and ingredients of such products. Outside the United States, the distribution and sale of our many products and related operations are also subject to numerous similar and other statutes and regulations.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Safe Drinking Water and Toxic Enforcement Act of 1986 (“Proposition 65”) of the state of California requires a specific warning to appear on any product containing a component listed by the state as having been found to cause cancer or birth defects. The state maintains lists of these substances and periodically adds other substances to these lists. Proposition 65 exposes all food and beverage producers to the possibility of having to provide warnings on their products in California because it does not provide for any generally applicable quantitative threshold below which the presence of a listed substance is exempt from the warning requirement. Consequently, the detection of even a trace amount of a listed substance can subject an affected product to the requirement of a warning label. However, Proposition 65 does not require a warning if the manufacturer of a product can demonstrate that the use of that product exposes consumers to a daily quantity of a listed substance that is:</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 “safe harbor” threshold that may be established;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naturally occurring;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necessary cooking;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another applicable exemption.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No Company beverages produced for sale in California are currently required to display warnings under this law. We are unable to predict whether a component found in a Company product might be added to the California list in the future, although the state has initiated a regulatory process in which caffeine and other natural occurring substances will be evaluated for listing. Furthermore, we are also unable to predict when or whether the increasing sensitivity of detection methodology may become applicable under this law and related regulations as they currently exist, or as they may be amended, might result in the detection of an infinitesimal quantity of a listed substance in a beverage of ours produced for sale in California.</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Bottlers of our beverage products presently offer and use non-refillable, recyclable containers in the United States. Some of these bottlers also offer and use refillable containers, which are also recyclable. Legal requirements apply in various jurisdictions in the United States and overseas requiring deposits or certain taxes or fees be charged for the sale, marketing and use of certain non-refillable beverage containers. The precise requirements imposed by these measures vary. Other types of beverage container-related deposit, recycling, tax and/or product stewardship statutes and regulations also apply in various jurisdictions in the United States and overseas. We anticipate additional, similar legal requirements may be proposed or enacted in the future at local, state and federal levels, both in the United States and elsewhere.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Legislation has been proposed in Congress and by certain state and local governments which would prohibit the sale of soft drink products in non-refillable bottles and cans or require a mandatory deposit as a means of encouraging the return of such containers, each in an attempt to reduce solid waste and litter. Similarly, we are aware of proposed legislation that would impose fees or taxes on various types of containers that are used in our business. We are not currently impacted by the policies in these types of proposed legislation, but it is possible that similar or more restrictive legal requirements may be proposed or enacted within our distribution territories in the future.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co-packers are subject to various environmental protection statutes and regulations, including those relating to the use of water resources and the discharge of wastewater. Compliance with these provisions has not had, and we do not expect such compliance to have, any material adverse effect on our capital expenditures, net income or competitive position.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subject to various federal, state and international laws and regulations related to privacy and data protection, including the California Consumer Privacy Act of 2018 (“CCPA”), which became effective on January 1, 2020, and its extension, the California Privacy Rights Act (“CPRA”), which will take effect on January 1, 2023. The interpretation and application of data privacy, cross-border data transfers and data protection laws and regulations are often uncertain and are evolving in the United States and internationally. We monitor pending and proposed legislation and regulatory initiatives to ascertain their relevance to and potential impact on our business and develop strategies to address regulatory trends and developments, including any required changes to our privacy and data protection compliance programs and policies.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cost pertaining to environmental compliance activity is in recycling fees and redemption values. We are required to collect redemption values from our customers and remit those redemption values to the state, based upon the number of bottles or cans of certain products sold in the state.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we had 31 full-time equivalent employees on our corporate staff. We employ additional people on a part-time basis as needed.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participated in a collective bargaining agreement. We believe relations with our employees are good.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a website at the following address: www.reedsinc.com. The information on the Company’s website is not incorporated by reference in this report. We make available on or through our website certain reports and amendments to those reports that we file with or furnish to the Securities and Exchange Commission (“SEC”) in accordance with the Securities Exchange Act of 1934, as amended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 In addition, we routinely post on the “Investors” page of our website news releases, announcements and other statements about our business and results of operations, some of which may contain information that may be deemed material to investors. Therefore, we encourage investors to monitor the “Investors” page of our website and review the information we post on that page. The SEC maintains a website that contains reports, proxy and information statements, and other information regarding issuers that file electronically with the SEC at the following address: http://www.sec.gov.</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are some of the risks and uncertainties that could cause our actual results to differ materially from those presented in our forward-looking statements. The risks and uncertainties described below are not the only ones we face but do represent those risks and uncertainties that we believe are material to us. Additional risks and uncertainties not presently known to us or that we currently deem immaterial may also harm our business. All forward-looking statements in this document are based on information available to us as of the date hereof, and we assume no obligations to update any such forward-looking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Material Risk Factors</w:t>
      </w:r>
    </w:p>
    <w:p>
      <w:pPr>
        <w:spacing w:after="0" w:line="227" w:lineRule="exact"/>
        <w:rPr>
          <w:sz w:val="20"/>
          <w:szCs w:val="20"/>
          <w:color w:val="auto"/>
        </w:rPr>
      </w:pPr>
    </w:p>
    <w:p>
      <w:pPr>
        <w:ind w:right="20" w:firstLine="656"/>
        <w:spacing w:after="0" w:line="284" w:lineRule="auto"/>
        <w:tabs>
          <w:tab w:leader="none" w:pos="8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have a history of operating losses. Our estimates regarding the sufficiency of our cash resource and capital requirements and needs for additional financing raises substantial doubt about our ability to continue as a going concern.</w:t>
      </w:r>
    </w:p>
    <w:p>
      <w:pPr>
        <w:spacing w:after="0" w:line="158" w:lineRule="exact"/>
        <w:rPr>
          <w:rFonts w:ascii="Times New Roman" w:cs="Times New Roman" w:eastAsia="Times New Roman" w:hAnsi="Times New Roman"/>
          <w:sz w:val="18"/>
          <w:szCs w:val="18"/>
          <w:i w:val="1"/>
          <w:iCs w:val="1"/>
          <w:color w:val="auto"/>
        </w:rPr>
      </w:pPr>
    </w:p>
    <w:p>
      <w:pPr>
        <w:ind w:firstLine="656"/>
        <w:spacing w:after="0" w:line="284" w:lineRule="auto"/>
        <w:tabs>
          <w:tab w:leader="none" w:pos="814"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require additional financing to support our working capital and execute our operating plans for fiscal 2022, which may not be available or may be costly and dilutive.</w:t>
      </w:r>
    </w:p>
    <w:p>
      <w:pPr>
        <w:spacing w:after="0" w:line="158" w:lineRule="exact"/>
        <w:rPr>
          <w:rFonts w:ascii="Times New Roman" w:cs="Times New Roman" w:eastAsia="Times New Roman" w:hAnsi="Times New Roman"/>
          <w:sz w:val="18"/>
          <w:szCs w:val="18"/>
          <w:i w:val="1"/>
          <w:iCs w:val="1"/>
          <w:color w:val="auto"/>
        </w:rPr>
      </w:pPr>
    </w:p>
    <w:p>
      <w:pPr>
        <w:ind w:left="800" w:hanging="144"/>
        <w:spacing w:after="0"/>
        <w:tabs>
          <w:tab w:leader="none" w:pos="80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the COVID-19 pandemic could continue to harm our business and results of operations.</w:t>
      </w:r>
    </w:p>
    <w:p>
      <w:pPr>
        <w:spacing w:after="0" w:line="225" w:lineRule="exact"/>
        <w:rPr>
          <w:rFonts w:ascii="Times New Roman" w:cs="Times New Roman" w:eastAsia="Times New Roman" w:hAnsi="Times New Roman"/>
          <w:sz w:val="18"/>
          <w:szCs w:val="18"/>
          <w:i w:val="1"/>
          <w:iCs w:val="1"/>
          <w:color w:val="auto"/>
        </w:rPr>
      </w:pPr>
    </w:p>
    <w:p>
      <w:pPr>
        <w:ind w:right="20" w:firstLine="656"/>
        <w:spacing w:after="0" w:line="284" w:lineRule="auto"/>
        <w:tabs>
          <w:tab w:leader="none" w:pos="834"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Disruption within our supply chain, contract manufacturing or distribution channels could have an adverse effect on our business, financial condition and results of operations.</w:t>
      </w:r>
    </w:p>
    <w:p>
      <w:pPr>
        <w:spacing w:after="0" w:line="158" w:lineRule="exact"/>
        <w:rPr>
          <w:rFonts w:ascii="Times New Roman" w:cs="Times New Roman" w:eastAsia="Times New Roman" w:hAnsi="Times New Roman"/>
          <w:sz w:val="18"/>
          <w:szCs w:val="18"/>
          <w:i w:val="1"/>
          <w:iCs w:val="1"/>
          <w:color w:val="auto"/>
        </w:rPr>
      </w:pPr>
    </w:p>
    <w:p>
      <w:pPr>
        <w:ind w:left="800" w:hanging="144"/>
        <w:spacing w:after="0"/>
        <w:tabs>
          <w:tab w:leader="none" w:pos="80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Increased market spending may not drive volume growth.</w:t>
      </w:r>
    </w:p>
    <w:p>
      <w:pPr>
        <w:spacing w:after="0" w:line="225" w:lineRule="exact"/>
        <w:rPr>
          <w:rFonts w:ascii="Times New Roman" w:cs="Times New Roman" w:eastAsia="Times New Roman" w:hAnsi="Times New Roman"/>
          <w:sz w:val="18"/>
          <w:szCs w:val="18"/>
          <w:i w:val="1"/>
          <w:iCs w:val="1"/>
          <w:color w:val="auto"/>
        </w:rPr>
      </w:pPr>
    </w:p>
    <w:p>
      <w:pPr>
        <w:ind w:left="800" w:hanging="144"/>
        <w:spacing w:after="0"/>
        <w:tabs>
          <w:tab w:leader="none" w:pos="80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Increases in costs of packaging, ingredients, fuel, and contract manufacturing tolling fees may have an adverse impact on our gross margin.</w:t>
      </w:r>
    </w:p>
    <w:p>
      <w:pPr>
        <w:spacing w:after="0" w:line="225" w:lineRule="exact"/>
        <w:rPr>
          <w:rFonts w:ascii="Times New Roman" w:cs="Times New Roman" w:eastAsia="Times New Roman" w:hAnsi="Times New Roman"/>
          <w:sz w:val="18"/>
          <w:szCs w:val="18"/>
          <w:i w:val="1"/>
          <w:iCs w:val="1"/>
          <w:color w:val="auto"/>
        </w:rPr>
      </w:pPr>
    </w:p>
    <w:p>
      <w:pPr>
        <w:ind w:left="800" w:hanging="144"/>
        <w:spacing w:after="0"/>
        <w:tabs>
          <w:tab w:leader="none" w:pos="80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we do not adequately manage our inventory levels, our operating results could be adversely affected.</w:t>
      </w:r>
    </w:p>
    <w:p>
      <w:pPr>
        <w:spacing w:after="0" w:line="225" w:lineRule="exact"/>
        <w:rPr>
          <w:rFonts w:ascii="Times New Roman" w:cs="Times New Roman" w:eastAsia="Times New Roman" w:hAnsi="Times New Roman"/>
          <w:sz w:val="18"/>
          <w:szCs w:val="18"/>
          <w:i w:val="1"/>
          <w:iCs w:val="1"/>
          <w:color w:val="auto"/>
        </w:rPr>
      </w:pPr>
    </w:p>
    <w:p>
      <w:pPr>
        <w:ind w:left="800" w:hanging="144"/>
        <w:spacing w:after="0"/>
        <w:tabs>
          <w:tab w:leader="none" w:pos="80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It is difficult to predict the timing and amount of our sales because our distributors are not required to place minimum orders with us.</w:t>
      </w:r>
    </w:p>
    <w:p>
      <w:pPr>
        <w:spacing w:after="0" w:line="225" w:lineRule="exact"/>
        <w:rPr>
          <w:rFonts w:ascii="Times New Roman" w:cs="Times New Roman" w:eastAsia="Times New Roman" w:hAnsi="Times New Roman"/>
          <w:sz w:val="18"/>
          <w:szCs w:val="18"/>
          <w:i w:val="1"/>
          <w:iCs w:val="1"/>
          <w:color w:val="auto"/>
        </w:rPr>
      </w:pPr>
    </w:p>
    <w:p>
      <w:pPr>
        <w:ind w:left="800" w:hanging="144"/>
        <w:spacing w:after="0"/>
        <w:tabs>
          <w:tab w:leader="none" w:pos="80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will be subject to delisting if we do not meet the Nasdaq bid price rule by August 15,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and related ongoing impacts may have a material adverse effect on our results of operations and financial condition.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COVID-19 pandemic has impacted our operating results and the Company anticipates a continued impact for the balance of the year. In addition, the pandemic may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December 31, 2021, the Company has experienced higher transportation expenses as the capacity in the freight market has not kept up with demand. The Company believes that costs will continue to increase throughout the year. In addition, the Company experienced increases in the pricing of several of its raw materials and delays in procuring several of these items. However, mitigation plans are being implemented to manage this risk. Additionally, the Company was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and net income. The Company anticipates a continued impact throughout 2022.</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operate without significant incremental negative operational impact from the COVID-19 pandemic will in part depend on our ability to protect our employees and our supply chain. The Company has endeavored to follow the recommended actions of government and health authorities to protect our employees. Since the inception of the COVID-19 pandemic and through December 31, 2021,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COVID-19 pandemic may exacerbate other risks related to our business, including risks related to changes in the retail landscape, fluctuations in input costs, inflation rates, and foreign currency exchange rates; and the ability of third-party service providers and business partners to fulfill their respective commitments and responsibilities to us in a timely manner and in accordance with the agreed-upon terms. The continuing evolution of the pandemic may also present risks not currently known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statements as of December 31, 2021 were prepared under the assumption that we will continue as a going concern for the next twelve months from the date of issuance of these financial statements. In addition the Company’s independent registered public accounting firm, in their report on the Company’s December 31, 2021, audited financial statements, raised substantial doubt about the Company’s ability to continue as a going concern. Our ability to continue as a going concern is dependent upon our ability to obtain additional financing, drive further operating efficiencies, reduce expenditures and ultimately, create profitable operations. We may not be able to obtain additional capital on reasonable terms. Our financial statements do not include adjustments that would result from the outcome of this uncertainty.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obligations under payables and debt obligations. Our ability to operate as a going concern are contingent upon successfully obtaining additional financing. Failure to do so would adversely affect our ability to continue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capital is not available, we may then need to scale back or freeze our organic growth plans, sell our business under unfavorable terms, abd reduce expenses to manage our liquidity and capital resources. We may not be able extend or repay our current obligations, which could impact our ability to continue to operate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which raises substantial doubt about our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under the assumption that the Company will continue as a going concern for the next 12 months. Such assumption contemplates the realization of assets and satisfaction of liabilities in the normal course of business. For the year ended December 31, 2021, the Company recorded a net loss of $16,402 and used cash in operations of $17,589. As of December 31, 2021, we had a cash balance of $49 with borrowing capacity of $109, stockholders’ equity of $4,203 and a working capital of $2,981. These conditions raise substantial doubt about the</w:t>
      </w:r>
    </w:p>
    <w:p>
      <w:pPr>
        <w:sectPr>
          <w:pgSz w:w="11900" w:h="16882" w:orient="portrait"/>
          <w:cols w:equalWidth="0" w:num="1">
            <w:col w:w="11240"/>
          </w:cols>
          <w:pgMar w:left="320" w:top="657" w:right="339" w:bottom="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Company’s ability to continue as a going concern. The financial statements do not include any adjustments that might result from the outcome of this uncertainty.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engaged in one transaction to raise capital in 2021 receiving net proceeds of $7,327 from an underwritten offering of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11, 2022, the Company raised gross proceeds, before deducting placement agent fees and other offering expenses, are approximately $5.4 million, in a private placement of common stock and warrants.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management proceeds with sale assets rather than continuing to hold and operate all its assets long term, management’s assessment of the fair value, and ultimate recoverability, of goodwill, intangibles, and other long-lived assets would be impacted and the Company could incur significant noncash charges and cash exit costs in future periods.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additional working capital is not available, we may be forced to scale back or freeze our growth plans, sell assets on less than favorable terms, reduce expenses, and/or curtail future plans to manage our liquidity and capital resources. In the event that management elects to proceed with asset sales in the future rather than continue to hold and operate all its assets long term, management’s assessment of the fair value, and ultimate recoverability, of goodwill, intangibles, and other long-lived assets would be impacted and the Company could incur significant noncash charges and cash exit costs in future periods.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extend or repay our indebtedness owed to our secured lenders, which would have a material adverse effect on our financial condition and ability to continue as a going concern.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service or repay these obligations at maturity and we are otherwise unable to extend the maturity dates or refinance these obligations, we would be in default. We cannot provide any assurances that we will be able to raise the necessary amount of capital to service these obligations. Upon a default, our secured lenders would have the right to exercise their rights and remedies to collect, which would include foreclosing on our assets. Accordingly, a default would have a material adverse effect on our business, and we would likely be forced to seek bankruptcy protection.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We </w:t>
      </w:r>
      <w:r>
        <w:rPr>
          <w:rFonts w:ascii="Times New Roman" w:cs="Times New Roman" w:eastAsia="Times New Roman" w:hAnsi="Times New Roman"/>
          <w:sz w:val="18"/>
          <w:szCs w:val="18"/>
          <w:b w:val="1"/>
          <w:bCs w:val="1"/>
          <w:i w:val="1"/>
          <w:iCs w:val="1"/>
          <w:color w:val="auto"/>
        </w:rPr>
        <w:t>are not in compliance with Nasdaq Listing Rule 5550(a)(2), the bid price rule. If we are unable to cure the failure within the prescribed time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our common stock will be subject to delisting. A delisting would materially reduce the liquidity of our common stock and have an adverse effect on our market price.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16, 2021, the Nasdaq Listing Qualifications Department notified us that, based on the previous 30 consecutive business days, the Company’s common stock no longer met the minimum $1 bid price per share requirement. Therefore, in accordance with the Nasdaq Listing Rules (the “Rules”), the Company was provided 180 calendar days, or until February 14, 2022, to regain compliance. The common stock did not regain compliance with the minimum $1 bid price per share requirement during this initial compliance period. However, the Nasdaq Listing Qualifications Department determined that the Company is eligible for an additional 180 calendar day period, or until August 15, 2022, to regain compliance. Their determination is based on the Company meeting the continued listing requirement for market value of publicly held shares and all other applicable requirements for initial listing on the Capital Market with the exception of the bid price requirement, and the Company’s written notice of its intention to cure the deficiency during the second compliance period by effecting a reverse stock split, if necessary. If at any time during this additional time period the closing bid price of the Company’s security is at least $1 per share for a minimum of 10 consecutive business days, we will provide written confirmation of compliance and this matter will be closed. If we choose to implement a reverse stock split, it must complete the split no later than ten business days prior to the expiration date in order to timely regain compliance. Our board and stockholders authorized an up to one for five reverse split of our common stock to be implemented at the board’s discretion. There can be no assurance a one for five reverse split would cause our common stock to meet the bid price requirement.</w:t>
      </w:r>
    </w:p>
    <w:p>
      <w:pPr>
        <w:spacing w:after="0" w:line="1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delisting would materially reduce the liquidity of our common stock and have an adverse effect on our market price. A delisting would also likely make it more difficult for us to obtain financing through the sale of our equity. Any such sale of equity would likely be more dilutive to our current stockholders than would be the case if our shares were listed.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require additional financing to support our working capital and execute our operating plans for 2022, which may not be available or may be costly and dilutive.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require additional financing to support our working capital needs and fund our operating plans for fiscal 2022.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these alternatives may require significant cash payments for interest and other costs or could be highly dilutive to our existing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financing alternatives may not provide us with sufficient funds to meet our long-term capital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and liquidity needs could restrict our operations and make us more vulnerable to adverse economic conditions.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existing indebtedness may adversely affect our operations and limit our growth, and we may have difficulty making debt service payments on such indebtedness as payments become due. We may also experience the occurrence of events of default or breach of financial covenants. If market or other economic conditions deteriorate, our ability to comply with these covenants may be impaired. If we violate any of the restrictions or covenants, a significant portion of our indebtedness may become immediately due and payable, our lenders’ commitment to make further loans to us may terminate. We might not have, or be able to obtain, sufficient funds to make these accelerated payments.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COVID-19 pandemic and mitigation measures has had an adverse impact on global economic conditions, including disruption of stock markets and may impact on our ability to obtain financing on terms acceptable to us, if at all.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and March 2020, the financial markets significantly declined as the reality of the COVID-19 pandemic came into focus. The extent to which the COVID-19 pandemic continues to impact our results will depend on future developments that are highly uncertain and cannot be predicted at this time, including new information that may emerge concerning the severity of the virus and its variants and the actions to contain its impact. Disruption of stock markets had an impact on the cost of capital in 2020 and may, in the future, impact on our ability to obtain financing on terms acceptable to us, if at all.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within our supply chain, contract manufacturing or distribution channels could have an adverse effect on our business, financial condition and results of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prices of ingredients, other raw materials, packaging materials, aluminum cans and other containers fluctuate depending on market conditions, governmental actions, climate change and other factors beyond our control, including the COVID-19 pandemic. Substantial increases in the prices of our or ingredients, other raw materials, packaging materials, aluminum cans and other containers, to the extent they cannot be recouped through increases in the prices of finished beverage products, could increase our and our bottling partners’ operating costs and reduce our profitability. Increases in the prices of our finished products resulting from a higher cost of ingredients, other raw materials, packaging materials, aluminum cans and other containers could affect affordability in some markets and reduce our or our bottling partners’ sales. In addition, some of our ingredients as well as some packaging containers, such as aluminum cans, are available from a limited number of suppliers. We and our bottling partners may not be able to maintain favorable arrangements and relationships with these suppliers, and our contingency plans may not be effective in preventing disruptions that may arise from shortages of any ingredients that are available from a limited number of suppliers. Adverse weather conditions may affect the supply of other agricultural commodities from which key ingredients for our products are derived. An increase in the cost, a sustained interruption in the supply, or a shortage of some of these ingredients, other raw materials, packaging materials, aluminum cans and other containers that may be caused by changes in or the enactment of new laws and regulations; a deterioration of our or our bottling partners’ relationships with suppliers; supplier quality and reliability issues; trade disruptions; changes in supply chain; and increases in tariffs; or events such as natural disasters, widespread outbreaks of infectious diseases (such as the COVID-19 pandemic), power outages, labor strikes, political uncertainties or governmental instability, or the like could negatively impact our net operating revenues and profits.</w:t>
      </w:r>
    </w:p>
    <w:p>
      <w:pPr>
        <w:spacing w:after="0" w:line="200" w:lineRule="exact"/>
        <w:rPr>
          <w:sz w:val="20"/>
          <w:szCs w:val="20"/>
          <w:color w:val="auto"/>
        </w:rPr>
      </w:pP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distributors, retailers and brokers could affect our ability to efficiently and profitably distribute and market our products, maintain our existing markets and expand our business into other geographic markets.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maintain and expand our existing markets for our products, and to establish markets in new geographic distribution areas, is dependent on our ability to establish and maintain successful relationships with reliable distributors, retailers and brokers strategically positioned to serve those areas. Most of our distributors, retailers and brokers sell and distribute competing products and our products may represent a small portion of their businesses. The success of this network will depend on the performance of the distributors, retailers and brokers of this network. There is a risk that the mentioned entities may not adequately perform their functions within the network by, without limitation, failing to distribute to sufficient retailers or positioning our products in localities that may not be receptive to our product. Our ability to incentivize and motivate distributors to manage and sell our products is affected by competition from other beverage companies who have greater resources than we do. To the extent that our distributors, retailers and brokers are distracted from selling our products or do not employ sufficient efforts in managing and selling our products, including re-stocking the retail shelves with our products, our sales and results of operations could be adversely affected. Furthermore, such third-parties’ financial position or market share may deteriorate, which could adversely affect our distribution, marketing and sales activities.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maintain and expand our distribution network and attract additional distributors, retailers and brokers will depend on a number of factors, some of which are outside our control. Some of these factors include:</w:t>
      </w:r>
    </w:p>
    <w:p>
      <w:pPr>
        <w:spacing w:after="0" w:line="16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brands and products in a particular distribution area;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price our products at levels competitive with those of competing products;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the quantity and at the time ordered by distributors, retailers and brokers.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be able to successfully manage all or any of these factors in any of our current or prospective geographic areas of distribution. Our inability to achieve success with regards to any of these factors in a geographic distribution area will have a material adverse effect on our relationships in that particular geographic area, thus limiting our ability to maintain or expand our market, which will likely adversely affect our revenues and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time and expense in attracting and maintaining key distributors.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marketing and sales strategy depends in large part on the availability and performance of our independent distributors. We currently do not have, nor do we anticipate in the future that we will be able to establish, long-term contractual commitments from some of our distributors. We may not be able to maintain our current distribution relationships or establish and maintain successful relationships with distributors in new geographic distribution areas. Moreover, there is the additional possibility that we may have to incur additional expenditures to attract and maintain key distributors in one or more of our geographic distribution areas in order to profitably exploit our geographic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any of our key distributors or national retail accounts, our financial condition and results of operations could be adversely affected.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in large part on distributors to distribute our beverages and other products. Some of our outside distributors are not bound by written agreements with us and may discontinue their relationship with us on short notice. Some distributors handle a number of competitive products. In addition, our products are a small part of our distributors’ businesses.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seek to expand distribution of our products by entering into distribution arrangements with regional bottlers or other direct store delivery distributors having established sales, marketing and distribution organizations. Many of our distributors are affiliated with and manufacture and/or distribute other soda and non-carbonated brands and other beverage products. In many cases, such products compete directly with our products.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marketing efforts of our distributors are important for our success. If our brands prove to be less attractive to our existing distributors and/or if we fail to attract additional distributors, and/or our distributors do not market and promote our products above the products of our competitors, our business, financial condition and results of operations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to predict the timing and amount of our sales because our distributors are not required to place minimum orders with 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independent distributors and national accounts are not required to place minimum monthly or annual orders for our products. In order to reduce their inventory costs, independent distributors typically order products from us on a “just in time” basis in quantities and at such times based on the demand for the products in a particular distribution area. Accordingly, we cannot predict the timing or quantity of purchases by any of our independent distributors or whether any of our distributors will continue to purchase products from us in the same frequencies and volumes as they may have done in the past. Additionally, our larger distributors and partners may make orders that are larger than we have historically been required to fill. Shortages in inventory levels, supply of raw materials or other key supplies could negatively affect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adequately manage our inventory levels, our operating results could be adversely affected.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need to maintain adequate inventory levels to be able to deliver products to distributors on a timely basis. Our inventory supply depends on our ability to correctly estimate demand for our products. Our ability to estimate demand for our products is imprecise, particularly for new products, seasonal promotions and new markets. If we materially underestimate demand for our products or are unable to maintain sufficient inventory of raw materials, we might not be able to satisfy demand on a short-term basis. If we overestimate distributor or retailer demand for our products, we may end up with too much inventory, resulting in higher storage costs, increased trade spending and the risk of inventory spoilage. If we fail to manage our inventory to meet demand, we could damage our relationships with our distributors and retailers and could delay or lose sales opportunities, which would unfavorably impact our future sales and adversely affect our operating results. In addition, if the inventory of our products held by our distributors and retailers is too high, they will not place orders for additional products, which would also unfavorably impact our sales and adversely affect our operating results.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independent contract manufacturers could make management of our manufacturing and distribution efforts inefficient or unprofitable.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expected to arrange for our contract manufacturing needs sufficiently in advance of anticipated requirements, which is customary in the contract manufacturing industry for comparably sized companies. Based on the cost structure and forecasted demand for the particular geographic area where our contract manufacturers are located, we continually evaluate which of our contract manufacturers to use. To the extent demand for our products exceeds available inventory or the production capacity of our contract manufacturing arrangements, or orders are not submitted on a timely basis, we will be unable to fulfill distributor orders on demand. Conversely, we may produce more product inventory than warranted by the actual demand for it, resulting in higher storage costs and the potential risk of inventory spoilage. Our failure to accurately predict and manage our contract manufacturing requirements and our inventory levels may impair relationships with our independent distributors and key accounts, which, in turn, would likely have a material adverse effect on our ability to maintain effective relationships with those distributors and key accounts.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costs of packaging, ingredients and contract manufacturing tolling fees may have an adverse impact on our gross margin.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few years, costs of organic and natural ingredients have increased due to increased demand and required the Company to obtain these ingredients from a wider population of qualified vendors. Packaging costs such as paper and aluminum cans have experienced industry wide price increases in the past and there is always the risk that the company’s co-packers increase their toll rates based on increases in their fixed and variable costs. If the Company is unable to pass on these costs, the gross margin will be significantly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market spending may not drive volume growth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marketing efforts in the past have been limited. The current increase in marketing spending may not generate an increase in sales volume resulting in a net decrease in gross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costs of energy and freight may have an adverse impact on our gross and operating margins.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increase in the price, disruption of supply or shortage of fuel and other energy sources in markets where our bottlers operate, which may be caused by increasing demand, by events such as natural disasters, power outages and extreme weather, or by government regulations, taxes, policies or programs designed to reduce greenhouse gas emissions to address climate change, could increase our operating costs and negatively impact our profitability. An increase in the price, disruption of supply or shortage of fuel and other energy sources in any of the markets in which our independent bottling partners operate could increase the affected independent bottling partners’ operating costs and thus could indirectly negatively impact our results of operations.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past few years, volatility in the global oil markets has resulted in high fuel prices, which many shipping companies have passed on to their customers by way of higher base pricing and increased fuel surcharges. With recent declines in fuel prices, some companies have been slow to pass on decreases in their fuel surcharges. If fuel prices increase again, we expect to experience higher shipping rates and fuel surcharges, as well as energy surcharges on our raw materials. It is hard to predict what will happen in the fuel markets in 2021. Due to the price sensitivity of our products, we may not be able to pass such increases on to our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personnel, our efficiency and operations would be adversely affected.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depends on our ability to attract and retain highly qualified employees in such areas as sales, marketing, product development, supply chain, finance and accounting. In general, we compete to hire new employees, and, in some cases, must train them and develop their skills and competencies. Our operating results could be adversely affected by increased costs due to increased competition for employees, higher employee turnover or increased employee benefit costs. Any unplanned turnover, particularly involving our key personnel, could negatively impact our operations, financial condition and employee morale.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protect our trademarks and trade secrets, we may be unable to successfully market our products and compete effectively.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a combination of trademark and trade secrecy laws, confidentiality procedures and contractual provisions to protect our intellectual property rights. Failure to protect our intellectual property could harm our brand and our reputation, and adversely affect our ability to compete effectively. Further, enforcing or defending our intellectual property rights, including our trademarks, copyrights, licenses and trade secrets, could result in the expenditure of significant financial and managerial resources. We regard our intellectual property, particularly our trademarks and trade secrets, to be of considerable value and importance to our business and our success, and we actively pursue the registration of our trademarks in the United States and internationally. However, the steps taken by us to protect these proprietary rights may not be adequate and may not prevent third parties from infringing or misappropriating our trademarks, trade secrets or similar proprietary rights. In addition, other parties may seek to assert infringement claims against us, and we may have to pursue litigation against other parties to assert our rights. Any such claim or litigation could be costly. In addition, any event that would jeopardize our proprietary rights or any claims of infringement by third parties could have a material adverse effect on our ability to market or sell our brands, profitably exploit our products or recoup our associated research and development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damage our reputation.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become party to litigation claims and legal proceedings. Litigation involves significant risks, uncertainties and costs, including distraction of management attention away from our business operations. We evaluate litigation claims and legal proceedings to assess the likelihood of unfavorable outcomes and to estimate, if possible, the amount of potential losses. Based on these assessments and estimates, we establish reserves and disclose the relevant litigation claims or legal proceedings, as appropriate. These assessments and estimates are based on the information available to management at the time and involve a significant amount of management judgment. Actual outcomes or losses may differ materially from those envisioned by our current assessments and estimates. Our policies and procedures require strict compliance by our employees and agents with all U.S. and local laws and regulations applicable to our business operations, including those prohibiting improper payments to government officials. Nonetheless, our policies and procedures may not ensure full compliance by our employees and agents with all applicable legal requirements. Improper conduct by our employees or agents could damage our reputation or lead to litigation or legal proceedings that could result in civil or criminal penalties, including substantial monetary fines, as well as disgorgement of profits.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inherent in sales of products in international markets.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outside of the United States contribute to our revenue and profitability, and we believe that developing and emerging markets present important future growth opportunities for us. However, there can be no assurance that existing or new products that we manufacture, distribute or sell will be accepted or be successful in any particular foreign market, due to local or global competition, product price, cultural differences, consumer preferences or otherwise. Here are many factors that could adversely affect demand for our products in foreign markets, including our inability to attract and maintain key distributors in these markets; volatility in the economic growth of certain of these markets; changes in economic, political or social conditions, imposition of new or increased labeling, product or production requirements, or other legal restrictions; restrictions on the import or export of our products or ingredients or substances used in our products; inflationary currency, devaluation or fluctuation; increased costs of doing business due to compliance with complex foreign and U.S. laws and regulations. If we are unable to effectively operate or manage the risks associated with operating in international markets, our business, financial condition or results of operations could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financial results.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United States generally accepted accounting principles and related pronouncements, implementation guidelines and interpretations with regard to a wide variety of matters that are relevant to our business, such as, but not limited to, stock-based compensation, trade spend and promotions, and income taxes are highly complex and involve many subjective assumptions, estimates and judgments by our management. Changes to these rules or their interpretation or changes in underlying assumptions, estimates or judgments by our management could significantly change our reported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build and sustain proper information technology infrastructure, our business could suffer.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on information technology as an enabler to improve the effectiveness of our operations and to interface with our customers, as well as to maintain financial accuracy and efficiency. If we do not allocate and effectively manage the resources necessary to build and sustain the proper technology infrastructure, we could be subject to transaction errors, processing inefficiencies, the loss of customers, business disruptions, or the loss of or damage to intellectual property through security breaches.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cybersecurity attacks.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Cybersecurity attacks are evolving and include malicious software, attempts to gain unauthorized access to data, and other electronic security breaches that could lead to disruptions in business processes, unauthorized release of confidential or otherwise protected information and corruption of data. Such unauthorized access could subject us to operational interruption, damage to our brand image and private data exposure, and harm our business.</w:t>
      </w:r>
    </w:p>
    <w:p>
      <w:pPr>
        <w:spacing w:after="0" w:line="17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Risks Factors Relating to 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current aluminum shortage can harm our ability to meet consumer demand.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craft beverage company, we do not meet volume requirements to have a contract in place with our aluminum can supplier. Craft beverage companies such as us are facing an aluminum can shortage. We anticipate we will continue to see supply issues with all sizes of aluminum cans. This aluminum can shortage could harm our ability to timely produce enough product to meet consumer demand.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a reduced demand for some of our products due to health concerns (including obesity) and legislative initiatives against sweetened beverages.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Consumers are concerned about health and wellness; public health officials and government officials are increasingly vocal about obesity and its consequences. There has been a trend among some public health advocates and dietary guidelines to recommend a reduction in sweetened beverages, as well as increased public scrutiny, potential new taxes on sugar-sweetened beverages, and additional governmental regulations concerning the marketing and labeling/packing of the beverage industry. Additional or revised regulatory requirements, whether labeling, tax or otherwise, could have a material adverse effect on our financial condition and results of operations. Further, increasing public concern with respect to sweetened beverages could reduce demand for our beverages and increase desire for more low-calorie soft drinks, water, enhanced water, coffee-flavored beverages, tea, and beverages with natural sweeteners. We are continuously working to launch new products that round out our diversified portfolio.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changes that affect our products could reduce demand for products or increase our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Taxes imposed on the sale of certain of our products by federal, state and local governments in the United States, Canada or other countries in which we operate could cause consumers to shift away from purchasing our beverages. Several municipalities in the United States have implemented or are considering implementing taxes on the sale of certain “sugared” beverages, including non-diet soft drinks, fruit drinks, teas and flavored waters to help fund various initiatives. These taxes could materially affect our business and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taxes levied on us could harm our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Recent legislative proposals to reform U.S. taxation of non-U.S. earnings could have a material adverse effect on our financial results by subjecting a significant portion of our non-U.S. earnings to incremental U.S. taxation and/or by delaying or permanently deferring certain deductions otherwise allowed in calculating our U.S. tax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compete in an industry that is brand-conscious, so brand name recognition and acceptance of our products are critical to our success.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substantially dependent upon awareness and market acceptance of our products and brands by our targeted consumers. In addition, our business depends on acceptance by our independent distributors of our brands as beverage brands that have the potential to provide incremental sales growth rather than reduce distributors’ existing beverage sales. Although we believe that we have been relatively successful towards establishing our brands as recognizable brands in the natural “better for you” beverage industry, it may be too early in the product life cycle of these brands to determine whether our products and brands will achieve and maintain satisfactory levels of acceptance by independent distributors, retail customers and consumers. We believe that the success of our brands will also be substantially dependent upon acceptance of our product name brands. Accordingly, any failure of our brands to maintain or increase acceptance or market penetration would likely have a material adverse effect on our revenues and financial results.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from traditional non-alcoholic beverage manufacturers may adversely affect our distribution relationships and may hinder development of our existing markets, as well as prevent us from expanding our markets.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target a niche in the estimated $25 billion carbonated soft drink market in the US, Canada and international markets. Our brands are generally regarded as premium and natural, with upscale packaging and are loosely defined as the artisanal (craft), premium bottled carbonated soft drink category. The soft drink industry is highly fragmented, and the craft soft drink category consists of such competitors as IBC, Stewart’s, Zevia, Henry Weinhard’s, Izze, Boylan and Jones Soda, to name a few. These brands have the advantage of being seen widely in the national market and being commonly known for years through well-funded ad campaigns. Our products have a relatively high price for an artisanal premium beverage product, minimal mass media advertising to date and a small but growing presence in the mainstream market compared to some of our larger competitors.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beverage industry is highly competitive. We compete with other beverage companies not only for consumer acceptance but also for shelf space in retail outlets and for marketing focus by our distributors, all of which also distribute other beverage brands. Our products compete with a wide range of drinks produced by a relatively large number of manufacturers, most of which have substantially greater financial, marketing and distribution resources than ours. Some of these competitors are placing pressure on independent distributors not to carry competitive sparkling brands such as ours. We also compete with regional beverage producers and “private label” soft drink suppliers.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Increased competitor consolidations, market-place competition, particularly among branded beverage products, and competitive product and pricing pressures could impact our earnings, market share and volume growth. If, due to such pressure or other competitive threats, we are unable to sufficiently maintain or develop our distribution channels, we may be unable to achieve our current revenue and financial targets. As a means of maintaining and expanding our distribution network, we intend to introduce new, innovative products and packages. We may not be successful in doing this and other companies may be more successful in this regard over the long term. Competition, particularly from companies with greater financial and marketing resources than ours, could have a material adverse effect on our existing markets, as well as on our ability to expand the market for our products.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in an industry characterized by rapid changes in consumer preferences and public perception, so our ability to continue developing new products to satisfy our consumers’ changing preferences will determine our long-term success.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Failure to introduce new products or product extensions into the marketplace as current ones mature and to meet our consumers’ changing preferences could prevent us from gaining market share and achieving long-term profitability. Product lifecycles can vary, and consumers’ preferences and loyalties change over time. Although we try to anticipate these shifts and innovate new products to introduce to our consumers, we may not succeed. Customer preferences also are affected by factors other than taste, such as health and nutrition considerations and obesity concerns, shifting consumer needs, changes in consumer lifestyles, increased consumer information and competitive product and pricing pressures. Sales of our products may be adversely affected by the negative publicity associated with these issues. If we do not adequately anticipate or adjust to respond to these and other changes in customer preferences, we may not be able to maintain and grow our brand image and our sales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may continue to adversely impact our business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beverage industry, and particularly those companies selling premium beverages, can be affected by macro-economic factors, including changes in national, regional, and local economic conditions, unemployment levels and consumer spending patterns, which together may impact the willingness of consumers to purchase our products as they adjust their discretionary spending. Adverse economic conditions may negatively impact the ability of our distributors to obtain the credit necessary to fund their working capital needs, which could negatively impact their ability or desire to continue to purchase products from us in the same frequencies and volumes as they have done in the past. If we experience adverse economic conditions in the future, sales of our products could be adversely affected, collectability of accounts receivable may be compromised, and we may face obsolescence issues with our inventory, any of which could have a material adverse impact on our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product recalls or other product quality issues, our business may suffer.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quality issues, real or imagined, or allegations of product contamination, even when false or unfounded, could tarnish our image and could cause consumers to choose other products. In addition, because of changing government regulations or implementation thereof, or allegations of product contamination, we may be required from time to time to recall products entirely or from specific markets. Product recalls could affect our profitability and could negatively affect brand image.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exposed to product liability claims.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we have product liability and basic recall insurance, insurance coverage may not be sufficient to cover all product liability claims that may arise.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extent our product liability coverage is insufficient, a product liability claim would likely have a material adverse effect upon our financial condition.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any product liability claim brought against us may materially damage the reputation and brand image of our products and business.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many regulations and noncompliance is costly.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production, marketing and sale of our beverages, including contents, labels, caps and containers, are subject to the rules and regulations of various federal, provincial, state and local health agencies. If a regulatory authority finds that a current or future product or production run is not in compliance with any of these regulations, we may be fined, or production may be stopped, which would adversely affect our financial condition and results of operations. Similarly, any adverse publicity associated with any noncompliance may damage our reputation and our ability to successfully market our products. Furthermore, the rules and regulations are subject to change from time to time and while we closely monitor developments in this area, we cannot anticipate whether changes in these rules and regulations will impact our business adversely. Additional or revised regulatory requirements, whether labeling, environmental, tax or otherwise, could have a material adverse effect on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additional labeling or warning requirements may inhibit sales of affected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Various jurisdictions may seek to adopt significant additional product labeling or warning requirements relating to the chemical content or perceived adverse health consequences of certain of our products. These types of requirements, if they become applicable to one or more of our products under current or future environmental or health laws or regulations, may inhibit sales of such products. In California, a law requires that a specific warning appear on any product that contains a component listed by the state as having been found to cause cancer or birth defects. This law recognizes no generally applicable quantitative thresholds below which a warning is not required. If a component found in one of our products is added to the list, or if the increasing sensitivity of detection methodology that may become available under this law and related regulations as they currently exist, or as they may be amended, results in the detection of an infinitesimal quantity of a listed substance in one of our beverages produced for sale in California, the resulting warning requirements or adverse publicity could affect our sales.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develop successful new beverage products, which are important to our growth.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important part of our strategy is to increase our sales through the development of new beverage products. We cannot provide assurance that we will be able to continue to develop, market and distribute future beverage products that will enjoy market acceptance. The failure to continue to develop new beverage products that gain market acceptance could have an adverse impact on our growth and materially adversely affect our financial condition. We may have higher obsolescent product expense if new products fail to perform as expected due to the need to write off excess inventory of the new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may be impacted in various ways by the introduction of new products, even if they are successful, including the following:</w:t>
      </w:r>
    </w:p>
    <w:p>
      <w:pPr>
        <w:spacing w:after="0" w:line="22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new products could adversely impact sales of existing products;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higher cost of goods sold and selling, general and administrative expenses in the periods when we introduce new products due to increased costs associated with the introduction and marketing of new products, most of which are expensed as incurred;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we introduce new platforms and package sizes, we may experience increased freight and logistics costs as our co-packers adjust their facilities for the new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growth of our revenues is dependent on acceptance of our products by mainstream consumers.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dedicated significant resources to introduce our products to the mainstream consumer. As such, we have increased our sales force and executed agreements with distributors who, in turn, distribute to mainstream consumers at grocery stores and other retailers. If our products are not accepted by the mainstream consumer, our business could suffer.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accurately estimate demand for our products could adversely affect our business and financial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correctly estimate demand for our products. 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glass, cans, cartons, labels, flavors or packing arrangements, we might not be able to satisfy demand on a short-term basis. Furthermore, industry-wide shortages of certain juice concentrates and sweeteners have been and could, from time to time in the future, be experienced, which could interfere with and/or delay production of certain of our products and could have a material adverse effect on our business and financial results. We do not use hedging agreements or alternative instruments to manage this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our largest customers would substantially reduce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customers are material to our success. If we are unable to maintain good relationships with our existing customers, our business could suffer.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had two broker/distributors that accounted for approximately 19% and 11% of its sales, respectively; and during the year ended December 31, 2020, the Company had two broker/distributors that accounted for 25% and 12% of its sales, respectively. These two broker/distributors serve hundreds if not thousands of various retail chains and end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customer exceeded 10% of sales for either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our largest vendors would substantially reduce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vendors are important to our success. If we are unable to maintain good relationships with our existing vendors, our business could suffer.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2021, the Company’s largest two vendors accounted for approximately 13%, and 10% of its purchases,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2020, the Company’s largest two vendors accounted for approximately 12%, and 11% of its purchases, respectively.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2021, no Company vendor accounted for more than 10% of the total accounts payable. As of December 31, 2020, the Company’s largest two vendors accounted for 12% and 10% of the total accounts payable,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account was more than 10% of the balance of accounts payable in either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our third-party distributors could impair our operations and substantially reduce our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in large part on distributors to distribute our beverages and other products. Some of our outside distributors are not bound by written agreements with the Company and may discontinue their relationship with us on short notice. Some distributors handle a number of competitive products. In addition, our products are a small part of our distributors’ businesses.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seek to expand distribution of our products by entering into distribution arrangements with regional bottlers or other direct store delivery distributors having established sales, marketing and distribution organizations. Many of our distributors are affiliated with and manufacture and/or distribute other soda and non-carbonated brands and other beverage products. In many cases, such products compete directly with our products.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marketing efforts of our distributors are important for our success. If our brands prove to be less attractive to our existing distributors and/or if we fail to attract additional distributors, and/or our distributors do not market and promote our products above the products of our competitors, our business, financial condition and results of operations could be adversely affected.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Price fluctuations in, and unavailability of, raw materials and packaging that we use could adversely affect 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enter into hedging arrangements for raw materials. The prices of raw materials that we use have not increased significantly in recent years. Our results of operations would be adversely affected if the price of these raw materials were to rise, and we were unable to pass these costs on to our customers.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upon an uninterrupted supply of the ingredients for our products, a significant portion of which we obtain overseas, principally from Peru, Fiji and Indonesia. Any decrease in the supply of these ingredients or increase in the prices of these ingredients as a result of any adverse weather conditions, pests, crop disease, interruptions of shipment or political considerations, among other reasons, could substantially increase our costs and adversely affect our financial performance.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depend upon an uninterrupted supply of packaging materials, such as glass, cans and paper items. We obtain bottles both domestically and internationally. Any decrease in supply of these materials or increase in the prices of the materials, as a result of decreased supply or increased demand, could substantially increase our costs and adversely affect our financial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of our co-packers could impair our operations and substantially reduce our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rely on third parties, called co-packers in our industry, to produce our beverages.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2021 and 2020, the Company had utilized six separate US based co-packers for most its production needs. Although there are other packers that could produce the Company’s beverages, a change in packers may cause a delay in the production process, which could ultimately affect operating results.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co-packing arrangements with other companies are on a short-term basis and such co-packers may discontinue their relationship with us on short notice. Our co-packing arrangements expose us to various risks, including:</w:t>
      </w:r>
    </w:p>
    <w:p>
      <w:pPr>
        <w:spacing w:after="0" w:line="162" w:lineRule="exact"/>
        <w:rPr>
          <w:sz w:val="20"/>
          <w:szCs w:val="20"/>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those co-packers were to terminate our co-packing arrangement or have difficulties in producing beverages for us, our ability to produce our beverages would be adversely affected until we were able to make alternative arrangements;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reputation would be adversely affected if any of the co-packers were to produce inferior quality.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we have substantially reduced this risk by reducing our reliance upon any single co-packer. We are in discussion and negotiation with additional co-packers to ensure added capability for future production needs.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in an industry characterized by rapid changes in consumer preferences and public perception, so our ability to continue to market our existing products and develop new products to satisfy our consumers’ changing preferences will determine our long-term success.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Consumers are seeking greater variety in their beverages. Our future success will depend, in part, upon our continued ability to develop and introduce different and innovative beverages. In order to retain and expand our market share, we must continue to develop and introduce different and innovative beverages and be competitive in the areas of quality and health, although there can be no assurance of our ability to do so. There is no assurance that consumers will continue to purchase our products in the future. Additionally, many of our products are considered premium products and to maintain market share during recessionary periods, we may have to reduce profit margins, which would adversely affect our results of operations. In addition, there is increasing awareness and concern for the health consequences of obesity. This may reduce demand for our non-diet beverages, which could affect our profitability. Product lifecycles for some beverage brands and/or products and/or packages may be limited to a few years before consumers’ preferences change. The beverages we currently market are in varying stages of their lifecycles and there can be no assurance that such beverages will become or remain profitable for us. The beverage industry is subject to changing consumer preferences and shifts in consumer preferences may adversely affect us if we misjudge such preferences. We may be unable to achieve volume growth through product and packaging initiatives. We also may be unable to penetrate new markets. If our revenues decline, our business, financial condition and results of operations will be materially and adversely affected.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because of the seasonality of our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highest revenues occur during the summer and fall, the third and fourth quarters of each fiscal year. These seasonality issues may cause our financial performance to fluctuate. In addition, beverage sales can be adversely affected by sustained periods of bad weather.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manufacturing process is not patented.</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None of the manufacturing processes used in producing our products are subject to a patent or similar intellectual property protection. Our only protection against a third party using our recipes and processes is confidentiality agreements with the companies that produce our beverages and with our employees who have knowledge of such processes. If our competitors develop substantially equivalent proprietary information or otherwise obtain access to our knowledge, we will have greater difficulty in competing with them for business, and our market share could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retain the full-time services of our management team, it will be more difficult for us to manage our operations and our operating performance could suffer.</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dependent, to a large extent, upon the services of our management team. We do have a written employment agreement with two of five members of our management team. In addition, we do not maintain key person life insurance on any of our management team. Therefore, in the event of the loss or unavailability of any member of the management team to us, there can be no assurance that we would be able to locate in a timely manner or employ qualified personnel to replace him or her. The loss of the services of any member of our management team or our failure to attract and retain other key personnel over time would jeopardize our ability to execute our business plan and could have a material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a shareholder’s investment in our common stock could suffer a decline in value.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has been significant volatility in the volume and market price of our common stock, and this volatility may continue in the future. In addition, factors such as quarterly variations in our operating results, litigation involving us, general trends relating to the beverage industry, actions by governmental agencies, national economic and stock market considerations as well as other events and circumstances beyond our control could have a significant impact on the future market price of our common stock and the relative volatility of such market price.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prolonged decline in the price of our common stock could result in a reduction in the liquidity of our common stock and a reduction in our ability to raise capital. If we are unable to raise the funds required for all of our planned operations and key initiatives, we may be forced to allocate funds from other planned uses, which may negatively impact our business and operations, including our ability to develop new products and continue our current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factors that are beyond our control may significantly affect the market price of our shares. These factors include:</w:t>
      </w:r>
    </w:p>
    <w:p>
      <w:pPr>
        <w:spacing w:after="0" w:line="225"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stock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revenues and earnings or other variations in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increase in losses from levels expected by us or securities analysts;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law;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external factors.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Even if an active market for our common stock is established, stockholders may have to sell their shares at prices substantially lower than the price they paid for them or might otherwise receive than if a broad public market existed.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has been a very limited public trading market for our securities and the market for our securities may continue to be limited and be sporadic and highly volatile.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currently a limited public market for our common stock. Holders of our common stock may, therefore, have difficulty selling their shares, should they decide to do so. In addition, there can be no assurances that such markets will continue or that any shares which may be purchased, may be sold without incurring a loss. Any such market price of our shares may not necessarily bear any relationship to our book value, assets, past operating results, financial condition or any other established criteria of value, and may not be indicative of the market price for the shares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financings could adversely affect common stock ownership interest and rights in comparison with those of other security holders.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the power to issue additional shares of common or preferred stock up to the amounts authorized in our certificate of incorporation without stockholder approval, subject to restrictive covenants contained in the Company’s contracts. If additional funds are raised through the issuance of equity or convertible debt securities, the percentage ownership of our existing stockholders will be reduced, and these newly issued securities may have rights, preferences or privileges senior to those of existing stockholders. If we issue any additional common stock or securities convertible into common stock, such issuance will reduce the proportionate ownership and voting power of each other stockholder. In addition, such stock issuances might result in a reduction of the book value of our common stock. Any increase of the number of authorized shares of common stock or preferred stock would require board and shareholder approval and subsequent amendment to our certificate of incorporation.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Distribution of Alcoholic Beverages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for our products may be adversely affected by many factors, including changes in consumer preferences and trends.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Consumer preferences may shift due to a variety of factors including changes in demographic and social trends, public health initiatives, product innovations, changes in vacation or leisure activity patterns and a downturn in economic conditions, which may reduce consumers’ willingness to purchase distilled spirits or cause a shift in consumer preferences away from ginger beer based cocktails toward beer, wine or non-alcoholic beverages. Our success depends in part on fulfilling available opportunities to meet consumer needs and anticipating changes in consumer preferences with successful new products and product innovations. The competitive position of our brands could also be affected adversely by any failure to achieve consistent, reliable quality in the product or in service levels to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our industry and many factors may prevent us from competing successfully.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compete based on product taste and quality, brand image, price, service and ability to innovate in response to consumer preferences. The global spirits industry is highly competitive and is dominated by several large, well-funded international companies. It is possible that our competitors may either respond to industry conditions or consumer trends more rapidly or effectively or resort to price competition to sustain market share, which could adversely affect our sales and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public opinion about alcohol could reduce demand for our 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Anti-alcohol groups have, in the past, advocated successfully for more stringent labeling requirements, higher taxes and other regulations designed to discourage alcohol consumption. More restrictive regulations, negative publicity regarding alcohol consumption and/or changes in consumer perceptions of the relative healthfulness or safety of beverage alcohol could decrease sales and consumption of alcohol and thus the demand for our products. This could, in turn, significantly decrease both our revenues and our revenue growth, causing a decline in our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Class action or other litigation relating to alcohol abuse, or the misuse of alcohol could adversely affect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Companies in the beverage alcohol industry are, from time to time, exposed to class action or other litigation relating to alcohol advertising, product liability, alcohol abuse problems or health consequences from the misuse of alcohol. It is also possible that governments could assert that the use of alcohol has significantly increased government funded health care costs. Litigation or assertions of this type have adversely affected companies in the tobacco industry, and it is possible that we, as well as our suppliers, could be named in litigation of this type.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lawsuits have been brought in a number of states alleging that beverage alcohol manufacturers and marketers have improperly targeted underage consumers in their advertising. Plaintiffs in these cases allege that the defendants’ advertisements, marketing and promotions violate the consumer protection or deceptive trade practices statutes in each of these states and seek repayment of the family funds expended by the underage consumers. While we have not been named in these lawsuits, we could be named in similar lawsuits in the future. Any class action or other litigation asserted against us could be expensive and time-consuming to defend against, depleting our cash and diverting our personnel resources and, if the plaintiffs in such actions were to prevail, our business could be harmed significantly.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decisions and legal, regulatory and tax changes could limit our business activities, increase our operating costs and reduce our margins.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subject to extensive regulation in all of the countries in which we operate. This may include regulations regarding production, distribution, marketing, advertising and labeling of beverage alcohol products. We are required to comply with these regulations and to maintain various permits and licenses. We are also required to conduct business only with holders of licenses to import, warehouse, transport, distribute and sell beverage alcohol products. We cannot assure you that these and other governmental regulations applicable to our industry will not change or become more stringent. Moreover, because these laws and regulations are subject to interpretation, we may not be able to predict when and to what extent liability may arise. Additionally, due to increasing public concern over alcohol-related societal problems, including driving while intoxicated, underage drinking, alcoholism and health consequences from the abuse of alcohol, various levels of government may seek to impose additional restrictions or limits on advertising or other marketing activities promoting beverage alcohol products. Failure to comply with any of the current or future regulations and requirements relating to our industry and products could result in monetary penalties, suspension or even revocation of our licenses and permits. Costs of compliance with changes in regulations could be significant and could harm our business, as we could find it necessary to raise our prices to maintain profit margins, which could lower the demand for our products and reduce our sales and profit potential.</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the distribution of beverage alcohol products is subject to extensive taxation both in the U.S. and internationally (and, in the U.S., at both the federal and state government levels), and beverage alcohol products themselves are the subject of national import and excise duties in most countries around the world. An increase in taxation or in import or excise duties could also significantly harm our sales revenue and margins, both through the reduction of overall consumption and by encouraging consumers to switch to lower-taxed categories of beverage alcohol.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achieve our objectives for our business, the value of an investment in our Company could be negatively affected.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be successful, we believe that we must, among other things: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volume for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find savings in our cost of goods (co-packer fees, packaging and ingredients);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number of co-packers for our core and innovation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recruit and retain top talent;</w:t>
      </w:r>
    </w:p>
    <w:p>
      <w:pPr>
        <w:spacing w:after="0" w:line="225" w:lineRule="exact"/>
        <w:rPr>
          <w:rFonts w:ascii="Times New Roman" w:cs="Times New Roman" w:eastAsia="Times New Roman" w:hAnsi="Times New Roman"/>
          <w:sz w:val="18"/>
          <w:szCs w:val="18"/>
          <w:color w:val="auto"/>
        </w:rPr>
      </w:pPr>
    </w:p>
    <w:p>
      <w:pPr>
        <w:ind w:left="5540" w:right="2660" w:hanging="5208"/>
        <w:spacing w:after="0" w:line="532" w:lineRule="auto"/>
        <w:tabs>
          <w:tab w:leader="none" w:pos="6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awareness through our brand pull campaigns, and trial and repeat purchase of our core brands;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SKU placement on shelf, and open new outlets of retail distribution through our investment in sales resources, partnerships and trade marketing support;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operating expenses to sufficiently support operating activities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significant increases in variable costs relating to production, marketing and distribution.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able to meet these objectives, which could have a material adverse effect on our results of operations. We have incurred significant operating expenses in the past and may do so again in the future and, as a result, will need to increase revenues in order to improve our results of operations. Our ability to increase sales volume will depend primarily on success in marketing initiatives with industry brokers, improving our distribution base with DSD companies, introducing new no sugar brands, and focusing on the existing core brands in the market. Our ability to successfully enter new distribution areas and obtain national accounts will, in turn, depend on various factors, many of which are beyond our control, including, but not limited to, the continued demand for our brands and products in target markets, the ability to price our products at competitive levels, the ability to establish and maintain relationships with distributors in each geographic area of distribution and the ability in the future to create, develop and successfully introduce one or more new brands, products, and product extensions.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include provisions that:</w:t>
      </w:r>
    </w:p>
    <w:p>
      <w:pPr>
        <w:spacing w:after="0" w:line="207"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upon the request of a majority of our board of directors or our Chief Executive Officer;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and may discourage, delay or prevent a transaction involving a change of control of our Company that is in the best interest of our minority stockholders. Even in the absence of a takeover attempt, the existence of these provisions may adversely affect the prevailing market price of our common stock if they are viewed as discouraging future takeover attempts.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89" w:lineRule="exact"/>
        <w:rPr>
          <w:sz w:val="20"/>
          <w:szCs w:val="20"/>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both"/>
        <w:ind w:left="98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existence of this provision may have an anti-takeover effect with respect to transactions the Company’s board of directors does not approve in advance.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may also discourage attempts that might result in a premium over the market price for the shares of Common Stock held by stockholders.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of Delaware law and the Certificate of Incorporation could have the effect of discouraging others from attempting hostile takeovers and, as a consequence, they may also inhibit temporary fluctuations in the market price of the Company’s common stock that often result from actual or rumored hostile takeover attempts. These provisions may also have the effect of preventing changes in the Company’s management.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Collectively, members of our board of directors and our executive officers hold approximately 11.2% of the Company’s outstanding common stock, beneficially own approximately 26.7% of our common stock and may greatly influence the outcome of all matters on which stockholders vote.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Collectively, members of our board of directors and our executive officers hold approximately 11.2% of our outstanding common stock and beneficially own approximately 26.7% of our common stock. Members of our board of directors and our executive officers may influence the outcome of certain matters on which stockholders vote. (Beneficial ownership is calculated pursuant to Section 13d-3 of the Securities Exchange Act of 1934, as amended, and includes shares underlying derivative securities which may be exercised or converted within 60 days.)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or industry analysts downgrade our shares, publish negative research or reports, or do not publish reports about our business, our share price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our business and our industry. If one or more analysts adversely change their recommendation regarding our shares or our competitors’ stock, our share price would likely decline. If one or more analysts cease coverage of us or fail to regularly publish reports on us, we could lose visibility in the financial markets, which in turn could cause our share price or trading volume to decline. As a result, the market price for our common stock may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the ability to issue additional shares of our common stock and shares of preferred stock without asking for stockholder approval, which could cause your investment to be diluted.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Articles of Incorporation authorize the Board of Directors to issue up to 180,000,000 shares of common stock and up to 500,000 shares of preferred stock. The power of the Board of Directors to issue shares of common stock, preferred stock or warrants or options to purchase shares of common stock or preferred stock is generally not subject to stockholder approval. Accordingly, any additional issuance of our common stock, or preferred stock that may be convertible into common stock, may have the effect of diluting your investment, and the new securities may have rights, preferences and privileges senior to those of our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sales of our stock may impact the market price of our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sales of substantial amounts of our common stock, including shares that we may issue upon exercise of options and warrants, could adversely affect the market price of our common stock. Further, if we raise additional funds through the issuance of common stock or securities convertible into or exercisable for common stock, the percentage ownership of our stockholders will be reduced, and the price of our common stock may fall.</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thinly traded, and investors may be unable to sell some or all of their shares at the price they would like, or at all, and sales of large blocks of shares may depress the price of our common stock.</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common stock has historically been sporadically or “thinly-traded,” meaning that the number of persons interested in purchasing shares of our common stock at prevailing prices at any given time may be relatively small or nonexistent. As a consequence, there may be periods of several days or more when trading activity in shares of our common stock is minimal or non-existent, as compared to a seasoned issuer that has a large and steady volume of trading activity that will generally support continuous sales without an adverse effect on share price. This could lead to wide fluctuations in our share price. Investors may be unable to sell their common stock at or above their purchase price, which may result in substantial losses. Also, as a consequence of this lack of liquidity, the trading of relatively small quantities of shares by our stockholders may disproportionately influence the price of shares of our common stock in either direction. The price of shares of our common stock could, for example, decline precipitously in the event a large number of shares of our common shares are sold on the market without commensurate demand, as compared to a seasoned issuer that could better absorb those sales without adverse impact on its share price.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any cash dividends on our shares of common stock in the near future, so our shareholders will not be able to receive a return on their shares unless they sell their shares.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retain any future earnings to finance the development and expansion of our business. We do not anticipate paying any cash dividends on our common stock in the foreseeable future. There is no assurance that future dividends will be paid, and if dividends are paid, there is no assurance with respect to the amount of any such dividend. Unless we pay dividends, our shareholders will not be able to receive a return on their shares unless they sell such shares.</w:t>
      </w:r>
    </w:p>
    <w:p>
      <w:pPr>
        <w:spacing w:after="0" w:line="17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Related to Environmental and Social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Water scarcity and poor quality could negatively impact our costs and capacity.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Water is a main ingredient in substantially all of our products, is vital to the production of the agricultural ingredients on which our business relies and is needed in our manufacturing process. It also is critical to the prosperity of the communities we serve and the ecosystems in which we operate. Water is a limited resource in many parts of the world, facing unprecedented challenges from overexploitation, increasing demand for food and other consumer and industrial products whose manufacturing processes require water, increasing pollution and emerging awareness of potential contaminants, poor management, lack of physical or financial access to water, sociopolitical tensions due to lack of public infrastructure in certain areas of the world and the effects of climate change. As the demand for water continues to increase around the world, and as water becomes scarcer and the quality of available water deteriorates, we may incur higher costs or face capacity constraints, which could adversely affect our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demand for food products and decreased agricultural productivity may negatively affect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manufacture of our beverage products, we and our bottling partners use a number of key ingredients that are derived from agricultural commodities; decreased agricultural productivity in certain regions of the world as a result of changing weather patterns; increased agricultural regulations; and other factors have in the past, and may in the future, limit the availability and/or increase the cost of such agricultural commodities and could impact the food security of communities around the world.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legal or regulatory responses thereto may have a long-term adverse impact on our business and results of operations.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is increasing concern that a gradual increase in global average temperatures due to increased concentration of carbon dioxide and other greenhouse gases in the atmosphere will cause significant changes in weather patterns around the globe and an increase in the frequency and severity of natural disasters. Decreased agricultural productivity in certain regions of the world as a result of changing weather patterns may limit the availability or increase the cost of key agricultural commodities, which are important sources of ingredients for our products, and could impact the food security of communities around the world. Climate change may also exacerbate water scarcity and cause a further deterioration of water quality in affected regions, which could limit water availability for our independent bottlers. Increased frequency or duration of extreme weather conditions could also impair production capabilities, disrupt our supply chain or impact demand for our products. Increasing concern over climate change also may result in additional legal or regulatory requirements designed to reduce or mitigate the effects of carbon dioxide and other greenhouse gas emissions on the environment. Increased energy or compliance costs and expenses due to increased legal or regulatory requirements may cause disruptions in, or an increase in the costs associated with, the manufacturing and distribution of our beverage products. The effects of climate change and legal or regulatory initiatives to address climate change could have a long-term adverse impact on our business and results of operations. .</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weather conditions could reduce the demand for our products.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sales of our products are influenced to some extent by weather conditions in the markets in which we operate. Unusually cold or rainy weather during the summer months may have a temporary effect on the demand for our products and contribute to lower sales, which could have an adverse effect on our results of operations for such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8,620 square feet of office space in Norwalk, Connecticut, which serves as our principal executive offices. The lease commenced September 1, 2018 and continues in effect for a period of 5.5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ordinary, routine litigation incidental to our business. Our management evaluates our exposure to these claims and proceedings individually and in the aggregate and provides for potential losses on such litigation if the amount of the loss is estimable and the loss is probable.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not party to any material pending legal proceedings (including environmental proceedings), other than ordinary, routine litigation incidental to the business at the current time. Although the results of such litigation matters and claims cannot be predicted with certainty, we believe that the final outcome of ordinary, routine litigation will not have a material adverse impact on our financial position, liquidity,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Common Equity and Related Stockholder Matters and Issuer Purchases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voluntarily withdrew the principal listing of our common stock, par value $0.0001 per share from the NYSE American, LLC and transferred the listing to The Nasdaq Stock Market, LLC. The listing and trading of our common stock on the NYSE American, LLC ended at market close on May 9, 2019 and that trading began on the Nasdaq Capital Market at market open on May 10, 2019 under the stock symbol “REED”.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21, 2021, our shareholders approved an increase in the number of authorized shares of common stock from 120 million to 180 million. As of March 25, 2022, there were approximately 170 holders of record of the common stock (including only non-objecting beneficial owners of record) and 112,440,142 outstanding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no expectation to pay cash dividends to holders of our common stock in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that have not been previously disclosed in a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SEC’s Regulation S-K Compliance and Disclosure Interpretation 106.01, the information required by this Item pursuant to Item 201(d) of Regulation S-K relating to securities authorized for issuance under the Corporation’s equity compensation plans is located in Item 12 of Part III of this Annual Report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the related notes appearing elsewhere in this Annual Report. This discussion and analysis may contain forward-looking statements based on assumptions about our future business. Our actual results could differ materially from those anticipated in these forward-looking statements as a result of certain factors, including but not limited to those set forth under “Risk Factors” and elsewhere in this Annual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presented in the discussion below are in thousands, except share and per share amounts.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expanded its retail footprint outside of grocery and natural channels that historically represent the majority of our products sold. The Company continued to expand growth in its 12-ounce can product line led by Ginger Ale and Ginger Beer growth, fully utilizing its expanded network of co-packers to support this growth. In addition to our traditional sales channels, the Company is utilizing its ecommerce platform that includes their branded web sites and Amazon to offer its line of shots, ginger candy and drinks packaged in cans.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public equity offering which closed during the year ended December 31, 2021, provided the Company with funds for working capital and general corporate purposes. These funds enabled us to initiate the implementation of our 2021 strategy that included driving growth while strategically reducing operating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remains focused on driving sales growth and improving margin. The sales growth focus is on channel expansion, new product introduction and improved sales execution. The margin enhancement initiative is driven by co-packer upgrades, better leveraged purchasing and improved efficiency. Underpinning these initiatives is a focus on strategically reducing operating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Considerations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COVID-19 pandemic has impacted our operating results and the Company anticipates a continued impact for the balance of the year. In addition, the pandemic may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December 31, 2021, the Company has experienced higher transportation expenses as the capacity in the freight market has not kept up with demand. The Company believes that costs will continue to increase throughout the year. In addition, the Company experienced increases in the pricing of several of its raw materials and delays in procuring several of these items. However, mitigation plans are being implemented to manage this risk. Additionally, the Company was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and net income. The Company anticipates a continued impact throughout 2022.</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operate without significant incremental negative operational impact from the COVID-19 pandemic will in part depend on our ability to protect our employees and our supply chain. The Company has endeavored to follow the recommended actions of government and health authorities to protect our employees. Since the inception of the COVID-19 pandemic and through December 31, 2021,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year ended December 31, 2021, were up 19% from the prior year period. Through December 31, 2021, we continue to generate cash flows to meet our short-term liquidity needs, and we expect to maintain access to the capital markets. We have also not observed any material impairments of our assets or a significant change in the fair value of our assets due to the COVID-19 pandemic.</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on risk factors related to the pandemic or other risks that could impact our results, please refer to “Risk Factors” in Part I, Item 1A of this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 Year Ended December 31, 2021</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8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sets forth key statistics for the years ended December 31, 2021 and 2020, in thousands:</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5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8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Pct.</w:t>
            </w:r>
          </w:p>
        </w:tc>
      </w:tr>
      <w:tr>
        <w:trPr>
          <w:trHeight w:val="236"/>
        </w:trPr>
        <w:tc>
          <w:tcPr>
            <w:tcW w:w="53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Change</w:t>
            </w:r>
          </w:p>
        </w:tc>
        <w:tc>
          <w:tcPr>
            <w:tcW w:w="160" w:type="dxa"/>
            <w:vAlign w:val="bottom"/>
            <w:tcBorders>
              <w:bottom w:val="single" w:sz="8" w:color="CCEEFF"/>
            </w:tcBorders>
          </w:tcPr>
          <w:p>
            <w:pPr>
              <w:spacing w:after="0"/>
              <w:rPr>
                <w:sz w:val="20"/>
                <w:szCs w:val="20"/>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billing (A)</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54,658</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46,801</w:t>
            </w:r>
          </w:p>
        </w:tc>
        <w:tc>
          <w:tcPr>
            <w:tcW w:w="3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3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Promotional and other allowances (B)</w:t>
            </w:r>
          </w:p>
        </w:tc>
        <w:tc>
          <w:tcPr>
            <w:tcW w:w="380" w:type="dxa"/>
            <w:vAlign w:val="bottom"/>
          </w:tcPr>
          <w:p>
            <w:pPr>
              <w:spacing w:after="0"/>
              <w:rPr>
                <w:sz w:val="20"/>
                <w:szCs w:val="20"/>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5,059</w:t>
            </w:r>
          </w:p>
        </w:tc>
        <w:tc>
          <w:tcPr>
            <w:tcW w:w="8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5,186</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49,599</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41,615</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36,001</w:t>
            </w:r>
          </w:p>
        </w:tc>
        <w:tc>
          <w:tcPr>
            <w:tcW w:w="8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28,849</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Gross billing</w:t>
            </w:r>
          </w:p>
        </w:tc>
        <w:tc>
          <w:tcPr>
            <w:tcW w:w="3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66%</w:t>
            </w:r>
          </w:p>
        </w:tc>
        <w:tc>
          <w:tcPr>
            <w:tcW w:w="8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62%</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9"/>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3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73%</w:t>
            </w:r>
          </w:p>
        </w:tc>
        <w:tc>
          <w:tcPr>
            <w:tcW w:w="8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69%</w:t>
            </w:r>
          </w:p>
        </w:tc>
        <w:tc>
          <w:tcPr>
            <w:tcW w:w="1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0"/>
        </w:trPr>
        <w:tc>
          <w:tcPr>
            <w:tcW w:w="530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13,598</w:t>
            </w:r>
          </w:p>
        </w:tc>
        <w:tc>
          <w:tcPr>
            <w:tcW w:w="38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12,766</w:t>
            </w:r>
          </w:p>
        </w:tc>
        <w:tc>
          <w:tcPr>
            <w:tcW w:w="380" w:type="dxa"/>
            <w:vAlign w:val="bottom"/>
            <w:tcBorders>
              <w:top w:val="single" w:sz="8" w:color="CCEEFF"/>
              <w:bottom w:val="single" w:sz="8" w:color="CCEEFF"/>
            </w:tcBorders>
          </w:tcPr>
          <w:p>
            <w:pPr>
              <w:spacing w:after="0"/>
              <w:rPr>
                <w:sz w:val="18"/>
                <w:szCs w:val="18"/>
                <w:color w:val="auto"/>
              </w:rPr>
            </w:pPr>
          </w:p>
        </w:tc>
        <w:tc>
          <w:tcPr>
            <w:tcW w:w="184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27%</w:t>
            </w:r>
          </w:p>
        </w:tc>
        <w:tc>
          <w:tcPr>
            <w:tcW w:w="8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31%</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Delivery and handling</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11,939</w:t>
            </w:r>
          </w:p>
        </w:tc>
        <w:tc>
          <w:tcPr>
            <w:tcW w:w="80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6,856</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24%</w:t>
            </w:r>
          </w:p>
        </w:tc>
        <w:tc>
          <w:tcPr>
            <w:tcW w:w="8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16%</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Dollar per case ($)</w:t>
            </w:r>
          </w:p>
        </w:tc>
        <w:tc>
          <w:tcPr>
            <w:tcW w:w="38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i w:val="1"/>
                <w:iCs w:val="1"/>
                <w:color w:val="auto"/>
              </w:rPr>
              <w:t>3.95</w:t>
            </w:r>
          </w:p>
        </w:tc>
        <w:tc>
          <w:tcPr>
            <w:tcW w:w="8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i w:val="1"/>
                <w:iCs w:val="1"/>
                <w:color w:val="auto"/>
              </w:rPr>
              <w:t>2.76</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9,665</w:t>
            </w:r>
          </w:p>
        </w:tc>
        <w:tc>
          <w:tcPr>
            <w:tcW w:w="8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7,503</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3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19%</w:t>
            </w:r>
          </w:p>
        </w:tc>
        <w:tc>
          <w:tcPr>
            <w:tcW w:w="8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i w:val="1"/>
                <w:iCs w:val="1"/>
                <w:color w:val="auto"/>
              </w:rPr>
              <w:t>18%</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7,965</w:t>
            </w:r>
          </w:p>
        </w:tc>
        <w:tc>
          <w:tcPr>
            <w:tcW w:w="8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7,023</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38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29,569</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(15,971)</w:t>
            </w:r>
          </w:p>
        </w:tc>
        <w:tc>
          <w:tcPr>
            <w:tcW w:w="80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(8,616)</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other expense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(431)</w:t>
            </w:r>
          </w:p>
        </w:tc>
        <w:tc>
          <w:tcPr>
            <w:tcW w:w="80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(1,561)</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3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(16,402)</w:t>
            </w:r>
          </w:p>
        </w:tc>
        <w:tc>
          <w:tcPr>
            <w:tcW w:w="80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(10,177)</w:t>
            </w:r>
          </w:p>
        </w:tc>
        <w:tc>
          <w:tcPr>
            <w:tcW w:w="184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15"/>
                <w:szCs w:val="15"/>
                <w:color w:val="auto"/>
              </w:rPr>
              <w:t>61</w:t>
            </w:r>
            <w:r>
              <w:rPr>
                <w:rFonts w:ascii="Times New Roman" w:cs="Times New Roman" w:eastAsia="Times New Roman" w:hAnsi="Times New Roman"/>
                <w:sz w:val="28"/>
                <w:szCs w:val="28"/>
                <w:color w:val="auto"/>
                <w:vertAlign w:val="superscript"/>
              </w:rPr>
              <w:t>%</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6"/>
        </w:trPr>
        <w:tc>
          <w:tcPr>
            <w:tcW w:w="5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 basic and diluted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(0.18)</w:t>
            </w:r>
          </w:p>
        </w:tc>
        <w:tc>
          <w:tcPr>
            <w:tcW w:w="80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(0.17)</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3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&amp; diluted</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91,234,406</w:t>
            </w:r>
          </w:p>
        </w:tc>
        <w:tc>
          <w:tcPr>
            <w:tcW w:w="8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60,644,842</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bl>
    <w:p>
      <w:pPr>
        <w:spacing w:after="0" w:line="196" w:lineRule="exact"/>
        <w:rPr>
          <w:sz w:val="20"/>
          <w:szCs w:val="20"/>
          <w:color w:val="auto"/>
        </w:rPr>
      </w:pPr>
    </w:p>
    <w:p>
      <w:pPr>
        <w:jc w:val="both"/>
        <w:ind w:firstLine="8"/>
        <w:spacing w:after="0" w:line="258" w:lineRule="auto"/>
        <w:tabs>
          <w:tab w:leader="none" w:pos="283"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i w:val="1"/>
          <w:iCs w:val="1"/>
          <w:color w:val="auto"/>
        </w:rPr>
      </w:pPr>
    </w:p>
    <w:p>
      <w:pPr>
        <w:jc w:val="both"/>
        <w:ind w:firstLine="8"/>
        <w:spacing w:after="0" w:line="252" w:lineRule="auto"/>
        <w:tabs>
          <w:tab w:leader="none" w:pos="30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Sales, Cost of Sales, and Gross Margins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sets forth key statistics for the transition of the Company’s top line activity through the years ended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Per Case</w:t>
            </w:r>
          </w:p>
        </w:tc>
        <w:tc>
          <w:tcPr>
            <w:tcW w:w="14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Per Case</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Pr>
          <w:p>
            <w:pPr>
              <w:spacing w:after="0"/>
              <w:rPr>
                <w:sz w:val="21"/>
                <w:szCs w:val="21"/>
                <w:color w:val="auto"/>
              </w:rPr>
            </w:pPr>
          </w:p>
        </w:tc>
        <w:tc>
          <w:tcPr>
            <w:tcW w:w="13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vs PY</w:t>
            </w:r>
          </w:p>
        </w:tc>
        <w:tc>
          <w:tcPr>
            <w:tcW w:w="120" w:type="dxa"/>
            <w:vAlign w:val="bottom"/>
          </w:tcPr>
          <w:p>
            <w:pPr>
              <w:spacing w:after="0"/>
              <w:rPr>
                <w:sz w:val="21"/>
                <w:szCs w:val="21"/>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Pr>
          <w:p>
            <w:pPr>
              <w:spacing w:after="0"/>
              <w:rPr>
                <w:sz w:val="21"/>
                <w:szCs w:val="21"/>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vs PY</w:t>
            </w:r>
          </w:p>
        </w:tc>
        <w:tc>
          <w:tcPr>
            <w:tcW w:w="0" w:type="dxa"/>
            <w:vAlign w:val="bottom"/>
          </w:tcPr>
          <w:p>
            <w:pPr>
              <w:spacing w:after="0"/>
              <w:rPr>
                <w:sz w:val="1"/>
                <w:szCs w:val="1"/>
                <w:color w:val="auto"/>
              </w:rPr>
            </w:pPr>
          </w:p>
        </w:tc>
      </w:tr>
      <w:tr>
        <w:trPr>
          <w:trHeight w:val="216"/>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Cases:</w:t>
            </w: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Reed’s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1,254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Virgil’s</w:t>
            </w: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1,204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Core</w:t>
            </w: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2,993</w:t>
            </w:r>
          </w:p>
        </w:tc>
        <w:tc>
          <w:tcPr>
            <w:tcW w:w="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2,458</w:t>
            </w:r>
          </w:p>
        </w:tc>
        <w:tc>
          <w:tcPr>
            <w:tcW w:w="380" w:type="dxa"/>
            <w:vAlign w:val="bottom"/>
            <w:vMerge w:val="continue"/>
          </w:tcPr>
          <w:p>
            <w:pPr>
              <w:spacing w:after="0"/>
              <w:rPr>
                <w:sz w:val="17"/>
                <w:szCs w:val="17"/>
                <w:color w:val="auto"/>
              </w:rPr>
            </w:pPr>
          </w:p>
        </w:tc>
        <w:tc>
          <w:tcPr>
            <w:tcW w:w="1380" w:type="dxa"/>
            <w:vAlign w:val="bottom"/>
            <w:gridSpan w:val="2"/>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Core</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Candy</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3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3,023</w:t>
            </w:r>
          </w:p>
        </w:tc>
        <w:tc>
          <w:tcPr>
            <w:tcW w:w="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2,486</w:t>
            </w:r>
          </w:p>
        </w:tc>
        <w:tc>
          <w:tcPr>
            <w:tcW w:w="38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Billing:</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53,263</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45,324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18.4</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Core</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556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181.0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278.0</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Candy</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921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35.4</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3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54,658</w:t>
            </w:r>
          </w:p>
        </w:tc>
        <w:tc>
          <w:tcPr>
            <w:tcW w:w="2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46,801</w:t>
            </w:r>
          </w:p>
        </w:tc>
        <w:tc>
          <w:tcPr>
            <w:tcW w:w="38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34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w w:val="96"/>
              </w:rPr>
              <w:t>-4%</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Discounts: Total</w:t>
            </w:r>
          </w:p>
        </w:tc>
        <w:tc>
          <w:tcPr>
            <w:tcW w:w="11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(5,059)</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(5,186)</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COGS: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Core</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(34,804)</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(28,139)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Core</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(55.0)</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Candy</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(23.1)</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23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vMerge w:val="restart"/>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(36,001)</w:t>
            </w:r>
          </w:p>
        </w:tc>
        <w:tc>
          <w:tcPr>
            <w:tcW w:w="2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(28,849)</w:t>
            </w:r>
          </w:p>
        </w:tc>
        <w:tc>
          <w:tcPr>
            <w:tcW w:w="38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1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13,598</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12,766</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8"/>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as % Net Sales</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Cost of Sales, and Gross Margins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 beverage volume for the year ended December 31, 2021, represents 99% of all beverage volume.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Core brand gross billing increased by 18% to $53,263 compared to the same period last year, driven by Reed’s volume growth of 28% and Virgil’s volume growth of 15%. The result is an increase in total gross billing of 17%, to $54,658 in the year ended December 31, 2021, from $46,801 during the year ended December 31, 2020. Price on our core brands decreased 3% to $17.80 per case due to a shift in mix to lower priced, higher margin products.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Discounts as a percentage of gross billing decreased to 9% from 11% in the same period last year. As a result, net sales revenue grew 19% in the year ended December 31, 2021, to $49,599, compared to $41,615 in the same period last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goods sold increased $7,152 during the year ended December 31, 2021, as compared to the same period last year. As a percentage of net sales, cost of goods sold for the year ended December 31, 2021, was 73% as compared to 69% for the same period last year.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cost of goods per case increased to $11.91 per case in the year ended December 31, 2021, from $11.60 per case for the same period last year. The cost of goods sold per case on core brands was $11.63 during the year ended December 31, 2021, compared to $11.45 for the same period last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margin was 27% for the year ended December 31, 2021, compared to 31% for the same period last 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 and Handling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Delivery and handling expenses consist of delivery costs to customers and warehousing costs incurred for handling our finished goods after production. Delivery and handling expenses increased by $5,083 in the years ended December 31, 2021, to $11,939 from $6,856 in the same period last year, driven by increased volumes, ecommerce fulfilment costs, and increasing freight rates due to market conditions. Delivery costs in the year ended December 31, 2021, were 24% of net sales and $3.95 per case, compared to 16% of net sales and $2.76 per case during the same period last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Marketing expenses consist of direct marketing, marketing labor, and marketing support costs. Selling expenses consist of all other selling-related expenses including personnel and contractor support. Total selling and marketing expenses increased $2,162 to $9,665 during the year ended December 31, 2021, compared to $7,503 during the same period last year. As a percentage of net sales, selling and marketing costs increased to 19% during the year ended December 31, 2021, as compared to 18% during the same period last year. The increase was driven by staffing costs, stock compensation, and distributor buyout.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 of executive, administrative, operations and finance personnel, as well as professional fees. General and administrative expenses increased in the year ended December 31, 2021, to $7,965 from $7,023 an increase of $942 over the same period last year. The increase was driven by higher legal settlements, liquor licensing fees, loss on sale of assets, recycling fees, postage, public company costs, travel expenses, depreciation, and bad debt, partially offset by lower stock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Loss from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loss from operations was $15,971 for the year ended December 31, 2021, as compared to a loss of $8,616 in the same period last year driven by increased gross profit offset by increases in operating expenses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and Other Income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other income for the year ended December 31, 2021, consisted of $1,201 of interest expense offset by $770 gain on forgiveness of debt. During the same period last year, interest and other expense consisted of $1,307 of interest expense, loss on extinguishment of debt of $262, offset by the change in fair value of our warrant liability of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Modified EBITDA</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Set forth below is a reconciliation of net loss to Modified EBITDA for the year ended December 31, 2021 and 2020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(16,402)</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(10,177)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Modified EBITDA adjustments:</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and other noncash compensation</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(770)</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and severance costs</w:t>
            </w:r>
          </w:p>
        </w:tc>
        <w:tc>
          <w:tcPr>
            <w:tcW w:w="1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rPr>
              <w:t>Total EBITDA adjustments</w:t>
            </w:r>
          </w:p>
        </w:tc>
        <w:tc>
          <w:tcPr>
            <w:tcW w:w="1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2,893</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3,362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Modified EBITDA</w:t>
            </w:r>
          </w:p>
        </w:tc>
        <w:tc>
          <w:tcPr>
            <w:tcW w:w="2100" w:type="dxa"/>
            <w:vAlign w:val="bottom"/>
            <w:gridSpan w:val="2"/>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(13,509)</w:t>
            </w:r>
          </w:p>
        </w:tc>
        <w:tc>
          <w:tcPr>
            <w:tcW w:w="96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3"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our cash expenditures, or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future interest expense, or the cash requirements necessary to service interest or principal payments, on our debts;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under the assumption that the Company will continue as a going concern for one year from the date these financial statements are issued. Such assumption contemplates the realization of assets and satisfaction of liabilities in the normal course of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the Company recorded a net loss of $16,402 and used cash in operations of $17,589. These conditions raise substantial doubt regarding our ability to continue as a going concern for a period of at least one year from the date of issuance of these financial statements. In addition the Company’s independent registered public accounting firm, in their report on the Company’s December 31, 2021, audited financial statements, raised substantial doubt about the Company’s ability to continue as a going concern.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2021, the Company conducted public offerings and sold 6.7 million of its common shares and received net proceeds of $7,327.</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10, 2022, the Company entered into a Securities Purchase Agreement (“Purchase Agreement”) with certain institutional and accredited investors (the “Purchasers”) pursuant to which the Purchasers agreed to purchase, and the Company agreed to issue and sell to the Purchasers in a private placement, an aggregate of 18,594,571 shares (“Shares”) of the Company’s common stock, $0.0001 par value (“Common Stock”), and warrants (“Warrants”) to purchase an aggregate of 9,297,289 shares of Common Stock (the “Private Placement”). The purchase price per share of common stock and associated warrant was $0.28 for the investors (other than officers and directors of the Company) and $0.3502 for the officers and directors of the Company in compliance with the rules of the Nasdaq Stock Market. Each whole warrant entitles the holder to purchase one share of common stock at an exercise price of $0.2877 per share. The warrants are exercisable at a per share exercise price of $0.2877 for a period of five years commencing six months from the closing date. Officers and directors of the Company purchased approximately $1.1 million of the securities in the offering. The gross proceeds to the Company, after deducting placement agent fees and other offering expenses, are approximately $5.1 million.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Management is currently evaluating various funding alternatives and may seek to raise additional funds through the issuance of equity, mezzanine or debt securities, through arrangements with strategic partners or through obtaining credit from financial institutions. In addition, we have taken decisive action to improve our margins, including fully outsourcing our manufacturing process, streamlining our product portfolio, negotiating improved vendor contracts and restructuring our selling prices.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Use of Estimates and Assumptions. </w:t>
      </w:r>
      <w:r>
        <w:rPr>
          <w:rFonts w:ascii="Times New Roman" w:cs="Times New Roman" w:eastAsia="Times New Roman" w:hAnsi="Times New Roman"/>
          <w:sz w:val="18"/>
          <w:szCs w:val="18"/>
          <w:color w:val="auto"/>
        </w:rPr>
        <w:t>The preparation of financial statements in conformity with generally accepted accounting principles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receivables, assumptions used in valuing inventories at net realizable value, impairment testing of recorded long-term tangible and intangible assets, the valuation allowance for deferred tax assets, accruals for potential liabilities, assumptions made in valuing stock instruments issued for services, and assumptions used in valuing warrant liabilities, and assumptions used in the determination of the Company’s liquidity.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Accounts receivable are recorded at the invoiced amounts. The Company evaluates the collectability of its trade 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historical losses and an overall assessment of past due trade accounts receivable outstanding.</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Inventory is stated at the lower of cost or net realizable value. We regularly review our inventory quantities on hand and record a provision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excess and obsolete inventory based primarily on our estimated forecast of product demand and our ability to sell the product(s) concerned. Demand for our products can fluctuate significantly. Factors that could affect demand for our products include unanticipated changes in consumer preferences, general market conditions or other factors, which may result in cancellations of advance orders or a reduction in the rate of reorders placed by customers. Additionally, our management’s estimates of future product demand may be inaccurate, which could result in an understated or overstated provision required for excess and obsolete inventory.</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Revenue and costs of sales are recognized when control of the products transfers to our customer, which generally occurs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Stock Compensation Expense</w:t>
      </w:r>
      <w:r>
        <w:rPr>
          <w:rFonts w:ascii="Times New Roman" w:cs="Times New Roman" w:eastAsia="Times New Roman" w:hAnsi="Times New Roman"/>
          <w:sz w:val="18"/>
          <w:szCs w:val="18"/>
          <w:color w:val="auto"/>
        </w:rPr>
        <w:t>. The Company periodically issues stock options and restricted stock awards to employees and non-employees in non-capital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raising transactions for services and for financing costs. The Company accounts for such grants issued and vesting based on ASC 718, Compensation-Stock Compensation whereby the value of the award is measured on the date of grant and recognized as compensation expense on the straight-line basis over the vesting period. The Company recognizes the fair value of stock-based compensation within its Statements of Operations with classification depending on the nature of the services rendered.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of the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Reed’s is not required to provide the information required by this Item 7A.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8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tc>
        <w:tc>
          <w:tcPr>
            <w:tcW w:w="226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196"/>
        </w:trPr>
        <w:tc>
          <w:tcPr>
            <w:tcW w:w="898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 xml:space="preserve">Report of Independent Registered Public Accounting Firm </w:t>
              </w:r>
            </w:hyperlink>
            <w:r>
              <w:rPr>
                <w:rFonts w:ascii="Times New Roman" w:cs="Times New Roman" w:eastAsia="Times New Roman" w:hAnsi="Times New Roman"/>
                <w:sz w:val="18"/>
                <w:szCs w:val="18"/>
                <w:color w:val="000000"/>
              </w:rPr>
              <w:t>(PCAOB</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Firm ID: 572)</w:t>
            </w:r>
          </w:p>
        </w:tc>
        <w:tc>
          <w:tcPr>
            <w:tcW w:w="2260" w:type="dxa"/>
            <w:vAlign w:val="bottom"/>
            <w:shd w:val="clear" w:color="auto" w:fill="CCEEFF"/>
          </w:tcPr>
          <w:p>
            <w:pPr>
              <w:ind w:left="182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180" w:type="dxa"/>
            <w:vAlign w:val="bottom"/>
            <w:tcBorders>
              <w:top w:val="single" w:sz="8" w:color="0000EE"/>
            </w:tcBorders>
          </w:tcPr>
          <w:p>
            <w:pPr>
              <w:spacing w:after="0"/>
              <w:rPr>
                <w:sz w:val="18"/>
                <w:szCs w:val="18"/>
                <w:color w:val="auto"/>
              </w:rPr>
            </w:pPr>
          </w:p>
        </w:tc>
        <w:tc>
          <w:tcPr>
            <w:tcW w:w="410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r>
      <w:tr>
        <w:trPr>
          <w:trHeight w:val="216"/>
        </w:trPr>
        <w:tc>
          <w:tcPr>
            <w:tcW w:w="89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26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88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Balance Sheets as of December 31, 2021 and December 31, 2020</w:t>
              </w:r>
            </w:hyperlink>
          </w:p>
        </w:tc>
        <w:tc>
          <w:tcPr>
            <w:tcW w:w="2260" w:type="dxa"/>
            <w:vAlign w:val="bottom"/>
            <w:shd w:val="clear" w:color="auto" w:fill="CCEEFF"/>
          </w:tcPr>
          <w:p>
            <w:pPr>
              <w:ind w:left="182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6"/>
        </w:trPr>
        <w:tc>
          <w:tcPr>
            <w:tcW w:w="180" w:type="dxa"/>
            <w:vAlign w:val="bottom"/>
            <w:tcBorders>
              <w:top w:val="single" w:sz="8" w:color="CCEEFF"/>
            </w:tcBorders>
          </w:tcPr>
          <w:p>
            <w:pPr>
              <w:spacing w:after="0"/>
              <w:rPr>
                <w:sz w:val="18"/>
                <w:szCs w:val="18"/>
                <w:color w:val="auto"/>
              </w:rPr>
            </w:pPr>
          </w:p>
        </w:tc>
        <w:tc>
          <w:tcPr>
            <w:tcW w:w="41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88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Statements of Operations for the years ended December 31, 2021 and 2020</w:t>
              </w:r>
            </w:hyperlink>
          </w:p>
        </w:tc>
        <w:tc>
          <w:tcPr>
            <w:tcW w:w="2260" w:type="dxa"/>
            <w:vAlign w:val="bottom"/>
            <w:shd w:val="clear" w:color="auto" w:fill="CCEEFF"/>
          </w:tcPr>
          <w:p>
            <w:pPr>
              <w:ind w:left="182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180" w:type="dxa"/>
            <w:vAlign w:val="bottom"/>
            <w:tcBorders>
              <w:top w:val="single" w:sz="8" w:color="CCEEFF"/>
            </w:tcBorders>
          </w:tcPr>
          <w:p>
            <w:pPr>
              <w:spacing w:after="0"/>
              <w:rPr>
                <w:sz w:val="18"/>
                <w:szCs w:val="18"/>
                <w:color w:val="auto"/>
              </w:rPr>
            </w:pPr>
          </w:p>
        </w:tc>
        <w:tc>
          <w:tcPr>
            <w:tcW w:w="41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88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Statements of Changes in Stockholders’ Equity for the years ended December 31, 2021 and 2020</w:t>
              </w:r>
            </w:hyperlink>
          </w:p>
        </w:tc>
        <w:tc>
          <w:tcPr>
            <w:tcW w:w="2260" w:type="dxa"/>
            <w:vAlign w:val="bottom"/>
            <w:shd w:val="clear" w:color="auto" w:fill="CCEEFF"/>
          </w:tcPr>
          <w:p>
            <w:pPr>
              <w:ind w:left="182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180" w:type="dxa"/>
            <w:vAlign w:val="bottom"/>
            <w:tcBorders>
              <w:top w:val="single" w:sz="8" w:color="CCEEFF"/>
            </w:tcBorders>
          </w:tcPr>
          <w:p>
            <w:pPr>
              <w:spacing w:after="0"/>
              <w:rPr>
                <w:sz w:val="18"/>
                <w:szCs w:val="18"/>
                <w:color w:val="auto"/>
              </w:rPr>
            </w:pPr>
          </w:p>
        </w:tc>
        <w:tc>
          <w:tcPr>
            <w:tcW w:w="41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88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Statements of Cash Flows for the years ended December 31, 2021 and 2020</w:t>
              </w:r>
            </w:hyperlink>
          </w:p>
        </w:tc>
        <w:tc>
          <w:tcPr>
            <w:tcW w:w="2260" w:type="dxa"/>
            <w:vAlign w:val="bottom"/>
            <w:shd w:val="clear" w:color="auto" w:fill="CCEEFF"/>
          </w:tcPr>
          <w:p>
            <w:pPr>
              <w:ind w:left="182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180" w:type="dxa"/>
            <w:vAlign w:val="bottom"/>
            <w:tcBorders>
              <w:top w:val="single" w:sz="8" w:color="CCEEFF"/>
            </w:tcBorders>
          </w:tcPr>
          <w:p>
            <w:pPr>
              <w:spacing w:after="0"/>
              <w:rPr>
                <w:sz w:val="18"/>
                <w:szCs w:val="18"/>
                <w:color w:val="auto"/>
              </w:rPr>
            </w:pPr>
          </w:p>
        </w:tc>
        <w:tc>
          <w:tcPr>
            <w:tcW w:w="41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88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Notes to Financial Statements for the years ended December 31, 2021 and 2020</w:t>
              </w:r>
            </w:hyperlink>
          </w:p>
        </w:tc>
        <w:tc>
          <w:tcPr>
            <w:tcW w:w="2260" w:type="dxa"/>
            <w:vAlign w:val="bottom"/>
            <w:shd w:val="clear" w:color="auto" w:fill="CCEEFF"/>
          </w:tcPr>
          <w:p>
            <w:pPr>
              <w:ind w:left="182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439"/>
        </w:trPr>
        <w:tc>
          <w:tcPr>
            <w:tcW w:w="180" w:type="dxa"/>
            <w:vAlign w:val="bottom"/>
            <w:tcBorders>
              <w:top w:val="single" w:sz="8" w:color="CCEEFF"/>
              <w:bottom w:val="single" w:sz="8" w:color="auto"/>
            </w:tcBorders>
          </w:tcPr>
          <w:p>
            <w:pPr>
              <w:spacing w:after="0"/>
              <w:rPr>
                <w:sz w:val="24"/>
                <w:szCs w:val="24"/>
                <w:color w:val="auto"/>
              </w:rPr>
            </w:pPr>
          </w:p>
        </w:tc>
        <w:tc>
          <w:tcPr>
            <w:tcW w:w="410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1020" w:type="dxa"/>
            <w:vAlign w:val="bottom"/>
            <w:tcBorders>
              <w:top w:val="single" w:sz="8" w:color="0000EE"/>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color w:val="auto"/>
              </w:rPr>
              <w:t>F-1</w:t>
            </w:r>
          </w:p>
        </w:tc>
        <w:tc>
          <w:tcPr>
            <w:tcW w:w="3060" w:type="dxa"/>
            <w:vAlign w:val="bottom"/>
            <w:tcBorders>
              <w:top w:val="single" w:sz="8" w:color="CCEEFF"/>
              <w:bottom w:val="single" w:sz="8" w:color="auto"/>
            </w:tcBorders>
            <w:gridSpan w:val="2"/>
          </w:tcPr>
          <w:p>
            <w:pPr>
              <w:spacing w:after="0"/>
              <w:rPr>
                <w:sz w:val="24"/>
                <w:szCs w:val="24"/>
                <w:color w:val="auto"/>
              </w:rPr>
            </w:pPr>
          </w:p>
        </w:tc>
        <w:tc>
          <w:tcPr>
            <w:tcW w:w="22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1" w:name="page42"/>
    <w:bookmarkEnd w:id="41"/>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Reed’s,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Reed’s, Inc. (the “Company”) as of December 31, 2021 and 2020, the related statements of operations, changes in stockholders’ equity, and cash flows for the years then ended,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during the year ended December 31, 2021, the Company incurred a net loss and utilized cash in operations. These conditions raise substantial doubt about the Company’s ability to continue as a going concern. Management’s plans to alleviate these conditions are also described in Note 1.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Notes 2 and 3 to the financial statements, the Company’s inventories are valued at the lower of cost or net realizable value, determined on first-in, first-out (“FIFO”) basis. Management considers historical usage, forecasted demand in relation to inventory on hand, market conditions, and other factors when estimating net realizable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management’s estimation of the net realizable value of inventory as a critical audit matter, because of the significant judgments made by management in estimating future demand and market conditions which are used to arrive at the net realizable value. This required a high degree of auditor judgment and increased auditor effort in auditing such assumptions.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management’s process for estimating net realizable value.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reasonableness of management’s forecasted product demand and tested the completeness and accuracy of the underlying data used in the analyses and whether they were consistent with the historical data and evidence obtained in other areas of the audit.</w:t>
      </w:r>
    </w:p>
    <w:p>
      <w:pPr>
        <w:jc w:val="both"/>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product demand forecast for reasonableness considering historical sales by product, comparing prior period estimates to actual results of the same period, and considering trends within the industry that could impact the movement of the products provided by the Company.</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independent expectation of the net realizable value of inventory using historic inventory activity and compared our independent expectation to the amount recorded in the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/s/Weinberg &amp; Company, 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of $215 and $234, respectively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4,718</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from related party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11,119</w:t>
            </w:r>
          </w:p>
        </w:tc>
      </w:tr>
      <w:tr>
        <w:trPr>
          <w:trHeight w:val="24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1,341</w:t>
            </w:r>
          </w:p>
        </w:tc>
      </w:tr>
      <w:tr>
        <w:trPr>
          <w:trHeight w:val="203"/>
        </w:trPr>
        <w:tc>
          <w:tcPr>
            <w:tcW w:w="68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i w:val="1"/>
                <w:iCs w:val="1"/>
                <w:color w:val="auto"/>
              </w:rPr>
              <w:t>Total current assets</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24,705</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18,455</w:t>
            </w:r>
          </w:p>
        </w:tc>
        <w:tc>
          <w:tcPr>
            <w:tcW w:w="100" w:type="dxa"/>
            <w:vAlign w:val="bottom"/>
            <w:tcBorders>
              <w:top w:val="single" w:sz="8" w:color="CCEEFF"/>
            </w:tcBorders>
          </w:tcPr>
          <w:p>
            <w:pPr>
              <w:spacing w:after="0"/>
              <w:rPr>
                <w:sz w:val="17"/>
                <w:szCs w:val="17"/>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$561 and $361, respectively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held for sale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3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r>
      <w:tr>
        <w:trPr>
          <w:trHeight w:val="229"/>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10,434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6,746</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line of credit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Payable to related party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note payable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r>
      <w:tr>
        <w:trPr>
          <w:trHeight w:val="23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less current portion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less current portion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37"/>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22,118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9,653</w:t>
            </w:r>
          </w:p>
        </w:tc>
      </w:tr>
      <w:tr>
        <w:trPr>
          <w:trHeight w:val="216"/>
        </w:trPr>
        <w:tc>
          <w:tcPr>
            <w:tcW w:w="6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$10 par value, 500,000 shares authorized, 9,411 shares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r>
      <w:tr>
        <w:trPr>
          <w:trHeight w:val="198"/>
        </w:trPr>
        <w:tc>
          <w:tcPr>
            <w:tcW w:w="6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180,000,000 and 120,000,000 shares authorized,</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 93,733,975 and 86,317,096 shares issued and outstanding, respectively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107,237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97,031</w:t>
            </w:r>
          </w:p>
        </w:tc>
      </w:tr>
      <w:tr>
        <w:trPr>
          <w:trHeight w:val="24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(103,137)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(86,730)</w:t>
            </w:r>
          </w:p>
        </w:tc>
      </w:tr>
      <w:tr>
        <w:trPr>
          <w:trHeight w:val="210"/>
        </w:trPr>
        <w:tc>
          <w:tcPr>
            <w:tcW w:w="68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4,203</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10,404</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26,321</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20" w:type="dxa"/>
            <w:vAlign w:val="bottom"/>
            <w:gridSpan w:val="6"/>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518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41,615</w:t>
            </w:r>
          </w:p>
        </w:tc>
        <w:tc>
          <w:tcPr>
            <w:tcW w:w="100" w:type="dxa"/>
            <w:vAlign w:val="bottom"/>
            <w:shd w:val="clear" w:color="auto" w:fill="CCEEFF"/>
          </w:tcPr>
          <w:p>
            <w:pPr>
              <w:spacing w:after="0"/>
              <w:rPr>
                <w:sz w:val="18"/>
                <w:szCs w:val="18"/>
                <w:color w:val="auto"/>
              </w:rPr>
            </w:pPr>
          </w:p>
        </w:tc>
      </w:tr>
      <w:tr>
        <w:trPr>
          <w:trHeight w:val="23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36,001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28,849</w:t>
            </w:r>
          </w:p>
        </w:tc>
      </w:tr>
      <w:tr>
        <w:trPr>
          <w:trHeight w:val="223"/>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Delivery and handling expense</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6,856</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9,665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7,503</w:t>
            </w:r>
          </w:p>
        </w:tc>
      </w:tr>
      <w:tr>
        <w:trPr>
          <w:trHeight w:val="23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7,965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7,023</w:t>
            </w:r>
          </w:p>
        </w:tc>
      </w:tr>
      <w:tr>
        <w:trPr>
          <w:trHeight w:val="223"/>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(15,971)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(8,616)</w:t>
            </w:r>
          </w:p>
        </w:tc>
      </w:tr>
      <w:tr>
        <w:trPr>
          <w:trHeight w:val="216"/>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PPP note payable</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(1,307)</w:t>
            </w:r>
          </w:p>
        </w:tc>
      </w:tr>
      <w:tr>
        <w:trPr>
          <w:trHeight w:val="23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1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(10,177)</w:t>
            </w:r>
          </w:p>
        </w:tc>
      </w:tr>
      <w:tr>
        <w:trPr>
          <w:trHeight w:val="216"/>
        </w:trPr>
        <w:tc>
          <w:tcPr>
            <w:tcW w:w="5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 on Series A Convertible Preferred Stock</w:t>
            </w: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18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(16,407)</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(10,182)</w:t>
            </w:r>
          </w:p>
        </w:tc>
      </w:tr>
      <w:tr>
        <w:trPr>
          <w:trHeight w:val="196"/>
        </w:trPr>
        <w:tc>
          <w:tcPr>
            <w:tcW w:w="51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 basic and diluted</w:t>
            </w:r>
          </w:p>
        </w:tc>
        <w:tc>
          <w:tcPr>
            <w:tcW w:w="2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(0.18)</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(0.17)</w:t>
            </w:r>
          </w:p>
        </w:tc>
      </w:tr>
      <w:tr>
        <w:trPr>
          <w:trHeight w:val="197"/>
        </w:trPr>
        <w:tc>
          <w:tcPr>
            <w:tcW w:w="51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91,234,406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60,644,842</w:t>
            </w:r>
          </w:p>
        </w:tc>
      </w:tr>
      <w:tr>
        <w:trPr>
          <w:trHeight w:val="414"/>
        </w:trPr>
        <w:tc>
          <w:tcPr>
            <w:tcW w:w="9100" w:type="dxa"/>
            <w:vAlign w:val="bottom"/>
            <w:gridSpan w:val="5"/>
          </w:tcPr>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F-4</w:t>
            </w: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720" w:type="dxa"/>
            <w:vAlign w:val="bottom"/>
            <w:gridSpan w:val="3"/>
            <w:vMerge w:val="restart"/>
          </w:tcPr>
          <w:p>
            <w:pPr>
              <w:jc w:val="right"/>
              <w:ind w:right="74"/>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Preferred Stock</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Additional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28"/>
        </w:trPr>
        <w:tc>
          <w:tcPr>
            <w:tcW w:w="3340" w:type="dxa"/>
            <w:vAlign w:val="bottom"/>
          </w:tcPr>
          <w:p>
            <w:pPr>
              <w:spacing w:after="0"/>
              <w:rPr>
                <w:sz w:val="19"/>
                <w:szCs w:val="19"/>
                <w:color w:val="auto"/>
              </w:rPr>
            </w:pPr>
          </w:p>
        </w:tc>
        <w:tc>
          <w:tcPr>
            <w:tcW w:w="172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Paid In</w:t>
            </w:r>
          </w:p>
        </w:tc>
        <w:tc>
          <w:tcPr>
            <w:tcW w:w="14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3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Capital</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color w:val="auto"/>
              </w:rPr>
              <w:t>Deficit</w:t>
            </w:r>
          </w:p>
        </w:tc>
        <w:tc>
          <w:tcPr>
            <w:tcW w:w="14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(Deficit)</w:t>
            </w:r>
          </w:p>
        </w:tc>
        <w:tc>
          <w:tcPr>
            <w:tcW w:w="0" w:type="dxa"/>
            <w:vAlign w:val="bottom"/>
          </w:tcPr>
          <w:p>
            <w:pPr>
              <w:spacing w:after="0"/>
              <w:rPr>
                <w:sz w:val="1"/>
                <w:szCs w:val="1"/>
                <w:color w:val="auto"/>
              </w:rPr>
            </w:pPr>
          </w:p>
        </w:tc>
      </w:tr>
      <w:tr>
        <w:trPr>
          <w:trHeight w:val="216"/>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47,595,206</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vested options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of vested restricted shares</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to Directors for services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444,740</w:t>
            </w:r>
          </w:p>
        </w:tc>
        <w:tc>
          <w:tcPr>
            <w:tcW w:w="4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of warrants issued on</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extinguishment of debt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Dividends on Series A Convertible</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4,530</w:t>
            </w:r>
          </w:p>
        </w:tc>
        <w:tc>
          <w:tcPr>
            <w:tcW w:w="4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issued pursuant to a rights</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offerings, net of offering costs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36,895,834</w:t>
            </w:r>
          </w:p>
        </w:tc>
        <w:tc>
          <w:tcPr>
            <w:tcW w:w="480" w:type="dxa"/>
            <w:vAlign w:val="bottom"/>
          </w:tcPr>
          <w:p>
            <w:pPr>
              <w:spacing w:after="0"/>
              <w:rPr>
                <w:sz w:val="20"/>
                <w:szCs w:val="20"/>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16,560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16,564</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issued on conversion of</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1,339,286</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37,500</w:t>
            </w:r>
          </w:p>
        </w:tc>
        <w:tc>
          <w:tcPr>
            <w:tcW w:w="48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(10,177)</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(10,177)</w:t>
            </w:r>
          </w:p>
        </w:tc>
        <w:tc>
          <w:tcPr>
            <w:tcW w:w="0" w:type="dxa"/>
            <w:vAlign w:val="bottom"/>
          </w:tcPr>
          <w:p>
            <w:pPr>
              <w:spacing w:after="0"/>
              <w:rPr>
                <w:sz w:val="1"/>
                <w:szCs w:val="1"/>
                <w:color w:val="auto"/>
              </w:rPr>
            </w:pPr>
          </w:p>
        </w:tc>
      </w:tr>
      <w:tr>
        <w:trPr>
          <w:trHeight w:val="185"/>
        </w:trPr>
        <w:tc>
          <w:tcPr>
            <w:tcW w:w="3340" w:type="dxa"/>
            <w:vAlign w:val="bottom"/>
            <w:tcBorders>
              <w:top w:val="single" w:sz="8" w:color="CCEEFF"/>
            </w:tcBorders>
          </w:tcPr>
          <w:p>
            <w:pPr>
              <w:spacing w:after="0" w:line="185" w:lineRule="exact"/>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92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86,317,096</w:t>
            </w:r>
          </w:p>
        </w:tc>
        <w:tc>
          <w:tcPr>
            <w:tcW w:w="32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9,411</w:t>
            </w:r>
          </w:p>
        </w:tc>
        <w:tc>
          <w:tcPr>
            <w:tcW w:w="30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97,031</w:t>
            </w: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(86,730)</w:t>
            </w:r>
          </w:p>
        </w:tc>
        <w:tc>
          <w:tcPr>
            <w:tcW w:w="3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rPr>
              <w:t>10,404</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vested options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1,684</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of warrants issued as financing</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198"/>
        </w:trPr>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Fair value of vested restricted shares</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granted to officers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282,727</w:t>
            </w:r>
          </w:p>
        </w:tc>
        <w:tc>
          <w:tcPr>
            <w:tcW w:w="480" w:type="dxa"/>
            <w:vAlign w:val="bottom"/>
          </w:tcPr>
          <w:p>
            <w:pPr>
              <w:spacing w:after="0"/>
              <w:rPr>
                <w:sz w:val="20"/>
                <w:szCs w:val="20"/>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Dividends on Series A Convertible</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4,645</w:t>
            </w:r>
          </w:p>
        </w:tc>
        <w:tc>
          <w:tcPr>
            <w:tcW w:w="4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(13,493)</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issued on exercise of</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63,000</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issued for financing costs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400,000</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issued pursuant to a rights</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offerings, net of offering costs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6,680,000</w:t>
            </w:r>
          </w:p>
        </w:tc>
        <w:tc>
          <w:tcPr>
            <w:tcW w:w="4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7,327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7,327</w:t>
            </w:r>
          </w:p>
        </w:tc>
        <w:tc>
          <w:tcPr>
            <w:tcW w:w="0" w:type="dxa"/>
            <w:vAlign w:val="bottom"/>
          </w:tcPr>
          <w:p>
            <w:pPr>
              <w:spacing w:after="0"/>
              <w:rPr>
                <w:sz w:val="1"/>
                <w:szCs w:val="1"/>
                <w:color w:val="auto"/>
              </w:rPr>
            </w:pPr>
          </w:p>
        </w:tc>
      </w:tr>
      <w:tr>
        <w:trPr>
          <w:trHeight w:val="23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(16,402)</w:t>
            </w: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(16,402)</w:t>
            </w:r>
          </w:p>
        </w:tc>
        <w:tc>
          <w:tcPr>
            <w:tcW w:w="0" w:type="dxa"/>
            <w:vAlign w:val="bottom"/>
          </w:tcPr>
          <w:p>
            <w:pPr>
              <w:spacing w:after="0"/>
              <w:rPr>
                <w:sz w:val="1"/>
                <w:szCs w:val="1"/>
                <w:color w:val="auto"/>
              </w:rPr>
            </w:pPr>
          </w:p>
        </w:tc>
      </w:tr>
      <w:tr>
        <w:trPr>
          <w:trHeight w:val="23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93,733,975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(103,137</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16"/>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(10,177)</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Adjustments to reconcile net loss to net cash used in operating activities: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&amp; equipment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termination of leases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extinguishment of PPP note payable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prepaid financing costs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vested options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1,176</w:t>
            </w: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vested restricted shares granted to directors and officers for services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accounts receivable allowance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write-off</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fair value of warrant liability</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of interest on convertible note to a related party</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w:t>
            </w: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(2,478)</w:t>
            </w: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(759)</w:t>
            </w: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right of use assets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w:t>
            </w:r>
          </w:p>
        </w:tc>
      </w:tr>
      <w:tr>
        <w:trPr>
          <w:trHeight w:val="237"/>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trademark costs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37"/>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under revolving line of credit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66,234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50,975</w:t>
            </w: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revolving line of credit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(56,005)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(54,636)</w:t>
            </w: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Capitalization of financing costs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loan payable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w:t>
            </w: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from related party</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convertible note payable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(4,250)</w:t>
            </w: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repayments on finance lease obligation</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16,564</w:t>
            </w:r>
          </w:p>
        </w:tc>
      </w:tr>
      <w:tr>
        <w:trPr>
          <w:trHeight w:val="223"/>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r>
      <w:tr>
        <w:trPr>
          <w:trHeight w:val="23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w:t>
            </w:r>
          </w:p>
        </w:tc>
      </w:tr>
      <w:tr>
        <w:trPr>
          <w:trHeight w:val="230"/>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1,740</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Offset accounts receivable related party and accounts payable related party</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on Series A Convertible Preferred Stock</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warrant recorded to prepaid expenses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issued for financing costs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principal extinguished</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Operations and 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Reed’s, Inc, (the “Company”) is the owner and maker of both Reed Craft Ginger Beer and Reed’s Real Ginger Ale and Virgil’s Handcrafted Sodas. Reed’s, Inc, The Company was established in 1989 and is incorporated in the state of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the settlement of liabilities and commitments in the normal course of business. As reflected in the accompanying financial statements, for the year ended December 31, 2021, the Company recorded a net loss of $16,402 and used cash in operations of $17,589. These factors raise substantial doubt about the Company’s ability to continue as a going concern within one year of the date that the financial statements are issued. The financial statements do not include any adjustments that might be necessary if the Company is unable to continue as a going concern.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2021, we had a cash balance of $49 with borrowing capacity of $109, stockholders’ equity of $4,203 and a working capital of $2,981. On March 10, 2022, the Company issued 18,594,571 shares of common stock and warrants to purchase 9,297,289 shares of common stock in a private placement. The net proceeds to the Company, after deducting placement agent fees and other offering expenses, are approximately $5,100 (see Note 15).</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To alleviate these conditions, management is currently evaluating various funding alternatives and may seek to raise additional funds through the issuance of equity, mezzanine or debt securities, through arrangements with strategic partners or through obtaining credit from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also taken decisive action to improve our margins, including fully outsourcing our manufacturing process, streamlining our product portfolio, negotiating improved vendor contracts and restructuring our selling prices.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Considerations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COVID-19 pandemic has impacted our operating results and the Company anticipates a continued impact for the balance of the year. In addition, the pandemic may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December 31, 2021, the Company has experienced higher transportation expenses as the capacity in the freight market has not kept up with demand. The Company believes that costs will continue to increase throughout the year. In addition, the Company experienced increases in the pricing of several of its raw materials and delays in procuring several of these items. However, mitigation plans are being implemented to manage this risk. Additionally, the Company was negatively impacted by supply chain challenges impacting our ability to benefit from strong demand for and increased sales of our product. The disruption caused by labor shortages, significant raw material cost inflation, logistics issues and increased freight costs, and ongoing port congestion, resulted in suppressed margins and net income. The Company anticipates a continued impact throughout 2022.</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operate without significant incremental negative operational impact from the COVID-19 pandemic will in part depend on our ability to protect our employees and our supply chain. The Company has endeavored to follow the recommended actions of government and health authorities to protect our employees. Since the inception of the COVID-19 pandemic and through December 31, 2021,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year ended December 31, 2021, were up 19% from the prior year period. Through December 31, 2021, we continue to generate cash flows to meet our short-term liquidity needs, and we expect to maintain access to the capital markets. We have also not observed any material impairments of our assets or a significant change in the fair value of our assets due to the COVID-19 pandemic.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ind w:right="8680" w:firstLine="8"/>
        <w:spacing w:after="0" w:line="503" w:lineRule="auto"/>
        <w:tabs>
          <w:tab w:leader="none" w:pos="1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Use of Estimates</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receivables, assumptions used in valuing inventories at net realizable value, impairment testing of recorded long-term tangible and intangible assets, the valuation allowance for deferred tax assets, accruals for potential liabilities, assumptions made in valuing stock instruments issued for services, and assumptions used in valuing warrant liabilities, and assumptions used in the determination of the Company’s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are generally recorded at the invoiced amounts net of an allowance for expected losses. The Company evaluates the collectability of its trade accounts receivable based on 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historical losses and an overall assessment of past due trade accounts receivable outstanding.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accounts receivable is established through a provision reducing the carrying value of receivables. At December 31, 2021 and 2020, the allowance was $215 and $234,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with cost determined on a first-in, first-out (“FIFO”) basis. We regularly review our inventory quantities on hand and record a provision for excess and obsolete inventory based primarily on our estimated forecast of product demand and our ability to sell the product(s) concerned. Demand for our products can fluctuate significantly. Factors that could affect demand for our products include unanticipated changes in consumer preferences, general market conditions or other factors, which may result in cancellations of advance orders or a reduction in the rate of reorders placed by customers. Additionally, our management’s estimates of future product demand may be inaccurate, which could result in an understated or overstated provision required for excess and obsolete inventory. At December 31, 2021 and 2020, inventory has been reduced by cumulative write-downs for inventory aggregating $135 and $194,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is stated at cost. Expenditures for major renewals and improvements that extend the useful lives of property and equipment or increase production capacity are capitalized, and expenditures for repairs and maintenance are charged to expense as incurred. Depreciation is calculated using accelerated and straight-line methods over the estimated useful lives of the assets as follows:</w:t>
      </w:r>
    </w:p>
    <w:p>
      <w:pPr>
        <w:spacing w:after="0" w:line="176" w:lineRule="exact"/>
        <w:rPr>
          <w:sz w:val="20"/>
          <w:szCs w:val="20"/>
          <w:color w:val="auto"/>
        </w:rPr>
      </w:pPr>
    </w:p>
    <w:tbl>
      <w:tblPr>
        <w:tblLayout w:type="fixed"/>
        <w:tblInd w:w="2260" w:type="dxa"/>
        <w:tblCellMar>
          <w:top w:w="0" w:type="dxa"/>
          <w:left w:w="0" w:type="dxa"/>
          <w:bottom w:w="0" w:type="dxa"/>
          <w:right w:w="0" w:type="dxa"/>
        </w:tblCellMar>
      </w:tblPr>
      <w:tr>
        <w:trPr>
          <w:trHeight w:val="241"/>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Type</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Years of Depreciation</w:t>
            </w:r>
          </w:p>
        </w:tc>
      </w:tr>
      <w:tr>
        <w:trPr>
          <w:trHeight w:val="198"/>
        </w:trPr>
        <w:tc>
          <w:tcPr>
            <w:tcW w:w="20" w:type="dxa"/>
            <w:vAlign w:val="bottom"/>
          </w:tcPr>
          <w:p>
            <w:pPr>
              <w:spacing w:after="0"/>
              <w:rPr>
                <w:sz w:val="17"/>
                <w:szCs w:val="17"/>
                <w:color w:val="auto"/>
              </w:rPr>
            </w:pPr>
          </w:p>
        </w:tc>
        <w:tc>
          <w:tcPr>
            <w:tcW w:w="3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Computer hardware and software</w:t>
            </w:r>
          </w:p>
        </w:tc>
        <w:tc>
          <w:tcPr>
            <w:tcW w:w="140" w:type="dxa"/>
            <w:vAlign w:val="bottom"/>
          </w:tcPr>
          <w:p>
            <w:pPr>
              <w:spacing w:after="0"/>
              <w:rPr>
                <w:sz w:val="17"/>
                <w:szCs w:val="17"/>
                <w:color w:val="auto"/>
              </w:rPr>
            </w:pPr>
          </w:p>
        </w:tc>
        <w:tc>
          <w:tcPr>
            <w:tcW w:w="33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3-7 years</w:t>
            </w:r>
          </w:p>
        </w:tc>
      </w:tr>
      <w:tr>
        <w:trPr>
          <w:trHeight w:val="234"/>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assesses the carrying value of property and equipment whenever events or changes in circumstances indicate that the carrying value may not be recoverable. If there is indication of impairment, management prepares an estimate of future cash flows expected to result from the use of the asset and its eventual disposition. If these cash flows are less than the carrying amount of the asset, an impairment loss is recognized to write down the asset to its estimated fair value. For the years ended December 31, 2021 and 2020, the Company determined there were no indicators of impairment of its property and equipment.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Intangible assets are comprised of indefinite-lived brand names acquired, so classified because we anticipate that these brand names will contribute cash flows to the Company perpetually. Indefinite-lived intangible assets are not amortized but are assessed for impairment annually, or more frequently if events or circumstances indicate that assets might be impaired and evaluated annually to determine whether the indefinite useful life is appropriate. As part of our impairment test, we first assess qualitative factors to determine whether it is more likely than not the asset is impaired. If further testing is necessary, we compare the estimated fair value of our asset with its book value. If the carrying amount of the asset exceeds its fair value, as determined by its discounted cash flows, an impairment loss is recognized in an amount equal to that excess. For the years ended December 31, 2021 and 2020, the Company determined there was no impairment of its indefinite-lived brand names.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underlying principle of ASC 606 is to recognize revenue to depict the transfer of goods or services to customers at the amount expected to be collected. ASC 606 creates a five-step model that requires entities to exercise judgment when considering the terms of contract(s), which include (1) identifying the contract or agreement with a customer, (2) identifying our performance obligations in the contract or agreement, (3) determining the transaction price, (4) allocating the transaction price to the separate performance obligations, and (5) recognizing revenue as each performance obligation is satisfied.</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Company’s products are offered for sale as finished goods only, and there are no performance obligations required post-shipment for customers to derive the expected value from them.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allow for returns, except for damaged products when the damage occurred pre-fulfillment.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goods sold is comprised of the costs of raw materials and packaging utilized in the manufacture of products, co-packing fees, repacking fees, in-bound freight charges, as well as certain internal transfer costs. Additionally, cost of goods sold includes direct production costs in excess of charges allocated to finished goods in production. Charges for labor and overhead allocated to finished goods are determined on a market cost basis, which may be lower than the actual costs incurred. Plant costs in excess of production allocations are expensed in the period incurred rather than added to the cost of finished goods produced. Expenses not related to the production of our products are classified as operating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Delivery and Handling Expense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Shipping and handling costs are comprised of purchasing and receiving, inspection, warehousing, transfer freight, and other costs associated with product distribution after manufacture and are included as part of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selling and marketing expense. Advertising costs aggregated $1,418 and $1,518 for the years ended December 31, 2021 and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 Expense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 The Company recognizes the fair value of stock-based compensation within its Statements of Operations with classification depending on the nature of the services rendered.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an asset and liability approach for accounting and reporting for income taxes that allows recognition and measurement of deferred tax assets based upon the likelihood of realization of tax benefits in future years. Under the asset and liability approach, deferred taxes are provided for the net tax effects of temporary differences between the carrying amounts of assets and liabilities for financial reporting purposes and the amounts used for income tax purposes. A valuation allowance is provided for deferred tax assets if it is more likely than not these items will either expire before the Company is able to realize their benefits, or that future deductibility is uncertain. The Company’s policy is to recognize interest and/or penalties related to income tax matters in income tax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Common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the net income (loss) applicable to common stockholders by the weighted average number of shares of common stock outstanding during the year.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2020, the calculations of basic and diluted loss per share are the same because potential dilutive securities would have had an anti-dilutive effect. The potentially dilutive securities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80" w:type="dxa"/>
            <w:vAlign w:val="bottom"/>
          </w:tcPr>
          <w:p>
            <w:pPr>
              <w:spacing w:after="0"/>
              <w:rPr>
                <w:sz w:val="21"/>
                <w:szCs w:val="21"/>
                <w:color w:val="auto"/>
              </w:rPr>
            </w:pPr>
          </w:p>
        </w:tc>
        <w:tc>
          <w:tcPr>
            <w:tcW w:w="2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4,538,479</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3,362,241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equivalent of Series A Convertible Preferred Stock</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37,644</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37,644</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111,164</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10,522,995</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9,417,898</w:t>
            </w:r>
          </w:p>
        </w:tc>
      </w:tr>
      <w:tr>
        <w:trPr>
          <w:trHeight w:val="23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15,210,282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12,967,783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A Convertible Preferred Stock is convertible into Common shares at the rate of 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Accounting Standards Codification Section 820 defines the following levels of subjectivity associated with the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based on the Company’s assumptions.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one segment for the manufacture and distribution of our products. In accordance with the “Segment Reporting” Topic of the ASC, the Company’s chief operating decision maker has been identified as the Chief Executive Officer and President, who reviews operating results to make decisions about allocating resources and assessing performance for the entire Company. Existing guidance, which is based on a management approach to segment reporting, establishes requirements to report selected segment information quarterly and to report annually entity-wide disclosures about products and services, major customers, and the countries in which the entity holds material assets and reports revenue. All material operating units qualify for aggregation under “Segment Reporting” due to their similar customer base and similarities in economic characteristics, nature of products and services, and procurement, manufacturing and distribution processes. Since the Company operates in one segment, all financial information required by “Segment Reporting” can be found in the accompanying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balances on deposit with banks are guaranteed by the Federal Deposit Insurance Corporation (FDIC) up to $250. Generally, the Company’s policy is to minimize borrowing costs by immediately applying cash receipts to borrowings against its credit facility. From time to time, however, the Company may be exposed to risk for the amounts of funds held in bank accounts in excess of the FDIC limit. To minimize the risk, the Company’s policy is to maintain cash balances with high quality financial institutions.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Gross sales. </w:t>
      </w:r>
      <w:r>
        <w:rPr>
          <w:rFonts w:ascii="Times New Roman" w:cs="Times New Roman" w:eastAsia="Times New Roman" w:hAnsi="Times New Roman"/>
          <w:sz w:val="18"/>
          <w:szCs w:val="18"/>
          <w:color w:val="auto"/>
        </w:rPr>
        <w:t>During the year ended December 31, 2021, the Company’s largest two customers accounted for 19% and 11% of gross sales, respectively.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2020, the Company’s largest two customers accounted for 25% and 12% of gross sales, respectively.</w:t>
      </w:r>
    </w:p>
    <w:p>
      <w:pPr>
        <w:spacing w:after="0" w:line="20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As of December 31, 2021, the Company had accounts receivable from one customer which comprised 18% of its gross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As of December 31, 2020, the Company had accounts receivable from one customer which comprised 23% of its gross accounts receivable.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2021 and 2020, the Company utilized six separate co-packers for most its production and bottling of beverage products in the United States. The Company utilizes co-packers to produce 100% of its products. The Company has long-standing relationships with two different co-packers, and in conjunction with the sale of its manufacturing plant we entered into a third co-packing agreement with California Custom Beverage LLC (“CCB”), the purchaser of the plant (see Note 13). CCB is 100% owned by Chris Reed, founder of the Company and formerly Chief Executive Officer, Chairman, director, and most recently, Chief Innovation Officer. Although there are other packers, a change in co-packers may cause a delay in the production process, which could ultimately affect operating results.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Purchases from vendors. </w:t>
      </w:r>
      <w:r>
        <w:rPr>
          <w:rFonts w:ascii="Times New Roman" w:cs="Times New Roman" w:eastAsia="Times New Roman" w:hAnsi="Times New Roman"/>
          <w:sz w:val="18"/>
          <w:szCs w:val="18"/>
          <w:color w:val="auto"/>
        </w:rPr>
        <w:t>During the year ended December 31, 2021, the Company’s largest two vendors accounted for approximately 13% and 10%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respectively. During the year ended December 31, 2020, the Company’s largest two vendors accounted for approximately 12% and 11% of all purchases, respectively.</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payable. </w:t>
      </w:r>
      <w:r>
        <w:rPr>
          <w:rFonts w:ascii="Times New Roman" w:cs="Times New Roman" w:eastAsia="Times New Roman" w:hAnsi="Times New Roman"/>
          <w:sz w:val="18"/>
          <w:szCs w:val="18"/>
          <w:color w:val="auto"/>
        </w:rPr>
        <w:t>As of December 31, 2021, no vendor accounted for more than 10% the total accounts payable. As of December 31, 2020,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largest two vendors accounted for 12% and 10% of the total accounts payable,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ASU 2016-13 requires entities to use a forward-looking approach based on current expected credit losses (“CECL”) to estimate credit losses on certain types of financial instruments, including trade receivables. This may result in the earlier recognition of allowances for losses. ASU 2016-13 is effective for the Company beginning January 1, 2023, and early adoption is permitted. The Company does not believe the potential impact of the new guidance and related codification improvements will be material to its financial position, results of operations and cash flows.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2020, the FASB issued ASU No. 2020-06 (“ASU 2020-06”) “Debt—Debt with Conversion and Other Options (Subtopic 470-20) and Derivatives and Hedging—Contracts in Entity’s Own Equity (Subtopic 815-40).” ASU 2020-06 reduces the number of accounting models for convertible debt instruments by eliminating the cash conversion and beneficial conversion models. The diluted net income per share calculation for convertible instruments will require the Company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2020-06 is effective January 1, 2024, for the Company and the provisions of this update can be adopted using either the modified retrospective method or a fully retrospective method. Early adoption is permitted, but no earlier than January 1, 2021, including interim periods within that year. Effective January 1, 2021, the Company early adopted ASU 2020-06 and that adoption did not have an impact on our financial statements and related disclosures.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is valued at the lower of cost (first-in, first-out) or net realizable value and is comprised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16"/>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packaging</w:t>
            </w:r>
          </w:p>
        </w:tc>
        <w:tc>
          <w:tcPr>
            <w:tcW w:w="3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5,828</w:t>
            </w: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4,326</w:t>
            </w:r>
          </w:p>
        </w:tc>
      </w:tr>
      <w:tr>
        <w:trPr>
          <w:trHeight w:val="230"/>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38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F-12</w:t>
            </w: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is comprised of the following (in thousands):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6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16"/>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under operating leases</w:t>
            </w:r>
          </w:p>
        </w:tc>
        <w:tc>
          <w:tcPr>
            <w:tcW w:w="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under finance leases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237"/>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w:t>
            </w:r>
          </w:p>
        </w:tc>
      </w:tr>
      <w:tr>
        <w:trPr>
          <w:trHeight w:val="229"/>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Depreciation expense for the years ended December 31, 2021 and 2020 was $143 and $88, respectively, and amortization of right-of-use assets for the years ended December 31, 2021 and 2020 was $100 and $116, respectively. During the year ended December 31, 2021, the Company disposed of right-of-use assets under finance leases with a cost of $48 and accumulated amortization of $38 and terminated $13 of related finance leases payable (see Note 8). During the year ended December 31, 2020, the Company disposed of right-of-use assets under finance leases with a net book value of $51 and terminated $51 of related finance leases (see Note 8). Additionally, during the year ended December 31, 2020, the Company reclassified $6 of right-of-use assets under operating leases to right-of-use assets under finance leases and disposed of fully depreciated computer hardware and software of $244 with zero net book value.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Equipment held for sale consists of the following (in thousands):</w:t>
            </w: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6980" w:type="dxa"/>
            <w:vAlign w:val="bottom"/>
          </w:tcPr>
          <w:p>
            <w:pPr>
              <w:spacing w:after="0"/>
              <w:rPr>
                <w:sz w:val="24"/>
                <w:szCs w:val="24"/>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held for sale</w:t>
            </w:r>
          </w:p>
        </w:tc>
        <w:tc>
          <w:tcPr>
            <w:tcW w:w="1780" w:type="dxa"/>
            <w:vAlign w:val="bottom"/>
            <w:tcBorders>
              <w:top w:val="single" w:sz="8" w:color="auto"/>
            </w:tcBorders>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Reserve</w:t>
            </w:r>
          </w:p>
        </w:tc>
        <w:tc>
          <w:tcPr>
            <w:tcW w:w="1780" w:type="dxa"/>
            <w:vAlign w:val="bottom"/>
          </w:tcPr>
          <w:p>
            <w:pPr>
              <w:spacing w:after="0"/>
              <w:rPr>
                <w:sz w:val="20"/>
                <w:szCs w:val="20"/>
                <w:color w:val="auto"/>
              </w:rPr>
            </w:pP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1780" w:type="dxa"/>
            <w:vAlign w:val="bottom"/>
            <w:tcBorders>
              <w:top w:val="single" w:sz="8" w:color="auto"/>
              <w:bottom w:val="single" w:sz="8" w:color="auto"/>
            </w:tcBorders>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2021, the Company disposed the equipment held for sale and recorded a loss on disposal of $67.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Intangible assets are comprised of brand names acquired, specifically Virgil’s, and costs related to trademarks. They have been assigned an indefinite life, as we currently anticipate that they will contribute cash flows to the Company perpetually. These indefinite-lived intangible assets are not amortized but are assessed for impairment annually and evaluated annually to determine whether the indefinite useful life remains appropriate. We first assess qualitative factors to determine whether it is more likely than not that the asset is impaired. If further testing is necessary, we compare the estimated fair value of our asset with its book value. If the carrying amount of the asset exceeds its fair value, as determined by the discounted cash flows expected to be generated by the asset, an impairment loss is recognized in an amount equal to that excess. Based on management’s assessment, there were no indications of impairment at December 31, 2021.</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capitalized costs of $9 pertaining to legal and other fees incurred in applying for international trademarks for Reeds and Virgil’s brands.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4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16"/>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 names</w:t>
            </w:r>
          </w:p>
        </w:tc>
        <w:tc>
          <w:tcPr>
            <w:tcW w:w="2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7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F-13</w:t>
            </w: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Line of Credit</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Amounts outstanding under the Company’s credit facilities are as follows (in thousands):</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6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3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4, 2018, the Company entered into a financing agreement with Rosenthal &amp; Rosenthal, Inc. (“Rosenthal”). The financing agreement provides a maximum borrowing capacity of $13,000. Borrowings are based on a formula of eligible accounts receivable and inventories (the “permitted borrowings”) plus advances (an “over-advance” of up to $4,000) in excess of permitted borrowings. At December 31, 2021, the unused borrowing capacity under the financing agreement was $109. The line of credit automatically renews each year until terminated. The line of credit matured on March 30, 2022 and was automatically renewed to mature on March 30, 2023.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Rosenthal financing agreement bear interest at the greater of prime or 4.75%, plus an additional 2.0% to 3.5% depending on whether the borrowing is based upon receivables, inventory or is an over-advance. Additionally, the line of credit is subject to monthly facility and administration fees, and aggregate minimum monthly fees (including interest) of $4.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line of credit is secured by substantially all of the assets, excluding intellectual property, of the Company. The over-advance is secured by all of Reed’s intellectual property collateral. Additionally, any over-advance was guaranteed by an irrevocable stand-by letter of credit in the amount of $1,500, issued by Daniel J. Doherty III and the Daniel J. Doherty, III 2002 Family Trust, affiliates of Raptor/Harbor Reeds SPV LLC (“Raptor”). On March 11, 2021, the Company entered into an amendment to the financing agreement, releasing that irrevocable standby letter of credit of $1,500 by Raptor with a $2,000 pledge of securities to Rosenthal by John J. Bello and Nancy E. Bello, as Co-Trustees of The John and Nancy Bello Revocable Living Trust.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John J. Bello, current Chairman and former Interim Chief Executive Officer of Reed’s, is a related party. He is also a greater than 5% beneficial owner of Reed’s common stock. As consideration for the collateral support, Mr. Bello received 400,000 shares of Reed’s restricted stock. The Company determined the fair value of the 400,000 restricted stock to be $472 which was recorded as a prepaid financing costs of which $75 remains in prepaid expenses and other current assets on the balance sheet at December 31, 2021. The prepaid financing fee is to be amortized over a twelve-month period. During the year ended December 31, 2021, the company amortized $397 of the prepaid financing costs to interest expense.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financing agreement with Rosenthal includes customary restrictions that limit our ability to engage in certain types of transactions, including our ability to utilize tangible and intangible assets as collateral for other indebtedness. Additionally, the agreement contains a financial covenant that requires us to meet certain minimum working capital and tangible net worth thresholds as of the end of each quarter. We were in compliance with the terms of our agreement with Rosenthal as of December 31, 2021.</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annually incurs an additional $130 of fees from the bank, which is equal to 1% of the $13,000 borrowing limit. These costs have been capitalized and recorded as a debt discount and are amortized over the remaining life of the Rosenthal agreement. On December 31, 2020, the remaining unamortized debt discount of $162 is included in prepaid expense and other current assets on the balance sheet. Amortization of debt discount was $162 and $452 for the year ended December 31, 2021, and 2020, respectively. On December 31, 2021, the remaining unamortized debt discount of $65 is included in prepaid expense and other current assets on the balance sheet.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7. Note Payable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20, 2020, the Company was granted a loan (the “PPP loan”) from City National Bank in the aggregate amount of $770, pursuant to the Paycheck Protection Program (the “PPP”) under the CARES Act. At December 31, 2020, the note payable balance was $770. During the year ended December 31, 2021, the Company was notified that its PPP loan forgiveness application was approved in full, and the Company recorded the loan forgiveness as a gain on extinguishment of $770.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inception. Right-of-use assets represent the Company’s right to use an underlying asset during the lease term, and lease liabilities represent the Company’s obligation to make lease payments arising from the lease. Right-of-use assets and lease liabilities are recognized at lease commencement based upon the estimated present value of unpaid lease payments over the lease term. The Company leases its headquarters office, and certain office equipment and automobiles. Leases with an initial term of 12 months or less are not included on the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2021 and 2020, lease costs totaled $179 and $181,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2020, lease liabilities totaled $685, made up of finance lease liabilities of $16 and operating lease liabilities of $669. During the year ended December 31, 2021, the Company terminated $13 of finance leases, and made payments of $2 towards its finance lease liability and $78 towards its operating lease liability. As of December 31, 2021, operating lease liabilities totaled $555.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2021, the weighted average remaining lease terms for an operating lease are 3.00 years. As of December 31, 2021, the weighted average discount rate for operating lease is 12.60%.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the leases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12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r>
      <w:tr>
        <w:trPr>
          <w:trHeight w:val="203"/>
        </w:trPr>
        <w:tc>
          <w:tcPr>
            <w:tcW w:w="1140" w:type="dxa"/>
            <w:vAlign w:val="bottom"/>
          </w:tcPr>
          <w:p>
            <w:pPr>
              <w:spacing w:after="0"/>
              <w:rPr>
                <w:sz w:val="17"/>
                <w:szCs w:val="17"/>
                <w:color w:val="auto"/>
              </w:rPr>
            </w:pPr>
          </w:p>
        </w:tc>
        <w:tc>
          <w:tcPr>
            <w:tcW w:w="38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payments</w:t>
            </w: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669</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1120" w:type="dxa"/>
            <w:vAlign w:val="bottom"/>
          </w:tcPr>
          <w:p>
            <w:pPr>
              <w:spacing w:after="0"/>
              <w:rPr>
                <w:sz w:val="21"/>
                <w:szCs w:val="21"/>
                <w:color w:val="auto"/>
              </w:rPr>
            </w:pPr>
          </w:p>
        </w:tc>
      </w:tr>
      <w:tr>
        <w:trPr>
          <w:trHeight w:val="203"/>
        </w:trPr>
        <w:tc>
          <w:tcPr>
            <w:tcW w:w="1140" w:type="dxa"/>
            <w:vAlign w:val="bottom"/>
          </w:tcPr>
          <w:p>
            <w:pPr>
              <w:spacing w:after="0"/>
              <w:rPr>
                <w:sz w:val="17"/>
                <w:szCs w:val="17"/>
                <w:color w:val="auto"/>
              </w:rPr>
            </w:pPr>
          </w:p>
        </w:tc>
        <w:tc>
          <w:tcPr>
            <w:tcW w:w="38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3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555</w:t>
            </w:r>
          </w:p>
        </w:tc>
        <w:tc>
          <w:tcPr>
            <w:tcW w:w="80" w:type="dxa"/>
            <w:vAlign w:val="bottom"/>
            <w:tcBorders>
              <w:top w:val="single" w:sz="8" w:color="CCEEFF"/>
            </w:tcBorders>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114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1120" w:type="dxa"/>
            <w:vAlign w:val="bottom"/>
          </w:tcPr>
          <w:p>
            <w:pPr>
              <w:spacing w:after="0"/>
              <w:rPr>
                <w:sz w:val="21"/>
                <w:szCs w:val="21"/>
                <w:color w:val="auto"/>
              </w:rPr>
            </w:pPr>
          </w:p>
        </w:tc>
      </w:tr>
      <w:tr>
        <w:trPr>
          <w:trHeight w:val="216"/>
        </w:trPr>
        <w:tc>
          <w:tcPr>
            <w:tcW w:w="1140" w:type="dxa"/>
            <w:vAlign w:val="bottom"/>
          </w:tcPr>
          <w:p>
            <w:pPr>
              <w:spacing w:after="0"/>
              <w:rPr>
                <w:sz w:val="18"/>
                <w:szCs w:val="18"/>
                <w:color w:val="auto"/>
              </w:rPr>
            </w:pPr>
          </w:p>
        </w:tc>
        <w:tc>
          <w:tcPr>
            <w:tcW w:w="3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3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Borders>
              <w:top w:val="single" w:sz="8" w:color="CCEEFF"/>
            </w:tcBorders>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20"/>
        </w:trPr>
        <w:tc>
          <w:tcPr>
            <w:tcW w:w="1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3"/>
          </w:tcPr>
          <w:p>
            <w:pPr>
              <w:jc w:val="right"/>
              <w:ind w:right="2996"/>
              <w:spacing w:after="0"/>
              <w:rPr>
                <w:sz w:val="20"/>
                <w:szCs w:val="20"/>
                <w:color w:val="auto"/>
              </w:rPr>
            </w:pPr>
            <w:r>
              <w:rPr>
                <w:rFonts w:ascii="Times New Roman" w:cs="Times New Roman" w:eastAsia="Times New Roman" w:hAnsi="Times New Roman"/>
                <w:sz w:val="18"/>
                <w:szCs w:val="18"/>
                <w:color w:val="auto"/>
              </w:rPr>
              <w:t>F-15</w:t>
            </w: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Series A Convertible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Series A Convertible Preferred Stock (the “Preferred Stock”) consists of $10 par value, 5% non-cumulative, non-voting, participating preferred stock, with a liquidation preference of $10.00 per share. 500,000 shares are authorized. As of December 31, 2021, and 2020, there were 9,411 shares outstanding. Each share of Preferred Stock can be converted into four shares of the Company’s common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are payable at the rate of 5% annually, pro-rata and non-cumulative. The dividend can be paid in cash or, at the discretion of our board of directors, in shares of common stock based on its then fair market value. The Company cannot declare or pay any dividend on shares of our common stock until the holders of the Preferred Stock have received their annual dividend. In addition, the holders of the Preferred Stock are entitled to receive pro rata distributions of dividends on an “as converted” basis with the holders of our common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or if there is a change of control event as defined, the holders of the Preferred Stock are entitled to receive, prior to distributions to the holders of common stock, $10.00 per share plus all accrued and unpaid dividends. Thereafter, all remaining assets are distributed pro rata among all security holders. Since June 30, 2008, the Company has the right, but not the obligation, to redeem all or any portion of the Preferred Stock at $10.00 per share, the original issue price, plus all accrued and unpaid dividends.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Preferred Stock may be converted at any time, at the option of the holder, into four shares of common stock, subject to adjustment in the event of stock splits, reverse stock splits, stock dividends, recapitalization, reclassification, and similar transactions. The Company is obligated to reserve authorized but unissued shares of common stock sufficient to affect the conversion of all outstanding shares of Preferred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provided by law, the holders of the Preferred Stock do not have the right to vote on any matters, including the election of directors. However, so long as any shares of Preferred Stock are outstanding, the Company shall not, without the approval of a majority of the preferred stockholders, authorize or issue any equity security having a preference over the Preferred Stock with respect to dividends, liquidation, redemption or voting, including any other security convertible into or exercisable for any senior preferred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2020, the Company paid dividends on the Preferred Stock through the issuance of 4,530 shares of its common stock, respectively, which based upon the then-current market price of the stock equated to dividends of $5 in each of the years. During the year ended December 31, 2021, the Company accrued dividends on the Preferred Stock of $5 and is included in accrued expenses in the accompanying balance sheets. No shares of Series A preferred stock were converted into common stock in 2021 and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common stock has a par value of $.0001. On December 30, 2021, our shareholders approved an increase in the authorized number of common shares from 120,000,000 to 180,000,000. On December 21, 2020, our shareholders approved an increase in the authorized number of common shares from 100,000,000 to 120,000,000. As of December 31, 2021, there were 180,000,000 shares authorized, and 93,733,975 shares of common stock outstanding. As of December 31, 2020, there were 120,000,000 shares authorized with 86,317,096 shares of common stock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Common Stock Issuance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2021, the Company conducted a public offering of 6,680,000 shares of its common shares at a public offering price of $1.18 per share. The net proceeds to the Company from this offering are $7,327, after deducting underwriting discounts and commissions and other offering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2020, the Company conducted a public offering of 21,562,500 shares of its common shares at a public offering price of $0.56 per share. The net proceeds to the Company from this offering are $11,254, after deducting underwriting discounts and commissions and other offering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2020, the Company conducted a public offering of 15,333,334 shares of its common shares at a public offering price of $0.375 per share. The net proceeds to the Company from this offering are $5,310, after deducting underwriting discounts and commissions and other offering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repurchases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repurchased 13,493 shares of common stock from an officer for $15 based on the market value of share on the date repurchased. The Company retired the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Payments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that the ability to issue equity compensation, in order to incentivize performance by employees, directors, and consultants, is essential to the Company’s growth strategy.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29, 2017, the 2017 Compensation Plan (the “2017 Plan”) was approved by our shareholders. Initially it provided for the issuance of up to 3,000,000 shares. On December 13, 2018 our shareholders approved a 3,500,000 share increase in the number of shares issuable under the 2017 Plan. Options issued and forfeited under the 2017 Plan contain an Evergreen provision and cannot be re-priced without shareholder approval. As of December 31, 2020 and 2019, shares issuable under the 2017 Plan were 1,168,258 and 3,436,864, respectively. With the shareholder approval of the 2020 Equity Incentive Plan on December 21, 2020, no further shares will be issued from the 2017 Compensation Plan.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21, 2020, the 2020 Equity Incentive Plan (the “2020 Plan”) was approved by our shareholders. The 2020 Plan provides for the issuance of up to 8,500,000 shares. Options issued and forfeited under the 2020 plan contain an Evergreen provision and cannot be re-priced without shareholder approval. As of December 31, 2021, shares issuable under the 2020 Plan were 3,874,048.</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2020 Plan permits the grant of options and stock awards to our employees, directors and consultants. The options may constitute either “incentive stock options” within the meaning of Section 422 of the Internal Revenue Code or “non-qualified stock options”. The Plan is currently administered by the board of directors. The exercise price of an option granted under the plan cannot be less than 100% of the fair market value per share of common stock on the date of the grant of the option. Options may not be granted under the plan on or after the tenth anniversary of the adoption of the plan. Incentive stock options granted to a person owning more than 10% of the combined voting power of the common stock cannot be exercisable for more than five years. When an option is exercised, the purchase price of the underlying stock is received in cash, except that the plan administrator may permit the exercise price to be paid in any combination of cash, shares of stock having a fair market value equal to the exercise price, or as otherwise determined by the plan administrator.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Restricted common stock</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63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8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during the years ended December 31, 2021 and 2020:</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8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Issuable</w:t>
            </w:r>
          </w:p>
        </w:tc>
        <w:tc>
          <w:tcPr>
            <w:tcW w:w="200" w:type="dxa"/>
            <w:vAlign w:val="bottom"/>
          </w:tcPr>
          <w:p>
            <w:pPr>
              <w:spacing w:after="0"/>
              <w:rPr>
                <w:sz w:val="18"/>
                <w:szCs w:val="18"/>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at Date of</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45"/>
        </w:trPr>
        <w:tc>
          <w:tcPr>
            <w:tcW w:w="18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6"/>
        </w:trPr>
        <w:tc>
          <w:tcPr>
            <w:tcW w:w="4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594,740</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0.85</w:t>
            </w:r>
          </w:p>
        </w:tc>
        <w:tc>
          <w:tcPr>
            <w:tcW w:w="8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(444,740)</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444,740</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(444,740)</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03"/>
        </w:trPr>
        <w:tc>
          <w:tcPr>
            <w:tcW w:w="42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Balance, December 31, 2020</w:t>
            </w: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150,000</w:t>
            </w:r>
          </w:p>
        </w:tc>
        <w:tc>
          <w:tcPr>
            <w:tcW w:w="34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18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245,900</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0.92</w:t>
            </w:r>
          </w:p>
        </w:tc>
        <w:tc>
          <w:tcPr>
            <w:tcW w:w="80" w:type="dxa"/>
            <w:vAlign w:val="bottom"/>
          </w:tcPr>
          <w:p>
            <w:pPr>
              <w:spacing w:after="0"/>
              <w:rPr>
                <w:sz w:val="18"/>
                <w:szCs w:val="18"/>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(282,727)</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282,727</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(2,009)</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tcPr>
          <w:p>
            <w:pPr>
              <w:spacing w:after="0"/>
              <w:rPr>
                <w:sz w:val="18"/>
                <w:szCs w:val="18"/>
                <w:color w:val="auto"/>
              </w:rPr>
            </w:pPr>
          </w:p>
        </w:tc>
      </w:tr>
      <w:tr>
        <w:trPr>
          <w:trHeight w:val="250"/>
        </w:trPr>
        <w:tc>
          <w:tcPr>
            <w:tcW w:w="4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(282,727)</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6"/>
        </w:trPr>
        <w:tc>
          <w:tcPr>
            <w:tcW w:w="42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111,164</w:t>
            </w:r>
          </w:p>
        </w:tc>
        <w:tc>
          <w:tcPr>
            <w:tcW w:w="34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issued 245,900 restricted stock awards to five non-employee directors. 61,475 of these restricted stock awards vested on February 1, 2021, May 1, 2021, August 1, 2021, and November 1, 2021. The aggregate fair value of the stock awards was $226 based on the market price of our common stock price which was $0.92 per share on the date of grants and is amortized as shares vest.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2020, the Company issued 594,740 shares of restricted stock to a director and two executive employees. 350,000 of these shares vested immediately, 94,740 shares vested in increments of 47,370 each over a two-month period of October and November 2020, 75,000 shares will vest in increments of 18,750 each over four years from the date of grant, and 75,000 shares will vest over four years based on performance criteria determined by the Board of Directors or Compensation Committee. Unvested shares remain subject to forfeiture if vesting conditions are not met. The aggregate fair value of the stock awards was $508 based on the market price of our common stock price which ranged from $0.81 to $0.95 per share on the dates of grants and is amortized as shares vest.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fair value of restricted common stock vesting during the year ended December 31, 2021 and 2020 was $243 and $416, respectively, and is included in general and administrative expenses in the accompanying statements of operations. As of December 31, 2021, the amount of unvested compensation related to issuances of restricted common stock was $54, which will be recognized as an expense in future periods as the shares vest. When calculating basic loss per share, these shares are included in weighted average common shares outstanding from the time they vest. When calculating diluted net income per share, these shares are included in weighted average common shares outstanding as of their grant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issued stock options to purchase an aggregate of 10,522,995 shares of common stock. The Company’s stock option activity during the years ended December 31, 2021 and 2020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1"/>
                <w:szCs w:val="21"/>
                <w:color w:val="auto"/>
              </w:rPr>
            </w:pP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Terms (Years)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3,265,630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6,893,752</w:t>
            </w: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0.87</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(37,500)</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0.50</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Unvested forfeited or expired</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(515,941)</w:t>
            </w: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forfeited or expired</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(188,043)</w:t>
            </w: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at December 31, 2020</w:t>
            </w: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9,417,898</w:t>
            </w: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w:t>
            </w:r>
          </w:p>
        </w:tc>
        <w:tc>
          <w:tcPr>
            <w:tcW w:w="320" w:type="dxa"/>
            <w:vAlign w:val="bottom"/>
            <w:tcBorders>
              <w:top w:val="single" w:sz="8" w:color="CCEEFF"/>
            </w:tcBorders>
          </w:tcPr>
          <w:p>
            <w:pPr>
              <w:spacing w:after="0"/>
              <w:rPr>
                <w:sz w:val="17"/>
                <w:szCs w:val="17"/>
                <w:color w:val="auto"/>
              </w:rPr>
            </w:pPr>
          </w:p>
        </w:tc>
        <w:tc>
          <w:tcPr>
            <w:tcW w:w="1660" w:type="dxa"/>
            <w:vAlign w:val="bottom"/>
            <w:tcBorders>
              <w:top w:val="single" w:sz="8" w:color="CCEEFF"/>
            </w:tcBorders>
            <w:gridSpan w:val="2"/>
          </w:tcPr>
          <w:p>
            <w:pPr>
              <w:jc w:val="right"/>
              <w:ind w:right="320"/>
              <w:spacing w:after="0" w:line="203" w:lineRule="exact"/>
              <w:rPr>
                <w:sz w:val="20"/>
                <w:szCs w:val="20"/>
                <w:color w:val="auto"/>
              </w:rPr>
            </w:pPr>
            <w:r>
              <w:rPr>
                <w:rFonts w:ascii="Times New Roman" w:cs="Times New Roman" w:eastAsia="Times New Roman" w:hAnsi="Times New Roman"/>
                <w:sz w:val="18"/>
                <w:szCs w:val="18"/>
                <w:color w:val="auto"/>
              </w:rPr>
              <w:t>8.55</w:t>
            </w:r>
          </w:p>
        </w:tc>
        <w:tc>
          <w:tcPr>
            <w:tcW w:w="180" w:type="dxa"/>
            <w:vAlign w:val="bottom"/>
            <w:tcBorders>
              <w:top w:val="single" w:sz="8" w:color="CCEEFF"/>
            </w:tcBorders>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3,386,882</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(63,000)</w:t>
            </w:r>
          </w:p>
        </w:tc>
        <w:tc>
          <w:tcPr>
            <w:tcW w:w="1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0.50</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forfeited or expired</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(2,052,954)</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Vested forfeited or expired</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(165,831)</w:t>
            </w:r>
          </w:p>
        </w:tc>
        <w:tc>
          <w:tcPr>
            <w:tcW w:w="12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2.83</w:t>
            </w: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10,522,995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2021</w:t>
            </w: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3,671,949</w:t>
            </w:r>
          </w:p>
        </w:tc>
        <w:tc>
          <w:tcPr>
            <w:tcW w:w="3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32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6.40</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received proceeds of $32 and issued 63,000 shares of common shares on the exercise of stock options.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approved options exercisable into 3,386,882 shares to be issued pursuant to Reed’s 2020 Equity Incentive Plan. 3,386,882 options were issued to employees, 1,693,441 options vesting annually over a four-year vesting period, and 1,693,441 options that will vest based on performance criteria to be established by the board of directors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stock options are exercisable at prices ranging from $0.98 to $1.18 per share and expire in ten years. The total fair value of these options at grant date was approximately $2,412, which was determined using a Black-Scholes-Merton option pricing model with the following average assumption: stock price of $1.05 per share, expected term of six years, volatility of 79%, dividend rate of 0%, and weighted average risk-free interest rate of 0.98%.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2020, the Company approved options exercisable into 4,625,952 shares to be issued pursuant to Reed’s 2020 Equity Incentive Plan, and 2,267,800 shares to be issued pursuant to Reed’s 2017 Incentive Compensation Plan. 6,558,752 options were issued to employees including 3,279,376 options that vest annually over a four-year vesting period, and 3,279,376 options that will vest based on performance criteria to be established by the board. In addition, 335,000 options granted to consultants, board members, and former employees vest over various periods.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stock options are exercisable at a weighted average price $0.87 per share and expire in ten years. The total fair value of these options at grant date was approximately $3,561, which was determined using a Black-Scholes-Merton option pricing model with the following average assumption: average stock price of $0.87 per share, weight average expected term of 5.91 years, weighted average volatility ranging from 76%, dividend rate of 0%, and weighted average risk-free interest rate of 0.48%. The fair value of the options of $3,561 will be amortized as the options vest over a weighted average period of 2.67 years.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measurement of stock options granted in 2021 and 2020,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and 2020, the Company recognized $1,684 and $1,176 of compensation expense relating to vested stock options. As of December 31, 2021, the aggregate amount of unvested compensation related to stock options was approximately $2,833 which will be recorded as an expense in future periods as the options vest.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2021, the outstanding options have no intrinsic value. The aggregate intrinsic value was calculated as the difference between the closing market price as of December 31, 2021, which was $0.36, and the exercise price of the outstanding 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options outstanding and exercisable as of December 31, 2021,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20" w:type="dxa"/>
            <w:vAlign w:val="bottom"/>
            <w:gridSpan w:val="5"/>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60" w:type="dxa"/>
            <w:vAlign w:val="bottom"/>
            <w:gridSpan w:val="6"/>
          </w:tcPr>
          <w:p>
            <w:pPr>
              <w:ind w:left="96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98"/>
        </w:trPr>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left="250"/>
              <w:spacing w:after="0" w:line="198" w:lineRule="exact"/>
              <w:rPr>
                <w:sz w:val="20"/>
                <w:szCs w:val="20"/>
                <w:color w:val="auto"/>
              </w:rPr>
            </w:pPr>
            <w:r>
              <w:rPr>
                <w:rFonts w:ascii="Times New Roman" w:cs="Times New Roman" w:eastAsia="Times New Roman" w:hAnsi="Times New Roman"/>
                <w:sz w:val="18"/>
                <w:szCs w:val="18"/>
                <w:color w:val="auto"/>
                <w:w w:val="99"/>
              </w:rPr>
              <w:t>Weighted</w:t>
            </w:r>
          </w:p>
        </w:tc>
        <w:tc>
          <w:tcPr>
            <w:tcW w:w="3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7"/>
              </w:rPr>
              <w:t>Weighted</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5"/>
              </w:rPr>
              <w:t>Average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16"/>
        </w:trPr>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Pr>
          <w:p>
            <w:pPr>
              <w:spacing w:after="0"/>
              <w:rPr>
                <w:sz w:val="18"/>
                <w:szCs w:val="18"/>
                <w:color w:val="auto"/>
              </w:rPr>
            </w:pP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Average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Remaining</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spacing w:after="0"/>
              <w:rPr>
                <w:sz w:val="18"/>
                <w:szCs w:val="18"/>
                <w:color w:val="auto"/>
              </w:rPr>
            </w:pPr>
          </w:p>
        </w:tc>
        <w:tc>
          <w:tcPr>
            <w:tcW w:w="1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16"/>
        </w:trPr>
        <w:tc>
          <w:tcPr>
            <w:tcW w:w="120" w:type="dxa"/>
            <w:vAlign w:val="bottom"/>
          </w:tcPr>
          <w:p>
            <w:pPr>
              <w:spacing w:after="0"/>
              <w:rPr>
                <w:sz w:val="18"/>
                <w:szCs w:val="18"/>
                <w:color w:val="auto"/>
              </w:rPr>
            </w:pPr>
          </w:p>
        </w:tc>
        <w:tc>
          <w:tcPr>
            <w:tcW w:w="1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9"/>
              </w:rPr>
              <w:t>Range of Exercise</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Shares</w:t>
            </w:r>
          </w:p>
        </w:tc>
        <w:tc>
          <w:tcPr>
            <w:tcW w:w="200" w:type="dxa"/>
            <w:vAlign w:val="bottom"/>
          </w:tcPr>
          <w:p>
            <w:pPr>
              <w:spacing w:after="0"/>
              <w:rPr>
                <w:sz w:val="18"/>
                <w:szCs w:val="18"/>
                <w:color w:val="auto"/>
              </w:rPr>
            </w:pPr>
          </w:p>
        </w:tc>
        <w:tc>
          <w:tcPr>
            <w:tcW w:w="118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Exercise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Contractual</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Shares</w:t>
            </w:r>
          </w:p>
        </w:tc>
        <w:tc>
          <w:tcPr>
            <w:tcW w:w="280" w:type="dxa"/>
            <w:vAlign w:val="bottom"/>
          </w:tcPr>
          <w:p>
            <w:pPr>
              <w:spacing w:after="0"/>
              <w:rPr>
                <w:sz w:val="18"/>
                <w:szCs w:val="18"/>
                <w:color w:val="auto"/>
              </w:rPr>
            </w:pPr>
          </w:p>
        </w:tc>
        <w:tc>
          <w:tcPr>
            <w:tcW w:w="1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Exercise</w:t>
            </w:r>
          </w:p>
        </w:tc>
      </w:tr>
      <w:tr>
        <w:trPr>
          <w:trHeight w:val="241"/>
        </w:trPr>
        <w:tc>
          <w:tcPr>
            <w:tcW w:w="120" w:type="dxa"/>
            <w:vAlign w:val="bottom"/>
          </w:tcPr>
          <w:p>
            <w:pPr>
              <w:spacing w:after="0"/>
              <w:rPr>
                <w:sz w:val="20"/>
                <w:szCs w:val="20"/>
                <w:color w:val="auto"/>
              </w:rPr>
            </w:pPr>
          </w:p>
        </w:tc>
        <w:tc>
          <w:tcPr>
            <w:tcW w:w="18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Price</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Outstanding</w:t>
            </w:r>
          </w:p>
        </w:tc>
        <w:tc>
          <w:tcPr>
            <w:tcW w:w="200" w:type="dxa"/>
            <w:vAlign w:val="bottom"/>
          </w:tcPr>
          <w:p>
            <w:pPr>
              <w:spacing w:after="0"/>
              <w:rPr>
                <w:sz w:val="20"/>
                <w:szCs w:val="20"/>
                <w:color w:val="auto"/>
              </w:rPr>
            </w:pP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7"/>
              </w:rPr>
              <w:t>Price</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Life (years)</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Exercisable</w:t>
            </w:r>
          </w:p>
        </w:tc>
        <w:tc>
          <w:tcPr>
            <w:tcW w:w="280" w:type="dxa"/>
            <w:vAlign w:val="bottom"/>
          </w:tcPr>
          <w:p>
            <w:pPr>
              <w:spacing w:after="0"/>
              <w:rPr>
                <w:sz w:val="20"/>
                <w:szCs w:val="20"/>
                <w:color w:val="auto"/>
              </w:rPr>
            </w:pPr>
          </w:p>
        </w:tc>
        <w:tc>
          <w:tcPr>
            <w:tcW w:w="1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Price</w:t>
            </w:r>
          </w:p>
        </w:tc>
      </w:tr>
      <w:tr>
        <w:trPr>
          <w:trHeight w:val="216"/>
        </w:trPr>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 $0.88</w:t>
            </w:r>
          </w:p>
        </w:tc>
        <w:tc>
          <w:tcPr>
            <w:tcW w:w="3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1,749,336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3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1,022,824</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0.89 - $1.34</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6,718,000</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0.99</w:t>
            </w:r>
          </w:p>
        </w:tc>
        <w:tc>
          <w:tcPr>
            <w:tcW w:w="124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8.76</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1,145,591</w:t>
            </w:r>
          </w:p>
        </w:tc>
        <w:tc>
          <w:tcPr>
            <w:tcW w:w="2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0.95</w:t>
            </w:r>
          </w:p>
        </w:tc>
        <w:tc>
          <w:tcPr>
            <w:tcW w:w="80" w:type="dxa"/>
            <w:vAlign w:val="bottom"/>
          </w:tcPr>
          <w:p>
            <w:pPr>
              <w:spacing w:after="0"/>
              <w:rPr>
                <w:sz w:val="18"/>
                <w:szCs w:val="18"/>
                <w:color w:val="auto"/>
              </w:rPr>
            </w:pPr>
          </w:p>
        </w:tc>
      </w:tr>
      <w:tr>
        <w:trPr>
          <w:trHeight w:val="216"/>
        </w:trPr>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1.60 - $2.40</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1,609,753</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w:t>
            </w:r>
          </w:p>
        </w:tc>
        <w:tc>
          <w:tcPr>
            <w:tcW w:w="1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4.43</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1,222,878</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8"/>
                <w:szCs w:val="18"/>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2.44 - $3.66</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415,906</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2.71</w:t>
            </w:r>
          </w:p>
        </w:tc>
        <w:tc>
          <w:tcPr>
            <w:tcW w:w="124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6.23</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250,656</w:t>
            </w:r>
          </w:p>
        </w:tc>
        <w:tc>
          <w:tcPr>
            <w:tcW w:w="2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8"/>
                <w:szCs w:val="18"/>
                <w:color w:val="auto"/>
              </w:rPr>
            </w:pPr>
          </w:p>
        </w:tc>
      </w:tr>
      <w:tr>
        <w:trPr>
          <w:trHeight w:val="249"/>
        </w:trPr>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3.74 - $5.61</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3.74</w:t>
            </w:r>
          </w:p>
        </w:tc>
        <w:tc>
          <w:tcPr>
            <w:tcW w:w="12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0.75</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shd w:val="clear" w:color="auto" w:fill="CCEEFF"/>
          </w:tcPr>
          <w:p>
            <w:pPr>
              <w:spacing w:after="0"/>
              <w:rPr>
                <w:sz w:val="21"/>
                <w:szCs w:val="21"/>
                <w:color w:val="auto"/>
              </w:rPr>
            </w:pPr>
          </w:p>
        </w:tc>
      </w:tr>
      <w:tr>
        <w:trPr>
          <w:trHeight w:val="217"/>
        </w:trPr>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10,522,995</w:t>
            </w: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01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320" w:type="dxa"/>
            <w:vAlign w:val="bottom"/>
            <w:tcBorders>
              <w:top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3,671,949</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issued warrants to purchase an aggregate of 4,538,479 shares of common stock. The Company’s warrant activity during the years ended December 31, 2021 and 2020 is as follows: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-Average</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45"/>
        </w:trPr>
        <w:tc>
          <w:tcPr>
            <w:tcW w:w="4240" w:type="dxa"/>
            <w:vAlign w:val="bottom"/>
          </w:tcPr>
          <w:p>
            <w:pPr>
              <w:spacing w:after="0"/>
              <w:rPr>
                <w:sz w:val="21"/>
                <w:szCs w:val="21"/>
                <w:color w:val="auto"/>
              </w:rPr>
            </w:pPr>
          </w:p>
        </w:tc>
        <w:tc>
          <w:tcPr>
            <w:tcW w:w="14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15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Terms (Years)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16"/>
        </w:trPr>
        <w:tc>
          <w:tcPr>
            <w:tcW w:w="4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6,413,782</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2.06</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0.64</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(4,051,541)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2.03</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3,362,241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1.56</w:t>
            </w:r>
          </w:p>
        </w:tc>
        <w:tc>
          <w:tcPr>
            <w:tcW w:w="1480" w:type="dxa"/>
            <w:vAlign w:val="bottom"/>
            <w:tcBorders>
              <w:top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0.46</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(323,762)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4.04</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4,538,479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w:t>
            </w:r>
          </w:p>
        </w:tc>
        <w:tc>
          <w:tcPr>
            <w:tcW w:w="148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4,538,479</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24, 2021, the Company granted John Bello, current Chairman, significant shareholder and former Interim Chief Executive Officer of Reed’s, who is a related party, a 5-year warrant to purchase 1,500,000 shares of the Company common stock with an exercise price of $0.46. The fair value of the warrants granted was determined to be $458 and was recorded as a prepaid financing costs. During the year ended December 31, 2021, the Company amortized $148 of prepaid financing costs to interest expense, leaving a balance remaining of $310 to be amortized through July 2022. The fair value of the warrant was calculated using the Black-Scholes option pricing model using the following assumptions – stock price of $0.46; exercise price of $0.44; expected life of 5 years; volatility of 84.7%; dividend rate of 0% and discount rate of 0.77%. As of December 31, 2021, the outstanding warrants have no intrinsic value. The risk-free interest rate is based on rates established by the Federal Reserve Bank. The Company uses the historical volatility of its common stock to estimate its future volatility. The expected life of the warrant is based upon its remaining contractual life. The expected dividend yield reflects that the Company has not paid dividends to its common stockholders in the past and does not expect to do so in the foreseeable future.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11, 2020, the Company issued to Raptor a 5-year warrant to purchase 1,000,000 shares of the Company common stock with an exercise price of $0.64. The fair value of the warrants granted was determined to be $402. The fair value of the warrant was calculated using the Black-Scholes option pricing model using the following assumptions – stock price of $0.64; exercise price of $0.64; expected life of 5 years; volatility of 79%; dividend rate of 0% and discount rate of 0.51%. During the year ended December 31, 2020, warrants to acquire 4,051,541 shares of common stock expired. As of December 31, 2020, the outstanding warrants had no intrinsic value.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Additional information regarding warrants outstanding and exercisable as of December 31, 2021,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Warrants Outstanding</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60" w:type="dxa"/>
            <w:vAlign w:val="bottom"/>
            <w:gridSpan w:val="6"/>
          </w:tcPr>
          <w:p>
            <w:pPr>
              <w:ind w:left="880"/>
              <w:spacing w:after="0"/>
              <w:rPr>
                <w:sz w:val="20"/>
                <w:szCs w:val="20"/>
                <w:color w:val="auto"/>
              </w:rPr>
            </w:pPr>
            <w:r>
              <w:rPr>
                <w:rFonts w:ascii="Times New Roman" w:cs="Times New Roman" w:eastAsia="Times New Roman" w:hAnsi="Times New Roman"/>
                <w:sz w:val="18"/>
                <w:szCs w:val="18"/>
                <w:b w:val="1"/>
                <w:bCs w:val="1"/>
                <w:color w:val="auto"/>
              </w:rPr>
              <w:t>Warrants Exercisable</w:t>
            </w:r>
          </w:p>
        </w:tc>
      </w:tr>
      <w:tr>
        <w:trPr>
          <w:trHeight w:val="198"/>
        </w:trPr>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left="250"/>
              <w:spacing w:after="0" w:line="198" w:lineRule="exact"/>
              <w:rPr>
                <w:sz w:val="20"/>
                <w:szCs w:val="20"/>
                <w:color w:val="auto"/>
              </w:rPr>
            </w:pPr>
            <w:r>
              <w:rPr>
                <w:rFonts w:ascii="Times New Roman" w:cs="Times New Roman" w:eastAsia="Times New Roman" w:hAnsi="Times New Roman"/>
                <w:sz w:val="18"/>
                <w:szCs w:val="18"/>
                <w:color w:val="auto"/>
                <w:w w:val="99"/>
              </w:rPr>
              <w:t>Weighted</w:t>
            </w:r>
          </w:p>
        </w:tc>
        <w:tc>
          <w:tcPr>
            <w:tcW w:w="3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7"/>
              </w:rPr>
              <w:t>Weighted</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5"/>
              </w:rPr>
              <w:t>Average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16"/>
        </w:trPr>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Pr>
          <w:p>
            <w:pPr>
              <w:spacing w:after="0"/>
              <w:rPr>
                <w:sz w:val="18"/>
                <w:szCs w:val="18"/>
                <w:color w:val="auto"/>
              </w:rPr>
            </w:pP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Average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Remaining</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Pr>
          <w:p>
            <w:pPr>
              <w:spacing w:after="0"/>
              <w:rPr>
                <w:sz w:val="18"/>
                <w:szCs w:val="18"/>
                <w:color w:val="auto"/>
              </w:rPr>
            </w:pPr>
          </w:p>
        </w:tc>
        <w:tc>
          <w:tcPr>
            <w:tcW w:w="1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16"/>
        </w:trPr>
        <w:tc>
          <w:tcPr>
            <w:tcW w:w="120" w:type="dxa"/>
            <w:vAlign w:val="bottom"/>
          </w:tcPr>
          <w:p>
            <w:pPr>
              <w:spacing w:after="0"/>
              <w:rPr>
                <w:sz w:val="18"/>
                <w:szCs w:val="18"/>
                <w:color w:val="auto"/>
              </w:rPr>
            </w:pPr>
          </w:p>
        </w:tc>
        <w:tc>
          <w:tcPr>
            <w:tcW w:w="18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9"/>
              </w:rPr>
              <w:t>Range of Exercise</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Shares</w:t>
            </w:r>
          </w:p>
        </w:tc>
        <w:tc>
          <w:tcPr>
            <w:tcW w:w="240" w:type="dxa"/>
            <w:vAlign w:val="bottom"/>
          </w:tcPr>
          <w:p>
            <w:pPr>
              <w:spacing w:after="0"/>
              <w:rPr>
                <w:sz w:val="18"/>
                <w:szCs w:val="18"/>
                <w:color w:val="auto"/>
              </w:rPr>
            </w:pPr>
          </w:p>
        </w:tc>
        <w:tc>
          <w:tcPr>
            <w:tcW w:w="118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Exercise</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Contractual</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Shares</w:t>
            </w:r>
          </w:p>
        </w:tc>
        <w:tc>
          <w:tcPr>
            <w:tcW w:w="280" w:type="dxa"/>
            <w:vAlign w:val="bottom"/>
          </w:tcPr>
          <w:p>
            <w:pPr>
              <w:spacing w:after="0"/>
              <w:rPr>
                <w:sz w:val="18"/>
                <w:szCs w:val="18"/>
                <w:color w:val="auto"/>
              </w:rPr>
            </w:pPr>
          </w:p>
        </w:tc>
        <w:tc>
          <w:tcPr>
            <w:tcW w:w="1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Exercise</w:t>
            </w:r>
          </w:p>
        </w:tc>
      </w:tr>
      <w:tr>
        <w:trPr>
          <w:trHeight w:val="241"/>
        </w:trPr>
        <w:tc>
          <w:tcPr>
            <w:tcW w:w="120" w:type="dxa"/>
            <w:vAlign w:val="bottom"/>
          </w:tcPr>
          <w:p>
            <w:pPr>
              <w:spacing w:after="0"/>
              <w:rPr>
                <w:sz w:val="20"/>
                <w:szCs w:val="20"/>
                <w:color w:val="auto"/>
              </w:rPr>
            </w:pPr>
          </w:p>
        </w:tc>
        <w:tc>
          <w:tcPr>
            <w:tcW w:w="18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Price</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Outstanding</w:t>
            </w:r>
          </w:p>
        </w:tc>
        <w:tc>
          <w:tcPr>
            <w:tcW w:w="240" w:type="dxa"/>
            <w:vAlign w:val="bottom"/>
          </w:tcPr>
          <w:p>
            <w:pPr>
              <w:spacing w:after="0"/>
              <w:rPr>
                <w:sz w:val="20"/>
                <w:szCs w:val="20"/>
                <w:color w:val="auto"/>
              </w:rPr>
            </w:pPr>
          </w:p>
        </w:tc>
        <w:tc>
          <w:tcPr>
            <w:tcW w:w="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7"/>
              </w:rPr>
              <w:t>Price</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Life (years)</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Exercisable</w:t>
            </w:r>
          </w:p>
        </w:tc>
        <w:tc>
          <w:tcPr>
            <w:tcW w:w="280" w:type="dxa"/>
            <w:vAlign w:val="bottom"/>
          </w:tcPr>
          <w:p>
            <w:pPr>
              <w:spacing w:after="0"/>
              <w:rPr>
                <w:sz w:val="20"/>
                <w:szCs w:val="20"/>
                <w:color w:val="auto"/>
              </w:rPr>
            </w:pPr>
          </w:p>
        </w:tc>
        <w:tc>
          <w:tcPr>
            <w:tcW w:w="1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Price</w:t>
            </w:r>
          </w:p>
        </w:tc>
      </w:tr>
      <w:tr>
        <w:trPr>
          <w:trHeight w:val="216"/>
        </w:trPr>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0.01 - $0.99</w:t>
            </w:r>
          </w:p>
        </w:tc>
        <w:tc>
          <w:tcPr>
            <w:tcW w:w="3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3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1.00 - $1.99</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1,560,194</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w:t>
            </w:r>
          </w:p>
        </w:tc>
        <w:tc>
          <w:tcPr>
            <w:tcW w:w="124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0.64</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1,560,194</w:t>
            </w:r>
          </w:p>
        </w:tc>
        <w:tc>
          <w:tcPr>
            <w:tcW w:w="2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r>
      <w:tr>
        <w:trPr>
          <w:trHeight w:val="249"/>
        </w:trPr>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2.00 - $2.99</w:t>
            </w: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478,285</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12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0.54</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478,285</w:t>
            </w:r>
          </w:p>
        </w:tc>
        <w:tc>
          <w:tcPr>
            <w:tcW w:w="2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21"/>
                <w:szCs w:val="21"/>
                <w:color w:val="auto"/>
              </w:rPr>
            </w:pPr>
          </w:p>
        </w:tc>
      </w:tr>
      <w:tr>
        <w:trPr>
          <w:trHeight w:val="217"/>
        </w:trPr>
        <w:tc>
          <w:tcPr>
            <w:tcW w:w="1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4,538,479</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01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tcBorders>
              <w:top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4,538,479</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2021 and 2020, a reconciliation of the effective income tax rate to the U.S. statutory rate is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r>
      <w:tr>
        <w:trPr>
          <w:trHeight w:val="216"/>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State rate, net of federal benefit</w:t>
            </w:r>
          </w:p>
        </w:tc>
        <w:tc>
          <w:tcPr>
            <w:tcW w:w="100" w:type="dxa"/>
            <w:vAlign w:val="bottom"/>
          </w:tcPr>
          <w:p>
            <w:pPr>
              <w:spacing w:after="0"/>
              <w:rPr>
                <w:sz w:val="20"/>
                <w:szCs w:val="20"/>
                <w:color w:val="auto"/>
              </w:rPr>
            </w:pPr>
          </w:p>
        </w:tc>
        <w:tc>
          <w:tcPr>
            <w:tcW w:w="1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 in tax rate</w:t>
            </w:r>
          </w:p>
        </w:tc>
        <w:tc>
          <w:tcPr>
            <w:tcW w:w="100" w:type="dxa"/>
            <w:vAlign w:val="bottom"/>
          </w:tcPr>
          <w:p>
            <w:pPr>
              <w:spacing w:after="0"/>
              <w:rPr>
                <w:sz w:val="18"/>
                <w:szCs w:val="18"/>
                <w:color w:val="auto"/>
              </w:rPr>
            </w:pPr>
          </w:p>
        </w:tc>
        <w:tc>
          <w:tcPr>
            <w:tcW w:w="1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r>
      <w:tr>
        <w:trPr>
          <w:trHeight w:val="217"/>
        </w:trPr>
        <w:tc>
          <w:tcPr>
            <w:tcW w:w="6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and 2020, significant components of the Company’s deferred tax assets and liabilities are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18,573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15,641</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Disqualified corporate interest expense</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allowances</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120" w:type="dxa"/>
            <w:vAlign w:val="bottom"/>
          </w:tcPr>
          <w:p>
            <w:pPr>
              <w:spacing w:after="0"/>
              <w:rPr>
                <w:sz w:val="18"/>
                <w:szCs w:val="18"/>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8"/>
                <w:szCs w:val="18"/>
                <w:color w:val="auto"/>
              </w:rPr>
            </w:pPr>
          </w:p>
        </w:tc>
      </w:tr>
      <w:tr>
        <w:trPr>
          <w:trHeight w:val="237"/>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Reserve for asset impairment</w:t>
            </w:r>
          </w:p>
        </w:tc>
        <w:tc>
          <w:tcPr>
            <w:tcW w:w="120" w:type="dxa"/>
            <w:vAlign w:val="bottom"/>
          </w:tcPr>
          <w:p>
            <w:pPr>
              <w:spacing w:after="0"/>
              <w:rPr>
                <w:sz w:val="20"/>
                <w:szCs w:val="20"/>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0"/>
                <w:szCs w:val="20"/>
                <w:color w:val="auto"/>
              </w:rPr>
            </w:pP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Pr>
          <w:p>
            <w:pPr>
              <w:spacing w:after="0"/>
              <w:rPr>
                <w:sz w:val="20"/>
                <w:szCs w:val="20"/>
                <w:color w:val="auto"/>
              </w:rPr>
            </w:pPr>
          </w:p>
        </w:tc>
        <w:tc>
          <w:tcPr>
            <w:tcW w:w="1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(21,490)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(17,903)</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r>
      <w:tr>
        <w:trPr>
          <w:trHeight w:val="237"/>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finance costs</w:t>
            </w:r>
          </w:p>
        </w:tc>
        <w:tc>
          <w:tcPr>
            <w:tcW w:w="120" w:type="dxa"/>
            <w:vAlign w:val="bottom"/>
          </w:tcPr>
          <w:p>
            <w:pPr>
              <w:spacing w:after="0"/>
              <w:rPr>
                <w:sz w:val="20"/>
                <w:szCs w:val="20"/>
                <w:color w:val="auto"/>
              </w:rPr>
            </w:pPr>
          </w:p>
        </w:tc>
        <w:tc>
          <w:tcPr>
            <w:tcW w:w="1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36"/>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2021 and 2020, the Company had available Federal and state net operating loss carryforwards (“NOL”s) to reduce future taxable income. For Federal purposes the amounts available were approximately $63,000 and $66,000, respectively. For state purposes approximately $36,000 and $42,000 was available at December 31, 2021 and 2020, respectively. The Federal carryforward for NOLs arising in years prior to 2019 is approximately $44,000, which expires on various dates through 2038. NOLs for 2019, 2020 and 2021 of approximately 19,000, can be carried forward indefinitely, but are only able to offset 80% of taxable income in future years. The state carryforward expires on various dates through 2041. Given the Company’s history of net operating losses, management has determined that it is more likely than not that the Company will not be able to realize the tax benefit of the carryforwards. Accordingly, the Company has not recognized a deferred tax asset for this benefit.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restrictions imposed by Internal Revenue Code Section 382 regarding substantial changes in ownership of companies with loss carryforwards, the utilization of the Company’s NOL may be limited as a result of changes in stock ownership. NOLs incurred subsequent to the latest change in control are not subject to the limitation.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tax benefits from uncertain tax positions only if it is more likely than not that the tax position will be sustained on examination by the taxing authorities, based on the technical merits of the position. The tax benefits recognized in the financial statements from such a position is measured based on the largest benefit that has a greater than fifty percent likelihood of being realized upon ultimate settlement. As of December 31, 2021 and 2020, the Company did not have a liability for unrecognized tax benefits.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as income tax expense, interest and penalties on uncertain tax provisions. As of December 31, 2021 and 2020, the Company has not accrued interest or penalties related to uncertain tax positions. Tax years 2017 through 2021 remain open to examination by the major taxing jurisdictions to which the Company is subject.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attainment of taxable income by the Company, management will assess the likelihood of realizing the tax benefit associated with the use of the NOLs and will recognize the appropriate deferred tax asset at that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31, 2018, the Company completed the sale of its Los Angeles manufacturing plant to California Custom Beverage, LLC (“CCB”), an entity owned by Christopher J. Reed, a related party, and CCB assumed the monthly payments on our lease obligation for the Los Angeles manufacturing plant. Our release from the obligation by the lessor, however, is dependent upon CCB’s deposit of $1,200 of security with the lessor. The deposit is secured by Mr. Reed’s pledge of common stock to the lessor and guaranteed personally by Mr. Reed and his wife. As of December 31, 2021, $800 has been deposited with the lessor and Mr. Reed has placed approximately 363,000 pledged shares valued at $131 that remain in escrow with the lessor.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in 2019, we are to receive a 5% royalty on CCB’s private label sales to existing customers for three years and a 5% referral fee on CCB’s private label sales to referred customers for three years. During the year ended December 31, 2021 and 2020, the Company recorded royalty revenue from CCB of $72 and $98,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2020, the Company had an aggregate receivable balance from CCB of $682. During the year ended December 31, 2021, the Company recorded royalty revenue receivable of $72, and advanced expenses of $179, leaving an aggregate receivable balance of $933 at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2021, and December 31, 2020, the Company had accounts payable due to CCB of $614 and $557, respectively.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over-advance on the Company’s line of credit with Rosenthal was guaranteed by an irrevocable stand-by letter of credit in the amount of $1,500, issued by Daniel J. Doherty III and the Daniel J. Doherty, III 2002 Family Trust, affiliates of Raptor/Harbor Reeds SPV LLC (“Raptor”). On March 11, 2020, the Company entered into an amendment to the financing agreement, releasing that irrevocable standby letter of credit of $1,500 by Raptor with a $2,000 pledge of securities to Rosenthal by John J. Bello and Nancy E. Bello, as Co-Trustees of The John and Nancy Bello Revocable Living Trust. John J. Bello, current Chairman, significant shareholder and former Interim Chief Executive Officer of Reed’s, is a related party. As consideration for the collateral support, Mr. Bello received 400,000 shares of Reed’s restricted stock.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24, 2021, the Bello trust provided additional collateral support securing a $2,500,000 over-advance under the Financing Agreement, and John J. Bello also provided a personal guarantee. The additional collateral was released on March 17, 2022 along with the personal guarantee. The initial pledged collateral was released March 30, 2022 with the pay-off of the Rosenthal facility.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Lindsay Martin, daughter of a director of the Company, was employed as Vice President of Marketing during the years ended December 31, 2021 and 2020. Ms. Martin was paid approximately $181 and $215, respectively, for her services during the years ended December 31, 2021 and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there are no material litigation matters at the current time. Although the results of such litigation matters and claims cannot be predicted with certainty, we believe that the final outcome of such claims and proceedings will not have a material adverse impact on our financial position, liquidity,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10, 2022, the Company entered into a Securities Purchase Agreement with certain institutional and accredited investors pursuant to which the investors agreed to purchase 18,594,571 shares of the Company’s common stock and warrants to purchase 9,297,289 shares of common stock in a private placement. The warrants have an exercise price of $0.2877 per share for a period of five years commencing six months from the closing date of March 11, 2022. The purchase price per share of common stock and associated warrant was $0.28 for certain investors and was $0.3502 for investors who are officers and directors of the Company in compliance with the rules of the Nasdaq Stock Market. The net proceeds to the Company, after deducting placement agent fees and other offering expenses, was approximately $5.1 million. The officers and directors of the Company purchased approximately $1.1 million of the securities in the offering.</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21, 2022, the Board of Directors of the Company, upon recommendation from its governance committee, expanded the board from six to seven members and appointed Mr. Leon M. Zaltzman to serve as director.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Zaltzman is the founder and managing member of Union Square Park Capital Management, LLC (“USPCM”), and is also the managing member of Union Square Park GP (“USPGP”). USPCM and USPGP serve as the investment manager and general partner to Union Square Park Partners, LP (“USPP Fund”), respectively. Foregoing entities hereinafter collectively referred to as the “Union Square Entities”.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USPP Fund participated in the Company’s recent private placement of common stock and it acquired 10,714,286 shares of common stock and warrants to purchase 5,357,143 shares of common stock for $3,000. Prior to the private placement, Mr. Zaltzman and the Union Square Entities beneficially owned approximately 7.79% of Reed’s common stock. After the private placement, Mr. Zaltzman and the Union Square Entities beneficially owned approximately 14.6% of Reed’s common stock.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28, 2022, the Company entered into a financing agreement with Alterna Capital Solutions (“ACS”), for a line of credit to replace its existing credit facility. The ACS line of credit is for a term of 3 years and provides for borrowings of up to $13,000. Borrowings are based upon eligible accounts receivable and inventory. The line of credit is secured by eligible accounts receivable and inventory of the Company. Inventory collateral is set to a maximum of 100% of eligible accounts receivable. An overadvance rider is in place which provides for up to $400 of additional borrowing beyond those amounts (the “Over Advance”).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ACS financing agreement bear interest of prime plus 4.75% but not less than 8.0% on receivables. Borrowings based on inventory bear an interest of prime plus 5.25% but not less than 8.5%. The additional overadvance rider bears a rate of prime plus 12.75%, but not less than 16.00%. Additionally, the line of credit is subject to monthly monitoring fee of $1 with a minimum usage requirement on the credit facility. A loan balance of less than $1,500 will bear interest at a rate in line with account receivables advances plus the monthly monitoring fee of $1.</w:t>
      </w:r>
    </w:p>
    <w:p>
      <w:pPr>
        <w:sectPr>
          <w:pgSz w:w="11900" w:h="16838" w:orient="portrait"/>
          <w:cols w:equalWidth="0" w:num="1">
            <w:col w:w="11240"/>
          </w:cols>
          <w:pgMar w:left="320" w:top="684" w:right="339" w:bottom="0" w:gutter="0" w:footer="0" w:header="0"/>
        </w:sectPr>
      </w:pPr>
    </w:p>
    <w:bookmarkStart w:id="62" w:name="page63"/>
    <w:bookmarkEnd w:id="62"/>
    <w:p>
      <w:pPr>
        <w:spacing w:after="0" w:line="282" w:lineRule="auto"/>
        <w:rPr>
          <w:sz w:val="20"/>
          <w:szCs w:val="20"/>
          <w:color w:val="auto"/>
        </w:rPr>
      </w:pPr>
      <w:r>
        <w:rPr>
          <w:rFonts w:ascii="Times New Roman" w:cs="Times New Roman" w:eastAsia="Times New Roman" w:hAnsi="Times New Roman"/>
          <w:sz w:val="18"/>
          <w:szCs w:val="18"/>
          <w:color w:val="auto"/>
        </w:rPr>
        <w:t>The Company incurred $503 of direct costs of the transaction, consisting primarily of broker, bank and legal fees. These costs have been capitalized and are being amortized over the 3-year life of the ACS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30, 2022, the Company paid in full its outstanding balance on its credit facility with Rosenthal &amp; Rosenthal,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December 31, 2021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Exchange Act). Our management, with the participation of our Chief Executive Officer and Chief Financial Officer and the oversight of our audit committee, has evaluated the effectiveness of our internal control over financial reporting as of December 31, 2021. In assessing the effectiveness of our internal control over financial reporting, our management used the framework established in </w:t>
      </w:r>
      <w:r>
        <w:rPr>
          <w:rFonts w:ascii="Times New Roman" w:cs="Times New Roman" w:eastAsia="Times New Roman" w:hAnsi="Times New Roman"/>
          <w:sz w:val="18"/>
          <w:szCs w:val="18"/>
          <w:i w:val="1"/>
          <w:iCs w:val="1"/>
          <w:color w:val="auto"/>
        </w:rPr>
        <w:t>Internal Control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Based on that evaluation, our management has concluded that our internal control over financial reporting was effective as of December 31, 2021.</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does not contain an attestation report of our independent registered public accounting firm related to internal control over financial reporting because the rules for smaller reporting companies provide an exemption from the attestation requirement.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three-month period ended December 31, 2021,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28, 2022, the Company entered into a financing agreement with Alterna Capital Solutions (“ACS”), for a line of credit to replace its existing credit facility with Rosenthal &amp; Rosenthal, Inc. The ACS line of credit is for a term of 3 years and provides for borrowings of up to $13,000. Borrowings are based upon eligible accounts receivable and inventory. The line of credit is secured by eligible accounts receivable and inventory of the Company. Inventory collateral is set to a maximum of 100% of eligible accounts receivable. An overadvance rider is in place which provides for up to $400 of additional borrowing beyond those amounts (the “Over Advance”).</w:t>
      </w:r>
    </w:p>
    <w:p>
      <w:pPr>
        <w:spacing w:after="0" w:line="3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ACS financing agreement bear interest of prime plus 4.75% but not less than 8.0% on receivables. Borrowings based on inventory bear an interest of prime plus 5.25% but not less than 8.5%. The additional overadvance rider bears a rate of prime plus 12.75%, but not less than 16.00%. Additionally, the line of credit is subject to monthly monitoring fee of $1 with a minimum usage requirement on the credit facility. A loan balance of less than $1,500 will bear interest at a rate in line with account receivables advances plus the monthly monitoring fee of $1.</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incurred $503 of direct costs of the transaction, consisting primarily of broker, bank and legal fees. These costs have been capitalized and are being amortized over the 3-year life of the ACS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30, 2022, the Company paid in full its outstanding balance on its credit facility with Rosenthal &amp; Rosenthal,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Reed’s current directors have terms which will end at the next annual meeting of the stockholders and until each of their successors is elected and qualified.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current directors and executive officers as of date of this Annual Report: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198"/>
        </w:trPr>
        <w:tc>
          <w:tcPr>
            <w:tcW w:w="20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Norman E. Snyder, Jr.</w:t>
            </w:r>
          </w:p>
        </w:tc>
        <w:tc>
          <w:tcPr>
            <w:tcW w:w="220" w:type="dxa"/>
            <w:vAlign w:val="bottom"/>
          </w:tcPr>
          <w:p>
            <w:pPr>
              <w:spacing w:after="0"/>
              <w:rPr>
                <w:sz w:val="17"/>
                <w:szCs w:val="17"/>
                <w:color w:val="auto"/>
              </w:rPr>
            </w:pPr>
          </w:p>
        </w:tc>
        <w:tc>
          <w:tcPr>
            <w:tcW w:w="76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Chief Executive Officer, Director</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Thomas J. Spisak</w:t>
            </w:r>
          </w:p>
        </w:tc>
        <w:tc>
          <w:tcPr>
            <w:tcW w:w="8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Neal Cohane</w:t>
            </w:r>
          </w:p>
        </w:tc>
        <w:tc>
          <w:tcPr>
            <w:tcW w:w="8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Sales Officer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John J. Bello</w:t>
            </w:r>
          </w:p>
        </w:tc>
        <w:tc>
          <w:tcPr>
            <w:tcW w:w="8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Chairman of the Board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Lewis Jaffe</w:t>
            </w:r>
          </w:p>
        </w:tc>
        <w:tc>
          <w:tcPr>
            <w:tcW w:w="8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 Chairman of Governance and Compensations Committee, member of Audit and Operations</w:t>
            </w:r>
          </w:p>
        </w:tc>
        <w:tc>
          <w:tcPr>
            <w:tcW w:w="112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8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Committee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James C. Bass</w:t>
            </w:r>
          </w:p>
        </w:tc>
        <w:tc>
          <w:tcPr>
            <w:tcW w:w="8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 Chairman of the Audit Committee and member of Compensation Committee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Rhonda Kallman</w:t>
            </w:r>
          </w:p>
        </w:tc>
        <w:tc>
          <w:tcPr>
            <w:tcW w:w="8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 member of the Compensation and Governance Committees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Louis Imbrogno, Jr.</w:t>
            </w:r>
          </w:p>
        </w:tc>
        <w:tc>
          <w:tcPr>
            <w:tcW w:w="8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 member of the Audit Committee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Leon M. Zaltman</w:t>
            </w:r>
          </w:p>
        </w:tc>
        <w:tc>
          <w:tcPr>
            <w:tcW w:w="80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 of Directors and Executive Officers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Norman E. Snyder, Jr. </w:t>
      </w:r>
      <w:r>
        <w:rPr>
          <w:rFonts w:ascii="Times New Roman" w:cs="Times New Roman" w:eastAsia="Times New Roman" w:hAnsi="Times New Roman"/>
          <w:sz w:val="18"/>
          <w:szCs w:val="18"/>
          <w:color w:val="auto"/>
        </w:rPr>
        <w:t>was appointed as Chief Executive Officer and director of Reed’s effective March 1, 2020. Prior to his promotion, Mr. Snyder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Chief Operating Officer of Reed’s from September 2019 through February 29, 2020. Prior to joining Reed’s, Mr. Snyder served as President and Chief Executive Office for Avitae USA, LLC, an emerging premium new age beverage company that markets and sells a line of ready-to-drink caffeinated waters. Prior to Avitae, he served as the President and Chief Operating Officer for Adina For Life, Inc., President and Chief Executive Officer of High Falls Brewing Company, and Chief Financial Officer, and later Chief Operating Officer of South Beach Beverage Company, known as SoBe. In prior experience, Mr. Snyder served as Controller for National Football League Properties, Inc., and in various roles at PriceWaterhouseCoopers during an eight-year tenure. Mr. Snyder earned a B.S. in Accounting from the State University of New York at Albany.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J. Spisak </w:t>
      </w:r>
      <w:r>
        <w:rPr>
          <w:rFonts w:ascii="Times New Roman" w:cs="Times New Roman" w:eastAsia="Times New Roman" w:hAnsi="Times New Roman"/>
          <w:sz w:val="18"/>
          <w:szCs w:val="18"/>
          <w:color w:val="auto"/>
        </w:rPr>
        <w:t>has served as Chief Financial Officer of Reed’s since December 2019. Prior to joining Reed’s, Mr. Spisak provided financial leadership,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extensive expertise over a broad range of finance functions during his 26 year tenure in the North America region of Diageo, a multinational alcoholic beverage company with net sales over UK £12.9 billion (U.S. $16 billion). Mr. Spisak held numerous positions in multiple divisions of Diageo, most recently serving as Vice President of Finance and Controller of North America. Previously, he held positions of Vice President of Commercial Finance, Director of Business Performance and Senior Finance Director of Marketing and Innovation Decision Support, as well as other roles in finance. Prior to Diageo, Mr. Spisak served at International Masters Publishers, Inc., a private company with publishing activities in 35 countries. Mr. Spisak holds an MBA in International Business from Fairfield University and a Bachelor of Science in Finance from the University of Rhode Island.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Neal Cohane </w:t>
      </w:r>
      <w:r>
        <w:rPr>
          <w:rFonts w:ascii="Times New Roman" w:cs="Times New Roman" w:eastAsia="Times New Roman" w:hAnsi="Times New Roman"/>
          <w:sz w:val="18"/>
          <w:szCs w:val="18"/>
          <w:color w:val="auto"/>
        </w:rPr>
        <w:t>has served as Reed’s Chief Sales Officer since March of 2008 and previously as Vice President of Sales since August 2007. From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2001 until August 2007, Mr. Cohane served in various senior-level sales and executive positions for PepsiCo, most recently as Senior National Accounts Manager, Eastern Division. In this capacity, Mr. Cohane was responsible for all business development and sales activities within the Eastern Division. From March 2001 until November 2002, Mr. Cohane served as Business Development Manager, Non-Carbonated Division within PepsiCo where he was responsible for leading the non-carbonated category build-out across the Northeast Territory. From 1998 to March 2001, Mr. Cohane spent three years at South Beach Beverage Company, most recently as Vice President of Sales, Eastern Region. From 1986 to 1998, Mr. Cohane spent approximately twelve years at Coca-Cola of New York where he held various senior-level sales and managerial positions, most recently as General Manager New York. Mr. Cohane holds a B.S. degree in Business Administration from Merrimack College in North Andover, Massachusetts.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J. Bello </w:t>
      </w:r>
      <w:r>
        <w:rPr>
          <w:rFonts w:ascii="Times New Roman" w:cs="Times New Roman" w:eastAsia="Times New Roman" w:hAnsi="Times New Roman"/>
          <w:sz w:val="18"/>
          <w:szCs w:val="18"/>
          <w:color w:val="auto"/>
        </w:rPr>
        <w:t>is Reed’s Chairman and sales and marketing expert. Since 2001, Mr. Bello has been the Managing Director of JoNa Ventures, a family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fund. From 2004 to 2012 Mr. Bello also served as Principal and General Partner at Sherbrooke Capital, a venture capital group dedicated to investing in leading, early stage health and wellness companies. Mr. Bello is the founder and former CEO of South Beach Beverage Company, the maker of nutritionally enhanced teas and juices marketed under the brand name SoBe. The company was sold to PepsiCo in 2001 for $370 million and in the same year Ernst and Young named Mr. Bello National Entrepreneur of the Year in the consumer products category for his work with SoBe. Before founding SoBe, Mr. Bello spent fourteen years at National Football League Properties, the marketing arm of the NFL and served as its President from 1986 to 1993. As the President, Mr. Bello has been credited for building NFL Properties into a sports marketing leader and creating the model by which every major sports league now operates. Prior to working for the NFL, Mr. Bello served in marketing and strategic planning capacities at the Pepsi Cola Division of PepsiCo Inc. and in product management roles for General Foods Corporation on the Sanka and Maxwell House brands. As a board chair, Mr. Bello has also worked with IZZE in brand building, marketing and strategic planning capacities. That brand was also sold to PepsiCo.</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Mr. Bello earned his BA from Tufts University, cum laude, and received his MBA from the Tuck School of business at Dartmouth College as an Edward Tuck Scholar. Mr. Bello is extensively involved in non-profit work and currently serves as a Tufts University Trustee and advisory board member (athletics) and the Veteran Heritage Project in Scottsdale, Arizona. Mr. Bello also serves on the board of Rockford Fosgate, a seller of OEM audio equipment, and is executive director of Eye Therapies which has licensed its technology to Bausch and Lomb, who markets a redness reduction eye drop under the </w:t>
      </w:r>
      <w:r>
        <w:rPr>
          <w:rFonts w:ascii="Times New Roman" w:cs="Times New Roman" w:eastAsia="Times New Roman" w:hAnsi="Times New Roman"/>
          <w:sz w:val="18"/>
          <w:szCs w:val="18"/>
          <w:i w:val="1"/>
          <w:iCs w:val="1"/>
          <w:color w:val="auto"/>
        </w:rPr>
        <w:t>Lumify</w:t>
      </w:r>
      <w:r>
        <w:rPr>
          <w:rFonts w:ascii="Times New Roman" w:cs="Times New Roman" w:eastAsia="Times New Roman" w:hAnsi="Times New Roman"/>
          <w:sz w:val="18"/>
          <w:szCs w:val="18"/>
          <w:color w:val="auto"/>
        </w:rPr>
        <w:t xml:space="preserve"> brand name.</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C. Bass </w:t>
      </w:r>
      <w:r>
        <w:rPr>
          <w:rFonts w:ascii="Times New Roman" w:cs="Times New Roman" w:eastAsia="Times New Roman" w:hAnsi="Times New Roman"/>
          <w:sz w:val="18"/>
          <w:szCs w:val="18"/>
          <w:color w:val="auto"/>
        </w:rPr>
        <w:t>has served as a director since September 29, 2017, is Chairman of the Audit Committee and member of the Compensation Committee.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Bass is retired from the position of Chief Financial Officer and Senior Vice President of Sony Interactive Entertainment America LLC, commonly referred to as the PlayStation business of Sony where he joined in 1995 as Vice President of Finance. Mr. Bass has more than thirty-five years of financial and international management experience and was responsible for all of Sony’s financial operations and controls including general accounting and financial reporting, planning, analysis and systems, treasury and risk management, internal audit, and federal, state and local income taxes. Prior experience includes holding several senior management positions encompassing fourteen years with Bristol-Myers Squibb Company, gaining international experience running operations in parts of Asia and Europe.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Bass also spent two years at Wang Laboratories as a Divisional Controller. He started his career in New York at the public accounting firm, Haskins and Sells, now Deloitte &amp; Touche. Mr. Bass received a Bachelor of Business Administration degree in accounting and finance from Pace University, New York City. He is a Certified Public Accountant and a member of the American Institute of Certified Public Accountants.</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Lewis Jaffe </w:t>
      </w:r>
      <w:r>
        <w:rPr>
          <w:rFonts w:ascii="Times New Roman" w:cs="Times New Roman" w:eastAsia="Times New Roman" w:hAnsi="Times New Roman"/>
          <w:sz w:val="18"/>
          <w:szCs w:val="18"/>
          <w:color w:val="auto"/>
        </w:rPr>
        <w:t>has served as a director since October 19, 2016, is Chairman of the Governance Committee and a member of the Audit and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Committees. Since August 2014, Mr. Jaffe is an Executive-in-Residence and Clinical Faculty at the Fred Kiesner Center for Entrepreneurship, Loyola Marymount University. He is also a technology futurist, Executive Coach and Public Speaker. Since January 2010, Mr. Jaffe has served on the board of FitLife Brands Inc. (FTLF:OTCBB) and serves on its audit, compensation and governance committees. Since 2006 he has served on the board of directors of York Telecom, a private company, and serves on its compensation and governance committees. From 2006 to 2008 Mr. Jaffe was Interim Chief Executive Officer and President of Oxford Media, Inc. Mr. Jaffe has also served in executive management positions with Verso Technologies, Inc., Wireone Technologies, Inc., Picturetel Corporation, and he was also previously a Managing Director of Arthur Andersen. Mr. Jaffe was the co-founder of MovieMe Network. Mr. Jaffe also served on the Board of Directors of Benihana, Inc. as its lead independent director from 2004 to 2012.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jc w:val="both"/>
        <w:spacing w:after="0" w:line="282" w:lineRule="auto"/>
        <w:rPr>
          <w:sz w:val="20"/>
          <w:szCs w:val="20"/>
          <w:color w:val="auto"/>
        </w:rPr>
      </w:pPr>
      <w:r>
        <w:rPr>
          <w:rFonts w:ascii="Times New Roman" w:cs="Times New Roman" w:eastAsia="Times New Roman" w:hAnsi="Times New Roman"/>
          <w:sz w:val="18"/>
          <w:szCs w:val="18"/>
          <w:color w:val="auto"/>
        </w:rPr>
        <w:t>Mr. Jaffe is a graduate of the Stanford Business School Executive Program, holds a Bachelor of Science from LaSalle University and holds a Masters Professional Director Certification from the American College of Corporate Directors, a public company director education and credentialing program.</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Louis Imbrogno, Jr. </w:t>
      </w:r>
      <w:r>
        <w:rPr>
          <w:rFonts w:ascii="Times New Roman" w:cs="Times New Roman" w:eastAsia="Times New Roman" w:hAnsi="Times New Roman"/>
          <w:sz w:val="18"/>
          <w:szCs w:val="18"/>
          <w:color w:val="auto"/>
        </w:rPr>
        <w:t>has served as a director since August 7, 2019. He served a 40-year tenure at PepsiCo, bringing extensive expertise in beverage supply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chain and management. At PepsiCo he served in a variety of field operating assignments and staff positions including the role of Senior Vice President of Worldwide Technical Operations. In this role he was responsible for Pepsi-Cola’s worldwide beverage quality, concentrate operations, research &amp; development and contract manufacturing, reporting directly to the heads of Pepsi-Cola North America and PepsiCo Beverages International. Since Mr. Imbrogno’s retirement from PepsiCo, he has consulted for multiple companies including PepsiCo.</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Rhonda Kallman </w:t>
      </w:r>
      <w:r>
        <w:rPr>
          <w:rFonts w:ascii="Times New Roman" w:cs="Times New Roman" w:eastAsia="Times New Roman" w:hAnsi="Times New Roman"/>
          <w:sz w:val="18"/>
          <w:szCs w:val="18"/>
          <w:color w:val="auto"/>
        </w:rPr>
        <w:t>has served as a director since December 30, 2021. Ms. Kallman is the founder of Boston Harbor Distillery, LLC, makers of craft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whiskey, gin, rum, liqueurs, and other inventive spirits, and has served as its Chief Executive Officer since 2012. In 1984 she co-founded The Boston Beer Company (NYSE: SAM) and served as EVP, overseeing sales &amp; marketing as well as the company’s human capital. Kallman was instrumental in paving the way for craft beer acceptance by making it available throughout the US while educating consumers on American craft beer superiority. In addition, as the pioneering woman in the beer industry, she was able to lead the way for other women to earn the respect and credibility they deserve.</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Leon M. Zaltzman </w:t>
      </w:r>
      <w:r>
        <w:rPr>
          <w:rFonts w:ascii="Times New Roman" w:cs="Times New Roman" w:eastAsia="Times New Roman" w:hAnsi="Times New Roman"/>
          <w:sz w:val="18"/>
          <w:szCs w:val="18"/>
          <w:color w:val="auto"/>
        </w:rPr>
        <w:t>has served as a director since March 21, 2022. Mr. Zaltzman is the founder and managing member of Union Square Park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LLC (“USPCM”), an SEC Registered Investment Adviser firm and is also the managing member of Union Square Park GP (“USPGP”). USPCM and USPGP serve as the investment manager and general partner to Union Square Park Partners, LP (“USPP Fund”), respectively. Foregoing entities hereinafter collectively referred to as the “Union Square Entities”. Prior to founding USPCM and USPGP in April 2015, Mr. Zaltzman worked at various major banks and investment firms for over twenty years. Mr. Zaltzman received an M.B.A. degree from Columbia Business School in 1997 and a B.S.B.A. degree from the University of Denver in 1992.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2014, Louis Imbrogno Jr. served as Chief Executive Officer of Constar International, Inc. for a six-month period during a bankruptcy proceeding and subsequent sale in a court administered public auction. He was not an executive officer of the company prior to the initiation of the bankruptcy proceedings.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described above, to the best of our knowledge, none of our executive officers or directors are parties to any material proceedings adverse to Reed’s, have any material interest adverse to Reed’s or have, during the past ten years been subject to legal or regulatory proceedings required to be disclosed 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our executive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of the Board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was formed in January 2007. The board has determined that each member of our Audit Committee is an “independent director” as defined by Rule 5605(a)(2) of The NASDAQ Stock Market Rules and that members of the Audit Committee are independent under the additional requirements of Rule 10A-3(b)(1) under the Securities Exchange Act of 1934 (the “Exchange Act”). The board has determined James C. Bass meets SEC requirements of an “audit committee financial expert” within the meaning of the Sarbanes Oxley Act of 2002, Section 407(b). In addition, the board determined that (i) none of the Audit Committee members have participated in the preparation of the financial statements of the company at any time during the past three years and (2) Audit Committee members are able to read and understand fundamental financial statements. Additionally, we intend to continue to have at least one member of the Audit Committee whose experience or background results in the individual’s financial sophistication. The Audit Committee charter is posted on our website at www.reedsinc.com.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Chief Executive Officer and all senior financial officers, including the Chief Financial Officer, are bound by a Code of Ethics that complies with Item 406 of Regulation S-B of the Exchange Act. Our Code of Ethics is posted on our website at </w:t>
      </w:r>
      <w:r>
        <w:rPr>
          <w:rFonts w:ascii="Times New Roman" w:cs="Times New Roman" w:eastAsia="Times New Roman" w:hAnsi="Times New Roman"/>
          <w:sz w:val="18"/>
          <w:szCs w:val="18"/>
          <w:u w:val="single" w:color="auto"/>
          <w:color w:val="auto"/>
        </w:rPr>
        <w:t>http://investor.reedsinc.com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Section 16(a) of the Exchange Act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our directors and executive officers and beneficial holders of more than 10% of our common stock to file with the SEC initial reports of ownership and reports of changes in ownership of our equity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our knowledge, based solely upon a review of Forms 3 and 4 and amendments thereto furnished to Reed’s under 17 CFR 240.16a-3(e) during our fiscal year ended December 31, 2021 the following individuals each filed one late Form 4 representing one transaction (unless otherwise noted): John Bello(2). None of our officers or directors filed Form 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Director Nomination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the procedures by which stockholders may recommend nominees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all compensation for fiscal years 2021 and 2020 earned by our “Named Executive Officers” during the reported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200" w:type="dxa"/>
            <w:vAlign w:val="bottom"/>
          </w:tcPr>
          <w:p>
            <w:pPr>
              <w:spacing w:after="0"/>
              <w:rPr>
                <w:sz w:val="21"/>
                <w:szCs w:val="21"/>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0" w:type="dxa"/>
            <w:vAlign w:val="bottom"/>
          </w:tcPr>
          <w:p>
            <w:pPr>
              <w:spacing w:after="0"/>
              <w:rPr>
                <w:sz w:val="21"/>
                <w:szCs w:val="21"/>
                <w:color w:val="auto"/>
              </w:rPr>
            </w:pPr>
          </w:p>
        </w:tc>
        <w:tc>
          <w:tcPr>
            <w:tcW w:w="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Norman E. Snyder, Jr.</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308,782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14,353</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Chief Executive Officer (Former Chief Operating</w:t>
            </w:r>
          </w:p>
        </w:tc>
        <w:tc>
          <w:tcPr>
            <w:tcW w:w="1420" w:type="dxa"/>
            <w:vAlign w:val="bottom"/>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1420" w:type="dxa"/>
            <w:vAlign w:val="bottom"/>
            <w:gridSpan w:val="3"/>
            <w:vMerge w:val="continue"/>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358,750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372,842</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Thomas J. Spisak</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253,847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67,500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324,835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256,250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60,746</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327,634</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Neal Cohane</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213,231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66,150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291,037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Sales Officer</w:t>
            </w:r>
          </w:p>
        </w:tc>
        <w:tc>
          <w:tcPr>
            <w:tcW w:w="14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243,333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259,110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8"/>
        <w:spacing w:after="0" w:line="261"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fair value for share-based payment awards issued during the year. The award is calculated on the date of grant in accordance with Financial Accounting Standards.</w:t>
      </w: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includes both cash payments and the estimated value of the use of company assets.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Norman E. Snyder, Jr.</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appointed Mr. Snyder to the office of Chief Operating Officer, effective March 1, 2020. Mr. Snyder succeeded John J. Bello who served as Interim Chief Executive Officer from September 30, 2019 through February 29, 2020. The board granted Mr. Snyder a one-time bonus of 150,000 RSAs vesting March 1, 2020, subject to the conditions and limitations of Reed’s Second Amended and Restated 2017 Incentive Compensation Plan, in conjunction with his promotion. Pursuant his employment agreement, on February 25, 2020, he received an equity award of 446,000 stock options, one-half scheduled to vest in equal increments on an annual basis for four years and remainder to vest based on performance criteria to be determined by the board of directors (or compensation committee of the board). Mr. Snyder’s performance-based cash bonus was set at a target amount of 30% of base salary for the term of his service as Chief Operating Officer. The agreement provided for acceleration of equity grants triggered by a “change of control”, as defined in the agreement and contains confidentiality, invention assignment and non-solicitation covenants. Mr. Snyder is also eligible to participate in the company’s benefit plans available to its executive officers.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24, 2020, we entered into an amended and restated employment agreement with Norman E. Snyder, Jr. reflecting his promotion to Chief Executive Officer on March 1, 2020. The term of the agreement continues through March 1, 2023 and will automatically renew for an additional one-year term, unless earlier terminated or unless notice of non-renewal is submitted by either party 90 days in advance. Pursuant to the agreement, Mr. Snyder’s base salary of $300,000 per year increased to $350,000 on September 30, 2020 based on satisfaction of certain objectives and to $360,500 on March 1, 2021. Mr. Snyder is also eligible to receive a performance-based cash bonus at a target amount of 50% of his base salary in effect. He is also eligible to participate in Reed’s other benefit plans available to its executive officers. The agreement provides for acceleration of equity grants triggered by a “change of control”, as defined in the agreement and contains customary, non-competition, confidentiality, invention assignment and non-solicitation covenants. Mr. Snyder is also entitled to six months’ severance benefits in the event of termination without cause by Reed’s or for good reason by Mr. Snyder, subject to execution of a release.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Thomas J. Spisak</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entered into an at-will employment agreement with Thomas J. Spisak to serve as the Chief Financial Officer of Reed’s, effective December 2, 2019. The agreement may be terminated by the Company or Mr. Spisak, with or without notice and with or without cause, pursuant to the terms of the agreement. Mr. Spisak’s base annual base salary was increased to $257,500 from $250,000 effective March 1, 2020. Mr. Spisak is also eligible to receive performance-based cash bonus at a target amount of 30% of his base salary. Pursuant to his employment agreement, Mr. Spisak received an initial equity award of 150,000 incentive stock options and 150,000 restricted stock awards on March 3, 2020, one-half of the award (75,000 options and 75,000 restricted stock awards) vesting in equal increments on an annual basis for four years and the remainder (75,000 options and 75,000 restricted stock awards) vesting based on performance criteria to be determined by the board of directors or compensation committee. Mr. Spisak is also eligible to participate in Reed’s other benefit plans available to its executive officers. The agreement contains customary confidentiality, non-competition and invention assignment covenants.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Salary Arrangements of Other Named Executive Officers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Neal Cohane receives an annual salary which increased from $210,000 to $250,000 on March 1, 2021 with a 30% bonus target, and he is eligible to participate in benefits offered by the company to its executive officers.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Change-in-Control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Policy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our general policy that awards that vest over a term greater one-year include provisions for acceleration upon a change-in-control.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 Plans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2017 Plan provides the consequences of a change-in-control provisions may be set forth in individual award agreements. For purposes of the 2020 Plan, a “change in control” generally includes (a) the acquisition of more than 50% of the company’s common stock, (b) the acquisition within a twelve-month period of 30% or more of the Company’s common stock, (c) the replacement of a majority of the board of directors, within a twelve-month period, by directors whose election was not endorsed by the incumbent board, or (d) the acquisition of all or substantially all of the Company’s assets.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2020 Plan, as amended, provides that the Compensation Committee of the board retains discretion under the 2020 Plan to determine the treatment of outstanding awards in connection with a change in control of the Company, subject to the terms of contractual agreements of executive officers. For example, the Compensation Committee may cause awards granted under the 2020 Plan to vest upon a change in control, may cancel awards in exchange for a payment of cash (or without a payment, in the case of stock options or SARs with an exercise price that exceeds fair market value), or may cause awards to be continued or substituted in connection with a change in control. For purposes of the 2020 Plan, a “change in control” generally includes (a) the acquisition of more than 50% of the company’s common stock, (b) the acquisition within a twelve-month period of 30% or more of the company’s common stock, (c) the replacement of a majority of the board of directors, within a twelve-month period, by directors whose election was not endorsed by the incumbent board of directors, or (d) the acquisition of all or substantially all of the company’s assets. The full definition of “change in control” is set out in the 2020 Plan.</w:t>
      </w:r>
    </w:p>
    <w:p>
      <w:pPr>
        <w:spacing w:after="0" w:line="18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General provisions of the 2017 Plan and 2020 Plan are subject to contractual modifications that may be set forth in executive employment agreements and award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unexercised options and equity incentive plan awards for each Named Executive Officer outstanding as of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Incentive</w:t>
            </w: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Equity</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Plan</w:t>
            </w: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Incentive</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Awards:</w:t>
            </w: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Plan</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Awards: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or</w:t>
            </w: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Number</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Payout</w:t>
            </w: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of</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Value of</w:t>
            </w: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Equity</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Number</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Market</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Unearned</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Unearned</w:t>
            </w: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Incentive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3"/>
              </w:rPr>
              <w:t>of</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Value of</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Shares,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Shares,</w:t>
            </w: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Plan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Shares</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Units or</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Units or</w:t>
            </w: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Awards: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or Units</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or Units</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Other</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Other</w:t>
            </w: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Number of</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Number of</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of Stock</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of Stock</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Rights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Rights</w:t>
            </w: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Securities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Securities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Securities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That</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That</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That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That</w:t>
            </w: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Underlying</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Underlying</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Underlying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Have</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Have</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Have</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Have</w:t>
            </w: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Unexercised</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Unexercised</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Unexercised</w:t>
            </w:r>
          </w:p>
        </w:tc>
        <w:tc>
          <w:tcPr>
            <w:tcW w:w="40" w:type="dxa"/>
            <w:vAlign w:val="bottom"/>
          </w:tcPr>
          <w:p>
            <w:pPr>
              <w:spacing w:after="0"/>
              <w:rPr>
                <w:sz w:val="18"/>
                <w:szCs w:val="18"/>
                <w:color w:val="auto"/>
              </w:rPr>
            </w:pP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Option</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Option</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Not</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Not</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Not</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Not</w:t>
            </w: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Options (#)</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Options (#)</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Unearned</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Exercise</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Expiration</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5"/>
              </w:rPr>
              <w:t>Vested</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5"/>
              </w:rPr>
              <w:t>Vested</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5"/>
              </w:rPr>
              <w:t>Vested</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Vested</w:t>
            </w:r>
          </w:p>
        </w:tc>
      </w:tr>
      <w:tr>
        <w:trPr>
          <w:trHeight w:val="241"/>
        </w:trPr>
        <w:tc>
          <w:tcPr>
            <w:tcW w:w="2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Name and Position</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Exercisable</w:t>
            </w: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Exercisable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Options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Price</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Date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6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Norman E. Snyder, Jr.</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(Chief Executive Officer,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Chief Operating</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216,936</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111,500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111,500</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0.88</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2/25/2030</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0.50</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3/25/2030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122,328</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62,500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62,500</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0.70</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5/20/2030</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292,174</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302,250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201,500</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0.95</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9/16/2030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Thomas J. Spisak</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72,992</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37,500</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37,500</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0.89</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3/2/2030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37,500</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5"/>
              </w:rPr>
              <w:t>$ 13,500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37,500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$ 13,500</w:t>
            </w:r>
          </w:p>
        </w:tc>
      </w:tr>
      <w:tr>
        <w:trPr>
          <w:trHeight w:val="216"/>
        </w:trPr>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0.50</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3/25/2030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271,513</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280,875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187,250</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0.95</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9/16/2030</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Neal Cohane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Sales Officer)</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269,531</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3/28/2028</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75,000</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0.50</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3/25/2030</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97,862</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52,138</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0.70</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5/20/2030</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149,170</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154,314</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102,876</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0.95</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9/16/2030</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1"/>
        </w:trPr>
        <w:tc>
          <w:tcPr>
            <w:tcW w:w="2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77"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our non-employee directors for the year ended December 31, 2021: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Earned or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52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40" w:type="dxa"/>
            <w:vAlign w:val="bottom"/>
          </w:tcPr>
          <w:p>
            <w:pPr>
              <w:spacing w:after="0"/>
              <w:rPr>
                <w:sz w:val="21"/>
                <w:szCs w:val="21"/>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Awards (1)</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6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John J. Bello</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177,758</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Lewis Jaffe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37,500</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15,158</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52,658</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James C. Bass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37,500</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15,158</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52,658</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Scott R. Grossman (3)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37,500</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15,158</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52,658</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Louis Imbrogno, Jr.</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37,500</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15,158</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52,658</w:t>
            </w:r>
          </w:p>
        </w:tc>
      </w:t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Rhonda Kallman (4)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5" w:lineRule="exact"/>
        <w:rPr>
          <w:sz w:val="20"/>
          <w:szCs w:val="20"/>
          <w:color w:val="auto"/>
        </w:rPr>
      </w:pPr>
    </w:p>
    <w:p>
      <w:pPr>
        <w:ind w:left="660" w:right="2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fair value of restricted stock awards granted during the year. The award is calculated on the date of grant in accordance with Financial Accounting Standards, excluding any impact of assumed forfeiture rates.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R. Grossman resigned from his position as director effective December 30, 2021.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Rhonda Kallman was elected to the board on December 30, 2021 at the Reed’s, Inc. 2021 Annual Stockholders Meeting.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Management and Related Stockholder Matters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shares of common stock beneficially owned as of March 22, 2022 for (i) each Named Executive Officer and director, and (ii) all Named Executive officers and directors as a group and (iii) each stockholder known to be the beneficial owner of 5% or more of our outstanding shares of common stock. A person is considered to beneficially own any shares (i) over which such person, directly or indirectly, exercises sole or shared voting or investment power or (ii) of which such person has the right to acquire beneficial ownership at any time within 60 days through an exercise of stock options or warrants or otherwise. Unless otherwise indicated, voting and investment power relating to the shares shown in the table for our directors and executive officers is exercised solely by the beneficial owner or shared by the owner and the owner’s spouse or children.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this table, a person or group of persons is deemed to have “beneficial ownership” of any shares of common stock that such person has the right to acquire within 60 days of March 22, 2022. For purposes of computing the percentage of outstanding shares of our common stock held by each person or group of persons named above, any shares that such person or persons has the right to acquire within 60 days of March 22, 2022 is deemed to be outstanding but is not deemed to be outstanding for the purpose of computing the percentage ownership of any other person. The inclusion herein of any shares listed as beneficially owned does not constitute an admission of beneficial ownership. Except as otherwise indicated below, the persons named in the table have sole voting and investment power with respect to all shares of common stock held by them. Unless otherwise indicated, the principal address of each listed executive officer and director is 201 Merritt 7 Corporate Park, Norwalk, Connecticut 06851.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Beneficial Owner</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Beneficially</w:t>
            </w:r>
          </w:p>
        </w:tc>
      </w:tr>
      <w:tr>
        <w:trPr>
          <w:trHeight w:val="245"/>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68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32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(1)</w:t>
            </w:r>
          </w:p>
        </w:tc>
        <w:tc>
          <w:tcPr>
            <w:tcW w:w="160" w:type="dxa"/>
            <w:vAlign w:val="bottom"/>
            <w:tcBorders>
              <w:bottom w:val="single" w:sz="8" w:color="CCEEFF"/>
            </w:tcBorders>
          </w:tcPr>
          <w:p>
            <w:pPr>
              <w:spacing w:after="0"/>
              <w:rPr>
                <w:sz w:val="21"/>
                <w:szCs w:val="2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J. Bello (2)</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10,091,433</w:t>
            </w: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Norman E. Snyder, Jr. (3)</w:t>
            </w:r>
          </w:p>
        </w:tc>
        <w:tc>
          <w:tcPr>
            <w:tcW w:w="41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1,614,606</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Neal Cohane (4)</w:t>
            </w:r>
          </w:p>
        </w:tc>
        <w:tc>
          <w:tcPr>
            <w:tcW w:w="41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792,840</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James C. Bass (5)</w:t>
            </w:r>
          </w:p>
        </w:tc>
        <w:tc>
          <w:tcPr>
            <w:tcW w:w="41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516,709</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J. Spisak (6)</w:t>
            </w:r>
          </w:p>
        </w:tc>
        <w:tc>
          <w:tcPr>
            <w:tcW w:w="41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497,138</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Louis Imbrogno (7)</w:t>
            </w:r>
          </w:p>
        </w:tc>
        <w:tc>
          <w:tcPr>
            <w:tcW w:w="41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427,217</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Lewis Jaffe (8)</w:t>
            </w:r>
          </w:p>
        </w:tc>
        <w:tc>
          <w:tcPr>
            <w:tcW w:w="41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399,568</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Leon M. Zaltzman (9)</w:t>
            </w:r>
          </w:p>
        </w:tc>
        <w:tc>
          <w:tcPr>
            <w:tcW w:w="41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18,012,117</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Rhonda Kallman (10)</w:t>
            </w:r>
          </w:p>
        </w:tc>
        <w:tc>
          <w:tcPr>
            <w:tcW w:w="41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80,344</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Named Executive Officers as a group (9 persons)</w:t>
            </w:r>
          </w:p>
        </w:tc>
        <w:tc>
          <w:tcPr>
            <w:tcW w:w="41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32,718,263</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Union Square Entities (11)</w:t>
            </w:r>
          </w:p>
        </w:tc>
        <w:tc>
          <w:tcPr>
            <w:tcW w:w="41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18,012,117</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r>
      <w:tr>
        <w:trPr>
          <w:trHeight w:val="439"/>
        </w:trPr>
        <w:tc>
          <w:tcPr>
            <w:tcW w:w="50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112,842,146 shares outstanding as of March 22, 2022.</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2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50,000 shares issuable upon exercise of currently-exercisable options, 80,344 RSAs from 2022 Board Compensation, and warrants of 1,500,000.</w:t>
      </w: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656,438 shares issuable upon exercise of currently-exercisable options.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591,563 shares issuable upon exercise of currently-exercisable options.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80,000 shares issuable upon exercise of currently-exercisable options and 80,344 RSAs from 2022 Board Compensation.</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243,466 shares issuable upon exercise of currently-exercisable options.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80,000 shares issuable upon exercise of currently-exercisable options and 80,344 RSAs from 2022 Board Compensation</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80,000 shares issuable upon exercise of currently-exercisable options and 80,344 RSAs from 2022 Board Compensation.</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21, 2022, the Board of Directors of the Company, upon recommendation from its governance committee, expanded the board from six to seven members and appointed Leon M. Zaltzman to serve as director. Mr. Zaltzman is voting and dispositive control over shares held by the Union Square Entities.</w:t>
      </w:r>
    </w:p>
    <w:p>
      <w:pPr>
        <w:spacing w:after="0" w:line="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80,344 RSAs from 2022 Board Compensation</w:t>
      </w:r>
    </w:p>
    <w:p>
      <w:pPr>
        <w:spacing w:after="0" w:line="9" w:lineRule="exact"/>
        <w:rPr>
          <w:rFonts w:ascii="Times New Roman" w:cs="Times New Roman" w:eastAsia="Times New Roman" w:hAnsi="Times New Roman"/>
          <w:sz w:val="18"/>
          <w:szCs w:val="18"/>
          <w:color w:val="auto"/>
        </w:rPr>
      </w:pPr>
    </w:p>
    <w:p>
      <w:pPr>
        <w:jc w:val="both"/>
        <w:ind w:firstLine="8"/>
        <w:spacing w:after="0" w:line="252" w:lineRule="auto"/>
        <w:tabs>
          <w:tab w:leader="none" w:pos="3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address is 1120 Avenue of the Americas, Suite 1512, New York, NY 10036. Mr. Zaltzman is the founder and managing member of Union Square Park Capital Management, LLC (“USPCM”), an SEC Registered Investment Adviser firm and is also the managing member of Union Square Park GP (“USPGP”). USPCM and USPGP serve as the investment manager and general partner to Union Square Park Partners, LP (“USPP Fund”), respectively. Foregoing entities hereinafter collectively referred to as the “Union Square Entities Mr. Zaltzman has voting and dispositive control over shares held by the Union Square Entities. Does not include 5,357,143 shares of common stock issuable upon exercise of certain warrants, which may not be exercised until September 27, 2022 and are subject to a 19.99% beneficial ownership blocker.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September 29, 2017, the 2017 Incentive Compensation Plan for 3,000,000 shares was approved by our shareholders. On December 13, 2018 the Amended and Restated 2017 Incentive Compensation Plan was approved by our shareholders increasing the number of shares issuable by 3,500,000 to 6,500,000. On December 16, 2019, the Second Amended and Restated 2017 Incentive Compensation Plan (“2017 Plan”) was approved by our shareholders, increasing the number of shares issuable by 1,000,000 to 7,500,000.</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21, 2020, the 2020 Equity Incentive Plan (“2020 Plan”) for 8,500,000 shares was approved by our shareholders. The 2020 Plan replaced the 2017 Plan, which would have expired by its terms on September 30, 2027. On December 30, 2021, the Amended and Restated 2020 Plan was adopted by our shareholders, increasing the 2020 Plan to 15,000,000 shares.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discontinued the 2017 Plan and all plans that preceded the 2017 Plan and will not issue any new awards under these prior plans, although awards granted under these plans will remain in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as of December 31, 2021, with respect to equity securities authorized for issuance under compensation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Remaining Available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12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Weighted-</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for Future Issuance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to be Issued Upon</w:t>
            </w:r>
          </w:p>
        </w:tc>
        <w:tc>
          <w:tcPr>
            <w:tcW w:w="12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Average Exercise</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Under Equity</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Exercise of</w:t>
            </w:r>
          </w:p>
        </w:tc>
        <w:tc>
          <w:tcPr>
            <w:tcW w:w="19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Price of Outstanding</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Compensation Plans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12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Options,</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(excluding securities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19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reflected in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0" w:type="dxa"/>
            <w:vAlign w:val="bottom"/>
          </w:tcPr>
          <w:p>
            <w:pPr>
              <w:spacing w:after="0"/>
              <w:rPr>
                <w:sz w:val="20"/>
                <w:szCs w:val="20"/>
                <w:color w:val="auto"/>
              </w:rPr>
            </w:pPr>
          </w:p>
        </w:tc>
        <w:tc>
          <w:tcPr>
            <w:tcW w:w="512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Plan Category</w:t>
            </w: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w:t>
            </w:r>
          </w:p>
        </w:tc>
        <w:tc>
          <w:tcPr>
            <w:tcW w:w="120" w:type="dxa"/>
            <w:vAlign w:val="bottom"/>
          </w:tcPr>
          <w:p>
            <w:pPr>
              <w:spacing w:after="0"/>
              <w:rPr>
                <w:sz w:val="20"/>
                <w:szCs w:val="20"/>
                <w:color w:val="auto"/>
              </w:rPr>
            </w:pPr>
          </w:p>
        </w:tc>
        <w:tc>
          <w:tcPr>
            <w:tcW w:w="18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5"/>
              </w:rPr>
              <w:t>(b)</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Column (a)</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10,522,995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2,768,951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10,522,995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2,768,951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written policies and procedures for the review of any transaction, arrangement or relationship between Reed’s and one of our executive officers, directors, director nominees or 5% or greater stockholders (or their immediate family members), each of whom we refer to as a “related person,” in which such related person has a direct or indirect material interest.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related person proposes to enter into such a transaction, arrangement or relationship, defined as a “related party transaction,” the related party must report the proposed related party transaction to our Chief Financial Officer. The policy calls for the proposed related party transaction to be reviewed and, if deemed appropriate, approved by the Governance Committee. Our Governance Committee is comprised of Lewis Jaffe and Rhonda Kallman. Mr. Jaffe serves as Chairman. The board of directors has determined both of the members of the Governance Committee are independent under the rules of the Nasdaq Stock Market, LLC. If practicable, the reporting, review and approval will occur prior to entry into the transaction. If advance review and approval is not practicable, the Governance Committee will review, and, in its discretion, may ratify the related party transaction. Any related party transactions that are ongoing in nature will be reviewed annually at a minimum. The related party transactions listed below were reviewed by the full board of directors. Prior to August 2005, we did not have independent directors on our board to review and approve related party transactions. The Governance Committee shall review future related party transactions.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includes a summary of transactions since the beginning of fiscal 2021 or any currently proposed transaction, in which we were or are to be a participant and the amount involved exceeded or exceeds the lesser of $120,000 or one percent of the average of our total assets at year-end for the last two completed fiscal years and in which any related person had or will have a direct or indirect material interest (other than compensation described under “Executive Compensation”). We believe the terms obtained or consideration that we paid or received, as applicable, in connection with the transactions described below were comparable to or better than terms available or the amounts that would be paid or received, as applicable, in arm’s-length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California Custom Beverage, LLC (“CCB”)</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the sale of our beverage manufacturing equipment and private label business to California Custom Beverage, LLC (“CCB”), and entity owned by Christopher J. Reed, our founder and former Chairman, director and most recently, Chief Innovation Officer, CCB assumed the monthly payments on our lease obligation for the Los Angeles manufacturing plant. Our release from the obligation by the lessor, however, was dependent upon CCB’s deposit of $1.2 million of security with the lessor. The deposit is secured by Mr. Reed’s pledge of common stock to the lessor and guaranteed personally by Mr. Reed and his wife. As of December 31, 2021, $800 has been deposited with the lessor and Mr. Reed has placed approximately 363,000 pledged shares valued at $131 that remain pledged in in escrow in favor of lessor.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we also entered into a 3-year co-packing contract for the production of Reed’s beverages in glass bottles at prevailing West Coast market rates. We are in the process of extending this agreement through the end of the year.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for a period of three years terminating December 31, 2021, we received a 5% royalty on CCB’s private label sales to existing customers and a 5% referral fee on CCB’s private label sales to referred customers. During the year ended December 31, 2021 and 2020, the Company recorded royalty revenue from CCB of $72 and $98,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3" w:name="page74"/>
    <w:bookmarkEnd w:id="7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December 31, 2020, the Company had an aggregate receivable balance from CCB of $682. During the year ended December 31, 2021, the Company recorded royalty revenue receivable of $72, and advanced expenses of $179, leaving an aggregate receivable balance of $933 at December 31, 2021.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2021, and December 31, 2020, the Company had accounts payable due to CCB of $614 and $856,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Support Received from John J. Bello</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11, 2021, we entered into an amendment to that certain Financing Agreement dated October 4, 2018, as amended or supplemented with our senior secured lender, Rosenthal &amp; Rosenthal, Inc. (“Rosenthal”) releasing and replacing that irrevocable standby letter of credit by Daniel J. Doherty,</w:t>
      </w:r>
    </w:p>
    <w:p>
      <w:pPr>
        <w:jc w:val="both"/>
        <w:ind w:firstLine="8"/>
        <w:spacing w:after="0" w:line="253" w:lineRule="auto"/>
        <w:tabs>
          <w:tab w:leader="none" w:pos="2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Daniel J. Doherty, III 2002 Family Trust in the amount of $1.5 million, which served as financial collateral for certain obligations of Reed’s under the Rosenthal credit facility, with a two million dollar ($2,000,000) pledge of securities to Rosenthal by John J. Bello and Nancy E. Bello, as Co-Trustees of THE JOHN AND NANCY BELLO REVOCABLE LIVING TRUST, under trust agreement dated December 3, 2012 (the “Bello Trust”), evidenced by that certain Pledge Agreement to Rosenthal, and as to which Rosenthal has a first and only perfected security interest by the Securities Account Control Agreement held by securities broker).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24, 2021, the Bello trust provided additional collateral support securing a $2,500,000 over-advance under the Financing Agreement, and John J. Bello also provided a personal guarantee. The additional collateral was released on March 17, 2022 along with the personal guarantee. The initial pledged collateral was released March 30, 2022 with the pay-off of the Rosenthal facility.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John J. Bello is the current Chairman, significant stockholder and former Interim Chief Executive Officer of Reed’s. As consideration for the collateral support, Mr. Bello received 400,000 shares of Reed’s restricted stock and a warrant to purchase up to 1,500,000 shares of common stock at an exercise price of $0.46 per share.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Leon M. Zaltzman and Union Square Entities.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March 21, 2022, the Board of Directors of Reed’s, Inc., a Delaware corporation (“Reed’s), upon recommendation from its governance committee, expanded the board from six to seven members and appointed Leon M. Zaltzman (“Mr. Zaltzman”) to serve as director.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Mr. Zaltzman is the founder and managing member of Union Square Park Capital Management, LLC (“USPCM”), an SEC Registered Investment Adviser firm and is also the managing member of Union Square Park GP (“USPGP”). USPCM and USPGP serve as the investment manager and general partner to Union Square Park Partners, LP (“USPP Fund”), respectively. Foregoing entities hereinafter collectively referred to as the “Union Square Entities”.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USPP Fund participated in Reed’s recent private placement (the “private placement”) of common stock, $0.0001 par value (“common stock”), and warrants, which closed on March 11, 2022, in the aggregate principal amount of $3,000,000. It acquired 10,714,286 shares of common stock and warrants to purchase 5,357,143 shares of common stock in the private placement. Prior to the private placement, Mr. Zaltzman and the Union Square Entities beneficially owned approximately 7.79% of Reed’s common stock. After the private placement, Mr. Zaltzman and the Union Square Entities beneficially owned approximately 14.6% of Reed’s common stock. The common stock and shares of common stock underlying the warrants have the same registration rights granted to all investors in the private placement.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Warrants issued to USPP Fund are not exercisable until September 27, 2022 and carry a 19.99% beneficial ownership blocker. In conjunction with the private placement and USPP Fund’s role as lead investor, Reed’s and USPCM had an oral understanding pursuant to which Reed’s agreed to support the nomination of USPCM’s nominee, Leon M. Zaltzman, to the Reed’s board, upon qualification and recommendation from Reed’s governance committee. Except as set forth above, USPP Fund invested in the private placement pursuant to the same terms and conditions of the other purchasers in the private placement.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Lindsay Martin, daughter of a director of the Company, was employed as Vice President of Marketing during the years ended December 31, 2021 and 2020. Ms. Martin was paid approximately $233 and $215, respectively, for her services during the years ended December 31, 2021 and 2020,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our board has seven directors and the following four standing committees: an Audit Committee, a Compensation Committee, a Governance Committee and an Operations Committee. The board, upon recommendation from the Compensation Committee, determined each of Lewis Jaffe, James C. Bass, Rhonda Kallman and Louis Imbrogno is an “independent director” as defined by Rule 5605(a)(2) of The NASDAQ Stock Market Rules (the “NASDAQ Rules”). Independence of board members is re-evaluated by the board annually. We intend to maintain at least a majority of independent directors on our board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Weinberg &amp; Company, P.A. (“Weinberg”) was our independent registered public accounting firm for the years ended December 31, 2021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fees paid or accrued by us for the audit and other services provided by Weinberg for the years ended December 31, 2021 and 2020:</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186,089</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45,184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36,169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38,896</w:t>
            </w:r>
          </w:p>
        </w:tc>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93,548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defined by the SEC, (i) “audit fees” are fees for professional services rendered by our principal accountant for the audit of our annual financial statements and review of financial statements included in our Form 10-K, or for services that are normally provided by the accountant in connection with statutory and regulatory filings or engagements for those fiscal years; (ii) “audit-related fees” are fees for assurance and related services by our principal accountant that are reasonably related to the performance of the audit or review of our financial statements and are not reported under “audit fees;” (iii) “tax fees” are fees for professional services rendered by our principal accountant for tax compliance, tax advice, and tax planning; and (iv) “all other fees” are fees for products and services provided by our principal accountant, other than the services reported under “audit fees,” “audit-related fees,” and “tax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Weinberg provided services for the audits of our financial statements included in Annual Reports on Form 10-K and limited reviews of the financial statements included in Quarterly Reports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Related Fees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Weinberg did not provide any professional services which would be considered “audit related fees.”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Weinberg prepared our 2020 and 2019 Federal and state income tax returns.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Services provided by Weinberg with respect to the filing of various registration statements made throughout the year are considered “all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SEC’s rules, the Audit Committee is required to pre-approve the audit and non-audit services performed by the independent registered public accounting firm in order to ensure that they do not impair the auditors’ independence. The SEC’s rules specify the types of non-audit services that an independent auditor may not provide to its audit client and establish the Audit Committee’s responsibility for administration of the engagement of the independent registered public accounting firm.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Consistent with the SEC’s rules, the Audit Committee Charter requires that the Audit Committee review and pre-approve all audit services and permitted non-audit services provided by the independent registered public accounting firm to us or any of our subsidiaries. The Audit Committee may delegate pre-approval authority to a member of the Audit Committee and if it does, the decisions of that member must be presented to the full Audit Committee at its next scheduled meeting. Accordingly, 100% of audit services and non-audit services described in this Item 14 were pre-approved by the Audit Committee.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hours expended on the principal accountant’s engagement to audit the registrant’s financial statements for the most recent fiscal year that were attributed to work performed by persons other than the principal accountant’s full-time, permanent employees.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1.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 in Item 8 of this Annual Report on Form 10-K, which is incorporated herein by reference.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other financial statement schedules have been omitted because they are either not applicable or the required information is shown in the financial statements or notes thereto.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which follows the signature page of this Annual Report on Form 10-K, which is incorporated herein by reference.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15(a) (3)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Financial Statement Schedules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15(a) (2)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Section 13 or 15(d) of the Exchange Act, the registrant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15, 2022</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REED’S, INC.</w:t>
            </w:r>
          </w:p>
        </w:tc>
      </w:t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9"/>
        </w:trPr>
        <w:tc>
          <w:tcPr>
            <w:tcW w:w="3560" w:type="dxa"/>
            <w:vAlign w:val="bottom"/>
          </w:tcPr>
          <w:p>
            <w:pPr>
              <w:spacing w:after="0"/>
              <w:rPr>
                <w:sz w:val="24"/>
                <w:szCs w:val="24"/>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Norman E. Snyder, Jr.</w:t>
            </w:r>
          </w:p>
        </w:tc>
      </w:tr>
      <w:tr>
        <w:trPr>
          <w:trHeight w:val="198"/>
        </w:trPr>
        <w:tc>
          <w:tcPr>
            <w:tcW w:w="3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Norman E. Snyder, Jr.</w:t>
            </w:r>
          </w:p>
        </w:tc>
      </w:t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the Exchange Act,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20" w:type="dxa"/>
            <w:vAlign w:val="bottom"/>
          </w:tcPr>
          <w:p>
            <w:pPr>
              <w:spacing w:after="0"/>
              <w:rPr>
                <w:sz w:val="21"/>
                <w:szCs w:val="21"/>
                <w:color w:val="auto"/>
              </w:rPr>
            </w:pPr>
          </w:p>
        </w:tc>
        <w:tc>
          <w:tcPr>
            <w:tcW w:w="3620" w:type="dxa"/>
            <w:vAlign w:val="bottom"/>
            <w:tcBorders>
              <w:bottom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 w:type="dxa"/>
            <w:vAlign w:val="bottom"/>
          </w:tcPr>
          <w:p>
            <w:pPr>
              <w:spacing w:after="0"/>
              <w:rPr>
                <w:sz w:val="21"/>
                <w:szCs w:val="21"/>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Norman E. Snyder, Jr.</w:t>
            </w:r>
          </w:p>
        </w:tc>
        <w:tc>
          <w:tcPr>
            <w:tcW w:w="4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2022</w:t>
            </w:r>
          </w:p>
        </w:tc>
      </w:tr>
      <w:tr>
        <w:trPr>
          <w:trHeight w:val="23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Norman E. Snyder, Jr.</w:t>
            </w:r>
          </w:p>
        </w:tc>
        <w:tc>
          <w:tcPr>
            <w:tcW w:w="4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(Principal Executive Officer), Director</w:t>
            </w:r>
          </w:p>
        </w:tc>
        <w:tc>
          <w:tcPr>
            <w:tcW w:w="314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Thomas J. Spisak</w:t>
            </w:r>
          </w:p>
        </w:tc>
        <w:tc>
          <w:tcPr>
            <w:tcW w:w="4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2022</w:t>
            </w:r>
          </w:p>
        </w:tc>
      </w:tr>
      <w:tr>
        <w:trPr>
          <w:trHeight w:val="23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J. Spisak</w:t>
            </w:r>
          </w:p>
        </w:tc>
        <w:tc>
          <w:tcPr>
            <w:tcW w:w="4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14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John J. Bello</w:t>
            </w:r>
          </w:p>
        </w:tc>
        <w:tc>
          <w:tcPr>
            <w:tcW w:w="4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Chairman of the Board</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2022</w:t>
            </w:r>
          </w:p>
        </w:tc>
      </w:tr>
      <w:tr>
        <w:trPr>
          <w:trHeight w:val="23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J. Bello</w:t>
            </w:r>
          </w:p>
        </w:tc>
        <w:tc>
          <w:tcPr>
            <w:tcW w:w="2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Leon Michael Zaltzman</w:t>
            </w:r>
          </w:p>
        </w:tc>
        <w:tc>
          <w:tcPr>
            <w:tcW w:w="4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2022</w:t>
            </w:r>
          </w:p>
        </w:tc>
      </w:tr>
      <w:tr>
        <w:trPr>
          <w:trHeight w:val="23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Leon Michael Zaltzman</w:t>
            </w:r>
          </w:p>
        </w:tc>
        <w:tc>
          <w:tcPr>
            <w:tcW w:w="2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Lewis Jaffe</w:t>
            </w:r>
          </w:p>
        </w:tc>
        <w:tc>
          <w:tcPr>
            <w:tcW w:w="4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2022</w:t>
            </w:r>
          </w:p>
        </w:tc>
      </w:tr>
      <w:tr>
        <w:trPr>
          <w:trHeight w:val="23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Lewis Jaffe</w:t>
            </w:r>
          </w:p>
        </w:tc>
        <w:tc>
          <w:tcPr>
            <w:tcW w:w="2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James C. Bass</w:t>
            </w:r>
          </w:p>
        </w:tc>
        <w:tc>
          <w:tcPr>
            <w:tcW w:w="4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2022</w:t>
            </w:r>
          </w:p>
        </w:tc>
      </w:tr>
      <w:tr>
        <w:trPr>
          <w:trHeight w:val="23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C. Bass</w:t>
            </w:r>
          </w:p>
        </w:tc>
        <w:tc>
          <w:tcPr>
            <w:tcW w:w="2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Rhonda Kallman</w:t>
            </w:r>
          </w:p>
        </w:tc>
        <w:tc>
          <w:tcPr>
            <w:tcW w:w="4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2022</w:t>
            </w:r>
          </w:p>
        </w:tc>
      </w:tr>
      <w:tr>
        <w:trPr>
          <w:trHeight w:val="23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Rhonda Kallman</w:t>
            </w:r>
          </w:p>
        </w:tc>
        <w:tc>
          <w:tcPr>
            <w:tcW w:w="2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/s/ Louis Imbrogno, Jr.</w:t>
            </w:r>
          </w:p>
        </w:tc>
        <w:tc>
          <w:tcPr>
            <w:tcW w:w="4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15, 2022</w:t>
            </w:r>
          </w:p>
        </w:tc>
      </w:tr>
      <w:tr>
        <w:trPr>
          <w:trHeight w:val="23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Louis Imbrogno, Jr.</w:t>
            </w:r>
          </w:p>
        </w:tc>
        <w:tc>
          <w:tcPr>
            <w:tcW w:w="2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21"/>
        </w:trPr>
        <w:tc>
          <w:tcPr>
            <w:tcW w:w="40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EXHIBIT INDEX</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9"/>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28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23"/>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560" w:type="dxa"/>
            <w:vAlign w:val="bottom"/>
            <w:gridSpan w:val="21"/>
          </w:tcPr>
          <w:p>
            <w:pPr>
              <w:ind w:left="2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76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7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9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Date Filed</w:t>
            </w:r>
          </w:p>
        </w:tc>
      </w:tr>
      <w:tr>
        <w:trPr>
          <w:trHeight w:val="175"/>
        </w:trPr>
        <w:tc>
          <w:tcPr>
            <w:tcW w:w="6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 (i)</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900" w:type="dxa"/>
            <w:vAlign w:val="bottom"/>
            <w:tcBorders>
              <w:top w:val="single" w:sz="8" w:color="auto"/>
            </w:tcBorders>
            <w:gridSpan w:val="24"/>
            <w:shd w:val="clear" w:color="auto" w:fill="CCEEFF"/>
          </w:tcPr>
          <w:p>
            <w:pPr>
              <w:spacing w:after="0" w:line="17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Certificate of Incorporation of Reed’s, Inc., as amended</w:t>
              </w:r>
            </w:hyperlink>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3 (ii)</w:t>
            </w:r>
          </w:p>
        </w:tc>
        <w:tc>
          <w:tcPr>
            <w:tcW w:w="120" w:type="dxa"/>
            <w:vAlign w:val="bottom"/>
          </w:tcPr>
          <w:p>
            <w:pPr>
              <w:spacing w:after="0"/>
              <w:rPr>
                <w:sz w:val="15"/>
                <w:szCs w:val="15"/>
                <w:color w:val="auto"/>
              </w:rPr>
            </w:pPr>
          </w:p>
        </w:tc>
        <w:tc>
          <w:tcPr>
            <w:tcW w:w="6000" w:type="dxa"/>
            <w:vAlign w:val="bottom"/>
            <w:gridSpan w:val="26"/>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Amended and Restated Bylaws of Reed’s, Inc.</w:t>
              </w:r>
            </w:hyperlink>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9"/>
              </w:rPr>
              <w:t>10-KA</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3.8</w:t>
            </w:r>
          </w:p>
        </w:tc>
        <w:tc>
          <w:tcPr>
            <w:tcW w:w="12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2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04/08/2020</w:t>
            </w:r>
          </w:p>
        </w:tc>
      </w:tr>
      <w:tr>
        <w:trPr>
          <w:trHeight w:val="21"/>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shd w:val="clear" w:color="auto" w:fill="CCEEFF"/>
          </w:tcPr>
          <w:p>
            <w:pPr>
              <w:spacing w:after="0"/>
              <w:rPr>
                <w:sz w:val="15"/>
                <w:szCs w:val="15"/>
                <w:color w:val="auto"/>
              </w:rPr>
            </w:pPr>
          </w:p>
        </w:tc>
        <w:tc>
          <w:tcPr>
            <w:tcW w:w="600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common stock certificate</w:t>
              </w:r>
            </w:hyperlink>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SB-2</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333-120451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5"/>
                <w:szCs w:val="15"/>
                <w:color w:val="auto"/>
              </w:rPr>
            </w:pPr>
          </w:p>
        </w:tc>
        <w:tc>
          <w:tcPr>
            <w:tcW w:w="6000" w:type="dxa"/>
            <w:vAlign w:val="bottom"/>
            <w:gridSpan w:val="26"/>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Form of series A preferred stock certificate</w:t>
              </w:r>
            </w:hyperlink>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SB-2</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333-120451</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shd w:val="clear" w:color="auto" w:fill="CCEEFF"/>
          </w:tcPr>
          <w:p>
            <w:pPr>
              <w:spacing w:after="0"/>
              <w:rPr>
                <w:sz w:val="15"/>
                <w:szCs w:val="15"/>
                <w:color w:val="auto"/>
              </w:rPr>
            </w:pPr>
          </w:p>
        </w:tc>
        <w:tc>
          <w:tcPr>
            <w:tcW w:w="600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Form of common stock purchase warrant issued to investors on June 2, 2016</w:t>
              </w:r>
            </w:hyperlink>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6/03/2016</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15"/>
                <w:szCs w:val="15"/>
                <w:color w:val="auto"/>
              </w:rPr>
            </w:pPr>
          </w:p>
        </w:tc>
        <w:tc>
          <w:tcPr>
            <w:tcW w:w="588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Form of common stock purchase warrant issued to Maxim Group LLC on June 2,</w:t>
              </w:r>
            </w:hyperlink>
          </w:p>
        </w:tc>
        <w:tc>
          <w:tcPr>
            <w:tcW w:w="12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2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6/03/2016</w:t>
            </w:r>
          </w:p>
        </w:tc>
      </w:tr>
      <w:tr>
        <w:trPr>
          <w:trHeight w:val="196"/>
        </w:trPr>
        <w:tc>
          <w:tcPr>
            <w:tcW w:w="660" w:type="dxa"/>
            <w:vAlign w:val="bottom"/>
          </w:tcPr>
          <w:p>
            <w:pPr>
              <w:spacing w:after="0"/>
              <w:rPr>
                <w:sz w:val="17"/>
                <w:szCs w:val="17"/>
                <w:color w:val="auto"/>
              </w:rPr>
            </w:pPr>
          </w:p>
        </w:tc>
        <w:tc>
          <w:tcPr>
            <w:tcW w:w="1740" w:type="dxa"/>
            <w:vAlign w:val="bottom"/>
            <w:gridSpan w:val="4"/>
          </w:tcPr>
          <w:p>
            <w:pPr>
              <w:ind w:left="120"/>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2016</w:t>
              </w:r>
            </w:hyperlink>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Borders>
              <w:bottom w:val="single" w:sz="8" w:color="CCEEFF"/>
            </w:tcBorders>
            <w:shd w:val="clear" w:color="auto" w:fill="CCEEFF"/>
          </w:tcPr>
          <w:p>
            <w:pPr>
              <w:spacing w:after="0"/>
              <w:rPr>
                <w:sz w:val="15"/>
                <w:szCs w:val="15"/>
                <w:color w:val="auto"/>
              </w:rPr>
            </w:pPr>
          </w:p>
        </w:tc>
        <w:tc>
          <w:tcPr>
            <w:tcW w:w="590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common stock purchase warrant issued to PMC Financial Services</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5/11/2016</w:t>
            </w:r>
          </w:p>
        </w:tc>
      </w:tr>
      <w:tr>
        <w:trPr>
          <w:trHeight w:val="196"/>
        </w:trPr>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Group, LLC on November 9, 2015</w:t>
              </w:r>
            </w:hyperlink>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15"/>
                <w:szCs w:val="15"/>
                <w:color w:val="auto"/>
              </w:rPr>
            </w:pPr>
          </w:p>
        </w:tc>
        <w:tc>
          <w:tcPr>
            <w:tcW w:w="6000" w:type="dxa"/>
            <w:vAlign w:val="bottom"/>
            <w:gridSpan w:val="26"/>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2017-1 common stock purchase warrant</w:t>
              </w:r>
            </w:hyperlink>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2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4/24/2017</w:t>
            </w: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shd w:val="clear" w:color="auto" w:fill="CCEEFF"/>
          </w:tcPr>
          <w:p>
            <w:pPr>
              <w:spacing w:after="0"/>
              <w:rPr>
                <w:sz w:val="15"/>
                <w:szCs w:val="15"/>
                <w:color w:val="auto"/>
              </w:rPr>
            </w:pPr>
          </w:p>
        </w:tc>
        <w:tc>
          <w:tcPr>
            <w:tcW w:w="600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of 2017-2 common stock purchase warrant</w:t>
              </w:r>
            </w:hyperlink>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4/24/2017</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4.8</w:t>
            </w:r>
          </w:p>
        </w:tc>
        <w:tc>
          <w:tcPr>
            <w:tcW w:w="120" w:type="dxa"/>
            <w:vAlign w:val="bottom"/>
          </w:tcPr>
          <w:p>
            <w:pPr>
              <w:spacing w:after="0"/>
              <w:rPr>
                <w:sz w:val="15"/>
                <w:szCs w:val="15"/>
                <w:color w:val="auto"/>
              </w:rPr>
            </w:pPr>
          </w:p>
        </w:tc>
        <w:tc>
          <w:tcPr>
            <w:tcW w:w="6000" w:type="dxa"/>
            <w:vAlign w:val="bottom"/>
            <w:gridSpan w:val="26"/>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Form of 2017-3 common stock purchase warrant</w:t>
              </w:r>
            </w:hyperlink>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2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7/14/2017</w:t>
            </w: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4.9</w:t>
            </w:r>
          </w:p>
        </w:tc>
        <w:tc>
          <w:tcPr>
            <w:tcW w:w="120" w:type="dxa"/>
            <w:vAlign w:val="bottom"/>
            <w:shd w:val="clear" w:color="auto" w:fill="CCEEFF"/>
          </w:tcPr>
          <w:p>
            <w:pPr>
              <w:spacing w:after="0"/>
              <w:rPr>
                <w:sz w:val="15"/>
                <w:szCs w:val="15"/>
                <w:color w:val="auto"/>
              </w:rPr>
            </w:pPr>
          </w:p>
        </w:tc>
        <w:tc>
          <w:tcPr>
            <w:tcW w:w="600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2017-4 common stock purchase warrant</w:t>
              </w:r>
            </w:hyperlink>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7/14/2017</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4.10</w:t>
            </w:r>
          </w:p>
        </w:tc>
        <w:tc>
          <w:tcPr>
            <w:tcW w:w="120" w:type="dxa"/>
            <w:vAlign w:val="bottom"/>
          </w:tcPr>
          <w:p>
            <w:pPr>
              <w:spacing w:after="0"/>
              <w:rPr>
                <w:sz w:val="15"/>
                <w:szCs w:val="15"/>
                <w:color w:val="auto"/>
              </w:rPr>
            </w:pPr>
          </w:p>
        </w:tc>
        <w:tc>
          <w:tcPr>
            <w:tcW w:w="588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common stock purchase Warrant issued to Raptor/ Harbor Reed’s SPV</w:t>
              </w:r>
            </w:hyperlink>
          </w:p>
        </w:tc>
        <w:tc>
          <w:tcPr>
            <w:tcW w:w="12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4.10</w:t>
            </w:r>
          </w:p>
        </w:tc>
        <w:tc>
          <w:tcPr>
            <w:tcW w:w="12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2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3/30/2021</w:t>
            </w:r>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0" w:type="dxa"/>
            <w:vAlign w:val="bottom"/>
            <w:gridSpan w:val="26"/>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on December 11, 2020</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4.11</w:t>
            </w:r>
          </w:p>
        </w:tc>
        <w:tc>
          <w:tcPr>
            <w:tcW w:w="120" w:type="dxa"/>
            <w:vAlign w:val="bottom"/>
            <w:shd w:val="clear" w:color="auto" w:fill="CCEEFF"/>
          </w:tcPr>
          <w:p>
            <w:pPr>
              <w:spacing w:after="0"/>
              <w:rPr>
                <w:sz w:val="15"/>
                <w:szCs w:val="15"/>
                <w:color w:val="auto"/>
              </w:rPr>
            </w:pPr>
          </w:p>
        </w:tc>
        <w:tc>
          <w:tcPr>
            <w:tcW w:w="600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Warrant (Union Square Park Partners, LP)</w:t>
              </w:r>
            </w:hyperlink>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3/22/2022</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4.12</w:t>
            </w:r>
          </w:p>
        </w:tc>
        <w:tc>
          <w:tcPr>
            <w:tcW w:w="120" w:type="dxa"/>
            <w:vAlign w:val="bottom"/>
          </w:tcPr>
          <w:p>
            <w:pPr>
              <w:spacing w:after="0"/>
              <w:rPr>
                <w:sz w:val="15"/>
                <w:szCs w:val="15"/>
                <w:color w:val="auto"/>
              </w:rPr>
            </w:pPr>
          </w:p>
        </w:tc>
        <w:tc>
          <w:tcPr>
            <w:tcW w:w="6000" w:type="dxa"/>
            <w:vAlign w:val="bottom"/>
            <w:gridSpan w:val="26"/>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Warrant 2022 PIPE</w:t>
              </w:r>
            </w:hyperlink>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2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3/14/2022</w:t>
            </w: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4 (vi)</w:t>
            </w:r>
          </w:p>
        </w:tc>
        <w:tc>
          <w:tcPr>
            <w:tcW w:w="120" w:type="dxa"/>
            <w:vAlign w:val="bottom"/>
            <w:shd w:val="clear" w:color="auto" w:fill="CCEEFF"/>
          </w:tcPr>
          <w:p>
            <w:pPr>
              <w:spacing w:after="0"/>
              <w:rPr>
                <w:sz w:val="15"/>
                <w:szCs w:val="15"/>
                <w:color w:val="auto"/>
              </w:rPr>
            </w:pPr>
          </w:p>
        </w:tc>
        <w:tc>
          <w:tcPr>
            <w:tcW w:w="600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w:anchor="page154">
              <w:r>
                <w:rPr>
                  <w:rFonts w:ascii="Times New Roman" w:cs="Times New Roman" w:eastAsia="Times New Roman" w:hAnsi="Times New Roman"/>
                  <w:sz w:val="18"/>
                  <w:szCs w:val="18"/>
                  <w:color w:val="0000EE"/>
                </w:rPr>
                <w:t>Description of registrant’s common stock</w:t>
              </w:r>
            </w:hyperlink>
          </w:p>
        </w:tc>
        <w:tc>
          <w:tcPr>
            <w:tcW w:w="1620" w:type="dxa"/>
            <w:vAlign w:val="bottom"/>
            <w:gridSpan w:val="4"/>
            <w:shd w:val="clear" w:color="auto" w:fill="CCEEFF"/>
          </w:tcPr>
          <w:p>
            <w:pPr>
              <w:jc w:val="center"/>
              <w:ind w:right="88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5"/>
                <w:szCs w:val="15"/>
                <w:color w:val="auto"/>
              </w:rPr>
            </w:pPr>
          </w:p>
        </w:tc>
        <w:tc>
          <w:tcPr>
            <w:tcW w:w="588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Satisfaction Settlement and Release Agreement by and between Reed’s, Inc. and</w:t>
              </w:r>
            </w:hyperlink>
          </w:p>
        </w:tc>
        <w:tc>
          <w:tcPr>
            <w:tcW w:w="12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5"/>
                <w:szCs w:val="15"/>
                <w:color w:val="auto"/>
              </w:rPr>
            </w:pPr>
          </w:p>
        </w:tc>
        <w:tc>
          <w:tcPr>
            <w:tcW w:w="96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rPr>
              <w:t>001-32501</w:t>
            </w:r>
          </w:p>
        </w:tc>
        <w:tc>
          <w:tcPr>
            <w:tcW w:w="12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3/20/2021</w:t>
            </w:r>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0" w:type="dxa"/>
            <w:vAlign w:val="bottom"/>
            <w:gridSpan w:val="26"/>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Raptor/ Harbor Reeds SPV, dated December 11, 2020</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58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Registration Rights Agreement by and between Reed’s, Inc. and Raptor/ Harbor</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3/20/2021</w:t>
            </w:r>
          </w:p>
        </w:tc>
      </w:tr>
      <w:tr>
        <w:trPr>
          <w:trHeight w:val="196"/>
        </w:trPr>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Reeds SPV, dated December 11, 2020</w:t>
              </w:r>
            </w:hyperlink>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15"/>
                <w:szCs w:val="15"/>
                <w:color w:val="auto"/>
              </w:rPr>
            </w:pPr>
          </w:p>
        </w:tc>
        <w:tc>
          <w:tcPr>
            <w:tcW w:w="588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Amendment dated March 11, 2021 to Financing Agreement dated October 4,</w:t>
              </w:r>
            </w:hyperlink>
          </w:p>
        </w:tc>
        <w:tc>
          <w:tcPr>
            <w:tcW w:w="12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2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3/20/2021</w:t>
            </w:r>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0" w:type="dxa"/>
            <w:vAlign w:val="bottom"/>
            <w:gridSpan w:val="26"/>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2018 by and between Reed’s, Inc, and Rosenthal &amp; Rosenthal, Inc.</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590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Registration Rights Agreement by and between Reed’s, Inc., and purchasers</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6/03/2016</w:t>
            </w:r>
          </w:p>
        </w:tc>
      </w:tr>
      <w:tr>
        <w:trPr>
          <w:trHeight w:val="196"/>
        </w:trPr>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signatory thereto dated May 26, 2016</w:t>
              </w:r>
            </w:hyperlink>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10.5</w:t>
            </w:r>
          </w:p>
        </w:tc>
        <w:tc>
          <w:tcPr>
            <w:tcW w:w="120" w:type="dxa"/>
            <w:vAlign w:val="bottom"/>
          </w:tcPr>
          <w:p>
            <w:pPr>
              <w:spacing w:after="0"/>
              <w:rPr>
                <w:sz w:val="15"/>
                <w:szCs w:val="15"/>
                <w:color w:val="auto"/>
              </w:rPr>
            </w:pPr>
          </w:p>
        </w:tc>
        <w:tc>
          <w:tcPr>
            <w:tcW w:w="5900" w:type="dxa"/>
            <w:vAlign w:val="bottom"/>
            <w:tcBorders>
              <w:bottom w:val="single" w:sz="8" w:color="0000EE"/>
            </w:tcBorders>
            <w:gridSpan w:val="24"/>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Registration Rights Agreement by and between Reed’s, Inc. and</w:t>
              </w:r>
            </w:hyperlink>
          </w:p>
        </w:tc>
        <w:tc>
          <w:tcPr>
            <w:tcW w:w="10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2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4/24/2017</w:t>
            </w:r>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0" w:type="dxa"/>
            <w:vAlign w:val="bottom"/>
            <w:gridSpan w:val="26"/>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Raptor/Harbor Reeds SPV LLC dated April 21, 2017</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5"/>
                <w:szCs w:val="15"/>
                <w:color w:val="auto"/>
              </w:rPr>
            </w:pPr>
          </w:p>
        </w:tc>
        <w:tc>
          <w:tcPr>
            <w:tcW w:w="600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Reed’s, Inc. 2017 Incentive Compensation Plan</w:t>
              </w:r>
            </w:hyperlink>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5"/>
              </w:rPr>
              <w:t>S-8</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333-222741</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1/29/2018</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6000" w:type="dxa"/>
            <w:vAlign w:val="bottom"/>
            <w:gridSpan w:val="26"/>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Reed’s, Inc. 2020 Equity Incentive Plan</w:t>
              </w:r>
            </w:hyperlink>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5"/>
              </w:rPr>
              <w:t>S-8</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333-252140</w:t>
            </w:r>
          </w:p>
        </w:tc>
        <w:tc>
          <w:tcPr>
            <w:tcW w:w="12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1/15/2021</w:t>
            </w: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590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Amendment dated December 23, 2020 to Financing Agreement dated October 4,</w:t>
              </w:r>
            </w:hyperlink>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3/20/2021</w:t>
            </w:r>
          </w:p>
        </w:tc>
      </w:tr>
      <w:tr>
        <w:trPr>
          <w:trHeight w:val="196"/>
        </w:trPr>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2018 between Reed’s, Inc. and Rosenthal &amp; Rosenthal, Inc</w:t>
              </w:r>
              <w:r>
                <w:rPr>
                  <w:rFonts w:ascii="Times New Roman" w:cs="Times New Roman" w:eastAsia="Times New Roman" w:hAnsi="Times New Roman"/>
                  <w:sz w:val="18"/>
                  <w:szCs w:val="18"/>
                  <w:color w:val="000000"/>
                </w:rPr>
                <w:t>.</w:t>
              </w:r>
            </w:hyperlink>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10.9</w:t>
            </w:r>
          </w:p>
        </w:tc>
        <w:tc>
          <w:tcPr>
            <w:tcW w:w="120" w:type="dxa"/>
            <w:vAlign w:val="bottom"/>
          </w:tcPr>
          <w:p>
            <w:pPr>
              <w:spacing w:after="0"/>
              <w:rPr>
                <w:sz w:val="15"/>
                <w:szCs w:val="15"/>
                <w:color w:val="auto"/>
              </w:rPr>
            </w:pPr>
          </w:p>
        </w:tc>
        <w:tc>
          <w:tcPr>
            <w:tcW w:w="588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Inventory Security Agreement by and between Reed’s, Inc. and Rosenthal &amp;</w:t>
              </w:r>
            </w:hyperlink>
          </w:p>
        </w:tc>
        <w:tc>
          <w:tcPr>
            <w:tcW w:w="12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2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11/14/2018</w:t>
            </w:r>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0" w:type="dxa"/>
            <w:vAlign w:val="bottom"/>
            <w:gridSpan w:val="26"/>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Rosenthal Inc. dated October 4, 2018</w:t>
              </w:r>
            </w:hyperlink>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59"/>
        </w:trPr>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2660" w:type="dxa"/>
            <w:vAlign w:val="bottom"/>
            <w:tcBorders>
              <w:top w:val="single" w:sz="8" w:color="0000EE"/>
              <w:bottom w:val="single" w:sz="8" w:color="auto"/>
            </w:tcBorders>
            <w:gridSpan w:val="6"/>
          </w:tcPr>
          <w:p>
            <w:pPr>
              <w:spacing w:after="0"/>
              <w:rPr>
                <w:sz w:val="24"/>
                <w:szCs w:val="24"/>
                <w:color w:val="auto"/>
              </w:rPr>
            </w:pPr>
          </w:p>
        </w:tc>
        <w:tc>
          <w:tcPr>
            <w:tcW w:w="2840" w:type="dxa"/>
            <w:vAlign w:val="bottom"/>
            <w:tcBorders>
              <w:bottom w:val="single" w:sz="8" w:color="auto"/>
            </w:tcBorders>
            <w:gridSpan w:val="15"/>
          </w:tcPr>
          <w:p>
            <w:pPr>
              <w:jc w:val="right"/>
              <w:ind w:right="580"/>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10.10</w:t>
            </w:r>
          </w:p>
        </w:tc>
        <w:tc>
          <w:tcPr>
            <w:tcW w:w="5980" w:type="dxa"/>
            <w:vAlign w:val="bottom"/>
            <w:tcBorders>
              <w:bottom w:val="single" w:sz="8" w:color="0000EE"/>
            </w:tcBorders>
            <w:gridSpan w:val="22"/>
            <w:shd w:val="clear" w:color="auto" w:fill="CCEEFF"/>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Intellectual Property Security Agreement by and between Reed’s, Inc. and</w:t>
              </w:r>
            </w:hyperlink>
          </w:p>
        </w:tc>
        <w:tc>
          <w:tcPr>
            <w:tcW w:w="180" w:type="dxa"/>
            <w:vAlign w:val="bottom"/>
            <w:tcBorders>
              <w:bottom w:val="single" w:sz="8" w:color="CCEEFF"/>
            </w:tcBorders>
            <w:gridSpan w:val="3"/>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7"/>
              </w:rPr>
              <w:t>10-Q</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001-32501</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11/14/2018</w:t>
            </w:r>
          </w:p>
        </w:tc>
      </w:tr>
      <w:tr>
        <w:trPr>
          <w:trHeight w:val="217"/>
        </w:trPr>
        <w:tc>
          <w:tcPr>
            <w:tcW w:w="780" w:type="dxa"/>
            <w:vAlign w:val="bottom"/>
            <w:tcBorders>
              <w:bottom w:val="single" w:sz="8" w:color="CCEEFF"/>
            </w:tcBorders>
            <w:shd w:val="clear" w:color="auto" w:fill="CCEEFF"/>
          </w:tcPr>
          <w:p>
            <w:pPr>
              <w:spacing w:after="0"/>
              <w:rPr>
                <w:sz w:val="18"/>
                <w:szCs w:val="18"/>
                <w:color w:val="auto"/>
              </w:rPr>
            </w:pPr>
          </w:p>
        </w:tc>
        <w:tc>
          <w:tcPr>
            <w:tcW w:w="364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Rosenthal &amp; Rosenthal Inc. dated October 4, 2018</w:t>
              </w:r>
            </w:hyperlink>
          </w:p>
        </w:tc>
        <w:tc>
          <w:tcPr>
            <w:tcW w:w="2520" w:type="dxa"/>
            <w:vAlign w:val="bottom"/>
            <w:tcBorders>
              <w:bottom w:val="single" w:sz="8" w:color="CCEEFF"/>
            </w:tcBorders>
            <w:gridSpan w:val="13"/>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598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Security Interest (short form) by Reed’s, Inc. in favor of Rosenthal &amp; Rosenthal</w:t>
              </w:r>
            </w:hyperlink>
          </w:p>
        </w:tc>
        <w:tc>
          <w:tcPr>
            <w:tcW w:w="180" w:type="dxa"/>
            <w:vAlign w:val="bottom"/>
            <w:gridSpan w:val="3"/>
          </w:tcPr>
          <w:p>
            <w:pPr>
              <w:spacing w:after="0"/>
              <w:rPr>
                <w:sz w:val="15"/>
                <w:szCs w:val="15"/>
                <w:color w:val="auto"/>
              </w:rPr>
            </w:pPr>
          </w:p>
        </w:tc>
        <w:tc>
          <w:tcPr>
            <w:tcW w:w="1420" w:type="dxa"/>
            <w:vAlign w:val="bottom"/>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11/14/2018</w:t>
            </w:r>
          </w:p>
        </w:tc>
      </w:tr>
      <w:tr>
        <w:trPr>
          <w:trHeight w:val="196"/>
        </w:trPr>
        <w:tc>
          <w:tcPr>
            <w:tcW w:w="780" w:type="dxa"/>
            <w:vAlign w:val="bottom"/>
          </w:tcPr>
          <w:p>
            <w:pPr>
              <w:spacing w:after="0"/>
              <w:rPr>
                <w:sz w:val="17"/>
                <w:szCs w:val="17"/>
                <w:color w:val="auto"/>
              </w:rPr>
            </w:pPr>
          </w:p>
        </w:tc>
        <w:tc>
          <w:tcPr>
            <w:tcW w:w="6160" w:type="dxa"/>
            <w:vAlign w:val="bottom"/>
            <w:gridSpan w:val="25"/>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Inc. dated October 4, 2018</w:t>
              </w:r>
            </w:hyperlink>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5"/>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598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Termination  Agreement  by  and  between  Rosenthal  &amp;  Rosenthal  Inc.  and</w:t>
              </w:r>
            </w:hyperlink>
          </w:p>
        </w:tc>
        <w:tc>
          <w:tcPr>
            <w:tcW w:w="180" w:type="dxa"/>
            <w:vAlign w:val="bottom"/>
            <w:tcBorders>
              <w:bottom w:val="single" w:sz="8" w:color="CCEEFF"/>
            </w:tcBorders>
            <w:gridSpan w:val="3"/>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3/20/2021</w:t>
            </w:r>
          </w:p>
        </w:tc>
      </w:tr>
      <w:tr>
        <w:trPr>
          <w:trHeight w:val="217"/>
        </w:trPr>
        <w:tc>
          <w:tcPr>
            <w:tcW w:w="780" w:type="dxa"/>
            <w:vAlign w:val="bottom"/>
            <w:tcBorders>
              <w:bottom w:val="single" w:sz="8" w:color="CCEEFF"/>
            </w:tcBorders>
            <w:shd w:val="clear" w:color="auto" w:fill="CCEEFF"/>
          </w:tcPr>
          <w:p>
            <w:pPr>
              <w:spacing w:after="0"/>
              <w:rPr>
                <w:sz w:val="18"/>
                <w:szCs w:val="18"/>
                <w:color w:val="auto"/>
              </w:rPr>
            </w:pPr>
          </w:p>
        </w:tc>
        <w:tc>
          <w:tcPr>
            <w:tcW w:w="3940" w:type="dxa"/>
            <w:vAlign w:val="bottom"/>
            <w:tcBorders>
              <w:bottom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Raptor/Harbor Reeds SPV LLC dated October 4, 2018</w:t>
              </w:r>
            </w:hyperlink>
          </w:p>
        </w:tc>
        <w:tc>
          <w:tcPr>
            <w:tcW w:w="2220" w:type="dxa"/>
            <w:vAlign w:val="bottom"/>
            <w:tcBorders>
              <w:bottom w:val="single" w:sz="8" w:color="CCEEFF"/>
            </w:tcBorders>
            <w:gridSpan w:val="11"/>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596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Sublease Agreement by and between Reed’s, Inc., Merritt 7 Venture L.L.C., and</w:t>
              </w:r>
            </w:hyperlink>
          </w:p>
        </w:tc>
        <w:tc>
          <w:tcPr>
            <w:tcW w:w="200" w:type="dxa"/>
            <w:vAlign w:val="bottom"/>
            <w:gridSpan w:val="4"/>
          </w:tcPr>
          <w:p>
            <w:pPr>
              <w:spacing w:after="0"/>
              <w:rPr>
                <w:sz w:val="15"/>
                <w:szCs w:val="15"/>
                <w:color w:val="auto"/>
              </w:rPr>
            </w:pPr>
          </w:p>
        </w:tc>
        <w:tc>
          <w:tcPr>
            <w:tcW w:w="1420" w:type="dxa"/>
            <w:vAlign w:val="bottom"/>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10.7</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11/14/2018</w:t>
            </w:r>
          </w:p>
        </w:tc>
      </w:tr>
      <w:tr>
        <w:trPr>
          <w:trHeight w:val="196"/>
        </w:trPr>
        <w:tc>
          <w:tcPr>
            <w:tcW w:w="780" w:type="dxa"/>
            <w:vAlign w:val="bottom"/>
          </w:tcPr>
          <w:p>
            <w:pPr>
              <w:spacing w:after="0"/>
              <w:rPr>
                <w:sz w:val="17"/>
                <w:szCs w:val="17"/>
                <w:color w:val="auto"/>
              </w:rPr>
            </w:pPr>
          </w:p>
        </w:tc>
        <w:tc>
          <w:tcPr>
            <w:tcW w:w="6160" w:type="dxa"/>
            <w:vAlign w:val="bottom"/>
            <w:gridSpan w:val="25"/>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GE Capital US Holdings, Inc., dated September 1, 2018</w:t>
              </w:r>
            </w:hyperlink>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602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Asset Purchase Agreement by and between Reed’s, Inc. and California Custom</w:t>
              </w:r>
            </w:hyperlink>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12/31/2018</w:t>
            </w:r>
          </w:p>
        </w:tc>
      </w:tr>
      <w:tr>
        <w:trPr>
          <w:trHeight w:val="217"/>
        </w:trPr>
        <w:tc>
          <w:tcPr>
            <w:tcW w:w="780" w:type="dxa"/>
            <w:vAlign w:val="bottom"/>
            <w:tcBorders>
              <w:bottom w:val="single" w:sz="8" w:color="CCEEFF"/>
            </w:tcBorders>
            <w:shd w:val="clear" w:color="auto" w:fill="CCEEFF"/>
          </w:tcPr>
          <w:p>
            <w:pPr>
              <w:spacing w:after="0"/>
              <w:rPr>
                <w:sz w:val="18"/>
                <w:szCs w:val="18"/>
                <w:color w:val="auto"/>
              </w:rPr>
            </w:pPr>
          </w:p>
        </w:tc>
        <w:tc>
          <w:tcPr>
            <w:tcW w:w="2960" w:type="dxa"/>
            <w:vAlign w:val="bottom"/>
            <w:tcBorders>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Beverage LLC dated December 31, 2018</w:t>
              </w:r>
            </w:hyperlink>
          </w:p>
        </w:tc>
        <w:tc>
          <w:tcPr>
            <w:tcW w:w="3200" w:type="dxa"/>
            <w:vAlign w:val="bottom"/>
            <w:tcBorders>
              <w:bottom w:val="single" w:sz="8" w:color="CCEEFF"/>
            </w:tcBorders>
            <w:gridSpan w:val="15"/>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75"/>
        </w:trPr>
        <w:tc>
          <w:tcPr>
            <w:tcW w:w="7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598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Assignment and Assumption of Lease and Consent of Lessor by and between</w:t>
              </w:r>
            </w:hyperlink>
          </w:p>
        </w:tc>
        <w:tc>
          <w:tcPr>
            <w:tcW w:w="180" w:type="dxa"/>
            <w:vAlign w:val="bottom"/>
            <w:gridSpan w:val="3"/>
          </w:tcPr>
          <w:p>
            <w:pPr>
              <w:spacing w:after="0"/>
              <w:rPr>
                <w:sz w:val="15"/>
                <w:szCs w:val="15"/>
                <w:color w:val="auto"/>
              </w:rPr>
            </w:pPr>
          </w:p>
        </w:tc>
        <w:tc>
          <w:tcPr>
            <w:tcW w:w="1420" w:type="dxa"/>
            <w:vAlign w:val="bottom"/>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12/31/2018</w:t>
            </w:r>
          </w:p>
        </w:tc>
      </w:tr>
      <w:tr>
        <w:trPr>
          <w:trHeight w:val="196"/>
        </w:trPr>
        <w:tc>
          <w:tcPr>
            <w:tcW w:w="780" w:type="dxa"/>
            <w:vAlign w:val="bottom"/>
          </w:tcPr>
          <w:p>
            <w:pPr>
              <w:spacing w:after="0"/>
              <w:rPr>
                <w:sz w:val="17"/>
                <w:szCs w:val="17"/>
                <w:color w:val="auto"/>
              </w:rPr>
            </w:pPr>
          </w:p>
        </w:tc>
        <w:tc>
          <w:tcPr>
            <w:tcW w:w="6160" w:type="dxa"/>
            <w:vAlign w:val="bottom"/>
            <w:gridSpan w:val="25"/>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Reed’s, Inc. and California Custom Beverage LLC dated December 31, 2018</w:t>
              </w:r>
            </w:hyperlink>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5"/>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602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Indemnification Agreement by and between Reed’s, Inc. and officers and</w:t>
              </w:r>
            </w:hyperlink>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4/01/2019</w:t>
            </w:r>
          </w:p>
        </w:tc>
      </w:tr>
      <w:tr>
        <w:trPr>
          <w:trHeight w:val="196"/>
        </w:trPr>
        <w:tc>
          <w:tcPr>
            <w:tcW w:w="780" w:type="dxa"/>
            <w:vAlign w:val="bottom"/>
            <w:shd w:val="clear" w:color="auto" w:fill="CCEEFF"/>
          </w:tcPr>
          <w:p>
            <w:pPr>
              <w:spacing w:after="0"/>
              <w:rPr>
                <w:sz w:val="17"/>
                <w:szCs w:val="17"/>
                <w:color w:val="auto"/>
              </w:rPr>
            </w:pPr>
          </w:p>
        </w:tc>
        <w:tc>
          <w:tcPr>
            <w:tcW w:w="616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directors</w:t>
              </w:r>
            </w:hyperlink>
          </w:p>
        </w:tc>
        <w:tc>
          <w:tcPr>
            <w:tcW w:w="1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598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Executive Employment Agreement by and between Reed’s, Inc. and Thomas J.</w:t>
              </w:r>
            </w:hyperlink>
          </w:p>
        </w:tc>
        <w:tc>
          <w:tcPr>
            <w:tcW w:w="180" w:type="dxa"/>
            <w:vAlign w:val="bottom"/>
            <w:gridSpan w:val="3"/>
          </w:tcPr>
          <w:p>
            <w:pPr>
              <w:spacing w:after="0"/>
              <w:rPr>
                <w:sz w:val="15"/>
                <w:szCs w:val="15"/>
                <w:color w:val="auto"/>
              </w:rPr>
            </w:pPr>
          </w:p>
        </w:tc>
        <w:tc>
          <w:tcPr>
            <w:tcW w:w="1420" w:type="dxa"/>
            <w:vAlign w:val="bottom"/>
          </w:tcPr>
          <w:p>
            <w:pPr>
              <w:jc w:val="center"/>
              <w:ind w:left="510"/>
              <w:spacing w:after="0" w:line="176" w:lineRule="exact"/>
              <w:rPr>
                <w:sz w:val="20"/>
                <w:szCs w:val="20"/>
                <w:color w:val="auto"/>
              </w:rPr>
            </w:pPr>
            <w:r>
              <w:rPr>
                <w:rFonts w:ascii="Times New Roman" w:cs="Times New Roman" w:eastAsia="Times New Roman" w:hAnsi="Times New Roman"/>
                <w:sz w:val="18"/>
                <w:szCs w:val="18"/>
                <w:color w:val="auto"/>
                <w:w w:val="99"/>
              </w:rPr>
              <w:t>10-KA</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10.38</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4/08/2020</w:t>
            </w:r>
          </w:p>
        </w:tc>
      </w:tr>
      <w:tr>
        <w:trPr>
          <w:trHeight w:val="196"/>
        </w:trPr>
        <w:tc>
          <w:tcPr>
            <w:tcW w:w="780" w:type="dxa"/>
            <w:vAlign w:val="bottom"/>
          </w:tcPr>
          <w:p>
            <w:pPr>
              <w:spacing w:after="0"/>
              <w:rPr>
                <w:sz w:val="17"/>
                <w:szCs w:val="17"/>
                <w:color w:val="auto"/>
              </w:rPr>
            </w:pPr>
          </w:p>
        </w:tc>
        <w:tc>
          <w:tcPr>
            <w:tcW w:w="6160" w:type="dxa"/>
            <w:vAlign w:val="bottom"/>
            <w:gridSpan w:val="25"/>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Spisak dated December 2, 2019</w:t>
              </w:r>
            </w:hyperlink>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52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Form of Non-Employee Director Nonstatutory Stock Option Agreement</w:t>
              </w:r>
            </w:hyperlink>
          </w:p>
        </w:tc>
        <w:tc>
          <w:tcPr>
            <w:tcW w:w="960" w:type="dxa"/>
            <w:vAlign w:val="bottom"/>
            <w:tcBorders>
              <w:bottom w:val="single" w:sz="8" w:color="CCEEFF"/>
            </w:tcBorders>
            <w:gridSpan w:val="7"/>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040" w:type="dxa"/>
            <w:vAlign w:val="bottom"/>
            <w:tcBorders>
              <w:bottom w:val="single" w:sz="8" w:color="CCEEFF"/>
            </w:tcBorders>
            <w:shd w:val="clear" w:color="auto" w:fill="CCEEFF"/>
          </w:tcPr>
          <w:p>
            <w:pPr>
              <w:spacing w:after="0"/>
              <w:rPr>
                <w:sz w:val="17"/>
                <w:szCs w:val="17"/>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6160" w:type="dxa"/>
            <w:vAlign w:val="bottom"/>
            <w:gridSpan w:val="25"/>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Executive Incentive Stock Option Agreement</w:t>
              </w:r>
            </w:hyperlink>
          </w:p>
        </w:tc>
        <w:tc>
          <w:tcPr>
            <w:tcW w:w="1420" w:type="dxa"/>
            <w:vAlign w:val="bottom"/>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72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8/10/2020</w:t>
            </w:r>
          </w:p>
        </w:tc>
      </w:tr>
      <w:tr>
        <w:trPr>
          <w:trHeight w:val="21"/>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598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Amended and Restated Employment Agreement by and between Reed’s, Inc. and</w:t>
              </w:r>
            </w:hyperlink>
          </w:p>
        </w:tc>
        <w:tc>
          <w:tcPr>
            <w:tcW w:w="180" w:type="dxa"/>
            <w:vAlign w:val="bottom"/>
            <w:tcBorders>
              <w:bottom w:val="single" w:sz="8" w:color="CCEEFF"/>
            </w:tcBorders>
            <w:gridSpan w:val="3"/>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8/10/2020</w:t>
            </w:r>
          </w:p>
        </w:tc>
      </w:tr>
      <w:tr>
        <w:trPr>
          <w:trHeight w:val="216"/>
        </w:trPr>
        <w:tc>
          <w:tcPr>
            <w:tcW w:w="78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8"/>
              </w:rPr>
            </w:pPr>
            <w:hyperlink r:id="rId110">
              <w:r>
                <w:rPr>
                  <w:rFonts w:ascii="Times New Roman" w:cs="Times New Roman" w:eastAsia="Times New Roman" w:hAnsi="Times New Roman"/>
                  <w:sz w:val="18"/>
                  <w:szCs w:val="18"/>
                  <w:color w:val="0000EE"/>
                  <w:w w:val="98"/>
                </w:rPr>
                <w:t>Norman E. Snyder, Jr. dated June 24, 2020</w:t>
              </w:r>
            </w:hyperlink>
          </w:p>
        </w:tc>
        <w:tc>
          <w:tcPr>
            <w:tcW w:w="3080" w:type="dxa"/>
            <w:vAlign w:val="bottom"/>
            <w:tcBorders>
              <w:bottom w:val="single" w:sz="8" w:color="CCEEFF"/>
            </w:tcBorders>
            <w:gridSpan w:val="14"/>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598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 xml:space="preserve">Form of Reed’s, Inc. Promissory Note, in the principal amount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769,816 in</w:t>
              </w:r>
            </w:hyperlink>
          </w:p>
        </w:tc>
        <w:tc>
          <w:tcPr>
            <w:tcW w:w="180" w:type="dxa"/>
            <w:vAlign w:val="bottom"/>
            <w:gridSpan w:val="3"/>
          </w:tcPr>
          <w:p>
            <w:pPr>
              <w:spacing w:after="0"/>
              <w:rPr>
                <w:sz w:val="15"/>
                <w:szCs w:val="15"/>
                <w:color w:val="auto"/>
              </w:rPr>
            </w:pPr>
          </w:p>
        </w:tc>
        <w:tc>
          <w:tcPr>
            <w:tcW w:w="1420" w:type="dxa"/>
            <w:vAlign w:val="bottom"/>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5/01/2020</w:t>
            </w:r>
          </w:p>
        </w:tc>
      </w:tr>
      <w:tr>
        <w:trPr>
          <w:trHeight w:val="196"/>
        </w:trPr>
        <w:tc>
          <w:tcPr>
            <w:tcW w:w="780" w:type="dxa"/>
            <w:vAlign w:val="bottom"/>
          </w:tcPr>
          <w:p>
            <w:pPr>
              <w:spacing w:after="0"/>
              <w:rPr>
                <w:sz w:val="17"/>
                <w:szCs w:val="17"/>
                <w:color w:val="auto"/>
              </w:rPr>
            </w:pPr>
          </w:p>
        </w:tc>
        <w:tc>
          <w:tcPr>
            <w:tcW w:w="6160" w:type="dxa"/>
            <w:vAlign w:val="bottom"/>
            <w:gridSpan w:val="25"/>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favor of City National Bank, dated April 20, 2020.</w:t>
              </w:r>
            </w:hyperlink>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5"/>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598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Manufacturing and Distribution Agreement by and between Reed’s, Inc. and B C</w:t>
              </w:r>
            </w:hyperlink>
          </w:p>
        </w:tc>
        <w:tc>
          <w:tcPr>
            <w:tcW w:w="180" w:type="dxa"/>
            <w:vAlign w:val="bottom"/>
            <w:tcBorders>
              <w:bottom w:val="single" w:sz="8" w:color="CCEEFF"/>
            </w:tcBorders>
            <w:gridSpan w:val="3"/>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10.3</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11/13/2019</w:t>
            </w:r>
          </w:p>
        </w:tc>
      </w:tr>
      <w:tr>
        <w:trPr>
          <w:trHeight w:val="196"/>
        </w:trPr>
        <w:tc>
          <w:tcPr>
            <w:tcW w:w="780" w:type="dxa"/>
            <w:vAlign w:val="bottom"/>
            <w:shd w:val="clear" w:color="auto" w:fill="CCEEFF"/>
          </w:tcPr>
          <w:p>
            <w:pPr>
              <w:spacing w:after="0"/>
              <w:rPr>
                <w:sz w:val="17"/>
                <w:szCs w:val="17"/>
                <w:color w:val="auto"/>
              </w:rPr>
            </w:pPr>
          </w:p>
        </w:tc>
        <w:tc>
          <w:tcPr>
            <w:tcW w:w="6160" w:type="dxa"/>
            <w:vAlign w:val="bottom"/>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Marketing Concepts Inc., dba Full Sail Brewing Company dated October 11, 2019</w:t>
              </w:r>
            </w:hyperlink>
          </w:p>
        </w:tc>
        <w:tc>
          <w:tcPr>
            <w:tcW w:w="1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596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Recipe Development Agreement Reed’s, Inc. and B C Marketing Concepts Inc.,</w:t>
              </w:r>
            </w:hyperlink>
          </w:p>
        </w:tc>
        <w:tc>
          <w:tcPr>
            <w:tcW w:w="200" w:type="dxa"/>
            <w:vAlign w:val="bottom"/>
            <w:gridSpan w:val="4"/>
          </w:tcPr>
          <w:p>
            <w:pPr>
              <w:spacing w:after="0"/>
              <w:rPr>
                <w:sz w:val="15"/>
                <w:szCs w:val="15"/>
                <w:color w:val="auto"/>
              </w:rPr>
            </w:pPr>
          </w:p>
        </w:tc>
        <w:tc>
          <w:tcPr>
            <w:tcW w:w="1420" w:type="dxa"/>
            <w:vAlign w:val="bottom"/>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10.4</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11/13/2019</w:t>
            </w:r>
          </w:p>
        </w:tc>
      </w:tr>
      <w:tr>
        <w:trPr>
          <w:trHeight w:val="196"/>
        </w:trPr>
        <w:tc>
          <w:tcPr>
            <w:tcW w:w="780" w:type="dxa"/>
            <w:vAlign w:val="bottom"/>
          </w:tcPr>
          <w:p>
            <w:pPr>
              <w:spacing w:after="0"/>
              <w:rPr>
                <w:sz w:val="17"/>
                <w:szCs w:val="17"/>
                <w:color w:val="auto"/>
              </w:rPr>
            </w:pPr>
          </w:p>
        </w:tc>
        <w:tc>
          <w:tcPr>
            <w:tcW w:w="6160" w:type="dxa"/>
            <w:vAlign w:val="bottom"/>
            <w:gridSpan w:val="25"/>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dba Full Sail Brewing Company dated October 11, 2019</w:t>
              </w:r>
            </w:hyperlink>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5"/>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602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Financing Agreement by and between Reed’s, Inc. and Rosenthal &amp; Rosenthal</w:t>
              </w:r>
            </w:hyperlink>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11/14/2018</w:t>
            </w:r>
          </w:p>
        </w:tc>
      </w:tr>
      <w:tr>
        <w:trPr>
          <w:trHeight w:val="217"/>
        </w:trPr>
        <w:tc>
          <w:tcPr>
            <w:tcW w:w="7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Inc. dated October 4, 2018</w:t>
              </w:r>
            </w:hyperlink>
          </w:p>
        </w:tc>
        <w:tc>
          <w:tcPr>
            <w:tcW w:w="4240" w:type="dxa"/>
            <w:vAlign w:val="bottom"/>
            <w:tcBorders>
              <w:bottom w:val="single" w:sz="8" w:color="CCEEFF"/>
            </w:tcBorders>
            <w:gridSpan w:val="20"/>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6000" w:type="dxa"/>
            <w:vAlign w:val="bottom"/>
            <w:tcBorders>
              <w:bottom w:val="single" w:sz="8" w:color="0000EE"/>
            </w:tcBorders>
            <w:gridSpan w:val="23"/>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Form of Securities Purchase Agreement by and among Reed’s, Inc, and certain</w:t>
              </w:r>
            </w:hyperlink>
          </w:p>
        </w:tc>
        <w:tc>
          <w:tcPr>
            <w:tcW w:w="160" w:type="dxa"/>
            <w:vAlign w:val="bottom"/>
            <w:gridSpan w:val="2"/>
          </w:tcPr>
          <w:p>
            <w:pPr>
              <w:spacing w:after="0"/>
              <w:rPr>
                <w:sz w:val="15"/>
                <w:szCs w:val="15"/>
                <w:color w:val="auto"/>
              </w:rPr>
            </w:pPr>
          </w:p>
        </w:tc>
        <w:tc>
          <w:tcPr>
            <w:tcW w:w="1420" w:type="dxa"/>
            <w:vAlign w:val="bottom"/>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0001-32501</w:t>
            </w:r>
          </w:p>
        </w:tc>
      </w:tr>
      <w:tr>
        <w:trPr>
          <w:trHeight w:val="196"/>
        </w:trPr>
        <w:tc>
          <w:tcPr>
            <w:tcW w:w="780" w:type="dxa"/>
            <w:vAlign w:val="bottom"/>
          </w:tcPr>
          <w:p>
            <w:pPr>
              <w:spacing w:after="0"/>
              <w:rPr>
                <w:sz w:val="17"/>
                <w:szCs w:val="17"/>
                <w:color w:val="auto"/>
              </w:rPr>
            </w:pPr>
          </w:p>
        </w:tc>
        <w:tc>
          <w:tcPr>
            <w:tcW w:w="6160" w:type="dxa"/>
            <w:vAlign w:val="bottom"/>
            <w:gridSpan w:val="25"/>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investors dated March 10, 2022</w:t>
              </w:r>
            </w:hyperlink>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596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Form of Registration Rights Agreement by and among Reed’s, Inc, and certain</w:t>
              </w:r>
            </w:hyperlink>
          </w:p>
        </w:tc>
        <w:tc>
          <w:tcPr>
            <w:tcW w:w="200" w:type="dxa"/>
            <w:vAlign w:val="bottom"/>
            <w:tcBorders>
              <w:bottom w:val="single" w:sz="8" w:color="CCEEFF"/>
            </w:tcBorders>
            <w:gridSpan w:val="4"/>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001-32501</w:t>
            </w:r>
          </w:p>
        </w:tc>
        <w:tc>
          <w:tcPr>
            <w:tcW w:w="10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0001-32501</w:t>
            </w:r>
          </w:p>
        </w:tc>
      </w:tr>
      <w:tr>
        <w:trPr>
          <w:trHeight w:val="216"/>
        </w:trPr>
        <w:tc>
          <w:tcPr>
            <w:tcW w:w="78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investors dated March 10, 2022</w:t>
              </w:r>
            </w:hyperlink>
          </w:p>
        </w:tc>
        <w:tc>
          <w:tcPr>
            <w:tcW w:w="3880" w:type="dxa"/>
            <w:vAlign w:val="bottom"/>
            <w:tcBorders>
              <w:bottom w:val="single" w:sz="8" w:color="CCEEFF"/>
            </w:tcBorders>
            <w:gridSpan w:val="18"/>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5980" w:type="dxa"/>
            <w:vAlign w:val="bottom"/>
            <w:tcBorders>
              <w:bottom w:val="single" w:sz="8" w:color="0000EE"/>
            </w:tcBorders>
            <w:gridSpan w:val="22"/>
          </w:tcPr>
          <w:p>
            <w:pPr>
              <w:spacing w:after="0" w:line="176" w:lineRule="exact"/>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Amendment dated December 23, 2020 to Financing Agreement dated October 4,</w:t>
              </w:r>
            </w:hyperlink>
          </w:p>
        </w:tc>
        <w:tc>
          <w:tcPr>
            <w:tcW w:w="180" w:type="dxa"/>
            <w:vAlign w:val="bottom"/>
            <w:gridSpan w:val="3"/>
          </w:tcPr>
          <w:p>
            <w:pPr>
              <w:spacing w:after="0"/>
              <w:rPr>
                <w:sz w:val="15"/>
                <w:szCs w:val="15"/>
                <w:color w:val="auto"/>
              </w:rPr>
            </w:pPr>
          </w:p>
        </w:tc>
        <w:tc>
          <w:tcPr>
            <w:tcW w:w="14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6"/>
        </w:trPr>
        <w:tc>
          <w:tcPr>
            <w:tcW w:w="780" w:type="dxa"/>
            <w:vAlign w:val="bottom"/>
          </w:tcPr>
          <w:p>
            <w:pPr>
              <w:spacing w:after="0"/>
              <w:rPr>
                <w:sz w:val="17"/>
                <w:szCs w:val="17"/>
                <w:color w:val="auto"/>
              </w:rPr>
            </w:pPr>
          </w:p>
        </w:tc>
        <w:tc>
          <w:tcPr>
            <w:tcW w:w="6160" w:type="dxa"/>
            <w:vAlign w:val="bottom"/>
            <w:gridSpan w:val="25"/>
          </w:tcPr>
          <w:p>
            <w:pPr>
              <w:spacing w:after="0" w:line="196" w:lineRule="exact"/>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2018 between Reed’s, Inc. and Rosenthal &amp; Rosenthal, Inc.</w:t>
              </w:r>
            </w:hyperlink>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616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w:anchor="page159">
              <w:r>
                <w:rPr>
                  <w:rFonts w:ascii="Times New Roman" w:cs="Times New Roman" w:eastAsia="Times New Roman" w:hAnsi="Times New Roman"/>
                  <w:sz w:val="18"/>
                  <w:szCs w:val="18"/>
                  <w:color w:val="0000EE"/>
                </w:rPr>
                <w:t>Rosenthal &amp; Rosenthal, Inc. Partial Release of Pledge Agreement dated March 17,</w:t>
              </w:r>
            </w:hyperlink>
          </w:p>
        </w:tc>
        <w:tc>
          <w:tcPr>
            <w:tcW w:w="14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7"/>
        </w:trPr>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4"/>
              </w:rPr>
            </w:pPr>
            <w:hyperlink w:anchor="page159">
              <w:r>
                <w:rPr>
                  <w:rFonts w:ascii="Times New Roman" w:cs="Times New Roman" w:eastAsia="Times New Roman" w:hAnsi="Times New Roman"/>
                  <w:sz w:val="18"/>
                  <w:szCs w:val="18"/>
                  <w:color w:val="0000EE"/>
                  <w:w w:val="94"/>
                </w:rPr>
                <w:t>2022</w:t>
              </w:r>
            </w:hyperlink>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440" w:type="dxa"/>
            <w:vAlign w:val="bottom"/>
            <w:tcBorders>
              <w:top w:val="single" w:sz="8" w:color="0000EE"/>
              <w:bottom w:val="single" w:sz="8" w:color="CCEEFF"/>
            </w:tcBorders>
            <w:shd w:val="clear" w:color="auto" w:fill="CCEEFF"/>
          </w:tcPr>
          <w:p>
            <w:pPr>
              <w:spacing w:after="0"/>
              <w:rPr>
                <w:sz w:val="18"/>
                <w:szCs w:val="18"/>
                <w:color w:val="auto"/>
              </w:rPr>
            </w:pPr>
          </w:p>
        </w:tc>
        <w:tc>
          <w:tcPr>
            <w:tcW w:w="320" w:type="dxa"/>
            <w:vAlign w:val="bottom"/>
            <w:tcBorders>
              <w:top w:val="single" w:sz="8" w:color="0000EE"/>
              <w:bottom w:val="single" w:sz="8" w:color="CCEEFF"/>
            </w:tcBorders>
            <w:shd w:val="clear" w:color="auto" w:fill="CCEEFF"/>
          </w:tcPr>
          <w:p>
            <w:pPr>
              <w:spacing w:after="0"/>
              <w:rPr>
                <w:sz w:val="18"/>
                <w:szCs w:val="18"/>
                <w:color w:val="auto"/>
              </w:rPr>
            </w:pPr>
          </w:p>
        </w:tc>
        <w:tc>
          <w:tcPr>
            <w:tcW w:w="54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4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56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920" w:type="dxa"/>
            <w:vAlign w:val="bottom"/>
            <w:tcBorders>
              <w:top w:val="single" w:sz="8" w:color="0000EE"/>
              <w:bottom w:val="single" w:sz="8" w:color="CCEEFF"/>
            </w:tcBorders>
            <w:shd w:val="clear" w:color="auto" w:fill="CCEEFF"/>
          </w:tcPr>
          <w:p>
            <w:pPr>
              <w:spacing w:after="0"/>
              <w:rPr>
                <w:sz w:val="18"/>
                <w:szCs w:val="18"/>
                <w:color w:val="auto"/>
              </w:rPr>
            </w:pPr>
          </w:p>
        </w:tc>
        <w:tc>
          <w:tcPr>
            <w:tcW w:w="340" w:type="dxa"/>
            <w:vAlign w:val="bottom"/>
            <w:tcBorders>
              <w:top w:val="single" w:sz="8" w:color="0000EE"/>
              <w:bottom w:val="single" w:sz="8" w:color="CCEEFF"/>
            </w:tcBorders>
            <w:shd w:val="clear" w:color="auto" w:fill="CCEEFF"/>
          </w:tcPr>
          <w:p>
            <w:pPr>
              <w:spacing w:after="0"/>
              <w:rPr>
                <w:sz w:val="18"/>
                <w:szCs w:val="18"/>
                <w:color w:val="auto"/>
              </w:rPr>
            </w:pPr>
          </w:p>
        </w:tc>
        <w:tc>
          <w:tcPr>
            <w:tcW w:w="3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596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rPr>
            </w:pPr>
            <w:hyperlink w:anchor="page161">
              <w:r>
                <w:rPr>
                  <w:rFonts w:ascii="Times New Roman" w:cs="Times New Roman" w:eastAsia="Times New Roman" w:hAnsi="Times New Roman"/>
                  <w:sz w:val="18"/>
                  <w:szCs w:val="18"/>
                  <w:color w:val="0000EE"/>
                </w:rPr>
                <w:t>Ledgered ABL Agreement by and between Reed’s, Inc. and Alterna Capital</w:t>
              </w:r>
            </w:hyperlink>
          </w:p>
        </w:tc>
        <w:tc>
          <w:tcPr>
            <w:tcW w:w="200" w:type="dxa"/>
            <w:vAlign w:val="bottom"/>
            <w:gridSpan w:val="4"/>
          </w:tcPr>
          <w:p>
            <w:pPr>
              <w:spacing w:after="0"/>
              <w:rPr>
                <w:sz w:val="15"/>
                <w:szCs w:val="15"/>
                <w:color w:val="auto"/>
              </w:rPr>
            </w:pPr>
          </w:p>
        </w:tc>
        <w:tc>
          <w:tcPr>
            <w:tcW w:w="14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6"/>
        </w:trPr>
        <w:tc>
          <w:tcPr>
            <w:tcW w:w="780" w:type="dxa"/>
            <w:vAlign w:val="bottom"/>
          </w:tcPr>
          <w:p>
            <w:pPr>
              <w:spacing w:after="0"/>
              <w:rPr>
                <w:sz w:val="17"/>
                <w:szCs w:val="17"/>
                <w:color w:val="auto"/>
              </w:rPr>
            </w:pPr>
          </w:p>
        </w:tc>
        <w:tc>
          <w:tcPr>
            <w:tcW w:w="6160" w:type="dxa"/>
            <w:vAlign w:val="bottom"/>
            <w:gridSpan w:val="25"/>
          </w:tcPr>
          <w:p>
            <w:pPr>
              <w:spacing w:after="0" w:line="196" w:lineRule="exact"/>
              <w:rPr>
                <w:rFonts w:ascii="Times New Roman" w:cs="Times New Roman" w:eastAsia="Times New Roman" w:hAnsi="Times New Roman"/>
                <w:sz w:val="18"/>
                <w:szCs w:val="18"/>
                <w:color w:val="0000EE"/>
              </w:rPr>
            </w:pPr>
            <w:hyperlink w:anchor="page161">
              <w:r>
                <w:rPr>
                  <w:rFonts w:ascii="Times New Roman" w:cs="Times New Roman" w:eastAsia="Times New Roman" w:hAnsi="Times New Roman"/>
                  <w:sz w:val="18"/>
                  <w:szCs w:val="18"/>
                  <w:color w:val="0000EE"/>
                </w:rPr>
                <w:t>Solutions, LLC dated March 28, 2022</w:t>
              </w:r>
            </w:hyperlink>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6160" w:type="dxa"/>
            <w:vAlign w:val="bottom"/>
            <w:gridSpan w:val="25"/>
            <w:shd w:val="clear" w:color="auto" w:fill="CCEEFF"/>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Code of Ethics</w:t>
              </w:r>
            </w:hyperlink>
          </w:p>
        </w:tc>
        <w:tc>
          <w:tcPr>
            <w:tcW w:w="1420" w:type="dxa"/>
            <w:vAlign w:val="bottom"/>
            <w:shd w:val="clear" w:color="auto" w:fill="CCEEFF"/>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7"/>
              </w:rPr>
              <w:t>SB-2</w:t>
            </w:r>
          </w:p>
        </w:tc>
        <w:tc>
          <w:tcPr>
            <w:tcW w:w="7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14.1</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333-157359</w:t>
            </w:r>
          </w:p>
        </w:tc>
        <w:tc>
          <w:tcPr>
            <w:tcW w:w="104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6160" w:type="dxa"/>
            <w:vAlign w:val="bottom"/>
            <w:gridSpan w:val="25"/>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Subsidiaries of Reed’s, Inc.</w:t>
              </w:r>
            </w:hyperlink>
          </w:p>
        </w:tc>
        <w:tc>
          <w:tcPr>
            <w:tcW w:w="1420" w:type="dxa"/>
            <w:vAlign w:val="bottom"/>
          </w:tcPr>
          <w:p>
            <w:pPr>
              <w:jc w:val="center"/>
              <w:ind w:left="53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0001-32501</w:t>
            </w: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3/30/2021</w:t>
            </w:r>
          </w:p>
        </w:tc>
      </w:tr>
      <w:tr>
        <w:trPr>
          <w:trHeight w:val="20"/>
        </w:trPr>
        <w:tc>
          <w:tcPr>
            <w:tcW w:w="7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7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22(ii)</w:t>
            </w:r>
          </w:p>
        </w:tc>
        <w:tc>
          <w:tcPr>
            <w:tcW w:w="138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8"/>
              </w:rPr>
            </w:pPr>
            <w:hyperlink w:anchor="page188">
              <w:r>
                <w:rPr>
                  <w:rFonts w:ascii="Times New Roman" w:cs="Times New Roman" w:eastAsia="Times New Roman" w:hAnsi="Times New Roman"/>
                  <w:sz w:val="18"/>
                  <w:szCs w:val="18"/>
                  <w:color w:val="0000EE"/>
                  <w:w w:val="98"/>
                </w:rPr>
                <w:t>Affiliate Guarantor</w:t>
              </w:r>
            </w:hyperlink>
          </w:p>
        </w:tc>
        <w:tc>
          <w:tcPr>
            <w:tcW w:w="4780" w:type="dxa"/>
            <w:vAlign w:val="bottom"/>
            <w:tcBorders>
              <w:bottom w:val="single" w:sz="8" w:color="CCEEFF"/>
            </w:tcBorders>
            <w:gridSpan w:val="21"/>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7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76"/>
        </w:trPr>
        <w:tc>
          <w:tcPr>
            <w:tcW w:w="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6160" w:type="dxa"/>
            <w:vAlign w:val="bottom"/>
            <w:gridSpan w:val="25"/>
          </w:tcPr>
          <w:p>
            <w:pPr>
              <w:spacing w:after="0" w:line="176" w:lineRule="exact"/>
              <w:rPr>
                <w:rFonts w:ascii="Times New Roman" w:cs="Times New Roman" w:eastAsia="Times New Roman" w:hAnsi="Times New Roman"/>
                <w:sz w:val="18"/>
                <w:szCs w:val="18"/>
                <w:color w:val="0000EE"/>
              </w:rPr>
            </w:pPr>
            <w:hyperlink w:anchor="page189">
              <w:r>
                <w:rPr>
                  <w:rFonts w:ascii="Times New Roman" w:cs="Times New Roman" w:eastAsia="Times New Roman" w:hAnsi="Times New Roman"/>
                  <w:sz w:val="18"/>
                  <w:szCs w:val="18"/>
                  <w:color w:val="0000EE"/>
                </w:rPr>
                <w:t>Consent of Weinberg &amp; Co., PA</w:t>
              </w:r>
            </w:hyperlink>
          </w:p>
        </w:tc>
        <w:tc>
          <w:tcPr>
            <w:tcW w:w="14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59"/>
        </w:trPr>
        <w:tc>
          <w:tcPr>
            <w:tcW w:w="780" w:type="dxa"/>
            <w:vAlign w:val="bottom"/>
            <w:tcBorders>
              <w:bottom w:val="single" w:sz="8" w:color="auto"/>
            </w:tcBorders>
          </w:tcPr>
          <w:p>
            <w:pPr>
              <w:spacing w:after="0"/>
              <w:rPr>
                <w:sz w:val="24"/>
                <w:szCs w:val="24"/>
                <w:color w:val="auto"/>
              </w:rPr>
            </w:pPr>
          </w:p>
        </w:tc>
        <w:tc>
          <w:tcPr>
            <w:tcW w:w="2300" w:type="dxa"/>
            <w:vAlign w:val="bottom"/>
            <w:tcBorders>
              <w:top w:val="single" w:sz="8" w:color="0000EE"/>
              <w:bottom w:val="single" w:sz="8" w:color="auto"/>
            </w:tcBorders>
            <w:gridSpan w:val="8"/>
          </w:tcPr>
          <w:p>
            <w:pPr>
              <w:spacing w:after="0"/>
              <w:rPr>
                <w:sz w:val="24"/>
                <w:szCs w:val="24"/>
                <w:color w:val="auto"/>
              </w:rPr>
            </w:pPr>
          </w:p>
        </w:tc>
        <w:tc>
          <w:tcPr>
            <w:tcW w:w="2900" w:type="dxa"/>
            <w:vAlign w:val="bottom"/>
            <w:tcBorders>
              <w:bottom w:val="single" w:sz="8" w:color="auto"/>
            </w:tcBorders>
            <w:gridSpan w:val="10"/>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31.1</w:t>
            </w:r>
          </w:p>
        </w:tc>
        <w:tc>
          <w:tcPr>
            <w:tcW w:w="5960" w:type="dxa"/>
            <w:vAlign w:val="bottom"/>
            <w:tcBorders>
              <w:bottom w:val="single" w:sz="8" w:color="0000EE"/>
            </w:tcBorders>
            <w:gridSpan w:val="4"/>
            <w:shd w:val="clear" w:color="auto" w:fill="CCEEFF"/>
          </w:tcPr>
          <w:p>
            <w:pPr>
              <w:spacing w:after="0"/>
              <w:rPr>
                <w:rFonts w:ascii="Times New Roman" w:cs="Times New Roman" w:eastAsia="Times New Roman" w:hAnsi="Times New Roman"/>
                <w:sz w:val="18"/>
                <w:szCs w:val="18"/>
                <w:color w:val="0000EE"/>
              </w:rPr>
            </w:pPr>
            <w:hyperlink w:anchor="page190">
              <w:r>
                <w:rPr>
                  <w:rFonts w:ascii="Times New Roman" w:cs="Times New Roman" w:eastAsia="Times New Roman" w:hAnsi="Times New Roman"/>
                  <w:sz w:val="18"/>
                  <w:szCs w:val="18"/>
                  <w:color w:val="0000EE"/>
                </w:rPr>
                <w:t>Certification of Chief Executive Officer pursuant to Section 302 of the Sarbanes-</w:t>
              </w:r>
            </w:hyperlink>
          </w:p>
        </w:tc>
        <w:tc>
          <w:tcPr>
            <w:tcW w:w="180" w:type="dxa"/>
            <w:vAlign w:val="bottom"/>
            <w:tcBorders>
              <w:bottom w:val="single" w:sz="8" w:color="CCEEFF"/>
            </w:tcBorders>
            <w:shd w:val="clear" w:color="auto" w:fill="CCEEFF"/>
          </w:tcPr>
          <w:p>
            <w:pPr>
              <w:spacing w:after="0"/>
              <w:rPr>
                <w:sz w:val="17"/>
                <w:szCs w:val="17"/>
                <w:color w:val="auto"/>
              </w:rPr>
            </w:pPr>
          </w:p>
        </w:tc>
        <w:tc>
          <w:tcPr>
            <w:tcW w:w="4300" w:type="dxa"/>
            <w:vAlign w:val="bottom"/>
            <w:tcBorders>
              <w:bottom w:val="single" w:sz="8" w:color="CCEEFF"/>
            </w:tcBorders>
            <w:shd w:val="clear" w:color="auto" w:fill="CCEEFF"/>
          </w:tcPr>
          <w:p>
            <w:pPr>
              <w:spacing w:after="0"/>
              <w:rPr>
                <w:sz w:val="17"/>
                <w:szCs w:val="17"/>
                <w:color w:val="auto"/>
              </w:rPr>
            </w:pPr>
          </w:p>
        </w:tc>
      </w:tr>
      <w:tr>
        <w:trPr>
          <w:trHeight w:val="196"/>
        </w:trPr>
        <w:tc>
          <w:tcPr>
            <w:tcW w:w="800" w:type="dxa"/>
            <w:vAlign w:val="bottom"/>
            <w:shd w:val="clear" w:color="auto" w:fill="CCEEFF"/>
          </w:tcPr>
          <w:p>
            <w:pPr>
              <w:spacing w:after="0"/>
              <w:rPr>
                <w:sz w:val="17"/>
                <w:szCs w:val="17"/>
                <w:color w:val="auto"/>
              </w:rPr>
            </w:pPr>
          </w:p>
        </w:tc>
        <w:tc>
          <w:tcPr>
            <w:tcW w:w="6140" w:type="dxa"/>
            <w:vAlign w:val="bottom"/>
            <w:gridSpan w:val="5"/>
            <w:shd w:val="clear" w:color="auto" w:fill="CCEEFF"/>
          </w:tcPr>
          <w:p>
            <w:pPr>
              <w:spacing w:after="0" w:line="196" w:lineRule="exact"/>
              <w:rPr>
                <w:rFonts w:ascii="Times New Roman" w:cs="Times New Roman" w:eastAsia="Times New Roman" w:hAnsi="Times New Roman"/>
                <w:sz w:val="18"/>
                <w:szCs w:val="18"/>
                <w:color w:val="0000EE"/>
              </w:rPr>
            </w:pPr>
            <w:hyperlink w:anchor="page190">
              <w:r>
                <w:rPr>
                  <w:rFonts w:ascii="Times New Roman" w:cs="Times New Roman" w:eastAsia="Times New Roman" w:hAnsi="Times New Roman"/>
                  <w:sz w:val="18"/>
                  <w:szCs w:val="18"/>
                  <w:color w:val="0000EE"/>
                </w:rPr>
                <w:t>Oxley Act of 2002, filed herewith.</w:t>
              </w:r>
            </w:hyperlink>
          </w:p>
        </w:tc>
        <w:tc>
          <w:tcPr>
            <w:tcW w:w="430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5960" w:type="dxa"/>
            <w:vAlign w:val="bottom"/>
            <w:tcBorders>
              <w:bottom w:val="single" w:sz="8" w:color="0000EE"/>
            </w:tcBorders>
            <w:gridSpan w:val="4"/>
          </w:tcPr>
          <w:p>
            <w:pPr>
              <w:spacing w:after="0" w:line="176" w:lineRule="exact"/>
              <w:rPr>
                <w:rFonts w:ascii="Times New Roman" w:cs="Times New Roman" w:eastAsia="Times New Roman" w:hAnsi="Times New Roman"/>
                <w:sz w:val="18"/>
                <w:szCs w:val="18"/>
                <w:color w:val="0000EE"/>
              </w:rPr>
            </w:pPr>
            <w:hyperlink w:anchor="page191">
              <w:r>
                <w:rPr>
                  <w:rFonts w:ascii="Times New Roman" w:cs="Times New Roman" w:eastAsia="Times New Roman" w:hAnsi="Times New Roman"/>
                  <w:sz w:val="18"/>
                  <w:szCs w:val="18"/>
                  <w:color w:val="0000EE"/>
                </w:rPr>
                <w:t>Certification of Chief Financial Officer pursuant to Section 302 of the Sarbanes-</w:t>
              </w:r>
            </w:hyperlink>
          </w:p>
        </w:tc>
        <w:tc>
          <w:tcPr>
            <w:tcW w:w="180" w:type="dxa"/>
            <w:vAlign w:val="bottom"/>
          </w:tcPr>
          <w:p>
            <w:pPr>
              <w:spacing w:after="0"/>
              <w:rPr>
                <w:sz w:val="15"/>
                <w:szCs w:val="15"/>
                <w:color w:val="auto"/>
              </w:rPr>
            </w:pPr>
          </w:p>
        </w:tc>
        <w:tc>
          <w:tcPr>
            <w:tcW w:w="4300" w:type="dxa"/>
            <w:vAlign w:val="bottom"/>
          </w:tcPr>
          <w:p>
            <w:pPr>
              <w:spacing w:after="0"/>
              <w:rPr>
                <w:sz w:val="15"/>
                <w:szCs w:val="15"/>
                <w:color w:val="auto"/>
              </w:rPr>
            </w:pPr>
          </w:p>
        </w:tc>
      </w:tr>
      <w:tr>
        <w:trPr>
          <w:trHeight w:val="196"/>
        </w:trPr>
        <w:tc>
          <w:tcPr>
            <w:tcW w:w="800" w:type="dxa"/>
            <w:vAlign w:val="bottom"/>
          </w:tcPr>
          <w:p>
            <w:pPr>
              <w:spacing w:after="0"/>
              <w:rPr>
                <w:sz w:val="17"/>
                <w:szCs w:val="17"/>
                <w:color w:val="auto"/>
              </w:rPr>
            </w:pPr>
          </w:p>
        </w:tc>
        <w:tc>
          <w:tcPr>
            <w:tcW w:w="6140" w:type="dxa"/>
            <w:vAlign w:val="bottom"/>
            <w:gridSpan w:val="5"/>
          </w:tcPr>
          <w:p>
            <w:pPr>
              <w:spacing w:after="0" w:line="196" w:lineRule="exact"/>
              <w:rPr>
                <w:rFonts w:ascii="Times New Roman" w:cs="Times New Roman" w:eastAsia="Times New Roman" w:hAnsi="Times New Roman"/>
                <w:sz w:val="18"/>
                <w:szCs w:val="18"/>
                <w:color w:val="0000EE"/>
              </w:rPr>
            </w:pPr>
            <w:hyperlink w:anchor="page191">
              <w:r>
                <w:rPr>
                  <w:rFonts w:ascii="Times New Roman" w:cs="Times New Roman" w:eastAsia="Times New Roman" w:hAnsi="Times New Roman"/>
                  <w:sz w:val="18"/>
                  <w:szCs w:val="18"/>
                  <w:color w:val="0000EE"/>
                </w:rPr>
                <w:t>Oxley Act of 2002, filed herewith.</w:t>
              </w:r>
            </w:hyperlink>
          </w:p>
        </w:tc>
        <w:tc>
          <w:tcPr>
            <w:tcW w:w="43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1"/>
        </w:trPr>
        <w:tc>
          <w:tcPr>
            <w:tcW w:w="80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75"/>
        </w:trPr>
        <w:tc>
          <w:tcPr>
            <w:tcW w:w="80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596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192">
              <w:r>
                <w:rPr>
                  <w:rFonts w:ascii="Times New Roman" w:cs="Times New Roman" w:eastAsia="Times New Roman" w:hAnsi="Times New Roman"/>
                  <w:sz w:val="18"/>
                  <w:szCs w:val="18"/>
                  <w:color w:val="0000EE"/>
                </w:rPr>
                <w:t>Certification of Chief Executive Officer pursuant to 18 U.S.C. Section 1350, as</w:t>
              </w:r>
            </w:hyperlink>
          </w:p>
        </w:tc>
        <w:tc>
          <w:tcPr>
            <w:tcW w:w="180" w:type="dxa"/>
            <w:vAlign w:val="bottom"/>
            <w:tcBorders>
              <w:bottom w:val="single" w:sz="8" w:color="CCEEFF"/>
            </w:tcBorders>
            <w:shd w:val="clear" w:color="auto" w:fill="CCEEFF"/>
          </w:tcPr>
          <w:p>
            <w:pPr>
              <w:spacing w:after="0"/>
              <w:rPr>
                <w:sz w:val="15"/>
                <w:szCs w:val="15"/>
                <w:color w:val="auto"/>
              </w:rPr>
            </w:pPr>
          </w:p>
        </w:tc>
        <w:tc>
          <w:tcPr>
            <w:tcW w:w="4300" w:type="dxa"/>
            <w:vAlign w:val="bottom"/>
            <w:tcBorders>
              <w:bottom w:val="single" w:sz="8" w:color="CCEEFF"/>
            </w:tcBorders>
            <w:shd w:val="clear" w:color="auto" w:fill="CCEEFF"/>
          </w:tcPr>
          <w:p>
            <w:pPr>
              <w:spacing w:after="0"/>
              <w:rPr>
                <w:sz w:val="15"/>
                <w:szCs w:val="15"/>
                <w:color w:val="auto"/>
              </w:rPr>
            </w:pPr>
          </w:p>
        </w:tc>
      </w:tr>
      <w:tr>
        <w:trPr>
          <w:trHeight w:val="196"/>
        </w:trPr>
        <w:tc>
          <w:tcPr>
            <w:tcW w:w="800" w:type="dxa"/>
            <w:vAlign w:val="bottom"/>
            <w:tcBorders>
              <w:bottom w:val="single" w:sz="8" w:color="CCEEFF"/>
            </w:tcBorders>
            <w:shd w:val="clear" w:color="auto" w:fill="CCEEFF"/>
          </w:tcPr>
          <w:p>
            <w:pPr>
              <w:spacing w:after="0"/>
              <w:rPr>
                <w:sz w:val="17"/>
                <w:szCs w:val="17"/>
                <w:color w:val="auto"/>
              </w:rPr>
            </w:pPr>
          </w:p>
        </w:tc>
        <w:tc>
          <w:tcPr>
            <w:tcW w:w="596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rPr>
            </w:pPr>
            <w:hyperlink w:anchor="page192">
              <w:r>
                <w:rPr>
                  <w:rFonts w:ascii="Times New Roman" w:cs="Times New Roman" w:eastAsia="Times New Roman" w:hAnsi="Times New Roman"/>
                  <w:sz w:val="18"/>
                  <w:szCs w:val="18"/>
                  <w:color w:val="0000EE"/>
                </w:rPr>
                <w:t>adopted pursuant to Section 906 of the Sarbanes-Oxley Act of 2002 filed</w:t>
              </w:r>
            </w:hyperlink>
          </w:p>
        </w:tc>
        <w:tc>
          <w:tcPr>
            <w:tcW w:w="180" w:type="dxa"/>
            <w:vAlign w:val="bottom"/>
            <w:tcBorders>
              <w:bottom w:val="single" w:sz="8" w:color="CCEEFF"/>
            </w:tcBorders>
            <w:shd w:val="clear" w:color="auto" w:fill="CCEEFF"/>
          </w:tcPr>
          <w:p>
            <w:pPr>
              <w:spacing w:after="0"/>
              <w:rPr>
                <w:sz w:val="17"/>
                <w:szCs w:val="17"/>
                <w:color w:val="auto"/>
              </w:rPr>
            </w:pPr>
          </w:p>
        </w:tc>
        <w:tc>
          <w:tcPr>
            <w:tcW w:w="4300" w:type="dxa"/>
            <w:vAlign w:val="bottom"/>
            <w:tcBorders>
              <w:bottom w:val="single" w:sz="8" w:color="CCEEFF"/>
            </w:tcBorders>
            <w:shd w:val="clear" w:color="auto" w:fill="CCEEFF"/>
          </w:tcPr>
          <w:p>
            <w:pPr>
              <w:spacing w:after="0"/>
              <w:rPr>
                <w:sz w:val="17"/>
                <w:szCs w:val="17"/>
                <w:color w:val="auto"/>
              </w:rPr>
            </w:pPr>
          </w:p>
        </w:tc>
      </w:tr>
      <w:tr>
        <w:trPr>
          <w:trHeight w:val="217"/>
        </w:trPr>
        <w:tc>
          <w:tcPr>
            <w:tcW w:w="8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7"/>
              </w:rPr>
            </w:pPr>
            <w:hyperlink w:anchor="page192">
              <w:r>
                <w:rPr>
                  <w:rFonts w:ascii="Times New Roman" w:cs="Times New Roman" w:eastAsia="Times New Roman" w:hAnsi="Times New Roman"/>
                  <w:sz w:val="18"/>
                  <w:szCs w:val="18"/>
                  <w:color w:val="0000EE"/>
                  <w:w w:val="97"/>
                </w:rPr>
                <w:t>herewith.</w:t>
              </w:r>
            </w:hyperlink>
          </w:p>
        </w:tc>
        <w:tc>
          <w:tcPr>
            <w:tcW w:w="5460" w:type="dxa"/>
            <w:vAlign w:val="bottom"/>
            <w:tcBorders>
              <w:bottom w:val="single" w:sz="8" w:color="CCEEFF"/>
            </w:tcBorders>
            <w:gridSpan w:val="4"/>
            <w:shd w:val="clear" w:color="auto" w:fill="CCEEFF"/>
          </w:tcPr>
          <w:p>
            <w:pPr>
              <w:spacing w:after="0"/>
              <w:rPr>
                <w:sz w:val="18"/>
                <w:szCs w:val="18"/>
                <w:color w:val="auto"/>
              </w:rPr>
            </w:pPr>
          </w:p>
        </w:tc>
        <w:tc>
          <w:tcPr>
            <w:tcW w:w="43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176"/>
        </w:trPr>
        <w:tc>
          <w:tcPr>
            <w:tcW w:w="8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594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rPr>
            </w:pPr>
            <w:hyperlink w:anchor="page193">
              <w:r>
                <w:rPr>
                  <w:rFonts w:ascii="Times New Roman" w:cs="Times New Roman" w:eastAsia="Times New Roman" w:hAnsi="Times New Roman"/>
                  <w:sz w:val="18"/>
                  <w:szCs w:val="18"/>
                  <w:color w:val="0000EE"/>
                </w:rPr>
                <w:t>Certification of Chief Financial Officer pursuant to 18 U.S.C. Section 1350, as</w:t>
              </w:r>
            </w:hyperlink>
          </w:p>
        </w:tc>
        <w:tc>
          <w:tcPr>
            <w:tcW w:w="200" w:type="dxa"/>
            <w:vAlign w:val="bottom"/>
            <w:gridSpan w:val="2"/>
          </w:tcPr>
          <w:p>
            <w:pPr>
              <w:spacing w:after="0"/>
              <w:rPr>
                <w:sz w:val="15"/>
                <w:szCs w:val="15"/>
                <w:color w:val="auto"/>
              </w:rPr>
            </w:pPr>
          </w:p>
        </w:tc>
        <w:tc>
          <w:tcPr>
            <w:tcW w:w="4300" w:type="dxa"/>
            <w:vAlign w:val="bottom"/>
          </w:tcPr>
          <w:p>
            <w:pPr>
              <w:spacing w:after="0"/>
              <w:rPr>
                <w:sz w:val="15"/>
                <w:szCs w:val="15"/>
                <w:color w:val="auto"/>
              </w:rPr>
            </w:pPr>
          </w:p>
        </w:tc>
      </w:tr>
      <w:tr>
        <w:trPr>
          <w:trHeight w:val="196"/>
        </w:trPr>
        <w:tc>
          <w:tcPr>
            <w:tcW w:w="800" w:type="dxa"/>
            <w:vAlign w:val="bottom"/>
          </w:tcPr>
          <w:p>
            <w:pPr>
              <w:spacing w:after="0"/>
              <w:rPr>
                <w:sz w:val="17"/>
                <w:szCs w:val="17"/>
                <w:color w:val="auto"/>
              </w:rPr>
            </w:pPr>
          </w:p>
        </w:tc>
        <w:tc>
          <w:tcPr>
            <w:tcW w:w="5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193">
              <w:r>
                <w:rPr>
                  <w:rFonts w:ascii="Times New Roman" w:cs="Times New Roman" w:eastAsia="Times New Roman" w:hAnsi="Times New Roman"/>
                  <w:sz w:val="18"/>
                  <w:szCs w:val="18"/>
                  <w:color w:val="0000EE"/>
                </w:rPr>
                <w:t>adopted pursuant to Section 906 of the Sarbanes-Oxley Act of 2002 filed</w:t>
              </w:r>
            </w:hyperlink>
          </w:p>
        </w:tc>
        <w:tc>
          <w:tcPr>
            <w:tcW w:w="180" w:type="dxa"/>
            <w:vAlign w:val="bottom"/>
          </w:tcPr>
          <w:p>
            <w:pPr>
              <w:spacing w:after="0"/>
              <w:rPr>
                <w:sz w:val="17"/>
                <w:szCs w:val="17"/>
                <w:color w:val="auto"/>
              </w:rPr>
            </w:pPr>
          </w:p>
        </w:tc>
        <w:tc>
          <w:tcPr>
            <w:tcW w:w="4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6140" w:type="dxa"/>
            <w:vAlign w:val="bottom"/>
            <w:gridSpan w:val="5"/>
          </w:tcPr>
          <w:p>
            <w:pPr>
              <w:spacing w:after="0" w:line="196" w:lineRule="exact"/>
              <w:rPr>
                <w:rFonts w:ascii="Times New Roman" w:cs="Times New Roman" w:eastAsia="Times New Roman" w:hAnsi="Times New Roman"/>
                <w:sz w:val="18"/>
                <w:szCs w:val="18"/>
                <w:color w:val="0000EE"/>
              </w:rPr>
            </w:pPr>
            <w:hyperlink w:anchor="page193">
              <w:r>
                <w:rPr>
                  <w:rFonts w:ascii="Times New Roman" w:cs="Times New Roman" w:eastAsia="Times New Roman" w:hAnsi="Times New Roman"/>
                  <w:sz w:val="18"/>
                  <w:szCs w:val="18"/>
                  <w:color w:val="0000EE"/>
                </w:rPr>
                <w:t>herewith.</w:t>
              </w:r>
            </w:hyperlink>
          </w:p>
        </w:tc>
        <w:tc>
          <w:tcPr>
            <w:tcW w:w="43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1"/>
        </w:trPr>
        <w:tc>
          <w:tcPr>
            <w:tcW w:w="80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101.INS</w:t>
            </w:r>
          </w:p>
        </w:tc>
        <w:tc>
          <w:tcPr>
            <w:tcW w:w="6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101.SCH</w:t>
            </w:r>
          </w:p>
        </w:tc>
        <w:tc>
          <w:tcPr>
            <w:tcW w:w="6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8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101.CAL</w:t>
            </w:r>
          </w:p>
        </w:tc>
        <w:tc>
          <w:tcPr>
            <w:tcW w:w="6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101.DEF</w:t>
            </w:r>
          </w:p>
        </w:tc>
        <w:tc>
          <w:tcPr>
            <w:tcW w:w="6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8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101.LAB</w:t>
            </w:r>
          </w:p>
        </w:tc>
        <w:tc>
          <w:tcPr>
            <w:tcW w:w="6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w:t>
            </w:r>
          </w:p>
        </w:tc>
      </w:tr>
      <w:tr>
        <w:trPr>
          <w:trHeight w:val="218"/>
        </w:trPr>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101.PRE</w:t>
            </w:r>
          </w:p>
        </w:tc>
        <w:tc>
          <w:tcPr>
            <w:tcW w:w="6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ind w:left="1300" w:right="4660" w:hanging="1090"/>
        <w:spacing w:after="0" w:line="518" w:lineRule="auto"/>
        <w:tabs>
          <w:tab w:leader="none" w:pos="8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 * Indicates a management contract or compensatory plan or arrangement.</w:t>
      </w: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81" w:name="page82"/>
    <w:bookmarkEnd w:id="81"/>
    <w:p>
      <w:pPr>
        <w:ind w:left="9240"/>
        <w:spacing w:after="0"/>
        <w:rPr>
          <w:sz w:val="20"/>
          <w:szCs w:val="20"/>
          <w:color w:val="auto"/>
        </w:rPr>
      </w:pPr>
      <w:r>
        <w:rPr>
          <w:rFonts w:ascii="Times New Roman" w:cs="Times New Roman" w:eastAsia="Times New Roman" w:hAnsi="Times New Roman"/>
          <w:sz w:val="18"/>
          <w:szCs w:val="18"/>
          <w:b w:val="1"/>
          <w:bCs w:val="1"/>
          <w:color w:val="auto"/>
        </w:rPr>
        <w:t>Exhibit 3(i)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19685</wp:posOffset>
            </wp:positionV>
            <wp:extent cx="7132320" cy="84613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83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2">
                      <a:extLst>
                        <a:ext uri="{28A0092B-C50C-407E-A947-70E740481C1C}"/>
                      </a:extLst>
                    </a:blip>
                    <a:srcRect/>
                    <a:stretch>
                      <a:fillRect/>
                    </a:stretch>
                  </pic:blipFill>
                  <pic:spPr bwMode="auto">
                    <a:xfrm>
                      <a:off x="0" y="0"/>
                      <a:ext cx="7132320" cy="7783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66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3">
                      <a:extLst>
                        <a:ext uri="{28A0092B-C50C-407E-A947-70E740481C1C}"/>
                      </a:extLst>
                    </a:blip>
                    <a:srcRect/>
                    <a:stretch>
                      <a:fillRect/>
                    </a:stretch>
                  </pic:blipFill>
                  <pic:spPr bwMode="auto">
                    <a:xfrm>
                      <a:off x="0" y="0"/>
                      <a:ext cx="7132320" cy="7766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66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4">
                      <a:extLst>
                        <a:ext uri="{28A0092B-C50C-407E-A947-70E740481C1C}"/>
                      </a:extLst>
                    </a:blip>
                    <a:srcRect/>
                    <a:stretch>
                      <a:fillRect/>
                    </a:stretch>
                  </pic:blipFill>
                  <pic:spPr bwMode="auto">
                    <a:xfrm>
                      <a:off x="0" y="0"/>
                      <a:ext cx="7132320" cy="7766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66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5">
                      <a:extLst>
                        <a:ext uri="{28A0092B-C50C-407E-A947-70E740481C1C}"/>
                      </a:extLst>
                    </a:blip>
                    <a:srcRect/>
                    <a:stretch>
                      <a:fillRect/>
                    </a:stretch>
                  </pic:blipFill>
                  <pic:spPr bwMode="auto">
                    <a:xfrm>
                      <a:off x="0" y="0"/>
                      <a:ext cx="7132320" cy="7766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66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6">
                      <a:extLst>
                        <a:ext uri="{28A0092B-C50C-407E-A947-70E740481C1C}"/>
                      </a:extLst>
                    </a:blip>
                    <a:srcRect/>
                    <a:stretch>
                      <a:fillRect/>
                    </a:stretch>
                  </pic:blipFill>
                  <pic:spPr bwMode="auto">
                    <a:xfrm>
                      <a:off x="0" y="0"/>
                      <a:ext cx="7132320" cy="7766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66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7">
                      <a:extLst>
                        <a:ext uri="{28A0092B-C50C-407E-A947-70E740481C1C}"/>
                      </a:extLst>
                    </a:blip>
                    <a:srcRect/>
                    <a:stretch>
                      <a:fillRect/>
                    </a:stretch>
                  </pic:blipFill>
                  <pic:spPr bwMode="auto">
                    <a:xfrm>
                      <a:off x="0" y="0"/>
                      <a:ext cx="7132320" cy="7766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66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8">
                      <a:extLst>
                        <a:ext uri="{28A0092B-C50C-407E-A947-70E740481C1C}"/>
                      </a:extLst>
                    </a:blip>
                    <a:srcRect/>
                    <a:stretch>
                      <a:fillRect/>
                    </a:stretch>
                  </pic:blipFill>
                  <pic:spPr bwMode="auto">
                    <a:xfrm>
                      <a:off x="0" y="0"/>
                      <a:ext cx="7132320" cy="7766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66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9">
                      <a:extLst>
                        <a:ext uri="{28A0092B-C50C-407E-A947-70E740481C1C}"/>
                      </a:extLst>
                    </a:blip>
                    <a:srcRect/>
                    <a:stretch>
                      <a:fillRect/>
                    </a:stretch>
                  </pic:blipFill>
                  <pic:spPr bwMode="auto">
                    <a:xfrm>
                      <a:off x="0" y="0"/>
                      <a:ext cx="7132320" cy="7766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66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0">
                      <a:extLst>
                        <a:ext uri="{28A0092B-C50C-407E-A947-70E740481C1C}"/>
                      </a:extLst>
                    </a:blip>
                    <a:srcRect/>
                    <a:stretch>
                      <a:fillRect/>
                    </a:stretch>
                  </pic:blipFill>
                  <pic:spPr bwMode="auto">
                    <a:xfrm>
                      <a:off x="0" y="0"/>
                      <a:ext cx="7132320" cy="7766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1">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5698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2">
                      <a:extLst>
                        <a:ext uri="{28A0092B-C50C-407E-A947-70E740481C1C}"/>
                      </a:extLst>
                    </a:blip>
                    <a:srcRect/>
                    <a:stretch>
                      <a:fillRect/>
                    </a:stretch>
                  </pic:blipFill>
                  <pic:spPr bwMode="auto">
                    <a:xfrm>
                      <a:off x="0" y="0"/>
                      <a:ext cx="7132320" cy="7569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63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3">
                      <a:extLst>
                        <a:ext uri="{28A0092B-C50C-407E-A947-70E740481C1C}"/>
                      </a:extLst>
                    </a:blip>
                    <a:srcRect/>
                    <a:stretch>
                      <a:fillRect/>
                    </a:stretch>
                  </pic:blipFill>
                  <pic:spPr bwMode="auto">
                    <a:xfrm>
                      <a:off x="0" y="0"/>
                      <a:ext cx="7132320" cy="763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5698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4">
                      <a:extLst>
                        <a:ext uri="{28A0092B-C50C-407E-A947-70E740481C1C}"/>
                      </a:extLst>
                    </a:blip>
                    <a:srcRect/>
                    <a:stretch>
                      <a:fillRect/>
                    </a:stretch>
                  </pic:blipFill>
                  <pic:spPr bwMode="auto">
                    <a:xfrm>
                      <a:off x="0" y="0"/>
                      <a:ext cx="7132320" cy="7569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543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5">
                      <a:extLst>
                        <a:ext uri="{28A0092B-C50C-407E-A947-70E740481C1C}"/>
                      </a:extLst>
                    </a:blip>
                    <a:srcRect/>
                    <a:stretch>
                      <a:fillRect/>
                    </a:stretch>
                  </pic:blipFill>
                  <pic:spPr bwMode="auto">
                    <a:xfrm>
                      <a:off x="0" y="0"/>
                      <a:ext cx="7132320" cy="7543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5698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6">
                      <a:extLst>
                        <a:ext uri="{28A0092B-C50C-407E-A947-70E740481C1C}"/>
                      </a:extLst>
                    </a:blip>
                    <a:srcRect/>
                    <a:stretch>
                      <a:fillRect/>
                    </a:stretch>
                  </pic:blipFill>
                  <pic:spPr bwMode="auto">
                    <a:xfrm>
                      <a:off x="0" y="0"/>
                      <a:ext cx="7132320" cy="7569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7838440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5698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8">
                      <a:extLst>
                        <a:ext uri="{28A0092B-C50C-407E-A947-70E740481C1C}"/>
                      </a:extLst>
                    </a:blip>
                    <a:srcRect/>
                    <a:stretch>
                      <a:fillRect/>
                    </a:stretch>
                  </pic:blipFill>
                  <pic:spPr bwMode="auto">
                    <a:xfrm>
                      <a:off x="0" y="0"/>
                      <a:ext cx="7132320" cy="7569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5698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9">
                      <a:extLst>
                        <a:ext uri="{28A0092B-C50C-407E-A947-70E740481C1C}"/>
                      </a:extLst>
                    </a:blip>
                    <a:srcRect/>
                    <a:stretch>
                      <a:fillRect/>
                    </a:stretch>
                  </pic:blipFill>
                  <pic:spPr bwMode="auto">
                    <a:xfrm>
                      <a:off x="0" y="0"/>
                      <a:ext cx="7132320" cy="7569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543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0">
                      <a:extLst>
                        <a:ext uri="{28A0092B-C50C-407E-A947-70E740481C1C}"/>
                      </a:extLst>
                    </a:blip>
                    <a:srcRect/>
                    <a:stretch>
                      <a:fillRect/>
                    </a:stretch>
                  </pic:blipFill>
                  <pic:spPr bwMode="auto">
                    <a:xfrm>
                      <a:off x="0" y="0"/>
                      <a:ext cx="7132320" cy="7543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543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1">
                      <a:extLst>
                        <a:ext uri="{28A0092B-C50C-407E-A947-70E740481C1C}"/>
                      </a:extLst>
                    </a:blip>
                    <a:srcRect/>
                    <a:stretch>
                      <a:fillRect/>
                    </a:stretch>
                  </pic:blipFill>
                  <pic:spPr bwMode="auto">
                    <a:xfrm>
                      <a:off x="0" y="0"/>
                      <a:ext cx="7132320" cy="7543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518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2">
                      <a:extLst>
                        <a:ext uri="{28A0092B-C50C-407E-A947-70E740481C1C}"/>
                      </a:extLst>
                    </a:blip>
                    <a:srcRect/>
                    <a:stretch>
                      <a:fillRect/>
                    </a:stretch>
                  </pic:blipFill>
                  <pic:spPr bwMode="auto">
                    <a:xfrm>
                      <a:off x="0" y="0"/>
                      <a:ext cx="7132320" cy="7518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6638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3">
                      <a:extLst>
                        <a:ext uri="{28A0092B-C50C-407E-A947-70E740481C1C}"/>
                      </a:extLst>
                    </a:blip>
                    <a:srcRect/>
                    <a:stretch>
                      <a:fillRect/>
                    </a:stretch>
                  </pic:blipFill>
                  <pic:spPr bwMode="auto">
                    <a:xfrm>
                      <a:off x="0" y="0"/>
                      <a:ext cx="7132320" cy="7663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5">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8009890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0">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4">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8009890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152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7132320" cy="7715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83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7132320" cy="7783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83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7132320" cy="7783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83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7132320" cy="7783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83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7132320" cy="7783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83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7132320" cy="7783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83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7132320" cy="7783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83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7132320" cy="7783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83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7132320" cy="7783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83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7132320" cy="7783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7783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7132320" cy="7783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4(vi)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22, 2022, Reed’s, Inc.’s (“Reed’s,” the “Company,” “we,” “our,” “us”) common stock, par value $0.0001 per share (“Common Stock”) was registered under Section 12(b) of the Securities Exchange Act of 1934, as amended (the “Exchange Act”) and listed on The Nasdaq Capital Market under the symbol “REED”.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terms of our common stock. This summary does not purport to be exhaustive and is qualified in its entirety by reference to our certificate of incorporation, as amended (“Certificate”) and our amended and restated bylaws, as further amended (“Bylaws”) and to the applicable provisions of Delaware law.</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authorized to issue 180,000,000 shares of common stock, $0.0001 par value. Holders of common stock are each entitled to cast one vote for each share held of record on all matters presented to shareholders. Cumulative voting is not authorized; the holders of a majority of our outstanding shares of common stock may elect all directors. Holders of common stock are entitled to receive such dividends as may be declared by our board out of funds legally available and, in the event of liquidation, to share pro rata in any distribution of our assets after payment of liabilities. Our directors are not obligated to declare a dividend. It is not anticipated that dividends will be paid in the foreseeable future. Holders of common stock do not have preemptive rights to subscribe to any additional shares we may issue in the future. There are no conversion, redemption, sinking fund or similar provisions regarding the common stock. All outstanding shares of common stock are fully paid and nonassessable.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22, 2021, we had 112,629,406 shares of common stock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Delaware Law and Our Certificate and Bylaws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(the “DGCL”), an anti-takeover law. Subject to certain exceptions, the statute prohibits a publicly held Delaware corporation from engaging in a “business combination” with an “interested stockholder” for a period of three years after the date of the transaction in which the person became an interested stockholder unless:</w:t>
      </w:r>
    </w:p>
    <w:p>
      <w:pPr>
        <w:spacing w:after="0" w:line="176"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date, the board of directors of the corporation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(1) by persons who are directors and also officers and (2) by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Section 203, a “business combination” includes a merger, asset sale or other transaction resulting in a financial benefit to the interested stockholder, and an “interested stockholder” is a person who, together with affiliates and associates, owns, or within three years prior to the date of determination whether the person is an “Interested Stockholder” did own, 15% or more of the corporation’s voting stock.</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our authorized but unissued shares of common stock are available for our board to issue without stockholder approval. We may use these additional shares for a variety of corporate purposes, including future public or private offerings to raise additional capital, corporate acquisitions and employee benefit plans. The existence of our authorized but unissued shares of common stock could render more difficult or discourage an attempt to obtain control of our company by means of a proxy contest, tender offer, merger or other transaction. Our authorized but unissued shares may be used to delay, defer or prevent a tender offer or takeover attempt that a stockholder might consider in its best interest, including those attempts that might result in a premium over the market price for the shares held by our stockholders. The board of directors is also authorized to adopt, amend or repeal our Bylaws (provided, however, that no such adoption, amendment, or repeal shall be valid with respect to bylaw provisions which have been adopted, amended, or repealed by the stockholders; and further provided, that bylaw provisions adopted or amended by the board of directors and any powers thereby conferred may be amended, altered, or repealed by the stockholders) which could delay, defer or prevent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4" w:name="page155"/>
    <w:bookmarkEnd w:id="15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laws of Delaware on corporate matters, including their indemnification provisions. 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145 of the DGCL, as the same exists or may hereafter be amended, provides that a Delaware corporation may indemnify any persons who were,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are, were or are threatened to be made, a party to any threatened, pending or completed action or suit by or in the right of the corporation by reason of the fact that such person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that no indemnification is permitted without judicial approval if the officer, director, employee or agent is adjudged to be liable to the corporation. Where an officer, director, employee, or agent is successful on the merits or otherwise in the defense of any action referred to above, the corporation must indemnify him or her against the expenses which such officer or director has actually and reasonably incurred.</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145 of the DGCL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arising out of his or her status as such, whether or not the corporation would otherwise have the power to indemnify him or her under Section 145 of the DGCL.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Certificate provides that, to the fullest extent permitted by Delaware law, as it may be amended from time to time, none of our directors will be personally liable to us or our stockholders for monetary damages resulting from a breach of fiduciary duty as a director. Our Certificate also provides discretionary indemnification for the benefit of our directors, officers and employees, to the fullest extent permitted by Delaware law, as it may be amended from time to time. Pursuant to our Bylaws, we are required to indemnify our directors, officers, employees and agents, and we have the discretion to advance his or her related expenses, to the fullest extent permitted by law.</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currently provide liability insurance coverage for our directors and officers. We also have entered into indemnification agreements with certain of our officers and directors.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 Market 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for the Company’s common stock is Transfer Online, Inc., telephone (503) 227-2950. Our common stock is listed on The Nasdaq Capital Market under the symbol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10.29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ROSENTHAL &amp; ROSENTHAL,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1370 Broadway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November 24,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Reed’s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Merritt 7 Corporate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Norwalk, CT 06851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Reference is made to the Financing Agreement entered into between us dated October 4, 2018, as amended and/or supplemented (the “</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Capitalized terms used herein and not otherwise defined shall have the meanings set forth in the Financing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hereby amends the Financing Agreement as follows: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Section 1.6 of the Financing Agreement is hereby amended, in its entirety, as follows:</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shall mean any and all security agreements, deposit account control agreements, mortgages and other documents executed and delivered to Lender to secure the Obligations including but not limited to the Pledged Securities, the Amended and Restated Pledge Agreement executed by John J. Bello and Nancy E. Bello, as Co-Trustees of THE JOHN AND NANCY BELLO REVOCABLE LIVING TRUST, under agreement dated December 3, 2012, executed contemporaneously with this Agreement (“</w:t>
      </w:r>
      <w:r>
        <w:rPr>
          <w:rFonts w:ascii="Times New Roman" w:cs="Times New Roman" w:eastAsia="Times New Roman" w:hAnsi="Times New Roman"/>
          <w:sz w:val="18"/>
          <w:szCs w:val="18"/>
          <w:b w:val="1"/>
          <w:bCs w:val="1"/>
          <w:color w:val="auto"/>
        </w:rPr>
        <w:t>Pledge Agreement</w:t>
      </w:r>
      <w:r>
        <w:rPr>
          <w:rFonts w:ascii="Times New Roman" w:cs="Times New Roman" w:eastAsia="Times New Roman" w:hAnsi="Times New Roman"/>
          <w:sz w:val="18"/>
          <w:szCs w:val="18"/>
          <w:color w:val="auto"/>
        </w:rPr>
        <w:t>”) and the Control Agreement defined in the Pledge Agreement.”</w:t>
      </w:r>
    </w:p>
    <w:p>
      <w:pPr>
        <w:spacing w:after="0" w:line="183" w:lineRule="exact"/>
        <w:rPr>
          <w:sz w:val="20"/>
          <w:szCs w:val="20"/>
          <w:color w:val="auto"/>
        </w:rPr>
      </w:pPr>
    </w:p>
    <w:p>
      <w:pPr>
        <w:ind w:left="660" w:right="3940" w:hanging="4"/>
        <w:spacing w:after="0" w:line="532"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1.17 is deleted in its entirety, and the following is added as a new Section 1.31(a): “1.31(a) </w:t>
      </w:r>
      <w:r>
        <w:rPr>
          <w:rFonts w:ascii="Times New Roman" w:cs="Times New Roman" w:eastAsia="Times New Roman" w:hAnsi="Times New Roman"/>
          <w:sz w:val="18"/>
          <w:szCs w:val="18"/>
          <w:b w:val="1"/>
          <w:bCs w:val="1"/>
          <w:color w:val="auto"/>
        </w:rPr>
        <w:t>“Pledged Securities”</w:t>
      </w:r>
      <w:r>
        <w:rPr>
          <w:rFonts w:ascii="Times New Roman" w:cs="Times New Roman" w:eastAsia="Times New Roman" w:hAnsi="Times New Roman"/>
          <w:sz w:val="18"/>
          <w:szCs w:val="18"/>
          <w:color w:val="auto"/>
        </w:rPr>
        <w:t xml:space="preserve"> shall have the meaning set forth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6" w:name="page157"/>
    <w:bookmarkEnd w:id="156"/>
    <w:p>
      <w:pPr>
        <w:ind w:left="660"/>
        <w:spacing w:after="0"/>
        <w:rPr>
          <w:sz w:val="20"/>
          <w:szCs w:val="20"/>
          <w:color w:val="auto"/>
        </w:rPr>
      </w:pPr>
      <w:r>
        <w:rPr>
          <w:rFonts w:ascii="Times New Roman" w:cs="Times New Roman" w:eastAsia="Times New Roman" w:hAnsi="Times New Roman"/>
          <w:sz w:val="18"/>
          <w:szCs w:val="18"/>
          <w:color w:val="auto"/>
        </w:rPr>
        <w:t>3. Section 2.1 is hereby amended and restated in its entirety so as to read as follows: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“Lender shall, in its commercially reasonable discretion, make loans to Borrower from time to time, at Borrower’s request, which loans in the aggregate shall not exceed the up to the lesser of (A) the Maximum Credit Facility; or (B) the Loan Availability, which means (a) the Receivable Availability equal to up to eighty percent (80%) of the Net Amount of Eligible Receivables; plus (b) the Inventory Availability, which means the lesser of</w:t>
      </w:r>
    </w:p>
    <w:p>
      <w:pPr>
        <w:spacing w:after="0" w:line="1" w:lineRule="exact"/>
        <w:rPr>
          <w:sz w:val="20"/>
          <w:szCs w:val="20"/>
          <w:color w:val="auto"/>
        </w:rPr>
      </w:pPr>
    </w:p>
    <w:p>
      <w:pPr>
        <w:jc w:val="both"/>
        <w:ind w:firstLine="8"/>
        <w:spacing w:after="0" w:line="251" w:lineRule="auto"/>
        <w:tabs>
          <w:tab w:leader="none" w:pos="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up to sixty-five percent (65%) of the lower of cost or market value of Eligible Inventory consisting of finished goods, but in no event more than up to eighty-five percent (85%) of the orderly appraised net liquidation value, as set forth in an appraisal obtained at Borrower’s expense and issued by an appraiser satisfactory to Lender; plus (ii) the lesser of (x) up to thirty-five percent (35%) of Eligible Inventory consisting of raw materials, but in no event more than up to eighty-five percent (85%) of the net orderly liquidation value; or (y) one million dollars ($1,000,000), or (B) six million dollars ($6,000,000); plus a Permitted Overadvance (the “Permitted Overadvance”) not to exceed (x) one million five hundred thousand dollars ($1,500,000) provided that the Obligations are secured by the value of securities having a fair market value determined by Lender on the date of this amendment of not less than two million dollars ($2,000,000) pledged to Lender by John J. Bello and Nancy E. Bello, as Co-Trustees of THE JOHN AND NANCY BELLO REVOCABLE LIVING TRUST, under agreement dated December 3, 2012, held in account #1134-4851 at Charles Schwab &amp; Co., Inc., evidenced by that certain Pledge Agreement, and as to which Pledged Securities Lender has a first and only perfected security interest by the Control Agreement in form and substance acceptable to Lender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Pledged Securities”), plus (y) an additional two million five hundred thousand dollars ($2,500,000) provided that the Obligations are secured in the value of additional and similarly Pledged Securities having a fair market value determined by Lender on the date of this Amendment of not less than three million three hundred thousand ($3,300,000) and a limited personal guaranty of John J. Bello in form and substance acceptable to Lender and further provided that the Permitted Overadvance of this Subsection (y) is paid in full to Lender not later than March 31, 2022, at which time said personal guaranty will be discharged and the amount of Pledged Securities may be reduced to that amount required in Subsection (x) unless there then exists an Event of Default, minus such reserves as Lender may deem, in its sole discretion, to be necessary from time to time.”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Section 9.1 (11) is amended and restated in its entirety so as to read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“(11) (a) if at any time the fair market value of the Pledged Securities as determined by Lender is less than one million seven hundred sixty-five thousand dollars ( $1,765,000) and is not restored within three (3) business days to a value of two million dollars ($2,000,000) in substance satisfactory to Lender for the Permitted Overadvance provided in Section 2.1(x) or (b) if at any time the fair market value of the Pledged Securities as determined by Lender is less than three million three hundred thousand dollars ($3,300,000) and is not restored within three (3) business days in substance satisfactory to Lender until the Permitted Overadvance provided in Section 2.1(y) is paid in full as therein provided;</w:t>
      </w:r>
    </w:p>
    <w:p>
      <w:pPr>
        <w:spacing w:after="0" w:line="18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[Remainder of Page Left Intentionally Blank-Signature Page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7" w:name="page158"/>
    <w:bookmarkEnd w:id="157"/>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hereinabove specifically set forth, all of the terms and conditions of the Financing Agreement remain in full force and effect and shall continue unmodified.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ROSENTHAL &amp; ROSENTHAL,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Ian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Ian Brown, Vice President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27305</wp:posOffset>
            </wp:positionV>
            <wp:extent cx="335153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Norman E. Snyder, Jr., CEO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27305</wp:posOffset>
            </wp:positionV>
            <wp:extent cx="335153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Thomas J. Spisak, CFO and Secretary</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to Financing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ROSENTHAL &amp; ROSENTHAL,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1370 Broadway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March 30,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J. Bello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Nancy E. Bello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John and Nancy Bello Revocable Living Trust</w:t>
      </w:r>
    </w:p>
    <w:p>
      <w:pPr>
        <w:spacing w:after="0" w:line="192" w:lineRule="auto"/>
        <w:rPr>
          <w:sz w:val="20"/>
          <w:szCs w:val="20"/>
          <w:color w:val="auto"/>
        </w:rPr>
      </w:pPr>
      <w:r>
        <w:rPr>
          <w:rFonts w:ascii="Times New Roman" w:cs="Times New Roman" w:eastAsia="Times New Roman" w:hAnsi="Times New Roman"/>
          <w:sz w:val="18"/>
          <w:szCs w:val="18"/>
          <w:color w:val="auto"/>
        </w:rPr>
        <w:t>4063 N 97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w:t>
      </w:r>
    </w:p>
    <w:p>
      <w:pPr>
        <w:spacing w:after="0"/>
        <w:rPr>
          <w:sz w:val="20"/>
          <w:szCs w:val="20"/>
          <w:color w:val="auto"/>
        </w:rPr>
      </w:pPr>
      <w:r>
        <w:rPr>
          <w:rFonts w:ascii="Times New Roman" w:cs="Times New Roman" w:eastAsia="Times New Roman" w:hAnsi="Times New Roman"/>
          <w:sz w:val="18"/>
          <w:szCs w:val="18"/>
          <w:color w:val="auto"/>
        </w:rPr>
        <w:t>Scottsdale, AZ 85262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A/C#1134-4851 (the “Collateral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and Mrs. Bello:</w:t>
      </w:r>
    </w:p>
    <w:p>
      <w:pPr>
        <w:spacing w:after="0" w:line="225"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Reference is made to the Amended and Restated Pledge Agreement executed by The John and Nancy Bello Revocable Living Trust and Rosenthal &amp; Rosenthal, Inc. dated November 24, 2021, with respect to the present and future obligations of Reed’s Inc. to us (the “Pledge Agreement”).</w:t>
      </w:r>
    </w:p>
    <w:p>
      <w:pPr>
        <w:spacing w:after="0" w:line="162"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 xml:space="preserve">This will confirm that Rosenthal &amp; Rosenthal, Inc. has received payment on account in the amount of $2,500,000 and that pursuant to the October 4, 2018 Financing Agreement, as amended (“Financing Agreement”) (1) such sum has been applied to retire the Permitted Overadvance in </w:t>
      </w:r>
      <w:r>
        <w:rPr>
          <w:rFonts w:ascii="Times New Roman" w:cs="Times New Roman" w:eastAsia="Times New Roman" w:hAnsi="Times New Roman"/>
          <w:sz w:val="18"/>
          <w:szCs w:val="18"/>
          <w:u w:val="single" w:color="auto"/>
          <w:color w:val="auto"/>
        </w:rPr>
        <w:t>Section 2.1(y)</w:t>
      </w:r>
      <w:r>
        <w:rPr>
          <w:rFonts w:ascii="Times New Roman" w:cs="Times New Roman" w:eastAsia="Times New Roman" w:hAnsi="Times New Roman"/>
          <w:sz w:val="18"/>
          <w:szCs w:val="18"/>
          <w:color w:val="auto"/>
        </w:rPr>
        <w:t xml:space="preserve"> of the Financing Agreement, (2) the guaranty of John J. Bello dated November 24, 2021 is hereby discharged, and (3) the securities identified on Schedule “A” are hereby released from the security interest set forth in the Pledge Agreement. In all other respects the Financing Agreement, Loan Documents, Pledge Agreement and other Collateral Documents defined in the Financing Agreement remain in full force and effect.</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ROSENTHAL &amp; ROSENTHAL,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Ian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Ian Brown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8"/>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CONSENTED AND ACKNOWLEDGED:</w:t>
            </w: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391"/>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0"/>
        </w:trPr>
        <w:tc>
          <w:tcPr>
            <w:tcW w:w="90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53"/>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REEDS’S INC.</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391"/>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Norman E. Snyder, Jr.</w:t>
            </w: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Dated: March 17, 2022</w:t>
            </w:r>
          </w:p>
        </w:tc>
      </w:tr>
      <w:tr>
        <w:trPr>
          <w:trHeight w:val="41"/>
        </w:trPr>
        <w:tc>
          <w:tcPr>
            <w:tcW w:w="3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3800" w:type="dxa"/>
            <w:vAlign w:val="bottom"/>
          </w:tcPr>
          <w:p>
            <w:pPr>
              <w:spacing w:after="0"/>
              <w:rPr>
                <w:sz w:val="3"/>
                <w:szCs w:val="3"/>
                <w:color w:val="auto"/>
              </w:rPr>
            </w:pPr>
          </w:p>
        </w:tc>
      </w:tr>
      <w:tr>
        <w:trPr>
          <w:trHeight w:val="234"/>
        </w:trPr>
        <w:tc>
          <w:tcPr>
            <w:tcW w:w="340" w:type="dxa"/>
            <w:vAlign w:val="bottom"/>
          </w:tcPr>
          <w:p>
            <w:pPr>
              <w:spacing w:after="0"/>
              <w:rPr>
                <w:sz w:val="20"/>
                <w:szCs w:val="20"/>
                <w:color w:val="auto"/>
              </w:rPr>
            </w:pPr>
          </w:p>
        </w:tc>
        <w:tc>
          <w:tcPr>
            <w:tcW w:w="5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Norman E. Snyder, Jr., CEO</w:t>
            </w: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373"/>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w:t>
            </w: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Dated: March 17, 2022</w:t>
            </w:r>
          </w:p>
        </w:tc>
      </w:tr>
      <w:tr>
        <w:trPr>
          <w:trHeight w:val="41"/>
        </w:trPr>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3800" w:type="dxa"/>
            <w:vAlign w:val="bottom"/>
          </w:tcPr>
          <w:p>
            <w:pPr>
              <w:spacing w:after="0"/>
              <w:rPr>
                <w:sz w:val="3"/>
                <w:szCs w:val="3"/>
                <w:color w:val="auto"/>
              </w:rPr>
            </w:pPr>
          </w:p>
        </w:tc>
      </w:tr>
      <w:tr>
        <w:trPr>
          <w:trHeight w:val="234"/>
        </w:trPr>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Thomas J. Spisak, CFO and Secretary</w:t>
            </w: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373"/>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12"/>
        </w:trPr>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Dated: March 17, 2022</w:t>
            </w:r>
          </w:p>
        </w:tc>
      </w:tr>
      <w:tr>
        <w:trPr>
          <w:trHeight w:val="41"/>
        </w:trPr>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3800" w:type="dxa"/>
            <w:vAlign w:val="bottom"/>
          </w:tcPr>
          <w:p>
            <w:pPr>
              <w:spacing w:after="0"/>
              <w:rPr>
                <w:sz w:val="3"/>
                <w:szCs w:val="3"/>
                <w:color w:val="auto"/>
              </w:rPr>
            </w:pPr>
          </w:p>
        </w:tc>
      </w:tr>
      <w:tr>
        <w:trPr>
          <w:trHeight w:val="238"/>
        </w:trPr>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JOHN J. BELLO</w:t>
            </w: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369"/>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PLEDGOR:</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0"/>
        </w:trPr>
        <w:tc>
          <w:tcPr>
            <w:tcW w:w="900" w:type="dxa"/>
            <w:vAlign w:val="bottom"/>
            <w:gridSpan w:val="3"/>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30"/>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THE JOHN AND NANCY BELLO REVOCABLE</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38"/>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LIVING TRUST, under agreement dated December 3, 2012</w:t>
            </w: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392"/>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John J. Bello</w:t>
            </w: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Dated: March 17, 2022</w:t>
            </w:r>
          </w:p>
        </w:tc>
      </w:tr>
      <w:tr>
        <w:trPr>
          <w:trHeight w:val="41"/>
        </w:trPr>
        <w:tc>
          <w:tcPr>
            <w:tcW w:w="3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3800" w:type="dxa"/>
            <w:vAlign w:val="bottom"/>
          </w:tcPr>
          <w:p>
            <w:pPr>
              <w:spacing w:after="0"/>
              <w:rPr>
                <w:sz w:val="3"/>
                <w:szCs w:val="3"/>
                <w:color w:val="auto"/>
              </w:rPr>
            </w:pPr>
          </w:p>
        </w:tc>
      </w:tr>
      <w:tr>
        <w:trPr>
          <w:trHeight w:val="234"/>
        </w:trPr>
        <w:tc>
          <w:tcPr>
            <w:tcW w:w="340" w:type="dxa"/>
            <w:vAlign w:val="bottom"/>
          </w:tcPr>
          <w:p>
            <w:pPr>
              <w:spacing w:after="0"/>
              <w:rPr>
                <w:sz w:val="20"/>
                <w:szCs w:val="20"/>
                <w:color w:val="auto"/>
              </w:rPr>
            </w:pPr>
          </w:p>
        </w:tc>
        <w:tc>
          <w:tcPr>
            <w:tcW w:w="5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John J. Bello, Trustee</w:t>
            </w: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4"/>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By: /s/ Nancy E. Bello</w:t>
            </w: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Dated: March 17, 2022</w:t>
            </w:r>
          </w:p>
        </w:tc>
      </w:tr>
      <w:tr>
        <w:trPr>
          <w:trHeight w:val="234"/>
        </w:trPr>
        <w:tc>
          <w:tcPr>
            <w:tcW w:w="340" w:type="dxa"/>
            <w:vAlign w:val="bottom"/>
          </w:tcPr>
          <w:p>
            <w:pPr>
              <w:spacing w:after="0"/>
              <w:rPr>
                <w:sz w:val="20"/>
                <w:szCs w:val="20"/>
                <w:color w:val="auto"/>
              </w:rPr>
            </w:pPr>
          </w:p>
        </w:tc>
        <w:tc>
          <w:tcPr>
            <w:tcW w:w="51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Nancy E. Bello, Trustee</w:t>
            </w: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4"/>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Consent:</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391"/>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/s/ John J. Bello</w:t>
            </w: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Dated: March 17, 2022</w:t>
            </w:r>
          </w:p>
        </w:tc>
      </w:tr>
      <w:tr>
        <w:trPr>
          <w:trHeight w:val="41"/>
        </w:trPr>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3800" w:type="dxa"/>
            <w:vAlign w:val="bottom"/>
          </w:tcPr>
          <w:p>
            <w:pPr>
              <w:spacing w:after="0"/>
              <w:rPr>
                <w:sz w:val="3"/>
                <w:szCs w:val="3"/>
                <w:color w:val="auto"/>
              </w:rPr>
            </w:pPr>
          </w:p>
        </w:tc>
      </w:tr>
      <w:tr>
        <w:trPr>
          <w:trHeight w:val="234"/>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John J. Bello, Trustor and Beneficiary</w:t>
            </w: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373"/>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auto"/>
              </w:rPr>
              <w:t>/s/ Nancy E. Bello</w:t>
            </w:r>
          </w:p>
        </w:tc>
        <w:tc>
          <w:tcPr>
            <w:tcW w:w="5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Dated: March 17, 2022</w:t>
            </w:r>
          </w:p>
        </w:tc>
      </w:tr>
      <w:tr>
        <w:trPr>
          <w:trHeight w:val="41"/>
        </w:trPr>
        <w:tc>
          <w:tcPr>
            <w:tcW w:w="34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3800" w:type="dxa"/>
            <w:vAlign w:val="bottom"/>
          </w:tcPr>
          <w:p>
            <w:pPr>
              <w:spacing w:after="0"/>
              <w:rPr>
                <w:sz w:val="3"/>
                <w:szCs w:val="3"/>
                <w:color w:val="auto"/>
              </w:rPr>
            </w:pPr>
          </w:p>
        </w:tc>
      </w:tr>
      <w:tr>
        <w:trPr>
          <w:trHeight w:val="234"/>
        </w:trPr>
        <w:tc>
          <w:tcPr>
            <w:tcW w:w="5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Nancy E. Bello, Trustor and Beneficiary</w:t>
            </w: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21"/>
        </w:trPr>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10.31</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LEDGERED ABL AGREEMENT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THIS LEDGERED ABL AGREEMENT (“Agreement”) is made on this </w:t>
      </w:r>
      <w:r>
        <w:rPr>
          <w:rFonts w:ascii="Times New Roman" w:cs="Times New Roman" w:eastAsia="Times New Roman" w:hAnsi="Times New Roman"/>
          <w:sz w:val="18"/>
          <w:szCs w:val="18"/>
          <w:b w:val="1"/>
          <w:bCs w:val="1"/>
          <w:color w:val="auto"/>
        </w:rPr>
        <w:t>28th day of March 2022</w:t>
      </w:r>
      <w:r>
        <w:rPr>
          <w:rFonts w:ascii="Times New Roman" w:cs="Times New Roman" w:eastAsia="Times New Roman" w:hAnsi="Times New Roman"/>
          <w:sz w:val="18"/>
          <w:szCs w:val="18"/>
          <w:color w:val="auto"/>
        </w:rPr>
        <w:t xml:space="preserve"> between </w:t>
      </w:r>
      <w:r>
        <w:rPr>
          <w:rFonts w:ascii="Times New Roman" w:cs="Times New Roman" w:eastAsia="Times New Roman" w:hAnsi="Times New Roman"/>
          <w:sz w:val="18"/>
          <w:szCs w:val="18"/>
          <w:b w:val="1"/>
          <w:bCs w:val="1"/>
          <w:color w:val="auto"/>
        </w:rPr>
        <w:t>Reed’s, Inc.</w:t>
      </w:r>
      <w:r>
        <w:rPr>
          <w:rFonts w:ascii="Times New Roman" w:cs="Times New Roman" w:eastAsia="Times New Roman" w:hAnsi="Times New Roman"/>
          <w:sz w:val="18"/>
          <w:szCs w:val="18"/>
          <w:color w:val="auto"/>
        </w:rPr>
        <w:t>, a Delaware Corporation (“Sellers”) and Alterna Capital Solutions LLC, a Florida Limited Liability Company (“Purchaser”).</w:t>
      </w:r>
    </w:p>
    <w:p>
      <w:pPr>
        <w:spacing w:after="0" w:line="155" w:lineRule="exact"/>
        <w:rPr>
          <w:sz w:val="20"/>
          <w:szCs w:val="20"/>
          <w:color w:val="auto"/>
        </w:rPr>
      </w:pPr>
    </w:p>
    <w:p>
      <w:pPr>
        <w:ind w:firstLine="8"/>
        <w:spacing w:after="0" w:line="286" w:lineRule="auto"/>
        <w:tabs>
          <w:tab w:leader="none" w:pos="1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 and Index to Definitions</w:t>
      </w:r>
      <w:r>
        <w:rPr>
          <w:rFonts w:ascii="Times New Roman" w:cs="Times New Roman" w:eastAsia="Times New Roman" w:hAnsi="Times New Roman"/>
          <w:sz w:val="18"/>
          <w:szCs w:val="18"/>
          <w:color w:val="auto"/>
        </w:rPr>
        <w:t>. The following terms shall have the following meanings. All capitalized terms not otherwise defined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have the meaning set forth in the Uniform Commercial Code (the “UCC”) as adopted in the Chosen State:</w:t>
      </w:r>
    </w:p>
    <w:p>
      <w:pPr>
        <w:spacing w:after="0" w:line="159"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1.1. “Account” – the right to payment of a monetary obligation, whether or not earned by performance, for property that has been or is to be sold, licensed, assigned, or otherwise disposed of or for services rendered or to be rendered.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1.2. “Account Debtor” - any person who is obligated to Seller on an Account, Chattel Paper, or General Intangible.</w:t>
      </w:r>
    </w:p>
    <w:p>
      <w:pPr>
        <w:spacing w:after="0" w:line="225"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1.3. “Advance Rate” – 90%, provided net dilution for the twelve (12) month trailing period is, and remains, less than 5.0% and which percent may be revised at any time by Purchaser in Purchaser’s sole and reasonable discretion.</w:t>
      </w:r>
    </w:p>
    <w:p>
      <w:pPr>
        <w:spacing w:after="0" w:line="162"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1.4. “Affiliate” - With respect to any person that is a corporation, each other person that owns or controls directly or indirectly the person, any person that controls or is controlled by or is under common control with the person, and each of that person’s senior executive officers, directors, and partners and, for any person that is a limited liability company, that person’s managers and members.</w:t>
      </w:r>
    </w:p>
    <w:p>
      <w:pPr>
        <w:spacing w:after="0" w:line="176"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1.5. “Avoidance Claim” - Any claim that a payment received by Purchaser is a preference or otherwise avoidable under the United States Bankruptcy Code or any other debtor-relief statute.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1.6. “Balance Subject to Funds Usage Daily Rate” - The unpaid Face Amount due on all Purchased Accounts minus the Reserve Account.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1.7. “Business Day” – A day on which a bank is open for business in the Chosen State.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1.8. “Chosen State” - Florida.</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1.9. “Clearance Days”- Three (3) Business Days.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1.10. “Closed” - An Account for which Purchaser has received full payment.</w:t>
      </w:r>
    </w:p>
    <w:p>
      <w:pPr>
        <w:spacing w:after="0" w:line="225" w:lineRule="exact"/>
        <w:rPr>
          <w:sz w:val="20"/>
          <w:szCs w:val="20"/>
          <w:color w:val="auto"/>
        </w:rPr>
      </w:pPr>
    </w:p>
    <w:p>
      <w:pPr>
        <w:jc w:val="both"/>
        <w:ind w:left="520" w:hanging="9"/>
        <w:spacing w:after="0" w:line="261" w:lineRule="auto"/>
        <w:rPr>
          <w:sz w:val="20"/>
          <w:szCs w:val="20"/>
          <w:color w:val="auto"/>
        </w:rPr>
      </w:pPr>
      <w:r>
        <w:rPr>
          <w:rFonts w:ascii="Times New Roman" w:cs="Times New Roman" w:eastAsia="Times New Roman" w:hAnsi="Times New Roman"/>
          <w:sz w:val="18"/>
          <w:szCs w:val="18"/>
          <w:color w:val="auto"/>
        </w:rPr>
        <w:t>1.11. “Collateral” - All now owned and hereafter acquired personal property and fixtures, and proceeds thereof, (including proceeds of proceeds) of Seller including without limitation: Accounts including accounts receivable; Chattel Paper; Inventory; Equipment; Instruments, including Promissory Notes; Investment Property; Documents; Deposit Accounts; Letter of Credit Rights; General Intangibles; and Supporting Obligations and exclusive of all intellectual property of Seller now owned and hereafter acquire.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1.12. “Collateral Monitoring Fee” - $1,000.00, which shall be charged and paid on the last day of each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1" w:name="page162"/>
    <w:bookmarkEnd w:id="161"/>
    <w:p>
      <w:pPr>
        <w:jc w:val="both"/>
        <w:ind w:hanging="9"/>
        <w:spacing w:after="0" w:line="258" w:lineRule="auto"/>
        <w:rPr>
          <w:sz w:val="20"/>
          <w:szCs w:val="20"/>
          <w:color w:val="auto"/>
        </w:rPr>
      </w:pPr>
      <w:r>
        <w:rPr>
          <w:rFonts w:ascii="Times New Roman" w:cs="Times New Roman" w:eastAsia="Times New Roman" w:hAnsi="Times New Roman"/>
          <w:sz w:val="18"/>
          <w:szCs w:val="18"/>
          <w:color w:val="auto"/>
        </w:rPr>
        <w:t>1.13. “Complete Termination” - Complete Termination occurs upon satisfaction of the following conditions: (i) payment in full of all Obligations of Seller to Purchaser; (ii) if Purchaser has issued or caused to be issued guarantees, promises, or letters of credit on behalf of Seller, acknowledgement from any beneficiaries thereof that Purchaser or any other issuer has no outstanding direct or contingent liability therein; and (iii) Seller and guarantors of the Obligations that remain employed by Seller have executed and delivered to Purchaser a general release in a form reasonably acceptable to Purchaser.</w:t>
      </w:r>
    </w:p>
    <w:p>
      <w:pPr>
        <w:spacing w:after="0" w:line="183" w:lineRule="exact"/>
        <w:rPr>
          <w:sz w:val="20"/>
          <w:szCs w:val="20"/>
          <w:color w:val="auto"/>
        </w:rPr>
      </w:pPr>
    </w:p>
    <w:p>
      <w:pPr>
        <w:jc w:val="both"/>
        <w:ind w:hanging="9"/>
        <w:spacing w:after="0" w:line="258" w:lineRule="auto"/>
        <w:rPr>
          <w:sz w:val="20"/>
          <w:szCs w:val="20"/>
          <w:color w:val="auto"/>
        </w:rPr>
      </w:pPr>
      <w:r>
        <w:rPr>
          <w:rFonts w:ascii="Times New Roman" w:cs="Times New Roman" w:eastAsia="Times New Roman" w:hAnsi="Times New Roman"/>
          <w:sz w:val="18"/>
          <w:szCs w:val="18"/>
          <w:color w:val="auto"/>
        </w:rPr>
        <w:t>1.14. “Daily Fee” – the fee Seller shall pay to Purchaser on a daily basis on the unpaid Face Amount of a Purchased Account for each day that the Purchased Account has not been Closed, which shall be calculated as the Daily Fee Percentage multiplied by the unpaid Face Amount of Purchased Account. The Daily Fee shall begin to accrue on the Purchase Date. The initial Daily Fee Percentage shall be 0.00% and the Daily Fee Percentage shall increase or decrease on the same date as any change in the Prime Rate, by the Prime Rate Adjustment. A minimum monthly Daily Fee in the amount of $0.00 shall be charged based on average volume purchases of $0.00.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 “Daily Fee Percentage” – 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 “Default Rate” shall mean 25% or the maximum interest rate allowed by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1.17.”Early Termination Fee” - See Section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 “Eligible Account” - An Account that is acceptable for purchase by Purchaser, as determined by Purchaser in its sole discretion.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 “Events of Default” - See Section 21 herein.</w:t>
      </w:r>
    </w:p>
    <w:p>
      <w:pPr>
        <w:spacing w:after="0" w:line="225" w:lineRule="exact"/>
        <w:rPr>
          <w:sz w:val="20"/>
          <w:szCs w:val="20"/>
          <w:color w:val="auto"/>
        </w:rPr>
      </w:pPr>
    </w:p>
    <w:p>
      <w:pPr>
        <w:jc w:val="both"/>
        <w:ind w:hanging="9"/>
        <w:spacing w:after="0" w:line="266" w:lineRule="auto"/>
        <w:rPr>
          <w:sz w:val="20"/>
          <w:szCs w:val="20"/>
          <w:color w:val="auto"/>
        </w:rPr>
      </w:pPr>
      <w:r>
        <w:rPr>
          <w:rFonts w:ascii="Times New Roman" w:cs="Times New Roman" w:eastAsia="Times New Roman" w:hAnsi="Times New Roman"/>
          <w:sz w:val="18"/>
          <w:szCs w:val="18"/>
          <w:color w:val="auto"/>
        </w:rPr>
        <w:t>1.20. “Exposed Payments” - With respect to an Account which Seller has repurchased or could be required to repurchase hereunder, payments received by Purchaser from or for the Account of a Payor that has become subject to a bankruptcy proceeding, to the extent such payments cleared the Payor’s deposit account within ninety (90) days of the commencement of said bankruptcy case.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 “Face Amount” - The Face Amount due on an Account on the Purchase Date.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1.22. “Facility Fee” – 1.0% of the Maximum Amount, which the Seller shall pay at closing. Seller shall pay the Facility Fee on the first day of each Renewal Term.</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1.23. “Funds Usage Daily Fee” – The fee the Seller shall pay to Purchaser on a daily basis on the Balance Subject to Funds Usage Daily Rate, which shall be calculated as the Funds Usage Percentage multiplied by the Balance Subject to Funds Usage Daily Rate. The Funds Usage Percentage shall be the Prime Rate plus 4.75% but at no time less than 8.00%. The Funds Usage Percentage shall increase or decrease on the same date as any change in the Prime Rate, by the Prime Rate Adjustment. If, at any time, the Sellers average, monthly, net funds employed does not equal, or exceed, $1,500,000, interest will be charged at the accounts receivable funds usage rate, and the monthly collateral monitoring fee will also be charged.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1.24. “Funds Usage Percentage” – 0.0222% per day.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 “Ineligible Account” - An Account other than an Eligible Account as determined by Purchaser in its sole discretion.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1.26. “Invoice” - The document that evidences or is intended to evidence an Account. Where the context so requires, reference to an Invoice shall be deemed to refer to the Account to which it relates.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 “Maximum Amount” –Up to $13,000,000 of net funds employed at any given time.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1.28. “Misdirected Payment Fee” – The fee the Seller shall pay to the Purchaser for each payment on account of a Purchased Account which has been received by Seller or by a third party (“Misdirected Payment”) and not paid to Purchaser w i t h 1 0 d a y s following the later of (a) the date of receipt of the Misdirected Payment by Seller or a third party or (b) the date of Seller’s knowledge of receipt of the Misdirected Payment by such third party. The amount of the Misdirected Payment Fee shall be 15% of the amount of the Misdirected Payment.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1.29. “Missing Notation Fee” – This fee will be waived for the first 60 days from the date of execution of this AGREEMENT. The fee the Seller shall pay to the Purchaser on the Purchase Date of an Invoice if the Invoice is missing a notice of assignment legend as required by Section 4 herein. The amount of the Missing Notation Fee shall be 15% of the Face Amount of the Invoice on the 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260350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688" w:right="339" w:bottom="1440" w:gutter="0" w:footer="0" w:header="0"/>
        </w:sectPr>
      </w:pPr>
    </w:p>
    <w:bookmarkStart w:id="162" w:name="page163"/>
    <w:bookmarkEnd w:id="162"/>
    <w:p>
      <w:pPr>
        <w:jc w:val="both"/>
        <w:spacing w:after="0" w:line="261" w:lineRule="auto"/>
        <w:rPr>
          <w:sz w:val="20"/>
          <w:szCs w:val="20"/>
          <w:color w:val="auto"/>
        </w:rPr>
      </w:pPr>
      <w:r>
        <w:rPr>
          <w:rFonts w:ascii="Times New Roman" w:cs="Times New Roman" w:eastAsia="Times New Roman" w:hAnsi="Times New Roman"/>
          <w:sz w:val="18"/>
          <w:szCs w:val="18"/>
          <w:color w:val="auto"/>
        </w:rPr>
        <w:t>1.30. “Obligations” - All present and future Obligations and liabilities owing by Seller to Purchaser, whether direct or indirect, absolute or contingent, including Obligations and liabilities that are likely to become owing by Seller to Purchaser, including without limitation interest, fees, and costs, whether arising hereunder or otherwise, and whether arising before, during or after the commencement of any case filed under title 11 of the United States Bankruptcy Code or any other debtor relief proceeding in which Seller is a Debtor.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 “Parties” - Seller and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1.32. “Payor” - An Account Debtor, other obligor, or entity obligated on an Account, making payment on behalf of such party.</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1.33. “Prime Rate” - The Prime Rate published in the “Money Rates” table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If two or more Prime Rates are published in the “Money Rates” table for the same date, the highest of such rates shall be the Prime Rate. If the date upon which a change in the interest rate is to occur is a date upon which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is not published, or the Prime Rate is not available in the Money Rates table of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the Prime Rate shall be determined from the immediately preceding edition of</w:t>
      </w:r>
      <w:r>
        <w:rPr>
          <w:rFonts w:ascii="Times New Roman" w:cs="Times New Roman" w:eastAsia="Times New Roman" w:hAnsi="Times New Roman"/>
          <w:sz w:val="18"/>
          <w:szCs w:val="18"/>
          <w:i w:val="1"/>
          <w:iCs w:val="1"/>
          <w:color w:val="auto"/>
        </w:rPr>
        <w:t xml:space="preserve"> The Wall Street Journal </w:t>
      </w:r>
      <w:r>
        <w:rPr>
          <w:rFonts w:ascii="Times New Roman" w:cs="Times New Roman" w:eastAsia="Times New Roman" w:hAnsi="Times New Roman"/>
          <w:sz w:val="18"/>
          <w:szCs w:val="18"/>
          <w:color w:val="auto"/>
        </w:rPr>
        <w:t>in which the Money Rates table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Prime Rate is available. If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ceases to be published or ceases to publish the Prime Rate in the Money Rates table, the Purchaser will choose a new index that is reasonably determined by Purchaser to be based upon comparable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 Prime Rate Adjustment” – 0.0007% for every 0.25% change in the Prime Rate when compared to the existing Prime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 “Purchase Date” - The date on which Purchaser has advised Seller in writing that it has agreed to purchase an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1.36. “Purchase Price” - The Face Amount of a Purchased Account on the Purchase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 “Purchased Account” - An Account purchased by Purchaser which is not Closed.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1.38. “Purchased Eligible Account” – An Eligible Account purchased by Purchaser which is not Closed.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 “Renewal Term” – See Section 23.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1.40. “Required Reserve Amount” – The Reserve Percentage multiplied by the unpaid balance of all Purchased Accounts, plus all amounts due on Ineligible Accounts, plus all accrued fees and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1.41. “Reserve Account” - A bookkeeping account on the books of the Purchaser representing the portion of the Purchase Price which has not been paid by Purchaser to Seller, maintained by Purchaser to secure Seller’s performance with the provisions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1.42. “Reserve Percentage” - 100% minus the Advance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1.43. “Reserve Shortfall” - The amount by which the Reserve Account is less than the Required Reserve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1.44. “Term” - See Section 23.</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1.45. Termination Date” - The earlier of (i) the date on which Purchaser terminates this Agreement pursuant to the terms hereof, or (ii) the end of the Term or the last Renewal Term which was not extended under Section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251460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40" w:top="688" w:right="339" w:bottom="1440" w:gutter="0" w:footer="0" w:header="0"/>
        </w:sectPr>
      </w:pPr>
    </w:p>
    <w:bookmarkStart w:id="163" w:name="page164"/>
    <w:bookmarkEnd w:id="163"/>
    <w:p>
      <w:pPr>
        <w:jc w:val="both"/>
        <w:ind w:left="-8" w:firstLine="8"/>
        <w:spacing w:after="0" w:line="257" w:lineRule="auto"/>
        <w:tabs>
          <w:tab w:leader="none" w:pos="1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and Sale</w:t>
      </w:r>
      <w:r>
        <w:rPr>
          <w:rFonts w:ascii="Times New Roman" w:cs="Times New Roman" w:eastAsia="Times New Roman" w:hAnsi="Times New Roman"/>
          <w:sz w:val="18"/>
          <w:szCs w:val="18"/>
          <w:color w:val="auto"/>
        </w:rPr>
        <w:t>. Seller hereby sells and shall continue to sell to Purchaser as absolute owner, and Purchaser hereby purchases and shall continue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from Seller, with full recourse, Seller’s Accounts as Purchaser determines in its sole discretion. Each Account shall be accompanied by such documentation supporting and evidencing the Account as Purchaser may request. Purchaser shall pay the Purchase Price of any Purchased Account, less (i) the Reserve Percentage multiplied by the Purchase Price and (ii) any amounts due to Purchaser from Seller, within two (2) Business Days of the Purchase Date. Seller represents that all Purchased Accounts are true, correct, and collectible and are sold to Purchaser free and clear of any claims. Purchaser may, but need not, purchase from Seller such Accounts as Purchaser determines to be Eligible Accounts.</w:t>
      </w:r>
    </w:p>
    <w:p>
      <w:pPr>
        <w:spacing w:after="0" w:line="182"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 Account.</w:t>
      </w:r>
    </w:p>
    <w:p>
      <w:pPr>
        <w:spacing w:after="0" w:line="229"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3.1. Purchaser may pay any amounts due Seller hereunder by a credit to the Reserve Account.</w:t>
      </w:r>
    </w:p>
    <w:p>
      <w:pPr>
        <w:spacing w:after="0" w:line="225"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3.2. Seller shall pay to Purchaser on demand the amount of any Reserve Shortfall.</w:t>
      </w:r>
    </w:p>
    <w:p>
      <w:pPr>
        <w:spacing w:after="0" w:line="225" w:lineRule="exact"/>
        <w:rPr>
          <w:sz w:val="20"/>
          <w:szCs w:val="20"/>
          <w:color w:val="auto"/>
        </w:rPr>
      </w:pPr>
    </w:p>
    <w:p>
      <w:pPr>
        <w:ind w:left="912" w:right="20" w:hanging="323"/>
        <w:spacing w:after="0" w:line="282" w:lineRule="auto"/>
        <w:rPr>
          <w:sz w:val="20"/>
          <w:szCs w:val="20"/>
          <w:color w:val="auto"/>
        </w:rPr>
      </w:pPr>
      <w:r>
        <w:rPr>
          <w:rFonts w:ascii="Times New Roman" w:cs="Times New Roman" w:eastAsia="Times New Roman" w:hAnsi="Times New Roman"/>
          <w:sz w:val="18"/>
          <w:szCs w:val="18"/>
          <w:color w:val="auto"/>
        </w:rPr>
        <w:t>3.3. So long as there is no existing Event of Default, Purchaser shall pay to Seller upon Seller’s request, any amount by which the Reserve Account exceeds the Required Reserve Amount.</w:t>
      </w:r>
    </w:p>
    <w:p>
      <w:pPr>
        <w:spacing w:after="0" w:line="162"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3.4. Purchaser may charge the Reserve Account with any Obligation.</w:t>
      </w:r>
    </w:p>
    <w:p>
      <w:pPr>
        <w:spacing w:after="0" w:line="225"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3.5. Except as provided in Section 3.3, Purchaser may retain the Reserve Account until Complete Termination.</w:t>
      </w:r>
    </w:p>
    <w:p>
      <w:pPr>
        <w:spacing w:after="0" w:line="221" w:lineRule="exact"/>
        <w:rPr>
          <w:sz w:val="20"/>
          <w:szCs w:val="20"/>
          <w:color w:val="auto"/>
        </w:rPr>
      </w:pPr>
    </w:p>
    <w:p>
      <w:pPr>
        <w:jc w:val="both"/>
        <w:ind w:left="-8" w:firstLine="8"/>
        <w:spacing w:after="0" w:line="262" w:lineRule="auto"/>
        <w:tabs>
          <w:tab w:leader="none" w:pos="1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Assignment and Lock Box</w:t>
      </w:r>
      <w:r>
        <w:rPr>
          <w:rFonts w:ascii="Times New Roman" w:cs="Times New Roman" w:eastAsia="Times New Roman" w:hAnsi="Times New Roman"/>
          <w:sz w:val="18"/>
          <w:szCs w:val="18"/>
          <w:color w:val="auto"/>
        </w:rPr>
        <w:t>. Purchaser is hereby authorized to notify any Account Debtor obligated with respect to any Account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underlying Account has been assigned to Purchaser by Seller and that payment thereof is to be made to the order of and directly and solely to Purchaser. All Invoices for Accounts sent by Seller to Account Debtors shall contain on the face of the Invoice the following statement: “This account is assigned and payable only to Reed’s, Inc. c/o ACS. All payments shall be sent to Reed’s Inc c/o ACS at: P.O. Box 936601, Atlanta, GA 31193-6601.”</w:t>
      </w:r>
    </w:p>
    <w:p>
      <w:pPr>
        <w:spacing w:after="0" w:line="176" w:lineRule="exact"/>
        <w:rPr>
          <w:rFonts w:ascii="Times New Roman" w:cs="Times New Roman" w:eastAsia="Times New Roman" w:hAnsi="Times New Roman"/>
          <w:sz w:val="18"/>
          <w:szCs w:val="18"/>
          <w:color w:val="auto"/>
        </w:rPr>
      </w:pPr>
    </w:p>
    <w:p>
      <w:pPr>
        <w:jc w:val="both"/>
        <w:ind w:left="-8" w:firstLine="8"/>
        <w:spacing w:after="0" w:line="257" w:lineRule="auto"/>
        <w:tabs>
          <w:tab w:leader="none" w:pos="1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Exposed Payments</w:t>
      </w:r>
      <w:r>
        <w:rPr>
          <w:rFonts w:ascii="Times New Roman" w:cs="Times New Roman" w:eastAsia="Times New Roman" w:hAnsi="Times New Roman"/>
          <w:sz w:val="18"/>
          <w:szCs w:val="18"/>
          <w:color w:val="auto"/>
        </w:rPr>
        <w:t>. Upon termination of this Agreement Seller shall pay to Purchaser (or Purchaser may retain), to hold in a non-segregated, non-interest-bearing account the amount of all Exposed Payments (the “Preference Reserve”). Purchaser may charge the preference reserve with the amount of any Exposed Payments that Purchaser pays to the bankruptcy estate of the Payor that made the Exposed Payment, because of a claim asserted under Section 547 of the Bankruptcy Code. Purchaser shall refund to Seller from time to time that balance of the preference reserve for which a claim under Section 547 of the Bankruptcy Code can no longer be asserted due to the passage of the statute of limitations, settlement with the bankruptcy estate of the Payor or otherwise.</w:t>
      </w:r>
    </w:p>
    <w:p>
      <w:pPr>
        <w:spacing w:after="0" w:line="182" w:lineRule="exact"/>
        <w:rPr>
          <w:rFonts w:ascii="Times New Roman" w:cs="Times New Roman" w:eastAsia="Times New Roman" w:hAnsi="Times New Roman"/>
          <w:sz w:val="18"/>
          <w:szCs w:val="18"/>
          <w:color w:val="auto"/>
        </w:rPr>
      </w:pPr>
    </w:p>
    <w:p>
      <w:pPr>
        <w:ind w:left="-8" w:firstLine="8"/>
        <w:spacing w:after="0" w:line="286" w:lineRule="auto"/>
        <w:tabs>
          <w:tab w:leader="none" w:pos="1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Authorization for Purchases</w:t>
      </w:r>
      <w:r>
        <w:rPr>
          <w:rFonts w:ascii="Times New Roman" w:cs="Times New Roman" w:eastAsia="Times New Roman" w:hAnsi="Times New Roman"/>
          <w:sz w:val="18"/>
          <w:szCs w:val="18"/>
          <w:color w:val="auto"/>
        </w:rPr>
        <w:t>. Subject to the terms and conditions of this Agreement, Purchaser is authorized to purchase Accounts upon telephonic,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facsimile, or other instructions received from anyone Purchaser reasonably believes to be an officer, employee, or representative of Seller.</w:t>
      </w:r>
    </w:p>
    <w:p>
      <w:pPr>
        <w:spacing w:after="0" w:line="154"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1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Seller shall pay to Purchaser throughout the Term and any Renewal Term of this Agreement, all applicable fees, which may include but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limited to: the Collateral Monitoring Fee, Facility Fee, the Funds Usage Daily Fee, the Daily Fee, the Misdirected Payment Fee, Missing Notation Fee, and Early Termination Fee on the date(s) that each </w:t>
      </w:r>
      <w:r>
        <w:rPr>
          <w:rFonts w:ascii="Times New Roman" w:cs="Times New Roman" w:eastAsia="Times New Roman" w:hAnsi="Times New Roman"/>
          <w:sz w:val="18"/>
          <w:szCs w:val="18"/>
          <w:color w:val="auto"/>
          <w:strike w:val="1"/>
        </w:rPr>
        <w:t>f</w:t>
      </w:r>
      <w:r>
        <w:rPr>
          <w:rFonts w:ascii="Times New Roman" w:cs="Times New Roman" w:eastAsia="Times New Roman" w:hAnsi="Times New Roman"/>
          <w:sz w:val="18"/>
          <w:szCs w:val="18"/>
          <w:color w:val="auto"/>
        </w:rPr>
        <w:t>ee is due and payable as provided as set forth in Sections 1.12, 1.14, 1.17, 1.22, 1.23, 1.28, and 1.29. herein, and shall be charged by the Purchaser to the Reserve Account. All computations of interest and fees shall be made by Purchaser on the basis of a three hundred and sixty (360) day year, for the actual number of days elapsed. The actual number of days excludes the day on which the funds are advanced and includes the day on which the interest or fee is paid. Each determination by Purchaser of an interest rate hereunder shall be conclusive and binding for all purposes.</w:t>
      </w:r>
    </w:p>
    <w:p>
      <w:pPr>
        <w:spacing w:after="0" w:line="182" w:lineRule="exact"/>
        <w:rPr>
          <w:rFonts w:ascii="Times New Roman" w:cs="Times New Roman" w:eastAsia="Times New Roman" w:hAnsi="Times New Roman"/>
          <w:sz w:val="18"/>
          <w:szCs w:val="18"/>
          <w:color w:val="auto"/>
        </w:rPr>
      </w:pPr>
    </w:p>
    <w:p>
      <w:pPr>
        <w:jc w:val="both"/>
        <w:ind w:left="-8" w:firstLine="8"/>
        <w:spacing w:after="0" w:line="259" w:lineRule="auto"/>
        <w:tabs>
          <w:tab w:leader="none" w:pos="1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Charges and Expenses</w:t>
      </w:r>
      <w:r>
        <w:rPr>
          <w:rFonts w:ascii="Times New Roman" w:cs="Times New Roman" w:eastAsia="Times New Roman" w:hAnsi="Times New Roman"/>
          <w:sz w:val="18"/>
          <w:szCs w:val="18"/>
          <w:color w:val="auto"/>
        </w:rPr>
        <w:t>. Seller shall reimburse Purchaser for all costs and expenses incurred in connection with this Agreement, including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the following: $20.00 per wire, the actual UCC filing fees and other search costs, the actual field examination fees directly incurred by Purchaser in the administration of this Agreement, and all attorney’s fees and costs actually incurred by Purchaser in connection with this Agreement (collectively, “Reimbursable Expenses.”). Reimbursable Expenses are due at the time of payment of the applicable fees or expenses by Purchaser and may be charged to the Reserve Account at Purchaser’s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264795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164" w:name="page165"/>
    <w:bookmarkEnd w:id="164"/>
    <w:p>
      <w:pPr>
        <w:jc w:val="both"/>
        <w:ind w:left="-8" w:firstLine="8"/>
        <w:spacing w:after="0" w:line="262" w:lineRule="auto"/>
        <w:tabs>
          <w:tab w:leader="none" w:pos="1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Repurchase of Accounts</w:t>
      </w:r>
      <w:r>
        <w:rPr>
          <w:rFonts w:ascii="Times New Roman" w:cs="Times New Roman" w:eastAsia="Times New Roman" w:hAnsi="Times New Roman"/>
          <w:sz w:val="18"/>
          <w:szCs w:val="18"/>
          <w:color w:val="auto"/>
        </w:rPr>
        <w:t>. Seller shall within five (5) Business Days of demand by Purchaser repurchase any Purchased Account that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determines at any time is uncollectible for any reason or is otherwise no longer an Eligible Account and on such demand shall pay to Purchaser the then unpaid amount due on the Purchased Account, together with any accrued but unpaid fees relating to the Purchased Account. Purchaser shall retain its security interest in any Purchased Account repurchased by Seller.</w:t>
      </w:r>
    </w:p>
    <w:p>
      <w:pPr>
        <w:spacing w:after="0" w:line="176"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28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Interest</w:t>
      </w:r>
      <w:r>
        <w:rPr>
          <w:rFonts w:ascii="Times New Roman" w:cs="Times New Roman" w:eastAsia="Times New Roman" w:hAnsi="Times New Roman"/>
          <w:sz w:val="18"/>
          <w:szCs w:val="18"/>
          <w:color w:val="auto"/>
        </w:rPr>
        <w:t>. To secure payment and performance of all present and future Obligations of Seller to Purchaser, Seller grants to Purchaser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first priority security interest in and to the Collateral. Seller shall execute and deliver to Purchaser such documents and instruments, including without limitation, UCC-1 financing statements, as Purchaser may request from time to time in order to evidence and perfect its security interest in the Collateral. Seller authorizes Purchaser to file a UCC-1 financing statement, including without limitation, original financing statements, amendments, and continuation statements, in all jurisdictions and offices Purchaser deems appropriate which names Seller as the debtor and describes the Collateral. Notwithstanding the creation of this security interest, it is the intent of the Parties that the relationship of the Parties in respect to all Purchased Accounts shall at all times be that of purchaser and seller, and not that of lender and borrower, Purchaser is and shall not be a fiduciary of the Seller, although Seller may be a fiduciary of the Purchaser.</w:t>
      </w:r>
    </w:p>
    <w:p>
      <w:pPr>
        <w:spacing w:after="0" w:line="184" w:lineRule="exact"/>
        <w:rPr>
          <w:rFonts w:ascii="Times New Roman" w:cs="Times New Roman" w:eastAsia="Times New Roman" w:hAnsi="Times New Roman"/>
          <w:sz w:val="18"/>
          <w:szCs w:val="18"/>
          <w:color w:val="auto"/>
        </w:rPr>
      </w:pPr>
    </w:p>
    <w:p>
      <w:pPr>
        <w:ind w:left="-8" w:firstLine="8"/>
        <w:spacing w:after="0" w:line="286" w:lineRule="auto"/>
        <w:tabs>
          <w:tab w:leader="none" w:pos="26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Clearance Days</w:t>
      </w:r>
      <w:r>
        <w:rPr>
          <w:rFonts w:ascii="Times New Roman" w:cs="Times New Roman" w:eastAsia="Times New Roman" w:hAnsi="Times New Roman"/>
          <w:sz w:val="18"/>
          <w:szCs w:val="18"/>
          <w:color w:val="auto"/>
        </w:rPr>
        <w:t>. Clearance Days shall be added to the date on which Purchaser receives any payment before such payment is credited to reduce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amounts due hereunder.</w:t>
      </w:r>
    </w:p>
    <w:p>
      <w:pPr>
        <w:spacing w:after="0" w:line="154"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Authorization to Purchaser</w:t>
      </w:r>
      <w:r>
        <w:rPr>
          <w:rFonts w:ascii="Times New Roman" w:cs="Times New Roman" w:eastAsia="Times New Roman" w:hAnsi="Times New Roman"/>
          <w:sz w:val="18"/>
          <w:szCs w:val="18"/>
          <w:color w:val="auto"/>
        </w:rPr>
        <w:t>. Seller will attempt to work with the Purchaser to develop a reasonable plan to implement, at Seller’s sole expense,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powers identified in this Section 12. Notwithstanding the foregoing, Purchaser shall have sole discretion to exercise at any time any of the following powers until all of the Obligations have been fully satisfied and discharged: (a) receive, take, endorse, assign, deliver, accept and deposit, in the name of Purchaser or Seller, proceeds of any Collateral; (b) during an Event of Default, take or bring, in the name of Purchaser or Seller, all steps, actions, suits or proceedings deemed by Purchaser necessary or desirable to effect collection of or other realization upon all Collateral; (c) during an Event of Default, file any claim under (i) any bond or (ii) under any trust fund with respect to any of the foregoing issued for the benefit of Seller individually or as a member of a class or group; (d) during an Event of Default, with respect to any credit insurance policy in which Seller is an insured, in the name of Seller and/or Purchaser: (i) file a claim thereunder; and (ii) as required under the policy, assign to the insurer any rights that Seller and/or Purchaser may have in Seller’s Accounts; (e) during an Event of Default, pay any sums necessary to discharge any lien, claim, or encumbrance which is senior to Purchaser’s security interest in any assets of Seller, which sums shall be included as Obligations of and in connection with such sums the Default Rate shall accrue and shall be immediately due and payable on the Balance Subject to Funds Usage Daily Rate; (f) during an Event of Default, file in the name of Seller or Purchaser or both (i) mechanics lien or related notices, or (ii) claims under any payment bond, in connection with goods or services sold by Seller in connection with the improvement of realty; (g) during an Event of Default, ,notify any Account Debtor and/or Payor obligated with respect to any Account, that the underlying Account has been assigned to Purchaser by Seller and that payment thereof is to be made to the order of and directly and solely to Purchaser; (h) communicate directly with Seller’s Account Debtors and/or Payors to verify the amount and validity of any Account created by Seller; (i) during an Event of Default, ,endorse and deposit on behalf of Seller any checks tendered by an Account Debtor “in full payment” of its obligation to Seller (and Seller shall not assert against Purchaser any claim arising therefrom, irrespective of whether such action by Purchaser effects an accord and satisfaction of Seller’s claims, under §3-311 of the Uniform Commercial Code, or otherwise); and (j) during an Event of Default, in Purchaser’s name or on behalf of Seller, with Seller to be bound thereby, extend the time of payment of, compromise or settle for cash, credit, return of merchandise, and upon any terms or conditions (collectively, a “Settlement”), all Accounts and discharge or release any Account Debtor or other obligor (including filing of any public record releasing any lien granted to Seller by such Account Debtor), without affecting any of the Obligations. . Seller hereby releases (i) any bank, trust company or other firm receiving or accepting such collections in any form, and (ii) Purchaser from any liability arising from any act or acts hereunder or in furtherance hereof, whether of omission or commission, and whether based upon any error of judgment or mistake of law or fact; provided however, Seller’s release does not extend to acts of gross negligence or willful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165" w:name="page166"/>
    <w:bookmarkEnd w:id="165"/>
    <w:p>
      <w:pPr>
        <w:ind w:left="-8" w:firstLine="8"/>
        <w:spacing w:after="0" w:line="286" w:lineRule="auto"/>
        <w:tabs>
          <w:tab w:leader="none" w:pos="26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ACH Authorization</w:t>
      </w:r>
      <w:r>
        <w:rPr>
          <w:rFonts w:ascii="Times New Roman" w:cs="Times New Roman" w:eastAsia="Times New Roman" w:hAnsi="Times New Roman"/>
          <w:sz w:val="18"/>
          <w:szCs w:val="18"/>
          <w:color w:val="auto"/>
        </w:rPr>
        <w:t>. In order to satisfy any of the Obligations or to recover any overpayment made by Purchaser to Seller, Purchaser is authorized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process electronic debit or credit entries through the ACH system to any deposit account of Seller.</w:t>
      </w:r>
    </w:p>
    <w:p>
      <w:pPr>
        <w:spacing w:after="0" w:line="154"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Agreements by Seller.</w:t>
      </w:r>
    </w:p>
    <w:p>
      <w:pPr>
        <w:spacing w:after="0" w:line="229" w:lineRule="exact"/>
        <w:rPr>
          <w:sz w:val="20"/>
          <w:szCs w:val="20"/>
          <w:color w:val="auto"/>
        </w:rPr>
      </w:pPr>
    </w:p>
    <w:p>
      <w:pPr>
        <w:jc w:val="both"/>
        <w:ind w:left="332"/>
        <w:spacing w:after="0" w:line="266" w:lineRule="auto"/>
        <w:rPr>
          <w:sz w:val="20"/>
          <w:szCs w:val="20"/>
          <w:color w:val="auto"/>
        </w:rPr>
      </w:pPr>
      <w:r>
        <w:rPr>
          <w:rFonts w:ascii="Times New Roman" w:cs="Times New Roman" w:eastAsia="Times New Roman" w:hAnsi="Times New Roman"/>
          <w:sz w:val="18"/>
          <w:szCs w:val="18"/>
          <w:color w:val="auto"/>
        </w:rPr>
        <w:t>14.1. During an Event of Default and otherwise upon written notice by Purchaser to Seller, Seller shall not (a) grant any extension of time for payment of any of its Accounts,(b) compromise or settle any of its Accounts for less than the full amount, (c) release in whole or in part any Payor, or (d) grant credits, discounts, allowances, deductions, or return authorizations for any Accounts.</w:t>
      </w:r>
    </w:p>
    <w:p>
      <w:pPr>
        <w:spacing w:after="0" w:line="176" w:lineRule="exact"/>
        <w:rPr>
          <w:sz w:val="20"/>
          <w:szCs w:val="20"/>
          <w:color w:val="auto"/>
        </w:rPr>
      </w:pPr>
    </w:p>
    <w:p>
      <w:pPr>
        <w:jc w:val="both"/>
        <w:ind w:left="332"/>
        <w:spacing w:after="0" w:line="258" w:lineRule="auto"/>
        <w:rPr>
          <w:sz w:val="20"/>
          <w:szCs w:val="20"/>
          <w:color w:val="auto"/>
        </w:rPr>
      </w:pPr>
      <w:r>
        <w:rPr>
          <w:rFonts w:ascii="Times New Roman" w:cs="Times New Roman" w:eastAsia="Times New Roman" w:hAnsi="Times New Roman"/>
          <w:sz w:val="18"/>
          <w:szCs w:val="18"/>
          <w:color w:val="auto"/>
        </w:rPr>
        <w:t>14.2. Seller shall keep at its principal place of business for a period of five years all books of account and business records customary for the industry, which books and records are subject to inspection by Purchaser and its agents and representatives during normal business hours. Purchaser or its designee shall have immediate access, during reasonable business hours if prior to an Event of Default and at any time if on or after an Event of Default, to all premises where Collateral is located for the purposes of inspecting (and removing, if after the occurrence of an Event of Default) any of the Collateral, and Seller shall permit Purchaser or its designee to make copies of such books and records as Purchaser may request.</w:t>
      </w:r>
    </w:p>
    <w:p>
      <w:pPr>
        <w:spacing w:after="0" w:line="183" w:lineRule="exact"/>
        <w:rPr>
          <w:sz w:val="20"/>
          <w:szCs w:val="20"/>
          <w:color w:val="auto"/>
        </w:rPr>
      </w:pPr>
    </w:p>
    <w:p>
      <w:pPr>
        <w:jc w:val="both"/>
        <w:ind w:left="332"/>
        <w:spacing w:after="0" w:line="266" w:lineRule="auto"/>
        <w:rPr>
          <w:sz w:val="20"/>
          <w:szCs w:val="20"/>
          <w:color w:val="auto"/>
        </w:rPr>
      </w:pPr>
      <w:r>
        <w:rPr>
          <w:rFonts w:ascii="Times New Roman" w:cs="Times New Roman" w:eastAsia="Times New Roman" w:hAnsi="Times New Roman"/>
          <w:sz w:val="18"/>
          <w:szCs w:val="18"/>
          <w:color w:val="auto"/>
        </w:rPr>
        <w:t>14.3. Seller shall give Purchaser thirty (30) Business Days’ prior written notice of any proposed change to its present name, the address of its headquarters or where its books and records are located, any proposed purchase of a majority interest in its equity ownership or proposed purchase of all or substantially all of its assets, any management, and any proposed change to its jurisdiction of organization or type of legal organization.</w:t>
      </w:r>
    </w:p>
    <w:p>
      <w:pPr>
        <w:spacing w:after="0" w:line="176"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14.4. Seller shall pay when due all of its payroll and other taxes and shall provide proof of payment to Purchaser.</w:t>
      </w:r>
    </w:p>
    <w:p>
      <w:pPr>
        <w:spacing w:after="0" w:line="225" w:lineRule="exact"/>
        <w:rPr>
          <w:sz w:val="20"/>
          <w:szCs w:val="20"/>
          <w:color w:val="auto"/>
        </w:rPr>
      </w:pPr>
    </w:p>
    <w:p>
      <w:pPr>
        <w:jc w:val="both"/>
        <w:ind w:left="332"/>
        <w:spacing w:after="0" w:line="266" w:lineRule="auto"/>
        <w:rPr>
          <w:sz w:val="20"/>
          <w:szCs w:val="20"/>
          <w:color w:val="auto"/>
        </w:rPr>
      </w:pPr>
      <w:r>
        <w:rPr>
          <w:rFonts w:ascii="Times New Roman" w:cs="Times New Roman" w:eastAsia="Times New Roman" w:hAnsi="Times New Roman"/>
          <w:sz w:val="18"/>
          <w:szCs w:val="18"/>
          <w:color w:val="auto"/>
        </w:rPr>
        <w:t>14.5. Seller shall not create, incur, or permit the existence of any lien other than Permitted Liens upon any Collateral without prior consent of Purchaser, which consent will not be unreasonably withheld so long as the subordinate secured party and Purchaser enter into a consent agreement acceptable to Purchaser. As of the date of this Agreement, Purchaser consents to the existence of the liens identified on Schedule A attached hereto.</w:t>
      </w:r>
    </w:p>
    <w:p>
      <w:pPr>
        <w:spacing w:after="0" w:line="176" w:lineRule="exact"/>
        <w:rPr>
          <w:sz w:val="20"/>
          <w:szCs w:val="20"/>
          <w:color w:val="auto"/>
        </w:rPr>
      </w:pPr>
    </w:p>
    <w:p>
      <w:pPr>
        <w:jc w:val="both"/>
        <w:ind w:left="332" w:right="20"/>
        <w:spacing w:after="0" w:line="282" w:lineRule="auto"/>
        <w:rPr>
          <w:sz w:val="20"/>
          <w:szCs w:val="20"/>
          <w:color w:val="auto"/>
        </w:rPr>
      </w:pPr>
      <w:r>
        <w:rPr>
          <w:rFonts w:ascii="Times New Roman" w:cs="Times New Roman" w:eastAsia="Times New Roman" w:hAnsi="Times New Roman"/>
          <w:sz w:val="18"/>
          <w:szCs w:val="18"/>
          <w:color w:val="auto"/>
        </w:rPr>
        <w:t>14.6. Seller shall provide Purchaser, within t w o ( 2) Business Days of receipt by Seller, copies of any business or legal notices, summonses, complaints, or other proceedings received by Seller.</w:t>
      </w:r>
    </w:p>
    <w:p>
      <w:pPr>
        <w:spacing w:after="0" w:line="162" w:lineRule="exact"/>
        <w:rPr>
          <w:sz w:val="20"/>
          <w:szCs w:val="20"/>
          <w:color w:val="auto"/>
        </w:rPr>
      </w:pPr>
    </w:p>
    <w:p>
      <w:pPr>
        <w:jc w:val="both"/>
        <w:ind w:left="332"/>
        <w:spacing w:after="0" w:line="266" w:lineRule="auto"/>
        <w:rPr>
          <w:sz w:val="20"/>
          <w:szCs w:val="20"/>
          <w:color w:val="auto"/>
        </w:rPr>
      </w:pPr>
      <w:r>
        <w:rPr>
          <w:rFonts w:ascii="Times New Roman" w:cs="Times New Roman" w:eastAsia="Times New Roman" w:hAnsi="Times New Roman"/>
          <w:sz w:val="18"/>
          <w:szCs w:val="18"/>
          <w:color w:val="auto"/>
        </w:rPr>
        <w:t>14.7. Seller shall pay to Purchaser on the next banking day following the date of receipt by Seller the amount of (a) any payment on account of a Purchased Account; and (b) after the occurrence of an Event of Default, any payment on account of any Account. Seller shall hold the funds described herein in trust for Purchaser and such funds shall not be commingled with any funds of Seller.</w:t>
      </w:r>
    </w:p>
    <w:p>
      <w:pPr>
        <w:spacing w:after="0" w:line="176" w:lineRule="exact"/>
        <w:rPr>
          <w:sz w:val="20"/>
          <w:szCs w:val="20"/>
          <w:color w:val="auto"/>
        </w:rPr>
      </w:pPr>
    </w:p>
    <w:p>
      <w:pPr>
        <w:jc w:val="both"/>
        <w:ind w:left="332"/>
        <w:spacing w:after="0" w:line="266" w:lineRule="auto"/>
        <w:rPr>
          <w:sz w:val="20"/>
          <w:szCs w:val="20"/>
          <w:color w:val="auto"/>
        </w:rPr>
      </w:pPr>
      <w:r>
        <w:rPr>
          <w:rFonts w:ascii="Times New Roman" w:cs="Times New Roman" w:eastAsia="Times New Roman" w:hAnsi="Times New Roman"/>
          <w:sz w:val="18"/>
          <w:szCs w:val="18"/>
          <w:color w:val="auto"/>
        </w:rPr>
        <w:t>14.8. Seller shall provide to Purchaser, within twenty (20) days of the end of each calendar month the following information: (a) a detailed aging of accounts receivable as of the last day of each month, (b) a detailed aging of accounts payable as of the last day of each month, (c) a detailed bank statement as of the last day of each month, and (d) internally prepared financial statements including a profit and loss statement and balance sheet.</w:t>
      </w:r>
    </w:p>
    <w:p>
      <w:pPr>
        <w:spacing w:after="0" w:line="176" w:lineRule="exact"/>
        <w:rPr>
          <w:sz w:val="20"/>
          <w:szCs w:val="20"/>
          <w:color w:val="auto"/>
        </w:rPr>
      </w:pPr>
    </w:p>
    <w:p>
      <w:pPr>
        <w:jc w:val="both"/>
        <w:ind w:left="332"/>
        <w:spacing w:after="0" w:line="282" w:lineRule="auto"/>
        <w:rPr>
          <w:sz w:val="20"/>
          <w:szCs w:val="20"/>
          <w:color w:val="auto"/>
        </w:rPr>
      </w:pPr>
      <w:r>
        <w:rPr>
          <w:rFonts w:ascii="Times New Roman" w:cs="Times New Roman" w:eastAsia="Times New Roman" w:hAnsi="Times New Roman"/>
          <w:sz w:val="18"/>
          <w:szCs w:val="18"/>
          <w:color w:val="auto"/>
        </w:rPr>
        <w:t>14.9. Seller shall provide to Purchaser, within twenty (20) days of filing thereof, copies of the Seller’s quarterly Federal withholding (Form 941) filings together with copies of tax deposit receipts or other proof of deposits pertaining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166" w:name="page167"/>
    <w:bookmarkEnd w:id="166"/>
    <w:p>
      <w:pPr>
        <w:jc w:val="both"/>
        <w:ind w:left="332"/>
        <w:spacing w:after="0" w:line="282" w:lineRule="auto"/>
        <w:rPr>
          <w:sz w:val="20"/>
          <w:szCs w:val="20"/>
          <w:color w:val="auto"/>
        </w:rPr>
      </w:pPr>
      <w:r>
        <w:rPr>
          <w:rFonts w:ascii="Times New Roman" w:cs="Times New Roman" w:eastAsia="Times New Roman" w:hAnsi="Times New Roman"/>
          <w:sz w:val="18"/>
          <w:szCs w:val="18"/>
          <w:color w:val="auto"/>
        </w:rPr>
        <w:t>14.10. Seller shall provide to Purchaser, annually within 120 days after the close of Seller’s fiscal year, financial statements, including a profit and loss statement and balance sheet.</w:t>
      </w:r>
    </w:p>
    <w:p>
      <w:pPr>
        <w:spacing w:after="0" w:line="162" w:lineRule="exact"/>
        <w:rPr>
          <w:sz w:val="20"/>
          <w:szCs w:val="20"/>
          <w:color w:val="auto"/>
        </w:rPr>
      </w:pPr>
    </w:p>
    <w:p>
      <w:pPr>
        <w:jc w:val="both"/>
        <w:ind w:left="332"/>
        <w:spacing w:after="0" w:line="258" w:lineRule="auto"/>
        <w:rPr>
          <w:sz w:val="20"/>
          <w:szCs w:val="20"/>
          <w:color w:val="auto"/>
        </w:rPr>
      </w:pPr>
      <w:r>
        <w:rPr>
          <w:rFonts w:ascii="Times New Roman" w:cs="Times New Roman" w:eastAsia="Times New Roman" w:hAnsi="Times New Roman"/>
          <w:sz w:val="18"/>
          <w:szCs w:val="18"/>
          <w:color w:val="auto"/>
        </w:rPr>
        <w:t>14.11. In the event that Seller sends a notice of assignment to a Payor obligated with respect to any Account pursuant to Section 12(g), (a) Seller shall not direct such Payor to pay such Account to Seller or any other entity or individual, or undermine or interfere with such notice of assignment in any manner; and (b) Seller agrees that a violation of this Section 14.11 will put the value of the Collateral at risk and will cause irreparable harm to Purchaser and Purchaser shall be entitled to injunctive relief to prevent such violation without the necessity of proving that actual damages are not an adequate remedy. Purchaser will be entitled to any proceeds of Accounts received by Seller from such violation.</w:t>
      </w:r>
    </w:p>
    <w:p>
      <w:pPr>
        <w:spacing w:after="0" w:line="179" w:lineRule="exact"/>
        <w:rPr>
          <w:sz w:val="20"/>
          <w:szCs w:val="20"/>
          <w:color w:val="auto"/>
        </w:rPr>
      </w:pPr>
    </w:p>
    <w:p>
      <w:pPr>
        <w:jc w:val="both"/>
        <w:ind w:left="-8" w:firstLine="8"/>
        <w:spacing w:after="0" w:line="262" w:lineRule="auto"/>
        <w:tabs>
          <w:tab w:leader="none" w:pos="2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 Statement</w:t>
      </w:r>
      <w:r>
        <w:rPr>
          <w:rFonts w:ascii="Times New Roman" w:cs="Times New Roman" w:eastAsia="Times New Roman" w:hAnsi="Times New Roman"/>
          <w:sz w:val="18"/>
          <w:szCs w:val="18"/>
          <w:color w:val="auto"/>
        </w:rPr>
        <w:t>. Purchaser may make available to Seller a statement setting forth the transactions arising hereunder. Each statement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correct and binding upon Seller as an account statement, except to the extent that Purchaser receives, within t h i r t y ( 30) days after the availability of such statement, written notice from Seller of any specific exceptions by Seller to that statement, and then it shall be binding against Seller as to any items to which it has not objected.</w:t>
      </w:r>
    </w:p>
    <w:p>
      <w:pPr>
        <w:spacing w:after="0" w:line="176" w:lineRule="exact"/>
        <w:rPr>
          <w:rFonts w:ascii="Times New Roman" w:cs="Times New Roman" w:eastAsia="Times New Roman" w:hAnsi="Times New Roman"/>
          <w:sz w:val="18"/>
          <w:szCs w:val="18"/>
          <w:color w:val="auto"/>
        </w:rPr>
      </w:pPr>
    </w:p>
    <w:p>
      <w:pPr>
        <w:jc w:val="both"/>
        <w:ind w:left="-8" w:firstLine="8"/>
        <w:spacing w:after="0" w:line="259" w:lineRule="auto"/>
        <w:tabs>
          <w:tab w:leader="none" w:pos="2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 Disputes</w:t>
      </w:r>
      <w:r>
        <w:rPr>
          <w:rFonts w:ascii="Times New Roman" w:cs="Times New Roman" w:eastAsia="Times New Roman" w:hAnsi="Times New Roman"/>
          <w:sz w:val="18"/>
          <w:szCs w:val="18"/>
          <w:color w:val="auto"/>
        </w:rPr>
        <w:t>. Seller shall notify Purchaser of all disputes concerning any Purchased Account, and at Purchaser’s request Seller shall settle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disputes concerning any Purchased Account, at Seller’s sole cost and expense. Purchaser may attempt to settle, compromise, or litigate any dispute which is not adjusted by Seller within a reasonable time. upon such commercially reasonably terms, as Purchaser deems advisable. Following and during the continuance of an Event of Default, Purchaser may, at its option, revoke Seller’s authority to settle or adjust disputes or to further communicate with account debtors.</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2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Overadvance</w:t>
      </w:r>
      <w:r>
        <w:rPr>
          <w:rFonts w:ascii="Times New Roman" w:cs="Times New Roman" w:eastAsia="Times New Roman" w:hAnsi="Times New Roman"/>
          <w:sz w:val="18"/>
          <w:szCs w:val="18"/>
          <w:color w:val="auto"/>
        </w:rPr>
        <w:t>. If at any time and for any reason the total aggregate amount of outstanding Balance Subject to Funds Usage Daily Rate exceeds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eligible Purchased Accounts (any such excess being an “Overadvance”), without limiting the Purchaser’s right to declare an Event of Default, Seller will upon demand by Purchaser, immediately pay to Purchaser in cash the amount of any such Overadvance, unless the Overadvance is preapproved, at which point the terms of the </w:t>
      </w:r>
      <w:r>
        <w:rPr>
          <w:rFonts w:ascii="Times New Roman" w:cs="Times New Roman" w:eastAsia="Times New Roman" w:hAnsi="Times New Roman"/>
          <w:sz w:val="18"/>
          <w:szCs w:val="18"/>
          <w:b w:val="1"/>
          <w:bCs w:val="1"/>
          <w:color w:val="auto"/>
        </w:rPr>
        <w:t>Overadvance Rider to Ledgered ABL Agreement dated February 22, 2022</w:t>
      </w:r>
      <w:r>
        <w:rPr>
          <w:rFonts w:ascii="Times New Roman" w:cs="Times New Roman" w:eastAsia="Times New Roman" w:hAnsi="Times New Roman"/>
          <w:sz w:val="18"/>
          <w:szCs w:val="18"/>
          <w:color w:val="auto"/>
        </w:rPr>
        <w:t xml:space="preserve"> shall control. Without affecting Seller’s obligation to immediately repay to Purchaser the amount of each Overadvance, Seller shall pay Purchaser a fee (the “Overadvance Fee”) in an amount of $500.00 per each occurrence of an Overadvance, plus interest on such Overadvance at the Default Rate. Without limiting the foregoing, all Overadvances shall be deemed Obligations and shall be secured by the Collateral and guaranteed under all guaranties executed in connection with the Agreement.</w:t>
      </w:r>
    </w:p>
    <w:p>
      <w:pPr>
        <w:spacing w:after="0" w:line="182"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 and Warranties</w:t>
      </w:r>
      <w:r>
        <w:rPr>
          <w:rFonts w:ascii="Times New Roman" w:cs="Times New Roman" w:eastAsia="Times New Roman" w:hAnsi="Times New Roman"/>
          <w:sz w:val="18"/>
          <w:szCs w:val="18"/>
          <w:color w:val="auto"/>
        </w:rPr>
        <w:t>. Seller represents and warrants that (a) Seller is fully authorized to enter into this Agreement; (b)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constitutes a legal and valid obligation that is binding upon Seller and that is enforceable against it; (c) Seller is in good standing in the state of its organization; (d) there are no pending actions, suits, or other legal proceedings of any kind (whether civil or criminal) now pending (or, to its knowledge, threatened) against Seller, the adverse result of which would in any material respect affect its property or financial condition, or threaten its continued operations; (e) Seller has not conducted business under or used any other name, whether legal or fictitious other than the use of the dba “Reed’s Ginger Brew” in California; (f) the Purchased Accounts are and will (i) remain bona fide existing Obligations created by the sale and delivery of goods or the rendition of services in the ordinary course of its business, (ii) are unconditionally owed and will be paid to Purchaser without defenses, disputes, offsets, counterclaims, or rights of return or cancellation,(iii) not sales to any Affiliates of Seller, and (iv) “arm’s length” transactions; (g) Seller has not received notice of actual or imminent bankruptcy, insolvency, or material impairment of the financial condition of any applicable Account Debtor regarding Purchased Accounts; (h) None of the Seller, any of its subsidiaries, any director or officer, or any employee, agent, or Affiliate, of the Seller or any of its subsidiaries is a person that is, or is owned or controlled by persons that are, (i) the subject of any sanctions administered or enforced by the US Department of the Treasury’s Office of Foreign Assets Control, the US Department of State, the United Nations Security Council, the European Union, Her Majesty’s Treasury, the Hong Kong Monetary Authority or other relevant sanctions authority (collectively, “Sanctions”), or (ii) located, organized or resident in a country or territory that is, or whose government is, the subject of Sanctions, including, without limitation, currently, Cuba, the Crimea region of Ukraine, Iran, North Korea, Sudan and Syria (i) None of the Seller or any of its subsidiaries, nor to the knowledge of the Seller, any director, officer, agent, employee, Affiliate or other person acting on behalf of the Seller or any of its subsidiaries is aware of or has taken any action, directly or indirectly, that would result in a violation by such persons of any applicable anti-bribery law, including but not limited to, the United Kingdom Bribery Act 2010 (the “UK Bribery Act”) and the U.S. Foreign Corrupt Practices Act of 1977 (the “FCPA”). Furthermore, the Seller and, to the knowledge of the Seller, its Affiliates have conducted their businesses in compliance with the UK Bribery Act, the FCPA and similar laws, rules or regulations and have instituted and maintain policies and procedures designed to ensure, and which are reasonably expected to continue to ensure, continued compliance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67" w:name="page168"/>
    <w:bookmarkEnd w:id="167"/>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Seller hereby agrees to indemnify Purchaser and hold Purchaser harmless from and against any liability, loss, damage, suit or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ever suffered or incurred by Purchaser (including attorneys’ fee) as a result of Seller’s failure to observe, perform or discharge Seller’s duties hereunder or as a result of Seller’s breach of any of the representations, warranties and covenants of this Agreement. This indemnity shall survive termination of this Agreement for any reason. Without limiting the generality of the foregoing, the Seller’s indemnification shall include but not b e limited to, any loss arising out of the Purchaser’s exercise of its rights pursuant to Section 12 herein and any assertion of any Avoidance Claim. With respect to an Avoidance Claim, Seller shall notify Purchaser within two (2) Business Days of Seller’s becoming aware of the assertion of an Avoidance Claim. This provision shall survive termination of this Agreement.</w:t>
      </w:r>
    </w:p>
    <w:p>
      <w:pPr>
        <w:spacing w:after="0" w:line="183" w:lineRule="exact"/>
        <w:rPr>
          <w:sz w:val="20"/>
          <w:szCs w:val="20"/>
          <w:color w:val="auto"/>
        </w:rPr>
      </w:pPr>
    </w:p>
    <w:p>
      <w:pPr>
        <w:ind w:firstLine="8"/>
        <w:spacing w:after="0" w:line="286" w:lineRule="auto"/>
        <w:tabs>
          <w:tab w:leader="none" w:pos="2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Disclaimer of Liability</w:t>
      </w:r>
      <w:r>
        <w:rPr>
          <w:rFonts w:ascii="Times New Roman" w:cs="Times New Roman" w:eastAsia="Times New Roman" w:hAnsi="Times New Roman"/>
          <w:sz w:val="18"/>
          <w:szCs w:val="18"/>
          <w:color w:val="auto"/>
        </w:rPr>
        <w:t>. Purchaser will not be liable to Seller for any lost profits, lost savings or other consequential, incidental, punitive, or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damages resulting from or arising out of or in connection with this Agreement.</w:t>
      </w:r>
    </w:p>
    <w:p>
      <w:pPr>
        <w:spacing w:after="0" w:line="154" w:lineRule="exact"/>
        <w:rPr>
          <w:rFonts w:ascii="Times New Roman" w:cs="Times New Roman" w:eastAsia="Times New Roman" w:hAnsi="Times New Roman"/>
          <w:sz w:val="18"/>
          <w:szCs w:val="18"/>
          <w:color w:val="auto"/>
        </w:rPr>
      </w:pPr>
    </w:p>
    <w:p>
      <w:pPr>
        <w:ind w:firstLine="8"/>
        <w:spacing w:after="0" w:line="286" w:lineRule="auto"/>
        <w:tabs>
          <w:tab w:leader="none" w:pos="2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Default and Events of Default</w:t>
      </w:r>
      <w:r>
        <w:rPr>
          <w:rFonts w:ascii="Times New Roman" w:cs="Times New Roman" w:eastAsia="Times New Roman" w:hAnsi="Times New Roman"/>
          <w:sz w:val="18"/>
          <w:szCs w:val="18"/>
          <w:color w:val="auto"/>
        </w:rPr>
        <w:t>. Each of the following events will constitute an Event of Default hereunder only when and if such event is declared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Default” pursuant to written notice from Purchaser to Seller:</w:t>
      </w:r>
    </w:p>
    <w:p>
      <w:pPr>
        <w:spacing w:after="0" w:line="159" w:lineRule="exact"/>
        <w:rPr>
          <w:sz w:val="20"/>
          <w:szCs w:val="20"/>
          <w:color w:val="auto"/>
        </w:rPr>
      </w:pPr>
    </w:p>
    <w:p>
      <w:pPr>
        <w:jc w:val="both"/>
        <w:ind w:firstLine="8"/>
        <w:spacing w:after="0" w:line="254" w:lineRule="auto"/>
        <w:tabs>
          <w:tab w:leader="none" w:pos="2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defaults in the payment of any Obligations and does not cure the default within three (3) Business Days of the default; (b) Seller fails to perform any covenant or agreement, provision or other undertaking under this Agreement; (c) any representation or warranty of the Seller contained in this Agreement proves to be ma te r ia l ly false or misleading; (d) Seller of the Obligations becomes subject to any debtor-relief proceedings; (e) any guarantor fails to perform or observe any of the guarantor’s Obligations to Purchaser or shall notify Purchaser of its intention to rescind, modify, terminate or revoke any guaranty, or any guaranty shall cease to be in full force and effect for any reason whatever excluding termination of guarantor’s employment with Seller; (f) any lien, garnishment, attachment or the like shall be issued against or shall attach to the Purchased Accounts, the Collateral or any portion thereof and the same is not released within five (5) days; a n d (g) Purchaser in its discretion, reasonably exercised, deems itself insecure with respect to the prospect of repayment or performance of any Obligations and Seller shall not on demand furnish other collateral or make payment on account, satisfactory to Purchaser, in its discretion, reasonably exercised.</w:t>
      </w:r>
    </w:p>
    <w:p>
      <w:pPr>
        <w:spacing w:after="0" w:line="188"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PURCHASER’S FAILURE TO CHARGE OR ACCRUE INTEREST OR FEES AT ANY “DEFAULT” OR “PAST DUE” RATE SHALL NOT BE DEEMED A WAIVER BY PURCHASER OF ITS CLAIM FOR SUCH INTEREST OR FEES.</w:t>
      </w:r>
    </w:p>
    <w:p>
      <w:pPr>
        <w:spacing w:after="0" w:line="162"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Upon the occurrence of any Event of Default, in addition to any rights Purchaser has under this Agreement or applicable law, Purchaser may immediately terminate this Agreement upon delivery of written notice to Seller, at which time all Obligations shall immediately become due and payable without notice.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20.1 At option of Purchaser, (i) from and after the occurrence of an Event of Default, and without constituting a waiver of any such Event of Default, and/or (ii) if the Obligations are not paid in full by the Termination Date, the Obligations shall bear interest at the Default Rate.</w:t>
      </w:r>
    </w:p>
    <w:p>
      <w:pPr>
        <w:spacing w:after="0" w:line="158" w:lineRule="exact"/>
        <w:rPr>
          <w:sz w:val="20"/>
          <w:szCs w:val="20"/>
          <w:color w:val="auto"/>
        </w:rPr>
      </w:pPr>
    </w:p>
    <w:p>
      <w:pPr>
        <w:jc w:val="both"/>
        <w:ind w:right="20" w:firstLine="8"/>
        <w:spacing w:after="0" w:line="268" w:lineRule="auto"/>
        <w:tabs>
          <w:tab w:leader="none" w:pos="2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and Waiver</w:t>
      </w:r>
      <w:r>
        <w:rPr>
          <w:rFonts w:ascii="Times New Roman" w:cs="Times New Roman" w:eastAsia="Times New Roman" w:hAnsi="Times New Roman"/>
          <w:sz w:val="18"/>
          <w:szCs w:val="18"/>
          <w:color w:val="auto"/>
        </w:rPr>
        <w:t>. This Agreement may only be modified in writing signed by all Parties. No failure or delay in exercising any right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 any right that Purchaser has, nor shall any waiver by Purchaser be deemed a waiver of any default or breach occurring subsequently. Purchaser’s rights and remedies are cumulative and not exclusive of each other or of any rights or remedies that Purchaser would otherwise have.</w:t>
      </w:r>
    </w:p>
    <w:p>
      <w:pPr>
        <w:spacing w:after="0" w:line="170" w:lineRule="exact"/>
        <w:rPr>
          <w:rFonts w:ascii="Times New Roman" w:cs="Times New Roman" w:eastAsia="Times New Roman" w:hAnsi="Times New Roman"/>
          <w:sz w:val="18"/>
          <w:szCs w:val="18"/>
          <w:color w:val="auto"/>
        </w:rPr>
      </w:pPr>
    </w:p>
    <w:p>
      <w:pPr>
        <w:jc w:val="both"/>
        <w:ind w:firstLine="8"/>
        <w:spacing w:after="0" w:line="259" w:lineRule="auto"/>
        <w:tabs>
          <w:tab w:leader="none" w:pos="2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and Termination Date</w:t>
      </w:r>
      <w:r>
        <w:rPr>
          <w:rFonts w:ascii="Times New Roman" w:cs="Times New Roman" w:eastAsia="Times New Roman" w:hAnsi="Times New Roman"/>
          <w:sz w:val="18"/>
          <w:szCs w:val="18"/>
          <w:color w:val="auto"/>
        </w:rPr>
        <w:t>. This Agreement shall be effective when executed by all of the Parties, shall continue in full force and effect for thirty-six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 months thereafter (the “Term”), and shall be further extended automatically annually (the “Renewal Term”), unless Seller provides written notice of its intention to terminate at least sixty (60) days prior the end of the respective Term or Renewal Term. Notwithstanding the preceding sentence, such termination shall not occur, and the Agreement shall continue as if no notice was given unless, on the Termination Date, Seller has fully repaid Purchaser all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8" w:name="page169"/>
    <w:bookmarkEnd w:id="168"/>
    <w:p>
      <w:pPr>
        <w:jc w:val="both"/>
        <w:spacing w:after="0" w:line="261" w:lineRule="auto"/>
        <w:rPr>
          <w:sz w:val="20"/>
          <w:szCs w:val="20"/>
          <w:color w:val="auto"/>
        </w:rPr>
      </w:pPr>
      <w:r>
        <w:rPr>
          <w:rFonts w:ascii="Times New Roman" w:cs="Times New Roman" w:eastAsia="Times New Roman" w:hAnsi="Times New Roman"/>
          <w:sz w:val="18"/>
          <w:szCs w:val="18"/>
          <w:color w:val="auto"/>
        </w:rPr>
        <w:t>22.1. If Seller provides notice of its intent to terminate under Section 23 herein, then in addition to any other fees or amounts due under this Agreement, Seller agrees that it will pay Purchaser an Early Termination Fee equal to 3.0% of the Maximum Amount if this Agreement is terminated during the first twelve months of this Agreement, equal to 1.0% of the Maximum Amount if this Agreement is terminated during the second twelve months, and equal to 0.50% of the Maximum Amount if this Agreement is terminated during the third twelve months (“Early Termination Fee”).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22.2. Purchaser may terminate this Agreement at any time by giving Seller one hundred fifty (150) days’ prior written notice of termination, whereupon this Agreement shall terminate on the earlier date of one hundred fifty ( 150) days thereafter or the end of the then current Term or Renewal Term, upon which Termination Date Seller shall fully repay to Purchaser all Obligations.</w:t>
      </w:r>
    </w:p>
    <w:p>
      <w:pPr>
        <w:spacing w:after="0" w:line="172" w:lineRule="exact"/>
        <w:rPr>
          <w:sz w:val="20"/>
          <w:szCs w:val="20"/>
          <w:color w:val="auto"/>
        </w:rPr>
      </w:pPr>
    </w:p>
    <w:p>
      <w:pPr>
        <w:jc w:val="both"/>
        <w:ind w:firstLine="8"/>
        <w:spacing w:after="0" w:line="262" w:lineRule="auto"/>
        <w:tabs>
          <w:tab w:leader="none" w:pos="28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Lien Termination without Release. </w:t>
      </w:r>
      <w:r>
        <w:rPr>
          <w:rFonts w:ascii="Times New Roman" w:cs="Times New Roman" w:eastAsia="Times New Roman" w:hAnsi="Times New Roman"/>
          <w:sz w:val="18"/>
          <w:szCs w:val="18"/>
          <w:color w:val="auto"/>
        </w:rPr>
        <w:t>In recognition of the Purchaser’s right to have its attorneys’ fees and other expenses incurred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this Agreement secured by the Collateral, notwithstanding payment in full of all Obligations by Seller, Purchaser shall not be required to record any terminations or satisfactions of any of Purchaser’s liens on the Collateral unless and until Complete Termination has occurred. Seller understands that this provision constitutes a waiver of its rights under §9-513 of the UCC.</w:t>
      </w:r>
    </w:p>
    <w:p>
      <w:pPr>
        <w:spacing w:after="0" w:line="176" w:lineRule="exact"/>
        <w:rPr>
          <w:rFonts w:ascii="Times New Roman" w:cs="Times New Roman" w:eastAsia="Times New Roman" w:hAnsi="Times New Roman"/>
          <w:sz w:val="18"/>
          <w:szCs w:val="18"/>
          <w:color w:val="auto"/>
        </w:rPr>
      </w:pPr>
    </w:p>
    <w:p>
      <w:pPr>
        <w:ind w:firstLine="8"/>
        <w:spacing w:after="0" w:line="286" w:lineRule="auto"/>
        <w:tabs>
          <w:tab w:leader="none" w:pos="28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Conflict</w:t>
      </w:r>
      <w:r>
        <w:rPr>
          <w:rFonts w:ascii="Times New Roman" w:cs="Times New Roman" w:eastAsia="Times New Roman" w:hAnsi="Times New Roman"/>
          <w:sz w:val="18"/>
          <w:szCs w:val="18"/>
          <w:color w:val="auto"/>
        </w:rPr>
        <w:t>. Unless otherwise expressly stated in any other agreement between Purchaser and Seller, if a conflict exists between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provisions of such other agreement, the provisions of this Agreement shall control.</w:t>
      </w:r>
    </w:p>
    <w:p>
      <w:pPr>
        <w:spacing w:after="0" w:line="154" w:lineRule="exact"/>
        <w:rPr>
          <w:rFonts w:ascii="Times New Roman" w:cs="Times New Roman" w:eastAsia="Times New Roman" w:hAnsi="Times New Roman"/>
          <w:sz w:val="18"/>
          <w:szCs w:val="18"/>
          <w:color w:val="auto"/>
        </w:rPr>
      </w:pPr>
    </w:p>
    <w:p>
      <w:pPr>
        <w:jc w:val="both"/>
        <w:ind w:firstLine="8"/>
        <w:spacing w:after="0" w:line="268" w:lineRule="auto"/>
        <w:tabs>
          <w:tab w:leader="none" w:pos="2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In the event any one or more of the provisions contained in this Agreement is held to be invalid, illegal, or unenforceable in any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such provision shall be ineffective only to the extent of such prohibition or invalidity, and the validity, legality, and enforceability of the remaining provisions contained herein shall not in any way be affected or impaired thereby.</w:t>
      </w:r>
    </w:p>
    <w:p>
      <w:pPr>
        <w:spacing w:after="0" w:line="170" w:lineRule="exact"/>
        <w:rPr>
          <w:rFonts w:ascii="Times New Roman" w:cs="Times New Roman" w:eastAsia="Times New Roman" w:hAnsi="Times New Roman"/>
          <w:sz w:val="18"/>
          <w:szCs w:val="18"/>
          <w:color w:val="auto"/>
        </w:rPr>
      </w:pPr>
    </w:p>
    <w:p>
      <w:pPr>
        <w:jc w:val="both"/>
        <w:ind w:firstLine="8"/>
        <w:spacing w:after="0" w:line="254" w:lineRule="auto"/>
        <w:tabs>
          <w:tab w:leader="none" w:pos="2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In addition to those expenses set forth in Section 8 herein, Seller agrees to reimburse Purchaser the actual amount of all costs and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reasonable attorneys’ fees and expenses, which Purchaser may incur (a) protecting, preserving or enforcing any lien, security or other right granted by Seller to Purchaser or arising under applicable law, whether or not suit is brought, including but not limited to the defense of any Avoidance Claims or the defense of Purchaser’s lien priority; (b) for travel and attorneys’ fees and expenses incurred in complying with any subpoena or other legal process in any way relating to Seller; and (c) for the actual amount of all costs and expenses, including reasonable attorneys’ fees, which Purchaser may incur in enforcing this Agreement, or in connection with any federal or state insolvency proceeding commenced by or against Seller or any Payor, including those (i) arising out of an automatic stay, (ii) seeking dismissal or conversion of a bankruptcy proceeding or (iii) opposing confirmation of Seller’s plan thereunder. All expenses will be subtracted from the Reserve Account and are payable by Seller upon demand by Purchaser. This provision shall survive termination of this Agreement.</w:t>
      </w:r>
    </w:p>
    <w:p>
      <w:pPr>
        <w:spacing w:after="0" w:line="188" w:lineRule="exact"/>
        <w:rPr>
          <w:rFonts w:ascii="Times New Roman" w:cs="Times New Roman" w:eastAsia="Times New Roman" w:hAnsi="Times New Roman"/>
          <w:sz w:val="18"/>
          <w:szCs w:val="18"/>
          <w:color w:val="auto"/>
        </w:rPr>
      </w:pPr>
    </w:p>
    <w:p>
      <w:pPr>
        <w:jc w:val="both"/>
        <w:ind w:firstLine="8"/>
        <w:spacing w:after="0" w:line="262" w:lineRule="auto"/>
        <w:tabs>
          <w:tab w:leader="none" w:pos="28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supersedes all prior or contemporaneous agreements and understandings between the Parties, verbal 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 or implied, relating to the subject matter hereof. No promises of any kind have been made by Purchaser or any third party to induce Seller to execute this Agreement. No course of dealing, course of performance, or trade usage, and no parol evidence of any nature, shall be used to supplement or modify any terms of this Agreement.</w:t>
      </w:r>
    </w:p>
    <w:p>
      <w:pPr>
        <w:spacing w:after="0" w:line="17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shall be governed by, construed under, and enforced in accordance with the internal laws of the Chosen State.</w:t>
      </w:r>
    </w:p>
    <w:p>
      <w:pPr>
        <w:spacing w:after="0" w:line="225" w:lineRule="exact"/>
        <w:rPr>
          <w:rFonts w:ascii="Times New Roman" w:cs="Times New Roman" w:eastAsia="Times New Roman" w:hAnsi="Times New Roman"/>
          <w:sz w:val="18"/>
          <w:szCs w:val="18"/>
          <w:color w:val="auto"/>
        </w:rPr>
      </w:pPr>
    </w:p>
    <w:p>
      <w:pPr>
        <w:jc w:val="both"/>
        <w:ind w:firstLine="8"/>
        <w:spacing w:after="0" w:line="254" w:lineRule="auto"/>
        <w:tabs>
          <w:tab w:leader="none" w:pos="2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Jury Trial Waiver</w:t>
      </w:r>
      <w:r>
        <w:rPr>
          <w:rFonts w:ascii="Times New Roman" w:cs="Times New Roman" w:eastAsia="Times New Roman" w:hAnsi="Times New Roman"/>
          <w:sz w:val="18"/>
          <w:szCs w:val="18"/>
          <w:color w:val="auto"/>
        </w:rPr>
        <w:t>. IN RECOGNITION OF THE HIGHER COSTS AND DELAY WHICH MAY RESULT FROM A JURY TRIAL,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WAIVE ANY RIGHT TO TRIAL BY JURY OF ANY CLAIM, DEMAND, ACTION, OR CAUSE OF ACTION (a) ARISING HEREUNDER, OR (b) IN ANY WAY CONNECTED WITH OR RELATED OR INCIDENTAL TO THE DEALINGS OF THE PARTIES HERETO OR ANY OF THEM WITH RESPECT HERETO, IN EACH CASE WHETHER NOW EXISTING OR HEREAFTER ARISING, AND WHETHER SOUNDING IN CONTRACT OR TORT OR OTHERWISE; AND EACH PARTY FURTHER WAIVES ANY RIGHT TO CONSOLIDATE ANY SUCH ACTION IN WHICH A JURY TRIAL HAS BEEN WAIVED WITH ANY OTHER ACTION IN WHICH A JURY TRIAL CANNOT BE OR HAS NOT BEEN WAIVED; AND EACH PARTY HEREBY AGREES AND CONSENTS THAT ANY SUCH CLAIM, DEMAND, ACTION OR CAUSE OF ACTION SHALL BE DECIDED BY COURT TRIAL WITHOUT A JURY, AND THAT ANY PARTY HERETO MAY FILE AN ORIGINAL COUNTERPART OR A COPY OF THIS SECTION WITH ANY COURT AS WRITTEN EVIDENCE OF THE CONSENT OF THE PARTIES HERETO TO THE WAIVER OF THEIR RIGHT TO TRIAL BY 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9" w:name="page170"/>
    <w:bookmarkEnd w:id="169"/>
    <w:p>
      <w:pPr>
        <w:jc w:val="both"/>
        <w:ind w:left="-8" w:firstLine="8"/>
        <w:spacing w:after="0" w:line="256" w:lineRule="auto"/>
        <w:tabs>
          <w:tab w:leader="none" w:pos="2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Venue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Jurisdiction</w:t>
      </w:r>
      <w:r>
        <w:rPr>
          <w:rFonts w:ascii="Times New Roman" w:cs="Times New Roman" w:eastAsia="Times New Roman" w:hAnsi="Times New Roman"/>
          <w:sz w:val="18"/>
          <w:szCs w:val="18"/>
          <w:color w:val="auto"/>
        </w:rPr>
        <w:t>. The Parties agree that any suit, action, or proceeding arising out of the subject matter or the interpretation, performance, or breach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shall, if Purchaser so elects, be instituted in the Courts of Orange County, Florida (each an “Acceptable Forum”). Each Party agrees that the Acceptable Forums are convenient to it, and each Party irrevocably submits to the jurisdiction of the Acceptable Forums, irrevocably agrees to be bound by any judgment rendered in connection with this Agreement and waives any and all objections to jurisdiction or venue that it may have under the laws of the Acceptable Forums or otherwise in those courts in any such suit, action, or proceeding. Should such proceeding be initiated in any other forum, Seller waives any right to oppose any motion or application made by Purchaser as a consequence of such proceeding having been commenced in a forum other than an Acceptable Forum.</w:t>
      </w:r>
    </w:p>
    <w:p>
      <w:pPr>
        <w:spacing w:after="0" w:line="182" w:lineRule="exact"/>
        <w:rPr>
          <w:rFonts w:ascii="Times New Roman" w:cs="Times New Roman" w:eastAsia="Times New Roman" w:hAnsi="Times New Roman"/>
          <w:sz w:val="18"/>
          <w:szCs w:val="18"/>
          <w:color w:val="auto"/>
        </w:rPr>
      </w:pPr>
    </w:p>
    <w:p>
      <w:pPr>
        <w:jc w:val="both"/>
        <w:ind w:left="-8" w:firstLine="8"/>
        <w:spacing w:after="0" w:line="257" w:lineRule="auto"/>
        <w:tabs>
          <w:tab w:leader="none" w:pos="2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signatures were upon the same instrument. Delivery of an executed counterpart of the signature page to this Agreement by facsimile or other electronic means shall be effective as delivery of a manually executed counterpart of this Agreement, and any Party delivering such an executed counterpart of the signature page to this Agreement by such means to any other Party shall thereafter also promptly deliver a manually executed counterpart of this Agreement to such other Party, provided that the failure to deliver such manually executed counterpart shall not affect the validity, enforceability, or binding effect of this Agreement.</w:t>
      </w:r>
    </w:p>
    <w:p>
      <w:pPr>
        <w:spacing w:after="0" w:line="182" w:lineRule="exact"/>
        <w:rPr>
          <w:rFonts w:ascii="Times New Roman" w:cs="Times New Roman" w:eastAsia="Times New Roman" w:hAnsi="Times New Roman"/>
          <w:sz w:val="18"/>
          <w:szCs w:val="18"/>
          <w:color w:val="auto"/>
        </w:rPr>
      </w:pPr>
    </w:p>
    <w:p>
      <w:pPr>
        <w:jc w:val="both"/>
        <w:ind w:left="-8" w:firstLine="8"/>
        <w:spacing w:after="0" w:line="268" w:lineRule="auto"/>
        <w:tabs>
          <w:tab w:leader="none" w:pos="2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All notices required to be given to any Party shall be deemed given upon the first to occur of (i) transmittal sent by commercial overnight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carrier, (ii) transmittal by electronic means to a receiver under the control of such Party; or (iii) actual receipt by such Party or an employee or agent of such Party. Notices shall be sent to the following addresses, or to such other addresses as each such Party may in writing hereafter indicate:</w:t>
      </w:r>
    </w:p>
    <w:p>
      <w:pPr>
        <w:spacing w:after="0" w:line="175" w:lineRule="exact"/>
        <w:rPr>
          <w:sz w:val="20"/>
          <w:szCs w:val="20"/>
          <w:color w:val="auto"/>
        </w:rPr>
      </w:pPr>
    </w:p>
    <w:p>
      <w:pPr>
        <w:ind w:left="512"/>
        <w:spacing w:after="0"/>
        <w:tabs>
          <w:tab w:leader="none" w:pos="1792" w:val="left"/>
        </w:tabs>
        <w:rPr>
          <w:sz w:val="20"/>
          <w:szCs w:val="20"/>
          <w:color w:val="auto"/>
        </w:rPr>
      </w:pPr>
      <w:r>
        <w:rPr>
          <w:rFonts w:ascii="Times New Roman" w:cs="Times New Roman" w:eastAsia="Times New Roman" w:hAnsi="Times New Roman"/>
          <w:sz w:val="18"/>
          <w:szCs w:val="18"/>
          <w:color w:val="auto"/>
        </w:rPr>
        <w:t>PURCHASER:</w:t>
        <w:tab/>
        <w:t>Alterna Capital Solutions LLC</w:t>
      </w:r>
    </w:p>
    <w:p>
      <w:pPr>
        <w:spacing w:after="0" w:line="27" w:lineRule="exact"/>
        <w:rPr>
          <w:sz w:val="20"/>
          <w:szCs w:val="20"/>
          <w:color w:val="auto"/>
        </w:rPr>
      </w:pPr>
    </w:p>
    <w:p>
      <w:pPr>
        <w:ind w:left="1812"/>
        <w:spacing w:after="0"/>
        <w:rPr>
          <w:sz w:val="20"/>
          <w:szCs w:val="20"/>
          <w:color w:val="auto"/>
        </w:rPr>
      </w:pPr>
      <w:r>
        <w:rPr>
          <w:rFonts w:ascii="Times New Roman" w:cs="Times New Roman" w:eastAsia="Times New Roman" w:hAnsi="Times New Roman"/>
          <w:sz w:val="18"/>
          <w:szCs w:val="18"/>
          <w:color w:val="auto"/>
        </w:rPr>
        <w:t>2420 Lakemont Avenue, Suite 350</w:t>
      </w:r>
    </w:p>
    <w:p>
      <w:pPr>
        <w:spacing w:after="0" w:line="9" w:lineRule="exact"/>
        <w:rPr>
          <w:sz w:val="20"/>
          <w:szCs w:val="20"/>
          <w:color w:val="auto"/>
        </w:rPr>
      </w:pPr>
    </w:p>
    <w:p>
      <w:pPr>
        <w:ind w:left="1812"/>
        <w:spacing w:after="0"/>
        <w:rPr>
          <w:sz w:val="20"/>
          <w:szCs w:val="20"/>
          <w:color w:val="auto"/>
        </w:rPr>
      </w:pPr>
      <w:r>
        <w:rPr>
          <w:rFonts w:ascii="Times New Roman" w:cs="Times New Roman" w:eastAsia="Times New Roman" w:hAnsi="Times New Roman"/>
          <w:sz w:val="18"/>
          <w:szCs w:val="18"/>
          <w:color w:val="auto"/>
        </w:rPr>
        <w:t>Orlando, FL 32814</w:t>
      </w:r>
    </w:p>
    <w:p>
      <w:pPr>
        <w:spacing w:after="0" w:line="9" w:lineRule="exact"/>
        <w:rPr>
          <w:sz w:val="20"/>
          <w:szCs w:val="20"/>
          <w:color w:val="auto"/>
        </w:rPr>
      </w:pPr>
    </w:p>
    <w:p>
      <w:pPr>
        <w:ind w:left="1812"/>
        <w:spacing w:after="0"/>
        <w:rPr>
          <w:sz w:val="20"/>
          <w:szCs w:val="20"/>
          <w:color w:val="auto"/>
        </w:rPr>
      </w:pPr>
      <w:r>
        <w:rPr>
          <w:rFonts w:ascii="Times New Roman" w:cs="Times New Roman" w:eastAsia="Times New Roman" w:hAnsi="Times New Roman"/>
          <w:sz w:val="18"/>
          <w:szCs w:val="18"/>
          <w:color w:val="auto"/>
        </w:rPr>
        <w:t>President, Eugene Stanley Carpenter</w:t>
      </w:r>
    </w:p>
    <w:p>
      <w:pPr>
        <w:spacing w:after="0" w:line="9" w:lineRule="exact"/>
        <w:rPr>
          <w:sz w:val="20"/>
          <w:szCs w:val="20"/>
          <w:color w:val="auto"/>
        </w:rPr>
      </w:pPr>
    </w:p>
    <w:p>
      <w:pPr>
        <w:ind w:left="1812"/>
        <w:spacing w:after="0"/>
        <w:rPr>
          <w:sz w:val="20"/>
          <w:szCs w:val="20"/>
          <w:color w:val="auto"/>
        </w:rPr>
      </w:pPr>
      <w:r>
        <w:rPr>
          <w:rFonts w:ascii="Times New Roman" w:cs="Times New Roman" w:eastAsia="Times New Roman" w:hAnsi="Times New Roman"/>
          <w:sz w:val="18"/>
          <w:szCs w:val="18"/>
          <w:color w:val="auto"/>
        </w:rPr>
        <w:t>scarpenter@alternacs.com</w:t>
      </w:r>
    </w:p>
    <w:p>
      <w:pPr>
        <w:spacing w:after="0" w:line="207"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SELLER: Reed’s Inc.</w:t>
      </w:r>
    </w:p>
    <w:p>
      <w:pPr>
        <w:spacing w:after="0" w:line="225" w:lineRule="exact"/>
        <w:rPr>
          <w:sz w:val="20"/>
          <w:szCs w:val="20"/>
          <w:color w:val="auto"/>
        </w:rPr>
      </w:pPr>
    </w:p>
    <w:p>
      <w:pPr>
        <w:ind w:left="1812"/>
        <w:spacing w:after="0"/>
        <w:rPr>
          <w:sz w:val="20"/>
          <w:szCs w:val="20"/>
          <w:color w:val="auto"/>
        </w:rPr>
      </w:pPr>
      <w:r>
        <w:rPr>
          <w:rFonts w:ascii="Times New Roman" w:cs="Times New Roman" w:eastAsia="Times New Roman" w:hAnsi="Times New Roman"/>
          <w:sz w:val="18"/>
          <w:szCs w:val="18"/>
          <w:color w:val="auto"/>
        </w:rPr>
        <w:t>201 Merritt 7</w:t>
      </w:r>
    </w:p>
    <w:p>
      <w:pPr>
        <w:spacing w:after="0" w:line="27" w:lineRule="exact"/>
        <w:rPr>
          <w:sz w:val="20"/>
          <w:szCs w:val="20"/>
          <w:color w:val="auto"/>
        </w:rPr>
      </w:pPr>
    </w:p>
    <w:p>
      <w:pPr>
        <w:ind w:left="1812"/>
        <w:spacing w:after="0"/>
        <w:rPr>
          <w:sz w:val="20"/>
          <w:szCs w:val="20"/>
          <w:color w:val="auto"/>
        </w:rPr>
      </w:pPr>
      <w:r>
        <w:rPr>
          <w:rFonts w:ascii="Times New Roman" w:cs="Times New Roman" w:eastAsia="Times New Roman" w:hAnsi="Times New Roman"/>
          <w:sz w:val="18"/>
          <w:szCs w:val="18"/>
          <w:color w:val="auto"/>
        </w:rPr>
        <w:t>Norwalk, CT 06851</w:t>
      </w:r>
    </w:p>
    <w:p>
      <w:pPr>
        <w:spacing w:after="0" w:line="9" w:lineRule="exact"/>
        <w:rPr>
          <w:sz w:val="20"/>
          <w:szCs w:val="20"/>
          <w:color w:val="auto"/>
        </w:rPr>
      </w:pPr>
    </w:p>
    <w:p>
      <w:pPr>
        <w:ind w:left="1812"/>
        <w:spacing w:after="0"/>
        <w:rPr>
          <w:sz w:val="20"/>
          <w:szCs w:val="20"/>
          <w:color w:val="auto"/>
        </w:rPr>
      </w:pPr>
      <w:r>
        <w:rPr>
          <w:rFonts w:ascii="Times New Roman" w:cs="Times New Roman" w:eastAsia="Times New Roman" w:hAnsi="Times New Roman"/>
          <w:sz w:val="18"/>
          <w:szCs w:val="18"/>
          <w:color w:val="auto"/>
        </w:rPr>
        <w:t>Chief Financial Officer, Thomas Spisak</w:t>
      </w:r>
    </w:p>
    <w:p>
      <w:pPr>
        <w:spacing w:after="0" w:line="9" w:lineRule="exact"/>
        <w:rPr>
          <w:sz w:val="20"/>
          <w:szCs w:val="20"/>
          <w:color w:val="auto"/>
        </w:rPr>
      </w:pPr>
    </w:p>
    <w:p>
      <w:pPr>
        <w:ind w:left="1812"/>
        <w:spacing w:after="0"/>
        <w:rPr>
          <w:sz w:val="20"/>
          <w:szCs w:val="20"/>
          <w:color w:val="auto"/>
        </w:rPr>
      </w:pPr>
      <w:r>
        <w:rPr>
          <w:rFonts w:ascii="Times New Roman" w:cs="Times New Roman" w:eastAsia="Times New Roman" w:hAnsi="Times New Roman"/>
          <w:sz w:val="18"/>
          <w:szCs w:val="18"/>
          <w:color w:val="auto"/>
        </w:rPr>
        <w:t>tspisak@reedsinc.com</w:t>
      </w:r>
    </w:p>
    <w:p>
      <w:pPr>
        <w:spacing w:after="0" w:line="203" w:lineRule="exact"/>
        <w:rPr>
          <w:sz w:val="20"/>
          <w:szCs w:val="20"/>
          <w:color w:val="auto"/>
        </w:rPr>
      </w:pPr>
    </w:p>
    <w:p>
      <w:pPr>
        <w:ind w:left="-8" w:firstLine="8"/>
        <w:spacing w:after="0" w:line="286" w:lineRule="auto"/>
        <w:tabs>
          <w:tab w:leader="none" w:pos="2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hereto and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w:t>
      </w:r>
    </w:p>
    <w:p>
      <w:pPr>
        <w:spacing w:after="0" w:line="154" w:lineRule="exact"/>
        <w:rPr>
          <w:rFonts w:ascii="Times New Roman" w:cs="Times New Roman" w:eastAsia="Times New Roman" w:hAnsi="Times New Roman"/>
          <w:sz w:val="18"/>
          <w:szCs w:val="18"/>
          <w:color w:val="auto"/>
        </w:rPr>
      </w:pPr>
    </w:p>
    <w:p>
      <w:pPr>
        <w:ind w:left="-8" w:firstLine="8"/>
        <w:spacing w:after="0" w:line="286" w:lineRule="auto"/>
        <w:tabs>
          <w:tab w:leader="none" w:pos="2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Purchaser may assign its rights and delegate its duties hereunder. Upon such assignment, Seller shall be deemed to have attorned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assignee, shall owe the same Obligations to such assignee and shall accept performance hereunder from the assignee as if such assignee were Purchaser.</w:t>
      </w:r>
    </w:p>
    <w:p>
      <w:pPr>
        <w:spacing w:after="0" w:line="154" w:lineRule="exact"/>
        <w:rPr>
          <w:rFonts w:ascii="Times New Roman" w:cs="Times New Roman" w:eastAsia="Times New Roman" w:hAnsi="Times New Roman"/>
          <w:sz w:val="18"/>
          <w:szCs w:val="18"/>
          <w:color w:val="auto"/>
        </w:rPr>
      </w:pPr>
    </w:p>
    <w:p>
      <w:pPr>
        <w:jc w:val="both"/>
        <w:ind w:left="-8" w:firstLine="8"/>
        <w:spacing w:after="0" w:line="257" w:lineRule="auto"/>
        <w:tabs>
          <w:tab w:leader="none" w:pos="2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 and Nondisclosure</w:t>
      </w:r>
      <w:r>
        <w:rPr>
          <w:rFonts w:ascii="Times New Roman" w:cs="Times New Roman" w:eastAsia="Times New Roman" w:hAnsi="Times New Roman"/>
          <w:sz w:val="18"/>
          <w:szCs w:val="18"/>
          <w:color w:val="auto"/>
        </w:rPr>
        <w:t>. The Parties agree that the terms of this Agreement, all business methods and trade secrets, and any and all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and information clearly and specifically identified by the applicable Party as confidential will be held in strict confidence and treated as the confidential property of the other Party. A Party will not, except in the due performance of its duties or the enforcement of its rights under this Agreement, disclose any of the foregoing to any person, unless specifically authorized to do so in writing by the other Party or unless required by law. The provisions of this Section shall survive the termination of this Agreement. Purchaser acknowledges that Seller is a publicly traded company with public reporting and disclosure obligations pursuant to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170" w:name="page171"/>
    <w:bookmarkEnd w:id="170"/>
    <w:p>
      <w:pPr>
        <w:ind w:left="280" w:hanging="272"/>
        <w:spacing w:after="0"/>
        <w:tabs>
          <w:tab w:leader="none" w:pos="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Time of the Essence</w:t>
      </w:r>
      <w:r>
        <w:rPr>
          <w:rFonts w:ascii="Times New Roman" w:cs="Times New Roman" w:eastAsia="Times New Roman" w:hAnsi="Times New Roman"/>
          <w:sz w:val="18"/>
          <w:szCs w:val="18"/>
          <w:color w:val="auto"/>
        </w:rPr>
        <w:t>. It is agreed that time is of the essence in all matters herein.</w:t>
      </w:r>
    </w:p>
    <w:p>
      <w:pPr>
        <w:spacing w:after="0" w:line="225" w:lineRule="exact"/>
        <w:rPr>
          <w:rFonts w:ascii="Times New Roman" w:cs="Times New Roman" w:eastAsia="Times New Roman" w:hAnsi="Times New Roman"/>
          <w:sz w:val="18"/>
          <w:szCs w:val="18"/>
          <w:color w:val="auto"/>
        </w:rPr>
      </w:pPr>
    </w:p>
    <w:p>
      <w:pPr>
        <w:ind w:firstLine="8"/>
        <w:spacing w:after="0" w:line="286" w:lineRule="auto"/>
        <w:tabs>
          <w:tab w:leader="none" w:pos="27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 of Process</w:t>
      </w:r>
      <w:r>
        <w:rPr>
          <w:rFonts w:ascii="Times New Roman" w:cs="Times New Roman" w:eastAsia="Times New Roman" w:hAnsi="Times New Roman"/>
          <w:sz w:val="18"/>
          <w:szCs w:val="18"/>
          <w:color w:val="auto"/>
        </w:rPr>
        <w:t>. Seller agrees that Purchaser may affect service of process upon Seller by regular mail at the address set forth herein or at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as may be reflected in the records of Purchaser, or at the option of Purchaser by service upon Seller’s agent for the service of process.</w:t>
      </w:r>
    </w:p>
    <w:p>
      <w:pPr>
        <w:spacing w:after="0" w:line="154" w:lineRule="exact"/>
        <w:rPr>
          <w:rFonts w:ascii="Times New Roman" w:cs="Times New Roman" w:eastAsia="Times New Roman" w:hAnsi="Times New Roman"/>
          <w:sz w:val="18"/>
          <w:szCs w:val="18"/>
          <w:color w:val="auto"/>
        </w:rPr>
      </w:pPr>
    </w:p>
    <w:p>
      <w:pPr>
        <w:ind w:firstLine="8"/>
        <w:spacing w:after="0" w:line="286" w:lineRule="auto"/>
        <w:tabs>
          <w:tab w:leader="none" w:pos="2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title of this Agreement and the subject headings of the sections and subsections of this Agreement are included for the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convenience and shall not affect the construction of interpretation of any of its provisions.</w:t>
      </w:r>
    </w:p>
    <w:p>
      <w:pPr>
        <w:spacing w:after="0" w:line="154" w:lineRule="exact"/>
        <w:rPr>
          <w:rFonts w:ascii="Times New Roman" w:cs="Times New Roman" w:eastAsia="Times New Roman" w:hAnsi="Times New Roman"/>
          <w:sz w:val="18"/>
          <w:szCs w:val="18"/>
          <w:color w:val="auto"/>
        </w:rPr>
      </w:pPr>
    </w:p>
    <w:p>
      <w:pPr>
        <w:ind w:firstLine="8"/>
        <w:spacing w:after="0" w:line="286" w:lineRule="auto"/>
        <w:tabs>
          <w:tab w:leader="none" w:pos="27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This Agreement and all agreements relating to the subject matter hereof are the product of negotiation and preparation by and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 and its respective attorneys and shall be construed accordingly.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affixed their hands and seals on the day and year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Reed’s,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891540" cy="214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891540" cy="21463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32061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Norman E. Snyder, Jr.</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Alterna Capital Solutions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154305</wp:posOffset>
            </wp:positionV>
            <wp:extent cx="1294130" cy="2228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1294130" cy="22288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32061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Eugene Stanley Carpenter</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1" w:name="page172"/>
    <w:bookmarkEnd w:id="171"/>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SCHEDULE A PERMITTED LIENS</w:t>
      </w:r>
    </w:p>
    <w:p>
      <w:pPr>
        <w:spacing w:after="0" w:line="31" w:lineRule="exact"/>
        <w:rPr>
          <w:sz w:val="20"/>
          <w:szCs w:val="20"/>
          <w:color w:val="auto"/>
        </w:rPr>
      </w:pPr>
    </w:p>
    <w:p>
      <w:pPr>
        <w:ind w:left="252" w:hanging="252"/>
        <w:spacing w:after="0"/>
        <w:tabs>
          <w:tab w:leader="none" w:pos="2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interests and liens of Purchaser;</w:t>
      </w:r>
    </w:p>
    <w:p>
      <w:pPr>
        <w:spacing w:after="0" w:line="206"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payment of taxes, assessments or other governmental charges or levies either not yet overdue or the validity of which are being contested in good faith by appropriate proceedings diligently pursued and available to such Seller with respect to which adequate reserves have been set aside on its books;</w:t>
      </w:r>
    </w:p>
    <w:p>
      <w:pPr>
        <w:spacing w:after="0" w:line="175" w:lineRule="exact"/>
        <w:rPr>
          <w:rFonts w:ascii="Times New Roman" w:cs="Times New Roman" w:eastAsia="Times New Roman" w:hAnsi="Times New Roman"/>
          <w:sz w:val="18"/>
          <w:szCs w:val="18"/>
          <w:color w:val="auto"/>
        </w:rPr>
      </w:pPr>
    </w:p>
    <w:p>
      <w:pPr>
        <w:jc w:val="both"/>
        <w:ind w:left="-8" w:firstLine="8"/>
        <w:spacing w:after="0" w:line="258" w:lineRule="auto"/>
        <w:tabs>
          <w:tab w:leader="none" w:pos="2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non-consensual statutory liens (other than liens securing the payment of taxes) arising in the ordinary course of such Seller’s business to the extent: (i) such liens secure indebtedness which is not overdue or (ii) such liens secure indebtedness relating to claims or liabilities which are fully insured and being defended at the sole cost and expense and at the sole risk of the insurer or being contested in good faith by appropriate proceedings diligently pursued and available to such Seller, in each case prior to the commencement of foreclosure or other similar proceedings and with respect to which adequate reserves have been set aside on its books;</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5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zoning restrictions, easements, licenses, covenants and other restrictions affecting the use of real property which do not interfere in any material respect with the use of such real property or ordinary conduct of the business of such Seller as presently conducted thereon or materially impair the value of the real property which may be subject thereto;</w:t>
      </w:r>
    </w:p>
    <w:p>
      <w:pPr>
        <w:spacing w:after="0" w:line="175"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security interests in machinery and equipment (including capital leases);</w:t>
      </w:r>
    </w:p>
    <w:p>
      <w:pPr>
        <w:spacing w:after="0" w:line="225" w:lineRule="exact"/>
        <w:rPr>
          <w:rFonts w:ascii="Times New Roman" w:cs="Times New Roman" w:eastAsia="Times New Roman" w:hAnsi="Times New Roman"/>
          <w:sz w:val="18"/>
          <w:szCs w:val="18"/>
          <w:color w:val="auto"/>
        </w:rPr>
      </w:pPr>
    </w:p>
    <w:p>
      <w:pPr>
        <w:ind w:left="-8" w:right="20" w:firstLine="8"/>
        <w:spacing w:after="0" w:line="282" w:lineRule="auto"/>
        <w:tabs>
          <w:tab w:leader="none" w:pos="2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of cash by any Seller after the date hereof in the ordinary course of business in connection with workers’ compensation, unemployment insurance and other types of social security benefits consistent with the current practices of such Seller as of the date hereof;</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58" w:lineRule="auto"/>
        <w:tabs>
          <w:tab w:leader="none" w:pos="27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of cash by Seller after the date hereof to secure the performance of tenders, bids, leases, trade contracts (other than for the repayment of indebtedness), statutory obligations and other similar obligations in each case in the ordinary course of business consistent with the current practices of Seller as of the date hereof; provided, that, in connection with any performance bonds issued by a surety or other person, the issuer of such bond shall have waived in writing any rights in or to, or other interest in, any of the Collateral in an agreement, in form and substance satisfactory to Purchaser;</w:t>
      </w:r>
    </w:p>
    <w:p>
      <w:pPr>
        <w:spacing w:after="0" w:line="183"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2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(i) operating leases and the precautionary UCC financing statement filings (satisfactory to Purchaser) in respect thereof and (ii) equipment or other materials which are not owned by Seller located on the premises of such Seller (but not in connection with, or as part of, the financing thereof) from time to time in the ordinary course of business and consistent with current practices of such Seller and the precautionary UCC financing statement filings (satisfactory to Purchaser) in respect thereof;</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and other similar liens arising in connection with court proceedings that do not constitute a Default, provided, that, (i) such liens are being contested in good faith and by appropriate proceedings diligently pursued, (ii) adequate reserves or other appropriate provision, if any, as are required by GAAP have been made therefor, and (iii) a stay of enforcement of any such liens is in effect; and</w:t>
      </w:r>
    </w:p>
    <w:p>
      <w:pPr>
        <w:spacing w:after="0" w:line="175" w:lineRule="exact"/>
        <w:rPr>
          <w:rFonts w:ascii="Times New Roman" w:cs="Times New Roman" w:eastAsia="Times New Roman" w:hAnsi="Times New Roman"/>
          <w:sz w:val="18"/>
          <w:szCs w:val="18"/>
          <w:color w:val="auto"/>
        </w:rPr>
      </w:pPr>
    </w:p>
    <w:p>
      <w:pPr>
        <w:ind w:left="212" w:hanging="212"/>
        <w:spacing w:after="0"/>
        <w:tabs>
          <w:tab w:leader="none" w:pos="2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liens to which Purchaser has consented in writing</w:t>
      </w:r>
      <w:r>
        <w:rPr>
          <w:rFonts w:ascii="Times New Roman" w:cs="Times New Roman" w:eastAsia="Times New Roman" w:hAnsi="Times New Roman"/>
          <w:sz w:val="18"/>
          <w:szCs w:val="18"/>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OVERADVANCE RIDER TO LEDGERED ABL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OVERADVANCE RIDER TO LEDGERED ABL AGREEMENT</w:t>
      </w:r>
      <w:r>
        <w:rPr>
          <w:rFonts w:ascii="Times New Roman" w:cs="Times New Roman" w:eastAsia="Times New Roman" w:hAnsi="Times New Roman"/>
          <w:sz w:val="18"/>
          <w:szCs w:val="18"/>
          <w:color w:val="auto"/>
        </w:rPr>
        <w:t xml:space="preserve"> (“Rider”) is dated as of March 28th, 2022 between </w:t>
      </w: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(“Seller”) and </w:t>
      </w:r>
      <w:r>
        <w:rPr>
          <w:rFonts w:ascii="Times New Roman" w:cs="Times New Roman" w:eastAsia="Times New Roman" w:hAnsi="Times New Roman"/>
          <w:sz w:val="18"/>
          <w:szCs w:val="18"/>
          <w:b w:val="1"/>
          <w:bCs w:val="1"/>
          <w:color w:val="auto"/>
        </w:rPr>
        <w:t>ALTERNA CAPITAL SOLUTIONS LLC</w:t>
      </w:r>
      <w:r>
        <w:rPr>
          <w:rFonts w:ascii="Times New Roman" w:cs="Times New Roman" w:eastAsia="Times New Roman" w:hAnsi="Times New Roman"/>
          <w:sz w:val="18"/>
          <w:szCs w:val="18"/>
          <w:color w:val="auto"/>
        </w:rPr>
        <w:t xml:space="preserve"> (“Purchaser”).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firstLine="907"/>
        <w:spacing w:after="0" w:line="282" w:lineRule="auto"/>
        <w:rPr>
          <w:sz w:val="20"/>
          <w:szCs w:val="20"/>
          <w:color w:val="auto"/>
        </w:rPr>
      </w:pPr>
      <w:r>
        <w:rPr>
          <w:rFonts w:ascii="Times New Roman" w:cs="Times New Roman" w:eastAsia="Times New Roman" w:hAnsi="Times New Roman"/>
          <w:sz w:val="18"/>
          <w:szCs w:val="18"/>
          <w:color w:val="auto"/>
        </w:rPr>
        <w:t>A. The Parties are parties to the Financing Agreement (as defined below) and wish to execute this Rider to provide for the making and repayment of Overadvances (as defined below).</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 The Parties wish that this amendment be effective as of the Effective Date.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NOW, THEREFORE, in consideration of the premises, and intending to be legally bound hereby, the Parties hereby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sz w:val="20"/>
          <w:szCs w:val="20"/>
          <w:color w:val="auto"/>
        </w:rPr>
      </w:pPr>
    </w:p>
    <w:p>
      <w:pPr>
        <w:jc w:val="both"/>
        <w:ind w:left="920"/>
        <w:spacing w:after="0" w:line="28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 25% PER ANNUM, OR THE MAXIMUM INTEREST RATE ALLOWED BY LAW, ABOVE THE OVERADVANCE RATE.</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“DUE DATE”</w:t>
      </w:r>
      <w:r>
        <w:rPr>
          <w:rFonts w:ascii="Times New Roman" w:cs="Times New Roman" w:eastAsia="Times New Roman" w:hAnsi="Times New Roman"/>
          <w:sz w:val="18"/>
          <w:szCs w:val="18"/>
          <w:color w:val="auto"/>
        </w:rPr>
        <w:t xml:space="preserve"> – NO LATER THAN THIRTY (30) DAYS AFTER INITIAL FUNDING OF THE OVERADVANCE AMOUNT.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 THE DATE HEREOF.</w:t>
      </w:r>
    </w:p>
    <w:p>
      <w:pPr>
        <w:spacing w:after="0" w:line="225" w:lineRule="exact"/>
        <w:rPr>
          <w:sz w:val="20"/>
          <w:szCs w:val="20"/>
          <w:color w:val="auto"/>
        </w:rPr>
      </w:pPr>
    </w:p>
    <w:p>
      <w:pPr>
        <w:jc w:val="both"/>
        <w:ind w:left="920"/>
        <w:spacing w:after="0" w:line="28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“FINANCING AGREEMENT”</w:t>
      </w:r>
      <w:r>
        <w:rPr>
          <w:rFonts w:ascii="Times New Roman" w:cs="Times New Roman" w:eastAsia="Times New Roman" w:hAnsi="Times New Roman"/>
          <w:sz w:val="18"/>
          <w:szCs w:val="18"/>
          <w:color w:val="auto"/>
        </w:rPr>
        <w:t xml:space="preserve"> – THAT CERTAIN LEDGERED ABL AGREEMENT DATED THE FEBRUARY 22, 2022 BETWEEN SELLER AND PURCHASER AS MAY HAVE BEEN AMENDED FROM TIME TO TIME.</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color w:val="auto"/>
        </w:rPr>
        <w:t>OVERADVANCE</w:t>
      </w:r>
      <w:r>
        <w:rPr>
          <w:rFonts w:ascii="Times New Roman" w:cs="Times New Roman" w:eastAsia="Times New Roman" w:hAnsi="Times New Roman"/>
          <w:sz w:val="18"/>
          <w:szCs w:val="18"/>
          <w:color w:val="auto"/>
        </w:rPr>
        <w:t>” – AS DEFINED IN THE FINANCING AGREEMENT.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b w:val="1"/>
          <w:bCs w:val="1"/>
          <w:color w:val="auto"/>
        </w:rPr>
        <w:t>OVERADVANCE RATE</w:t>
      </w:r>
      <w:r>
        <w:rPr>
          <w:rFonts w:ascii="Times New Roman" w:cs="Times New Roman" w:eastAsia="Times New Roman" w:hAnsi="Times New Roman"/>
          <w:sz w:val="18"/>
          <w:szCs w:val="18"/>
          <w:color w:val="auto"/>
        </w:rPr>
        <w:t>” – PRIME PLUS 12.75%, BUT NOT LESS THAN 16.00%, PER ANNUM.</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color w:val="auto"/>
        </w:rPr>
        <w:t>“OVERADVANCE AMOUNT”</w:t>
      </w:r>
      <w:r>
        <w:rPr>
          <w:rFonts w:ascii="Times New Roman" w:cs="Times New Roman" w:eastAsia="Times New Roman" w:hAnsi="Times New Roman"/>
          <w:sz w:val="18"/>
          <w:szCs w:val="18"/>
          <w:color w:val="auto"/>
        </w:rPr>
        <w:t xml:space="preserve"> – UP TO $400,000.00.</w:t>
      </w:r>
    </w:p>
    <w:p>
      <w:pPr>
        <w:spacing w:after="0" w:line="225" w:lineRule="exact"/>
        <w:rPr>
          <w:sz w:val="20"/>
          <w:szCs w:val="20"/>
          <w:color w:val="auto"/>
        </w:rPr>
      </w:pPr>
    </w:p>
    <w:p>
      <w:pPr>
        <w:jc w:val="both"/>
        <w:ind w:left="920"/>
        <w:spacing w:after="0" w:line="256"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b w:val="1"/>
          <w:bCs w:val="1"/>
          <w:color w:val="auto"/>
        </w:rPr>
        <w:t>OVERADVANCE RECEIVABLE</w:t>
      </w:r>
      <w:r>
        <w:rPr>
          <w:rFonts w:ascii="Times New Roman" w:cs="Times New Roman" w:eastAsia="Times New Roman" w:hAnsi="Times New Roman"/>
          <w:sz w:val="18"/>
          <w:szCs w:val="18"/>
          <w:color w:val="auto"/>
        </w:rPr>
        <w:t>” – AN ACCOUNT IN PURCHASER’S GENERAL LEDGER REFLECTING THE UNPAID BALANCE OF THE OVERADVANCE OWED BY SELLER TO PURCHASER. THE PURPOSE OF THE OVERADVANCE IS ONLY TO HELP WITH SUPPORTING GROWTH AND TO PROVIDE ONGOING WORKING CAPITAL. THE OVERADVANCE IS ONLY AVAILABLE FOR USE BY THE SELLER IF THE EXCESS AVAILABLE INVENTORY EXCEEDS THE TOTAL ACCOUNTS RECEIVABLE NET FUNDS EMPLOYED. THE OVERADVANCE WILL BE CAPPED AT THE LESSER OF (I) THE OVERADVANCE AMOUNT OR (II) THE AMOUNT BY WHICH EXCESS AVAILABLE INVENTORY EXCEEDS ACCOUNTS RECEIVABLE NET FUNDS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3" w:name="page174"/>
    <w:bookmarkEnd w:id="173"/>
    <w:p>
      <w:pPr>
        <w:ind w:left="912"/>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 SELLER AND PURCHASER.</w:t>
      </w:r>
    </w:p>
    <w:p>
      <w:pPr>
        <w:spacing w:after="0" w:line="225" w:lineRule="exact"/>
        <w:rPr>
          <w:sz w:val="20"/>
          <w:szCs w:val="20"/>
          <w:color w:val="auto"/>
        </w:rPr>
      </w:pPr>
    </w:p>
    <w:p>
      <w:pPr>
        <w:ind w:left="912"/>
        <w:spacing w:after="0" w:line="286"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color w:val="auto"/>
        </w:rPr>
        <w:t>PAYMENT PERIOD</w:t>
      </w:r>
      <w:r>
        <w:rPr>
          <w:rFonts w:ascii="Times New Roman" w:cs="Times New Roman" w:eastAsia="Times New Roman" w:hAnsi="Times New Roman"/>
          <w:sz w:val="18"/>
          <w:szCs w:val="18"/>
          <w:color w:val="auto"/>
        </w:rPr>
        <w:t>” – PAYMENTS TO THE OVERADVANCE RECEIVABLE SHALL BE MADE EVERY FRIDAY UNTIL PAID IN FULL NO LATER THAN THE DUE DATE.</w:t>
      </w:r>
    </w:p>
    <w:p>
      <w:pPr>
        <w:spacing w:after="0" w:line="155" w:lineRule="exact"/>
        <w:rPr>
          <w:sz w:val="20"/>
          <w:szCs w:val="20"/>
          <w:color w:val="auto"/>
        </w:rPr>
      </w:pPr>
    </w:p>
    <w:p>
      <w:pPr>
        <w:ind w:left="912"/>
        <w:spacing w:after="0" w:line="286"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PERIODIC PAYMENT</w:t>
      </w:r>
      <w:r>
        <w:rPr>
          <w:rFonts w:ascii="Times New Roman" w:cs="Times New Roman" w:eastAsia="Times New Roman" w:hAnsi="Times New Roman"/>
          <w:sz w:val="18"/>
          <w:szCs w:val="18"/>
          <w:color w:val="auto"/>
        </w:rPr>
        <w:t>” – A WEEKLY PAYMENT EQUAL TO A MINIMUM OF 25% OF THE UNPAID BALANCE OF THE OVERADVANCE RECEIVABLE, WITH THE REMAINING UNPAID BALANCE PAID IN FULL BY THE DUE DATE.</w:t>
      </w:r>
    </w:p>
    <w:p>
      <w:pPr>
        <w:spacing w:after="0" w:line="155"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 SEE PREAMBLE.</w:t>
      </w:r>
    </w:p>
    <w:p>
      <w:pPr>
        <w:spacing w:after="0" w:line="225"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RESERVE ACCOUNT</w:t>
      </w:r>
      <w:r>
        <w:rPr>
          <w:rFonts w:ascii="Times New Roman" w:cs="Times New Roman" w:eastAsia="Times New Roman" w:hAnsi="Times New Roman"/>
          <w:sz w:val="18"/>
          <w:szCs w:val="18"/>
          <w:color w:val="auto"/>
        </w:rPr>
        <w:t>” – AS DEFINED IN THE FINANCING AGREEMENT.</w:t>
      </w:r>
    </w:p>
    <w:p>
      <w:pPr>
        <w:spacing w:after="0" w:line="225"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RESERVE SHORTFALL</w:t>
      </w:r>
      <w:r>
        <w:rPr>
          <w:rFonts w:ascii="Times New Roman" w:cs="Times New Roman" w:eastAsia="Times New Roman" w:hAnsi="Times New Roman"/>
          <w:sz w:val="18"/>
          <w:szCs w:val="18"/>
          <w:color w:val="auto"/>
        </w:rPr>
        <w:t>” – AS DEFINED IN THE FINANCING AGREEMENT.</w:t>
      </w:r>
    </w:p>
    <w:p>
      <w:pPr>
        <w:spacing w:after="0" w:line="225"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 SEE PREAMBLE.</w:t>
      </w:r>
    </w:p>
    <w:p>
      <w:pPr>
        <w:spacing w:after="0" w:line="225" w:lineRule="exact"/>
        <w:rPr>
          <w:sz w:val="20"/>
          <w:szCs w:val="20"/>
          <w:color w:val="auto"/>
        </w:rPr>
      </w:pPr>
    </w:p>
    <w:p>
      <w:pPr>
        <w:ind w:left="172" w:hanging="172"/>
        <w:spacing w:after="0"/>
        <w:tabs>
          <w:tab w:leader="none" w:pos="1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OVERADVANCES.</w:t>
      </w:r>
    </w:p>
    <w:p>
      <w:pPr>
        <w:spacing w:after="0" w:line="229" w:lineRule="exact"/>
        <w:rPr>
          <w:sz w:val="20"/>
          <w:szCs w:val="20"/>
          <w:color w:val="auto"/>
        </w:rPr>
      </w:pPr>
    </w:p>
    <w:p>
      <w:pPr>
        <w:jc w:val="both"/>
        <w:ind w:left="912" w:right="20"/>
        <w:spacing w:after="0" w:line="282" w:lineRule="auto"/>
        <w:rPr>
          <w:sz w:val="20"/>
          <w:szCs w:val="20"/>
          <w:color w:val="auto"/>
        </w:rPr>
      </w:pPr>
      <w:r>
        <w:rPr>
          <w:rFonts w:ascii="Times New Roman" w:cs="Times New Roman" w:eastAsia="Times New Roman" w:hAnsi="Times New Roman"/>
          <w:sz w:val="18"/>
          <w:szCs w:val="18"/>
          <w:color w:val="auto"/>
        </w:rPr>
        <w:t>2.1 PURCHASER SHALL TRANSFER THE OVERADVANCE FROM THE RESERVE ACCOUNT TO THE OVERADVANCE RECEIVABLE ACCOUNT.</w:t>
      </w:r>
    </w:p>
    <w:p>
      <w:pPr>
        <w:spacing w:after="0" w:line="162" w:lineRule="exact"/>
        <w:rPr>
          <w:sz w:val="20"/>
          <w:szCs w:val="20"/>
          <w:color w:val="auto"/>
        </w:rPr>
      </w:pPr>
    </w:p>
    <w:p>
      <w:pPr>
        <w:jc w:val="both"/>
        <w:ind w:left="912"/>
        <w:spacing w:after="0" w:line="258" w:lineRule="auto"/>
        <w:rPr>
          <w:sz w:val="20"/>
          <w:szCs w:val="20"/>
          <w:color w:val="auto"/>
        </w:rPr>
      </w:pPr>
      <w:r>
        <w:rPr>
          <w:rFonts w:ascii="Times New Roman" w:cs="Times New Roman" w:eastAsia="Times New Roman" w:hAnsi="Times New Roman"/>
          <w:sz w:val="18"/>
          <w:szCs w:val="18"/>
          <w:color w:val="auto"/>
        </w:rPr>
        <w:t>2.2 THE OVERADVANCE RECEIVABLE SHALL BE REPAID BY SELLER TO PURCHASER BY PAYMENT IN THE FULL AMOUNT, WITHIN THE PAYMENT PERIOD AS DEFINED IN SECTION 1.10 BY PURCHASER’S CHARGE TO THE RESERVE ACCOUNT. IN THE EVENT THE OVERADVANCE RECEIVABLE IS NOT PAID IN FULL BY THE DUE DATE, THE UNPAID AMOUNT OF THE OVERADVANCE RECEIVABLE SHALL ACCRUE INTEREST AT THE DEFAULT RATE AS DEFINED IN SECTION 1.1 UNTIL THE OVERADVANCE RECEIVABLE AMOUNT IS PAID IN FULL.</w:t>
      </w:r>
    </w:p>
    <w:p>
      <w:pPr>
        <w:spacing w:after="0" w:line="183" w:lineRule="exact"/>
        <w:rPr>
          <w:sz w:val="20"/>
          <w:szCs w:val="20"/>
          <w:color w:val="auto"/>
        </w:rPr>
      </w:pPr>
    </w:p>
    <w:p>
      <w:pPr>
        <w:jc w:val="both"/>
        <w:ind w:left="912"/>
        <w:spacing w:after="0" w:line="266" w:lineRule="auto"/>
        <w:rPr>
          <w:sz w:val="20"/>
          <w:szCs w:val="20"/>
          <w:color w:val="auto"/>
        </w:rPr>
      </w:pPr>
      <w:r>
        <w:rPr>
          <w:rFonts w:ascii="Times New Roman" w:cs="Times New Roman" w:eastAsia="Times New Roman" w:hAnsi="Times New Roman"/>
          <w:sz w:val="18"/>
          <w:szCs w:val="18"/>
          <w:color w:val="auto"/>
        </w:rPr>
        <w:t>2.3 SELLER AGREES TO PAY PURCHASER THE PERIODIC PAYMENT AS DEFINED IN SECTION 1.11. IN THE EVENT THE PERIODIC PAYMENT IS NOT PAID ON TIME, THE OVERADVANCE RECEIVABLE SHALL BEGIN TO ACCRUE FEES AT THE DEFAULT RATE AS DEFINED IN SECTION 1.1.</w:t>
      </w:r>
    </w:p>
    <w:p>
      <w:pPr>
        <w:spacing w:after="0" w:line="176" w:lineRule="exact"/>
        <w:rPr>
          <w:sz w:val="20"/>
          <w:szCs w:val="20"/>
          <w:color w:val="auto"/>
        </w:rPr>
      </w:pPr>
    </w:p>
    <w:p>
      <w:pPr>
        <w:jc w:val="both"/>
        <w:ind w:left="912"/>
        <w:spacing w:after="0" w:line="266" w:lineRule="auto"/>
        <w:rPr>
          <w:sz w:val="20"/>
          <w:szCs w:val="20"/>
          <w:color w:val="auto"/>
        </w:rPr>
      </w:pPr>
      <w:r>
        <w:rPr>
          <w:rFonts w:ascii="Times New Roman" w:cs="Times New Roman" w:eastAsia="Times New Roman" w:hAnsi="Times New Roman"/>
          <w:sz w:val="18"/>
          <w:szCs w:val="18"/>
          <w:color w:val="auto"/>
        </w:rPr>
        <w:t>2.4 INTEREST SHALL ACCRUE ON THE OVERADVANCE RECEIVABLE AT THE OVERADVANCE RATE AND SHALL BE CHARGED TO THE OVERADVANCE RECEIVABLE AS OF THE LAST DAY OF EACH MONTH FOLLOWING THE MONTH IN WHICH THE INTEREST HAS ACCRUED.</w:t>
      </w:r>
    </w:p>
    <w:p>
      <w:pPr>
        <w:spacing w:after="0" w:line="176" w:lineRule="exact"/>
        <w:rPr>
          <w:sz w:val="20"/>
          <w:szCs w:val="20"/>
          <w:color w:val="auto"/>
        </w:rPr>
      </w:pPr>
    </w:p>
    <w:p>
      <w:pPr>
        <w:jc w:val="both"/>
        <w:ind w:left="912"/>
        <w:spacing w:after="0" w:line="266" w:lineRule="auto"/>
        <w:rPr>
          <w:sz w:val="20"/>
          <w:szCs w:val="20"/>
          <w:color w:val="auto"/>
        </w:rPr>
      </w:pPr>
      <w:r>
        <w:rPr>
          <w:rFonts w:ascii="Times New Roman" w:cs="Times New Roman" w:eastAsia="Times New Roman" w:hAnsi="Times New Roman"/>
          <w:sz w:val="18"/>
          <w:szCs w:val="18"/>
          <w:color w:val="auto"/>
        </w:rPr>
        <w:t>2.5 IN THE EVENT THAT THE CHARGING OF THE PERIODIC PAYMENT TO THE RESERVE ACCOUNT UNDER SECTION 2.4 CREATES A RESERVE SHORTFALL THAT IS NOT CURED BY THE NEXT PAYMENT PERIOD, THE OVERADVANCE RECEIVABLE SHALL ACCRUE FEES AT THE DEFAULT RATE UNTIL SUCH TIME AS THE RESERVE SHORTFALL IS CURED.</w:t>
      </w:r>
    </w:p>
    <w:p>
      <w:pPr>
        <w:spacing w:after="0" w:line="172" w:lineRule="exact"/>
        <w:rPr>
          <w:sz w:val="20"/>
          <w:szCs w:val="20"/>
          <w:color w:val="auto"/>
        </w:rPr>
      </w:pPr>
    </w:p>
    <w:p>
      <w:pPr>
        <w:ind w:left="172" w:hanging="172"/>
        <w:spacing w:after="0"/>
        <w:tabs>
          <w:tab w:leader="none" w:pos="1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EFFECTIVE DATE</w:t>
      </w:r>
    </w:p>
    <w:p>
      <w:pPr>
        <w:spacing w:after="0" w:line="22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3.1 THIS RIDER SHALL BE EFFECTIVE AS OF THE EFFECTIVE DATE.</w:t>
      </w:r>
    </w:p>
    <w:p>
      <w:pPr>
        <w:spacing w:after="0" w:line="221" w:lineRule="exact"/>
        <w:rPr>
          <w:sz w:val="20"/>
          <w:szCs w:val="20"/>
          <w:color w:val="auto"/>
        </w:rPr>
      </w:pPr>
    </w:p>
    <w:p>
      <w:pPr>
        <w:ind w:left="172" w:hanging="172"/>
        <w:spacing w:after="0"/>
        <w:tabs>
          <w:tab w:leader="none" w:pos="1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CONFLICTS.</w:t>
      </w:r>
    </w:p>
    <w:p>
      <w:pPr>
        <w:spacing w:after="0" w:line="229" w:lineRule="exact"/>
        <w:rPr>
          <w:sz w:val="20"/>
          <w:szCs w:val="20"/>
          <w:color w:val="auto"/>
        </w:rPr>
      </w:pPr>
    </w:p>
    <w:p>
      <w:pPr>
        <w:ind w:left="912"/>
        <w:spacing w:after="0" w:line="282" w:lineRule="auto"/>
        <w:rPr>
          <w:sz w:val="20"/>
          <w:szCs w:val="20"/>
          <w:color w:val="auto"/>
        </w:rPr>
      </w:pPr>
      <w:r>
        <w:rPr>
          <w:rFonts w:ascii="Times New Roman" w:cs="Times New Roman" w:eastAsia="Times New Roman" w:hAnsi="Times New Roman"/>
          <w:sz w:val="18"/>
          <w:szCs w:val="18"/>
          <w:color w:val="auto"/>
        </w:rPr>
        <w:t>4.1 IF A CONFLICT EXISTS BETWEEN THE PROVISIONS OF THE FINANCING AGREEMENT AND THE PROVISIONS HEREOF, THE PROVISIONS HEREOF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174" w:name="page175"/>
    <w:bookmarkEnd w:id="174"/>
    <w:p>
      <w:pPr>
        <w:ind w:left="4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and delivered by their respective officers thereunto duly authorized as of the date first above written.</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SELLER:</w:t>
      </w:r>
      <w:r>
        <w:rPr>
          <w:sz w:val="20"/>
          <w:szCs w:val="20"/>
          <w:color w:val="auto"/>
        </w:rPr>
        <w:tab/>
      </w:r>
      <w:r>
        <w:rPr>
          <w:rFonts w:ascii="Times New Roman" w:cs="Times New Roman" w:eastAsia="Times New Roman" w:hAnsi="Times New Roman"/>
          <w:sz w:val="18"/>
          <w:szCs w:val="18"/>
          <w:b w:val="1"/>
          <w:bCs w:val="1"/>
          <w:color w:val="auto"/>
        </w:rPr>
        <w:t>REED’S, INC.</w:t>
      </w:r>
    </w:p>
    <w:p>
      <w:pPr>
        <w:spacing w:after="0" w:line="2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sz w:val="1"/>
          <w:szCs w:val="1"/>
          <w:color w:val="auto"/>
        </w:rPr>
        <w:drawing>
          <wp:inline distT="0" distB="0" distL="0" distR="0">
            <wp:extent cx="882650" cy="22288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882650" cy="22288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0</wp:posOffset>
            </wp:positionV>
            <wp:extent cx="335153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Norman E. Snyder, Jr., Chief Executive Officer</w:t>
      </w:r>
    </w:p>
    <w:p>
      <w:pPr>
        <w:spacing w:after="0" w:line="22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PURCHASER:</w:t>
      </w:r>
      <w:r>
        <w:rPr>
          <w:sz w:val="20"/>
          <w:szCs w:val="20"/>
          <w:color w:val="auto"/>
        </w:rPr>
        <w:tab/>
      </w:r>
      <w:r>
        <w:rPr>
          <w:rFonts w:ascii="Times New Roman" w:cs="Times New Roman" w:eastAsia="Times New Roman" w:hAnsi="Times New Roman"/>
          <w:sz w:val="18"/>
          <w:szCs w:val="18"/>
          <w:b w:val="1"/>
          <w:bCs w:val="1"/>
          <w:color w:val="auto"/>
        </w:rPr>
        <w:t>ALTERNA CAPITAL SOLUTIONS LLC</w:t>
      </w:r>
    </w:p>
    <w:p>
      <w:pPr>
        <w:spacing w:after="0" w:line="2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sz w:val="1"/>
          <w:szCs w:val="1"/>
          <w:color w:val="auto"/>
        </w:rPr>
        <w:drawing>
          <wp:inline distT="0" distB="0" distL="0" distR="0">
            <wp:extent cx="1294130" cy="22288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1294130" cy="22288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0</wp:posOffset>
            </wp:positionV>
            <wp:extent cx="335153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Eugene Stanley Carpenter,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5" w:name="page176"/>
    <w:bookmarkEnd w:id="175"/>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3079750</wp:posOffset>
            </wp:positionH>
            <wp:positionV relativeFrom="page">
              <wp:posOffset>448945</wp:posOffset>
            </wp:positionV>
            <wp:extent cx="1388745" cy="3943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943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INVENTORY FINANCE RIDER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TO LEDGERED ABL AGREEMENT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INVENTORY FINANCE RIDER TO PURCHASING AND SECURITY AGREEMENT (“Rider”) is made as of this </w:t>
      </w:r>
      <w:r>
        <w:rPr>
          <w:rFonts w:ascii="Times New Roman" w:cs="Times New Roman" w:eastAsia="Times New Roman" w:hAnsi="Times New Roman"/>
          <w:sz w:val="18"/>
          <w:szCs w:val="18"/>
          <w:b w:val="1"/>
          <w:bCs w:val="1"/>
          <w:color w:val="auto"/>
        </w:rPr>
        <w:t>28 day of March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2022</w:t>
      </w:r>
      <w:r>
        <w:rPr>
          <w:rFonts w:ascii="Times New Roman" w:cs="Times New Roman" w:eastAsia="Times New Roman" w:hAnsi="Times New Roman"/>
          <w:sz w:val="18"/>
          <w:szCs w:val="18"/>
          <w:color w:val="auto"/>
        </w:rPr>
        <w:t>, by and between</w:t>
      </w:r>
      <w:r>
        <w:rPr>
          <w:rFonts w:ascii="Times New Roman" w:cs="Times New Roman" w:eastAsia="Times New Roman" w:hAnsi="Times New Roman"/>
          <w:sz w:val="18"/>
          <w:szCs w:val="18"/>
          <w:b w:val="1"/>
          <w:bCs w:val="1"/>
          <w:color w:val="auto"/>
        </w:rPr>
        <w:t xml:space="preserve"> Alterna Capital Solutions LLC</w:t>
      </w:r>
      <w:r>
        <w:rPr>
          <w:rFonts w:ascii="Times New Roman" w:cs="Times New Roman" w:eastAsia="Times New Roman" w:hAnsi="Times New Roman"/>
          <w:sz w:val="18"/>
          <w:szCs w:val="18"/>
          <w:color w:val="auto"/>
        </w:rPr>
        <w:t>, a Florida limited liability company (“Purchaser”) and</w:t>
      </w:r>
      <w:r>
        <w:rPr>
          <w:rFonts w:ascii="Times New Roman" w:cs="Times New Roman" w:eastAsia="Times New Roman" w:hAnsi="Times New Roman"/>
          <w:sz w:val="18"/>
          <w:szCs w:val="18"/>
          <w:b w:val="1"/>
          <w:bCs w:val="1"/>
          <w:color w:val="auto"/>
        </w:rPr>
        <w:t xml:space="preserve"> Reed’s, Inc., </w:t>
      </w:r>
      <w:r>
        <w:rPr>
          <w:rFonts w:ascii="Times New Roman" w:cs="Times New Roman" w:eastAsia="Times New Roman" w:hAnsi="Times New Roman"/>
          <w:sz w:val="18"/>
          <w:szCs w:val="18"/>
          <w:color w:val="auto"/>
        </w:rPr>
        <w:t>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(collectively, Seller and Purchaser as “Parties”).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Seller and Purchaser have previously entered into or contemplate entering into a Ledgered ABL Agreement (“Agreement”); 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Seller may from time-to-time desire to obtain Advances (as such term is hereinafter defined) from Purchaser in order to finance and obtain working capital in respect to its Inventory and Purchaser is willing and may, from time-to-time hereafter, upon the terms and conditions set forth in this Rider, make Advances to or on behalf of Seller that will result in the sale of Accounts arising from the sale of Seller’s Inventory to its customers;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terms and conditions contained herein, and of any Advances, now or hereafter made by Purchaser to or on behalf of Seller, the Parties hereto hereby agree as follows:</w:t>
      </w:r>
    </w:p>
    <w:p>
      <w:pPr>
        <w:spacing w:after="0" w:line="162"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The above-stated recitals are incorporated into this Rider.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1.2 The Parties acknowledge that each of the provisions contained in the Agreement between Seller and Purchaser are hereby incorporated into the terms of this Rider. All capitalized terms not otherwise defined in this Rider shall have the same meaning as defined in the Agreement. All other capitalized terms used in this Rider but not otherwise defined herein or in the Agreement shall have the meanings given to such terms under the Uniform Commercial Code in the Chosen State. In the event of any inconsistency between the provisions of the Agreement and this Rider, the terms of this Rider shall control.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“Balance Subject to Funds Usage Daily Fee” - The unpaid amount due on all inventory advances minus the Reserve Account.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1.4 “Daily Fee” – The fee the Seller shall pay to Purchaser on a daily basis on the unpaid amount of Advances for each day that the Advances have not been paid in full to Purchaser, which shall be calculated as the Daily Fee Percentage multiplied by the unpaid amount of the Advances. The Daily Fee shall begin to accrue on the date the Advance is made by Purchaser. The Daily Fee Percentage shall be as stated in the Agreement. A minimum monthly Daily Fee in the amount of $0.00 shall be charged based on average volume purchases of Invoices and Advances of $0.00.</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1.5 “Funds Usage Daily Fee” – The fee the Seller shall pay to Purchaser on a daily basis on the Balance Subject to Funds Usage Daily Fee, which shall be calculated as the Funds Usage Percentage multiplied by the Balance Subject to Funds Usage Daily Fee. The Funds Usage Percentage shall be 0.0236%. The Funds Usage Rate is based on the Wall Street Journal Prime Rate, plus 5.25%, but not less than 8.50%. The Funds Usage Percentage shall increase and decrease on the same date as any change in the Prime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ind w:firstLine="648"/>
        <w:spacing w:after="0" w:line="282" w:lineRule="auto"/>
        <w:rPr>
          <w:sz w:val="20"/>
          <w:szCs w:val="20"/>
          <w:color w:val="auto"/>
        </w:rPr>
      </w:pPr>
      <w:r>
        <w:rPr>
          <w:rFonts w:ascii="Times New Roman" w:cs="Times New Roman" w:eastAsia="Times New Roman" w:hAnsi="Times New Roman"/>
          <w:sz w:val="18"/>
          <w:szCs w:val="18"/>
          <w:color w:val="auto"/>
        </w:rPr>
        <w:t>1.6 “Obligations” means all outstanding and unpaid Advances (as defined in Section 2.1.1 below), all fees, costs, interest, and other amounts due to Purchaser from Seller under this Rider, and all payments, fees, costs, interest, and other amounts due to Purchaser from Seller under the Agreement.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1.7 “Event of Default” as used in this Rider means any Event of Default as defined in the Agreement and any failure of Seller to fulfill its Obligations under this Rider.</w:t>
      </w:r>
    </w:p>
    <w:p>
      <w:pPr>
        <w:spacing w:after="0" w:line="162" w:lineRule="exact"/>
        <w:rPr>
          <w:sz w:val="20"/>
          <w:szCs w:val="20"/>
          <w:color w:val="auto"/>
        </w:rPr>
      </w:pPr>
    </w:p>
    <w:p>
      <w:pPr>
        <w:ind w:left="180" w:hanging="172"/>
        <w:spacing w:after="0"/>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Advances;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Advance Amounts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Advance Amounts; Maximum Inventor</w:t>
      </w:r>
      <w:r>
        <w:rPr>
          <w:rFonts w:ascii="Times New Roman" w:cs="Times New Roman" w:eastAsia="Times New Roman" w:hAnsi="Times New Roman"/>
          <w:sz w:val="18"/>
          <w:szCs w:val="18"/>
          <w:color w:val="auto"/>
        </w:rPr>
        <w:t>y Facility. Provided an Event of Default does not exist, Purchaser, from time to time and during the term of this Rider, at Seller’s request, may at Purchaser’s discretion and subject to all of the terms and conditions of this Rider and the Agreement, make advances (each an “Advance” and collectively the “Advances”) to or for the benefit of Seller in an aggregate amount up to and not to exceed, as of any date of determination the lessor of (i) fifty percent (50%) of Eligible Inventory (as defined in Section 2.8 below) valued at the lower of cost or market value or (ii) seventy-five (75%) of the net orderly liquidation value of the Eligible Inventory; provided, however, the Advances against Eligible Inventory shall at no time exceed one hundred percent (100%) of Eligible Accounts multiplied by the Advance Rate (the “Maximum Inventory Facility”).</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Overadvance.</w:t>
      </w:r>
      <w:r>
        <w:rPr>
          <w:rFonts w:ascii="Times New Roman" w:cs="Times New Roman" w:eastAsia="Times New Roman" w:hAnsi="Times New Roman"/>
          <w:sz w:val="18"/>
          <w:szCs w:val="18"/>
          <w:color w:val="auto"/>
        </w:rPr>
        <w:t xml:space="preserve"> If at any time and for any reason the sum of the total aggregate amount of outstanding Maximum Inventory Facility plus total aggregate amount of outstanding Balance Subject to Funds Usage Daily Fee exceeds the sum of the eligible Purchased Accounts plus Eligible Inventory (any such excess being an “Overadvance”), without limiting the Purchaser’s right to declare an Event of Default, Seller will upon demand by Purchaser immediately pay to Purchaser in cash the amount of any such Overadvance, unless the Overadvance is preapproved, at which point the terms of the Overadvance Rider to Ledgered ABL Agreement dated March 16, 2022 shall control. Without affecting Seller’s obligation to immediately repay to Purchaser the amount of each Overadvance, Seller shall pay Purchaser a fee (the “Overadvance Fee”) in an amount to be determined by Purchaser, but in any event no less than $500.00 per occurrence of an Overadvance, plus interest on such Overadvance at the Default Rate. Without limiting the foregoing obligations of the Seller, all Overadvances shall be deemed Obligations and shall be secured by the Collateral and guaranteed under any guaranty executed in connection with this Rider or the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Fees and Pa</w:t>
      </w:r>
      <w:r>
        <w:rPr>
          <w:rFonts w:ascii="Times New Roman" w:cs="Times New Roman" w:eastAsia="Times New Roman" w:hAnsi="Times New Roman"/>
          <w:sz w:val="18"/>
          <w:szCs w:val="18"/>
          <w:color w:val="auto"/>
        </w:rPr>
        <w:t>yment Terms.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2.2.1 All fees and payments required to be paid under the terms of this Rider shall be in addition to all fees and payments required to be paid under the terms of the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Seller shall pay Purchaser the following fees:</w:t>
      </w:r>
    </w:p>
    <w:p>
      <w:pPr>
        <w:spacing w:after="0" w:line="212"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______</w:t>
            </w:r>
          </w:p>
        </w:tc>
        <w:tc>
          <w:tcPr>
            <w:tcW w:w="60" w:type="dxa"/>
            <w:vAlign w:val="bottom"/>
          </w:tcPr>
          <w:p>
            <w:pPr>
              <w:spacing w:after="0"/>
              <w:rPr>
                <w:sz w:val="18"/>
                <w:szCs w:val="18"/>
                <w:color w:val="auto"/>
              </w:rPr>
            </w:pPr>
          </w:p>
        </w:tc>
        <w:tc>
          <w:tcPr>
            <w:tcW w:w="1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Daily Fee</w:t>
            </w:r>
          </w:p>
        </w:tc>
      </w:tr>
      <w:tr>
        <w:trPr>
          <w:trHeight w:val="218"/>
        </w:trPr>
        <w:tc>
          <w:tcPr>
            <w:tcW w:w="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_X</w:t>
            </w:r>
          </w:p>
        </w:tc>
        <w:tc>
          <w:tcPr>
            <w:tcW w:w="1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Funds Usage Daily Fee</w:t>
            </w:r>
          </w:p>
        </w:tc>
      </w:tr>
      <w:tr>
        <w:trPr>
          <w:trHeight w:val="234"/>
        </w:trPr>
        <w:tc>
          <w:tcPr>
            <w:tcW w:w="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_X</w:t>
            </w:r>
          </w:p>
        </w:tc>
        <w:tc>
          <w:tcPr>
            <w:tcW w:w="19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Collateral Monitoring Fee</w:t>
            </w:r>
          </w:p>
        </w:tc>
      </w:tr>
    </w:tbl>
    <w:p>
      <w:pPr>
        <w:spacing w:after="0" w:line="19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Such fee will be calculated monthly and charged against the Reserve Account, and at Purchaser’s discretion shall be payable on</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demand.</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Collateral Monitorin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 xml:space="preserve"> To compensate Purchaser for overhead and other costs and expenses incurred by Purchaser related to monitoring the Overadvance and Eligible Inventory and the general administration of the financing facility evidenced hereby, Seller shall pay a Collateral Monitoring Fee stated in the Ledgered ABL Agreement and charged against the Reserve Account monthly.</w:t>
      </w:r>
    </w:p>
    <w:p>
      <w:pPr>
        <w:spacing w:after="0" w:line="176"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Alterna Capital Solutions: Inventory Rider</w:t>
      </w:r>
      <w:r>
        <w:rPr>
          <w:sz w:val="20"/>
          <w:szCs w:val="20"/>
          <w:color w:val="auto"/>
        </w:rPr>
        <w:tab/>
      </w:r>
      <w:r>
        <w:rPr>
          <w:rFonts w:ascii="Times New Roman" w:cs="Times New Roman" w:eastAsia="Times New Roman" w:hAnsi="Times New Roman"/>
          <w:sz w:val="17"/>
          <w:szCs w:val="17"/>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7" w:name="page178"/>
    <w:bookmarkEnd w:id="177"/>
    <w:p>
      <w:pPr>
        <w:ind w:left="1300"/>
        <w:spacing w:after="0"/>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Computation Period</w:t>
      </w:r>
      <w:r>
        <w:rPr>
          <w:rFonts w:ascii="Times New Roman" w:cs="Times New Roman" w:eastAsia="Times New Roman" w:hAnsi="Times New Roman"/>
          <w:sz w:val="18"/>
          <w:szCs w:val="18"/>
          <w:color w:val="auto"/>
        </w:rPr>
        <w:t>. All computations of interest and fees shall be made by Purchaser on the basis of a three hundred and sixty</w:t>
      </w:r>
    </w:p>
    <w:p>
      <w:pPr>
        <w:spacing w:after="0" w:line="27" w:lineRule="exact"/>
        <w:rPr>
          <w:sz w:val="20"/>
          <w:szCs w:val="20"/>
          <w:color w:val="auto"/>
        </w:rPr>
      </w:pPr>
    </w:p>
    <w:p>
      <w:pPr>
        <w:jc w:val="both"/>
        <w:ind w:firstLine="8"/>
        <w:spacing w:after="0" w:line="255" w:lineRule="auto"/>
        <w:tabs>
          <w:tab w:leader="none" w:pos="43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year, for the actual number of days occurring in the period for which such interest fee is payable. The actual number of days excludes the day on which the funds are advanced and includes the day on which interest or fee is paid. Each determination by Purchaser of an interest rate hereunder shall be conclusive and binding for all purposes.</w:t>
      </w:r>
    </w:p>
    <w:p>
      <w:pPr>
        <w:spacing w:after="0" w:line="18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Payment Location</w:t>
      </w:r>
      <w:r>
        <w:rPr>
          <w:rFonts w:ascii="Times New Roman" w:cs="Times New Roman" w:eastAsia="Times New Roman" w:hAnsi="Times New Roman"/>
          <w:sz w:val="18"/>
          <w:szCs w:val="18"/>
          <w:color w:val="auto"/>
        </w:rPr>
        <w:t>. All payments to Purchaser shall be payable at Purchaser’s address set forth in the Agreement or at such other place or places as Purchaser from time to time may designate, in writing, to Seller.</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Unless there is an Event of Default, Overadvance, or termination, Seller’s repayment of Advances shall be payable from Purchaser’s collection of Seller’s Accounts, including those Accounts arising from Seller’s sale of the Eligible Inventory to its customers. Notwithstanding anything to the contrary in this Section, Purchaser shall be entitled, at its sole discretion, to require payment of all fees, expenses, and interest due under this Rider upon demand, or, on the first day of each month (for any fees, expenses, or interest accruing during the immediately preceding month), and all such fees, expenses, and interest may be automatically deducted from the Reserve Account. Upon an Event of Default, Overadvance, or termination of the Rider of the Agreement by any Party, the balance of the Advances and all Obligations shall be payable by Seller to Purchaser upon demand by Purchaser</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Collections</w:t>
      </w:r>
      <w:r>
        <w:rPr>
          <w:rFonts w:ascii="Times New Roman" w:cs="Times New Roman" w:eastAsia="Times New Roman" w:hAnsi="Times New Roman"/>
          <w:sz w:val="18"/>
          <w:szCs w:val="18"/>
          <w:color w:val="auto"/>
        </w:rPr>
        <w:t>. In the event Seller (or any entity with whom Seller is affiliated, any of its shareholders, directors, officers, employees, agents or those persons acting for or in concert with Seller or any affiliate) shall receive any cash, checks, motes, drafts or any other payment relating to an Account or other proceeds of Collateral, by no later than the first business day following receipt thereof by Seller, Seller shall deliver the same or cause the same to be delivered to Purchaser, at Purchaser’s address set forth in the Agreement, for application on account of the Obligations. All cash payments and all checks, drafts, or similar items of payment by or for the account of Seller shall be the sole and exclusive property of Purchaser immediately upon the earlier of the receipt of such items by Purchaser or the receipt of such items by Seller. All payments made by or on behalf of and all credits due Seller may be applied and reapplied in whole or in part to any of the Obligations to the extent and in the manner Purchaser deems advisable.</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2.2.8 </w:t>
      </w:r>
      <w:r>
        <w:rPr>
          <w:rFonts w:ascii="Times New Roman" w:cs="Times New Roman" w:eastAsia="Times New Roman" w:hAnsi="Times New Roman"/>
          <w:sz w:val="18"/>
          <w:szCs w:val="18"/>
          <w:u w:val="single" w:color="auto"/>
          <w:color w:val="auto"/>
        </w:rPr>
        <w:t>Application of Pa</w:t>
      </w:r>
      <w:r>
        <w:rPr>
          <w:rFonts w:ascii="Times New Roman" w:cs="Times New Roman" w:eastAsia="Times New Roman" w:hAnsi="Times New Roman"/>
          <w:sz w:val="18"/>
          <w:szCs w:val="18"/>
          <w:color w:val="auto"/>
        </w:rPr>
        <w:t>yments and Collections. Seller irrevocably waives the right to direct the application of any and all payments and collections at any time or times hereafter received by Purchaser from or on behalf of Seller, and Seller does hereby irrevocably agree that Purchaser shall have the continuing exclusive right to apply and reapply any and all such payments and collections received at any time or times hereafter by Purchaser or its agent against the Obligations, in such manner as Purchaser may deem advisable, notwithstanding any entry by Purchaser upon any of its books and records.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Advances without Documentation</w:t>
      </w:r>
      <w:r>
        <w:rPr>
          <w:rFonts w:ascii="Times New Roman" w:cs="Times New Roman" w:eastAsia="Times New Roman" w:hAnsi="Times New Roman"/>
          <w:sz w:val="18"/>
          <w:szCs w:val="18"/>
          <w:color w:val="auto"/>
        </w:rPr>
        <w:t>. Each Advance made to Purchaser by Seller pursuant to this Rider may or may not (at Purchaser’s sole and absolute discretion) be evidenced by notes or other instruments issued or made by Purchaser to Seller. Where such Advances are not so evidenced, such Advances shall be evidenced solely by entries upon Purchaser’s books and records.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All Advances to Constitute Sin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ular Advance</w:t>
      </w:r>
      <w:r>
        <w:rPr>
          <w:rFonts w:ascii="Times New Roman" w:cs="Times New Roman" w:eastAsia="Times New Roman" w:hAnsi="Times New Roman"/>
          <w:sz w:val="18"/>
          <w:szCs w:val="18"/>
          <w:color w:val="auto"/>
        </w:rPr>
        <w:t>. All evidences of Advances made by Purchaser to Seller under this Rider shall constitute one indebtedness and be deemed included in the Obligations of Seller to Purchaser under this Rider and shall constitute one such general obligation secured by Purchaser’s security interest in all of the Collateral and by all other security interests, liens, claims and encumbrances heretofore, now, or at any time or times hereafter granted by Seller to Purchaser. Seller agrees that all of the rights of Purchaser set forth in this Rider shall apply to any modification of or supplement to this Rider.</w:t>
      </w:r>
    </w:p>
    <w:p>
      <w:pPr>
        <w:spacing w:after="0" w:line="183"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Alterna Capital Solutions: Inventory Rider</w:t>
      </w:r>
      <w:r>
        <w:rPr>
          <w:sz w:val="20"/>
          <w:szCs w:val="20"/>
          <w:color w:val="auto"/>
        </w:rPr>
        <w:tab/>
      </w:r>
      <w:r>
        <w:rPr>
          <w:rFonts w:ascii="Times New Roman" w:cs="Times New Roman" w:eastAsia="Times New Roman" w:hAnsi="Times New Roman"/>
          <w:sz w:val="17"/>
          <w:szCs w:val="17"/>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8" w:name="page179"/>
    <w:bookmarkEnd w:id="17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Mandator</w:t>
      </w:r>
      <w:r>
        <w:rPr>
          <w:rFonts w:ascii="Times New Roman" w:cs="Times New Roman" w:eastAsia="Times New Roman" w:hAnsi="Times New Roman"/>
          <w:sz w:val="18"/>
          <w:szCs w:val="18"/>
          <w:color w:val="auto"/>
        </w:rPr>
        <w:t>y Prepayments. If, at any time during the term of the Rider, the total unpaid Advances shall exceed the lower of cost or market value of the Eligible Inventory (as defined in section 2.7 below) Seller shall immediately pay an amount equal to such excess within two (2) days of receiving notice from Purchaser. Purchaser shall have the sole discretion to determine the cost and market value of the Eligible Inventory based upon its appraisals of the Inventory, which may be obtained at any time at the discretion of the Purchaser.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Purpose of Advances</w:t>
      </w:r>
      <w:r>
        <w:rPr>
          <w:rFonts w:ascii="Times New Roman" w:cs="Times New Roman" w:eastAsia="Times New Roman" w:hAnsi="Times New Roman"/>
          <w:sz w:val="18"/>
          <w:szCs w:val="18"/>
          <w:color w:val="auto"/>
        </w:rPr>
        <w:t>. All Advances made under this Rider shall be used exclusively as working capital for the purpose of causing the sale of Seller’s Eligible Inventory and the creation of Accounts. All sales of Eligible Inventory shall, unless excused in writing by Purchaser, be evidenced by written purchase orders, which purchase orders shall be deemed transferred, assigned and sold to Purchaser immediately upon each Advance made by Purchaser, which shall also give rise to the issuance and delivery of invoices evidencing the Accounts and which Accounts shall likewise be deemed transferred, assigned and sold solely and exclusively to Purchaser pursuant to and in accordance with the Agreement.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Eli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ible Inventor</w:t>
      </w:r>
      <w:r>
        <w:rPr>
          <w:rFonts w:ascii="Times New Roman" w:cs="Times New Roman" w:eastAsia="Times New Roman" w:hAnsi="Times New Roman"/>
          <w:sz w:val="18"/>
          <w:szCs w:val="18"/>
          <w:color w:val="auto"/>
        </w:rPr>
        <w:t>y. “Eligible Inventory” shall mean Inventory which Purchaser, in its sole judgment, shall deem Eligible Inventory, based on such credit and collateral considerations as Purchaser may deem appropriate. On demand, Seller shall provide to Purchaser a then-current perpetual inventory report. At a minimum, before Inventory may qualify as Eligible Inventory, such Inventory must meet the following requirements: all such Inventory must be in good condition, meet all industry standards and standards or regulations imposed by any governmental agency, or department or division thereof, where or when applicable, having regulatory authority over such goods, their use and/or sale and must be currently useable or saleable in the normal course of Seller’s business. Without limiting the generality of the foregoing, none of the following shall be deemed to be Eligible Inventory:</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2.7.1 Inventory that is not owned by the Seller free of any title defect or any security interests or liens or interests of others, except for the security interest in favor of the Purchaser and statutory liens or encumbrances as may be permitted by this Rider and the Agreement.</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2.7.2 Inventory that is located in a public warehouse or in the possession of a bailee or in a facility leased by the Seller or any of Seller’s affiliates unless the applicable warehouseman, bailee or lessor (and its mortgagee, if any), has delivered to the Purchaser an agreement and such other documentation as the Purchaser may require.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2.7.3 Inventory that is covered by a negotiable document of title (such as a bill of lading or warehouse receipt).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2.7.4 Inventory that is in transit and has not physically arrived at an Eligible Inventory Location identified on Schedule 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2.7.5 Inventory that is not held for sale or use in the ordinary course of the Seller’s business and is not of good and merchantable quality.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2.7.6 Inventory that is not located in the United States of America (excluding territories and possessions thereof).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2.7.7 Inventory that consists of display items, raw material, work-in-process, parts, samples, and packing and shipping materials.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2.7.8 Inventory that is unsalable, damaged, defective, recalled or used, or inventory that has been returned by a customer, unless such returned items are of good and merchantable quality and held for resale by the Seller in the ordinary course of business.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2.7.9 Inventory that constitutes discontinued products (obsolete) or components thereof and is not immediately usable in a continuing product or slow moving (included in Seller’s perpetual inventory report for more than 12 months).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2.7.10 Inventory that is not covered by insurance as required in Section 6.2.12 of this Rider.</w:t>
      </w:r>
    </w:p>
    <w:p>
      <w:pPr>
        <w:spacing w:after="0" w:line="225"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Alterna Capital Solutions: Inventory Rider</w:t>
      </w:r>
      <w:r>
        <w:rPr>
          <w:sz w:val="20"/>
          <w:szCs w:val="20"/>
          <w:color w:val="auto"/>
        </w:rPr>
        <w:tab/>
      </w:r>
      <w:r>
        <w:rPr>
          <w:rFonts w:ascii="Times New Roman" w:cs="Times New Roman" w:eastAsia="Times New Roman" w:hAnsi="Times New Roman"/>
          <w:sz w:val="17"/>
          <w:szCs w:val="17"/>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9" w:name="page180"/>
    <w:bookmarkEnd w:id="179"/>
    <w:p>
      <w:pPr>
        <w:ind w:left="1300"/>
        <w:spacing w:after="0"/>
        <w:rPr>
          <w:sz w:val="20"/>
          <w:szCs w:val="20"/>
          <w:color w:val="auto"/>
        </w:rPr>
      </w:pPr>
      <w:r>
        <w:rPr>
          <w:rFonts w:ascii="Times New Roman" w:cs="Times New Roman" w:eastAsia="Times New Roman" w:hAnsi="Times New Roman"/>
          <w:sz w:val="18"/>
          <w:szCs w:val="18"/>
          <w:color w:val="auto"/>
        </w:rPr>
        <w:t>2.7.11 Inventory that has been manufactured to the specifications of a particular customer.</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2.7.12 Inventory that contains or bears any intellectual property rights licensed to the Seller unless the Purchaser is satisfied in its sole and absolute discretion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2.7.13 Inventory that is the subject of a consignment by the Seller as consignor.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2.7.14 Inventory that does not comply with any representation or warranty contained in this Rider.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2.7.15 Inventory that is not reflected in any summary schedule of inventory report of the Seller.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2.7.16 Capitalized overhead component of inventory.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2.7.17 Inventory produced in violation with of the Fair Labor Standard Acts and subject to the so-called “hot goods” provision contained in Title 29 U.S.C. Section 215(a)(1) (I am not sure this is necessary, but I have seen this)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2.7.18 Inventory that is otherwise not acceptable to the Purchaser.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Verification of Inventor</w:t>
      </w:r>
      <w:r>
        <w:rPr>
          <w:rFonts w:ascii="Times New Roman" w:cs="Times New Roman" w:eastAsia="Times New Roman" w:hAnsi="Times New Roman"/>
          <w:sz w:val="18"/>
          <w:szCs w:val="18"/>
          <w:color w:val="auto"/>
        </w:rPr>
        <w:t>y; Inspection; Audit.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2.8.1 Seller shall authorize and/or cause any of Purchaser’s officers, employees, or agents, including any certified public accounting firms or appraisal firms used by Seller, to verify the validity, amount or any other matter relating to any Inventory upon any request by Purchaser whether by mail, telephone or otherwise. Purchaser shall have the right, at any time during Seller’s usual business hours, to inspect any of the business locations or premises of Seller, the Inventory, all records related to the Inventory (and to make extracts from such records), the premises upon which any of the Inventory is located, and all books and records relating to the Seller’s Inventory or the collection thereof as well as those relating to Seller’s general business and financial condition, to conduct appraisals of the Inventory, and the right, at any time, to discuss Seller’s affairs and finances and the Inventory with any attorney, accountant or creditor of Seller.</w:t>
      </w:r>
    </w:p>
    <w:p>
      <w:pPr>
        <w:spacing w:after="0" w:line="1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2.8.2 During the term of this Rider, Seller will provide to Purchaser the following information:</w:t>
      </w:r>
    </w:p>
    <w:p>
      <w:pPr>
        <w:spacing w:after="0" w:line="27" w:lineRule="exact"/>
        <w:rPr>
          <w:sz w:val="20"/>
          <w:szCs w:val="20"/>
          <w:color w:val="auto"/>
        </w:rPr>
      </w:pPr>
    </w:p>
    <w:p>
      <w:pPr>
        <w:jc w:val="both"/>
        <w:ind w:firstLine="8"/>
        <w:spacing w:after="0" w:line="253" w:lineRule="auto"/>
        <w:tabs>
          <w:tab w:leader="none" w:pos="2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information consisting of: financial statements (profit and loss statement and balance sheet), an aging of accounts payable as of the last day of each month and copes of Seller’s quarterly federal 941 filings together with copies of tax deposit receipts or otherwise proof of deposits pertaining thereto; and (b) annual information consisting of: financial statements (profit and loss statement and balance sheet), within 90 days after the close of Seller’s fiscal year.</w:t>
      </w:r>
    </w:p>
    <w:p>
      <w:pPr>
        <w:spacing w:after="0" w:line="188" w:lineRule="exact"/>
        <w:rPr>
          <w:rFonts w:ascii="Times New Roman" w:cs="Times New Roman" w:eastAsia="Times New Roman" w:hAnsi="Times New Roman"/>
          <w:sz w:val="18"/>
          <w:szCs w:val="18"/>
          <w:color w:val="auto"/>
        </w:rPr>
      </w:pPr>
    </w:p>
    <w:p>
      <w:pPr>
        <w:ind w:left="620" w:hanging="182"/>
        <w:spacing w:after="0"/>
        <w:tabs>
          <w:tab w:leader="none" w:pos="6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w:t>
      </w:r>
      <w:r>
        <w:rPr>
          <w:rFonts w:ascii="Times New Roman" w:cs="Times New Roman" w:eastAsia="Times New Roman" w:hAnsi="Times New Roman"/>
          <w:sz w:val="18"/>
          <w:szCs w:val="18"/>
          <w:color w:val="auto"/>
        </w:rPr>
        <w:t>ty Interest.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3.1 In order to secure Seller’s timely performance of all Obligations, Seller hereby grants to Purchaser a security interest in all of the Collateral, including but not limited to all patents, trademarks, and licenses of the Seller that are associated with the Inventory. Seller shall execute and deliver to Purchaser all documents and instruments, including without limited, UCC-1 financing statements, as Purchaser may request from time to time in order to evidence and perfect the Purchaser’s security interest, including but not limited to the documents and instruments necessary to perfect the security interest in patents, trademarks, and licenses, if applicable. Seller authorizes Purchaser to file a UCC-1 financing statement, including without limitation, original financing statements, amendments, and continuation statements, in all jurisdictions and offices Purchaser deems appropriate which names Seller as the debtor and describes the Collateral. Notwithstanding the creation of this security interest, it is the intent of the parties that the relationship of the parties in respect to all Purchased Accounts shall at all times be that of purchaser and seller, and not that of lender and borrower; however, the grant of this security interest and actions taken with respect thereto to perfect such security interest are taken out of an abundance of caution in the event that the relationship is deemed to be that of lender and borrower.</w:t>
      </w:r>
    </w:p>
    <w:p>
      <w:pPr>
        <w:spacing w:after="0" w:line="194"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Alterna Capital Solutions: Inventory Rider</w:t>
      </w:r>
      <w:r>
        <w:rPr>
          <w:sz w:val="20"/>
          <w:szCs w:val="20"/>
          <w:color w:val="auto"/>
        </w:rPr>
        <w:tab/>
      </w:r>
      <w:r>
        <w:rPr>
          <w:rFonts w:ascii="Times New Roman" w:cs="Times New Roman" w:eastAsia="Times New Roman" w:hAnsi="Times New Roman"/>
          <w:sz w:val="17"/>
          <w:szCs w:val="17"/>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0" w:name="page181"/>
    <w:bookmarkEnd w:id="180"/>
    <w:p>
      <w:pPr>
        <w:ind w:left="620" w:hanging="182"/>
        <w:spacing w:after="0"/>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Warranties and Representations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4.1 Seller expressly reaffirms each of the Agreements by Seller and Representations and Warranties made in the Agreement. Furthermore, each request for an Advance made by Seller pursuant to this Rider shall constitute (i) a warranty and representation by Seller to Purchaser that there does not then exist an Event of Default or any event or condition which, with notice, lapse of time or both and/or the making of such Advance, would constitute an Event of Default and (ii) a reaffirmation as of the date of said request of all of the representations and warranties of Seller contained in this Rider and in the Agreement as if such representations and warranties were made on the date of such request.</w:t>
      </w:r>
    </w:p>
    <w:p>
      <w:pPr>
        <w:spacing w:after="0" w:line="183" w:lineRule="exact"/>
        <w:rPr>
          <w:sz w:val="20"/>
          <w:szCs w:val="20"/>
          <w:color w:val="auto"/>
        </w:rPr>
      </w:pPr>
    </w:p>
    <w:p>
      <w:pPr>
        <w:ind w:left="620" w:hanging="182"/>
        <w:spacing w:after="0"/>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Inventory Warranties and Representations.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5.1 With respect to all of Seller’s Inventory, Seller warrants and represents to Purchaser that during the term of this Rider and so long as any of the Obligations remain unpaid: (a) in determining which Inventory is “Eligible Inventory,” Purchaser may rely upon all statements or representations made by Seller; (b) the total inventory report is accurate and correctly describes the inventory; and (c) that Inventory designated as Eligible Inventory on any reports or certificates provided by Seller shall meet each and every eligibility requirement at the time any report or certificate is provided to Purchaser.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 During the term of this Rider and the Agreement, Seller covenants that: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5.2.1 Seller shall maintain books and records pertaining to the Inventory in such detail, form and scope as Purchaser shall require. Seller agrees that Purchaser, or its agents, may enter upon Seller’s premises at any time and from time to time for the purpose of inspecting the Inventory and any and all records pertaining thereto. Seller shall keep correct and accurate records of the cost therefore and selling price of all Inventory, and all daily withdrawals and additions thereto, and same shall be reported to Purchaser weekly (or as frequently as required by Purchaser) by location, category, description, number of units, dollar value and such other details as desired by Purchaser shall be submitted to Purchaser bi-weekly (or as otherwise required by Purchaser). Seller shall notify Purchaser immediately of any change to its costing methods used for valuing Inventory. Seller shall furnish to Purchaser a summary schedule of Inventory, evidencing the results of a physical Inventory which shall be conducted no less than quarterly and be supported by copies of an Inventory summary. Seller shall provide Purchaser with such information and, upon request, all documents, including, without limitation, copies of invoices relating to Seller’s purchase of goods listed on said schedule.</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5.2.2 Seller shall sell Inventory only in the ordinary course of its business (which does not include a transfer in partial or total satisfaction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debt).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5.2.3 Seller shall be liable and/or responsible for; (i) the safekeeping of all Inventory; (ii) any loss or damage thereto or destruction thereof occurring or arising in any manner or fashion from any cause; (iii) any diminution in the value of Inventory; or (iv) any act or default of any carrier, warehouseman, bailee or forwarding agency thereof or other person in any way dealing with or handling Inventory.</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5.2.4 All Invoices giving rise to Accounts covering the sale of Inventory or Goods shall be assigned to Purchaser as Purchased Accounts in accordance with the provisions of the Agreement and the proceeds thereof, if collected by Seller, are to be remitted to Purchaser in accordance with, pursuant to and under the constraints imposed by the Agreement. Cash sales of Inventory or sales in which a lien upon or security interest in the Inventory is retained shall only be made by Seller upon Purchaser’s prior written approval and the proceeds of such sales, whether cash, documents, or instruments, shall not be commingled with Seller’s or other property, but shall be segregated, held by Seller in trust for Purchaser, as Purchaser’s exclusive property, and shall be delivered immediately by Seller to Purchaser in the identical form received.</w:t>
      </w:r>
    </w:p>
    <w:p>
      <w:pPr>
        <w:spacing w:after="0" w:line="187"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Alterna Capital Solutions: Inventory Rider</w:t>
      </w:r>
      <w:r>
        <w:rPr>
          <w:sz w:val="20"/>
          <w:szCs w:val="20"/>
          <w:color w:val="auto"/>
        </w:rPr>
        <w:tab/>
      </w:r>
      <w:r>
        <w:rPr>
          <w:rFonts w:ascii="Times New Roman" w:cs="Times New Roman" w:eastAsia="Times New Roman" w:hAnsi="Times New Roman"/>
          <w:sz w:val="17"/>
          <w:szCs w:val="17"/>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1" w:name="page182"/>
    <w:bookmarkEnd w:id="18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5.2.5 Unless Purchaser, in its sole and absolute discretion, requires otherwise, all Inventory is and shall remain stored on Seller’s Inventory Locations as identified in Schedule A unless it is Inventory in transit. Notwithstanding the locations disclosed on Schedule A, Purchaser shall have the right, in its sole and exclusive discretion, to require Seller to store such Inventory at another facility, whether under the control of Purchaser or Seller and any and all costs, fees and expenses incurred for of the moving and/or storage of such Inventory shall be borne exclusively by Seller.</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5.2.6 No Inventory is or may at any time be subject to any lien or security interest whatsoever, except for the security interest granted to Purchaser, or is a lien or Security interest that is contractually waived or subordinated to the security interest of Purchaser in a manner, form, and substance satisfactory to Purchaser.</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5.2.7 Seller shall promptly pay when due all taxes, assessments, and any other form of claim that may be levied or assessed in respect to or upon the Inventory. In the event Seller, at any time hereafter, shall fail to pay such taxes or other assessments or to promptly obtain the discharge of same, Seller shall so advise Purchaser thereof in writing and Purchaser may, without waiving or releasing any liability of Seller hereunder or any Event of Default, in its sole discretion and without notice to Seller at any time or time thereafter make such payment, or any part thereof, or obtain such discharge and take any other actions with respect thereto which Purchaser deems advisable. All sums so paid by Purchaser and any expenses, including reasonable attorney’s fees, court costs, expenses and other charges relating thereto, shall be payable upon demand, by Seller to Purchaser and shall constitute a portion of the Obligations hereunder secured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Inventory.</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5.2.8 No Inventory shall at any time or times be stored with a bailee, warehouseman or similar party unless Purchaser, in its sole and absolute discretion, expressly agrees. If the Purchaser agrees to allow the Inventory to be stored with a bailee, warehouseman or similar party, then Purchaser’s agreement shall be expressly conditioned upon Seller causing such bailee, warehouseman or similar party to whom Inventory or Goods is delivered to forthwith issue and deliver to Purchaser, in form and substance acceptable to Purchaser, warehouse receipts in Purchaser’s name and/or a written waiver of lien rights. If any Inventory at any time or times is stored with a bailee, warehouseman or similar party, then the Purchaser shall hold additional reserves to account for and cover the bailee, warehouseman or similar party’s storage fees and other costs or fees.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5.2.9 Seller agrees to notify Purchaser promptly of any change in Seller’s name, mailing address, principal place of business or location of the Inventory. Seller shall also promptly notify Purchaser of any substantial change relating to the type, quantity or quality of the Inventory, or any event which would have a material effect on the value of the Inventory, including but not limited to any discontinued brand or SKU.</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5.2.10 No Inventory may be placed by Seller on consignment with any person.</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5.2.11 Seller shall comply with all laws, statutes, regulations, and ordinances of any governmental entity, or of any agency thereof, applicable to Seller a violation of which, in any respect, may materially and adversely affect the Inventory; provided that Seller may contest any law, statute, regulation or ordinance in any reasonable manner which will not, in Purchaser’s sole discretion, adversely affect Purchaser’s rights or the priority of the lien or security interest in the Inventory.</w:t>
      </w:r>
    </w:p>
    <w:p>
      <w:pPr>
        <w:spacing w:after="0" w:line="180"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Alterna Capital Solutions: Inventory Rider</w:t>
      </w:r>
      <w:r>
        <w:rPr>
          <w:sz w:val="20"/>
          <w:szCs w:val="20"/>
          <w:color w:val="auto"/>
        </w:rPr>
        <w:tab/>
      </w:r>
      <w:r>
        <w:rPr>
          <w:rFonts w:ascii="Times New Roman" w:cs="Times New Roman" w:eastAsia="Times New Roman" w:hAnsi="Times New Roman"/>
          <w:sz w:val="17"/>
          <w:szCs w:val="17"/>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2" w:name="page183"/>
    <w:bookmarkEnd w:id="182"/>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5.2.12 Seller shall, at its sole cost and expense, keep and maintain insurance on the Inventory for its full insurable value against loss or damage by fire, theft, explosion, sprinklers, business interruptions and all other hazards and risks ordinarily insured against by other owners or users of such properties. All policies of insurance on the Inventory shall (i) be in form and with insurers acceptable to Purchaser, (ii) be in such amounts as may be satisfactory to Purchaser, (iii) provide that in respect of the respective interest of such parties, the insurance shall not be invalidated by any action, inaction or breach of warranty, declaration, or condition by any Seller or any other person (other than Purchaser), and (iv) provide that the insurers shall waive any right of subrogation against Purchaser. Seller shall deliver to Purchaser the original (or certified copy) of each issued Certificate of Insurance for each policy of insurance and evidence of payment of all premiums therefor and such delivery shall constitute a pledge of and security interest in such policy. Such policies of insurance shall contain an endorsement in form and substance acceptable to Purchaser, showing that, as may be required by Purchaser, Purchaser is either a co-insured or is recognized as the loss payee under the policy. Such endorsement or an independent instrument furnished to Purchaser, shall provide that the insurance companies will give Purchaser at least thirty days prior written notice before any such policy or policies of insurance shall be altered or canceled and that no act or default of Seller or any other person shall affect the right of Purchaser to recover under such policy or policies of insurance in case of loss or damage. Seller hereby agrees to direct all insurers under such policies of insurance to pay all proceeds payable thereunder and any refunds or overpayments of premiums directly to Purchaser. Seller irrevocably makes, constitutes, and appoints Purchaser as Seller’s true and lawful attorney (and agent-in-fact) for the purpose of making, settling, and adjusting claims under such policies of insurance, endorsing the name of Seller on any check, draft, instrument, or other items of payment for the proceeds of such policies of insurance and for making all determinations and decisions with respect to such policies of insurance.</w:t>
      </w:r>
    </w:p>
    <w:p>
      <w:pPr>
        <w:spacing w:after="0" w:line="195" w:lineRule="exact"/>
        <w:rPr>
          <w:sz w:val="20"/>
          <w:szCs w:val="20"/>
          <w:color w:val="auto"/>
        </w:rPr>
      </w:pPr>
    </w:p>
    <w:p>
      <w:pPr>
        <w:ind w:left="620" w:hanging="182"/>
        <w:spacing w:after="0"/>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6.1 The initial Term of this Rider shall be for the Term of the Agreement or Three (3) years from the initial Advance of funds by the Purchaser, whichever is earlier, and the initial period shall be automatically extended for successive one (1) year periods thereafter (“Renewal Terms”), unless terminated as provided in this Rider.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 Seller may terminate this Rider upon the same terms as set forth in the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6.3 Purchaser may terminate this Rider at any time after the date of this Rider by giving Seller thirty (30) days written notice of such termination. Upon the occurrence of an Event of Default by Seller or termination, however occurring, under either the Agreement or this Rider, Purchaser may terminate this Rider immediately, without notice. Upon the effective date of termination, whether such termination is pursuant to the occurrence of an Event of Default or otherwise, all Obligations shall become immediately due and payable without notice or demand.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6.4 Upon termination, however occurring, Seller covenants and agrees that Seller shall deliver to Purchaser such documents, agreements, releases, and indemnifications as Purchaser may require in order to release and indemnify Purchaser from any and all claims and causes of action arising out of this Rider. Purchaser covenants and agrees that Purchaser shall be under no obligation to release its security interest in the Collateral until such time as Purchaser has received such documentation.</w:t>
      </w:r>
    </w:p>
    <w:p>
      <w:pPr>
        <w:spacing w:after="0" w:line="180" w:lineRule="exact"/>
        <w:rPr>
          <w:sz w:val="20"/>
          <w:szCs w:val="20"/>
          <w:color w:val="auto"/>
        </w:rPr>
      </w:pPr>
    </w:p>
    <w:p>
      <w:pPr>
        <w:ind w:left="620" w:hanging="182"/>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 and Remedies on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Acceleration of Obli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ations</w:t>
      </w:r>
      <w:r>
        <w:rPr>
          <w:rFonts w:ascii="Times New Roman" w:cs="Times New Roman" w:eastAsia="Times New Roman" w:hAnsi="Times New Roman"/>
          <w:sz w:val="18"/>
          <w:szCs w:val="18"/>
          <w:color w:val="auto"/>
        </w:rPr>
        <w:t>. Upon the occurrence of any Event of Default, Purchaser may, in its sole discretion, accelerate the maturity of the Obligations and charge interest on the Obligations at the Default Rate.</w:t>
      </w:r>
    </w:p>
    <w:p>
      <w:pPr>
        <w:spacing w:after="0" w:line="162"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Alterna Capital Solutions: Inventory Rider</w:t>
      </w:r>
      <w:r>
        <w:rPr>
          <w:sz w:val="20"/>
          <w:szCs w:val="20"/>
          <w:color w:val="auto"/>
        </w:rPr>
        <w:tab/>
      </w:r>
      <w:r>
        <w:rPr>
          <w:rFonts w:ascii="Times New Roman" w:cs="Times New Roman" w:eastAsia="Times New Roman" w:hAnsi="Times New Roman"/>
          <w:sz w:val="17"/>
          <w:szCs w:val="17"/>
          <w:color w:val="auto"/>
        </w:rPr>
        <w:t>Page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3" w:name="page184"/>
    <w:bookmarkEnd w:id="18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 and Remedies on Default</w:t>
      </w:r>
      <w:r>
        <w:rPr>
          <w:rFonts w:ascii="Times New Roman" w:cs="Times New Roman" w:eastAsia="Times New Roman" w:hAnsi="Times New Roman"/>
          <w:sz w:val="18"/>
          <w:szCs w:val="18"/>
          <w:color w:val="auto"/>
        </w:rPr>
        <w:t>. Upon and after an Event of Default, Purchaser shall have all of the rights and remedies of a secured party under the Uniform Commercial Code or other applicable law to the extent permitted by law and all rights and remedies contained in the Agreement, expressly including but not limited to the right to charge interest on all Obligations at the Default Rate. In addition, upon and after an Event of Default, Purchaser shall have the following rights and remedies: (a) the right to (i) enter upon the premises of Seller or any subsidiary, without any obligation to pay rent, through self-help and without judicial process, without first obtaining a final judgment of giving Seller notice and opportunity for a hearing on the validity of Purchaser’s claim, or any other place or places where the Inventory is located and kept, and remove the Inventory therefrom to the premises of Purchaser or any agent of Purchaser, for such time as Purchaser may desire, in order to effectively collect or liquidate the Inventory, and/or (ii) require Seller and any subsidiary to assemble the Inventory and make it available to Purchaser at a place to be designated by Purchaser, in its sole discretion; (b) the right to (i) do all acts and things necessary, in Purchaser’s sole discretion, to fulfill Seller’s obligations under this Rider; (ii) endorse the name of Seller or any subsidiary upon any chattel paper, document instrument, invoice, freight bill, bill of lading or similar document or agreement relating to the Inventory; (iii) use the information recorded on or contained in any data processing Equipment and computer hardware and software relating to the Inventory to which Seller has access; (c) the right to (i) sell or to otherwise dispose of all or any Inventory in its then condition, or after any further manufacturing or processing thereof, at public or private sale or sales, with such notice as may be required by law, in lots or in bulk, for cash or on credit, all as Purchaser, in its sole discretion, may deem advisable and (ii) conduct such sales on Seller’s or any subsidiary’s premises or elsewhere and use Seller’s or any subsidiary’s premises without charge for such sales for such times as Purchaser may see fit. Purchaser is hereby granted a license or other right to use, without charge, Seller’s and any subsidiary’s labels, patents, copyrights, rights of use of any name, trade secrets, trade names, trademarks and advertising matter, or any property of a similar nature, as it pertains to the Inventory, in completing production of, advertising for sale and selling any Inventory and Seller’s or any subsidiary’s rights under all licenses and all franchise agreements shall inure to Purchaser’s benefit. Purchaser shall have the right to sell, lease or otherwise dispose of the Inventory, or any part thereof, for cash, credit, or any combination thereof, and Purchaser may purchase all or any part of the Inventory at public or, if permitted by law, private sale, and in lieu of actual payment of such purchase price, may set off the amount of such price against the Obligations. The proceeds realized from the sale of any Inventory shall be applied first to the reasonable costs, expenses and attorneys’ fees and expenses incurred by Purchaser for collection and for acquisition, completion, protection, removal, storage, sale and deliver of the Inventory; second, to any interest due on any Obligations; and third to all other Obligations. If any deficiency shall arise, Seller shall remain liable to Purchaser therefor; (d) the right to postpone or adjourn any sale of the Inventory from time to time by an announcement at the time and place of sale or by announcement at the time and place of such postponed or adjourned sale, without being required to give a new notice of sale.</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Remedies Cumulative and Non-Exclusive</w:t>
      </w:r>
      <w:r>
        <w:rPr>
          <w:rFonts w:ascii="Times New Roman" w:cs="Times New Roman" w:eastAsia="Times New Roman" w:hAnsi="Times New Roman"/>
          <w:sz w:val="18"/>
          <w:szCs w:val="18"/>
          <w:color w:val="auto"/>
        </w:rPr>
        <w:t>. The remedies of Purchaser hereunder are cumulative and non-exclusive and the exercise of any one or more of the remedies provided herein shall not be construed as a waiver of any other remedies which Purchaser may have under this Rider or any other agreement between Seller and Purchaser.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No Preservation or Marshallin</w:t>
      </w:r>
      <w:r>
        <w:rPr>
          <w:rFonts w:ascii="Times New Roman" w:cs="Times New Roman" w:eastAsia="Times New Roman" w:hAnsi="Times New Roman"/>
          <w:sz w:val="18"/>
          <w:szCs w:val="18"/>
          <w:color w:val="auto"/>
        </w:rPr>
        <w:t>g. Seller agrees that Purchaser has no obligation to preserve rights to the Collateral against prior parties or to marshall any Collateral for the benefit of any person.</w:t>
      </w:r>
    </w:p>
    <w:p>
      <w:pPr>
        <w:spacing w:after="0" w:line="16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Notice of Inventor</w:t>
      </w:r>
      <w:r>
        <w:rPr>
          <w:rFonts w:ascii="Times New Roman" w:cs="Times New Roman" w:eastAsia="Times New Roman" w:hAnsi="Times New Roman"/>
          <w:sz w:val="17"/>
          <w:szCs w:val="17"/>
          <w:color w:val="auto"/>
        </w:rPr>
        <w:t>y Disposition. Any notice required to be given by Purchaser of a sale, lease, other disposition of the Inventory or any other intended action by Purchaser, deposited in the United States Mail, certified mail, return receipt requested, postage prepaid and duly addressed to Seller, at the address set forth in the Agreement, five (5) days prior to such proposed action, shall constitute commercially reasonable and fair notice thereof to Seller.</w:t>
      </w:r>
    </w:p>
    <w:p>
      <w:pPr>
        <w:spacing w:after="0" w:line="158" w:lineRule="exact"/>
        <w:rPr>
          <w:sz w:val="20"/>
          <w:szCs w:val="20"/>
          <w:color w:val="auto"/>
        </w:rPr>
      </w:pPr>
    </w:p>
    <w:p>
      <w:pPr>
        <w:jc w:val="both"/>
        <w:ind w:firstLine="656"/>
        <w:spacing w:after="0" w:line="266" w:lineRule="auto"/>
        <w:tabs>
          <w:tab w:leader="none" w:pos="82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w:t>
      </w:r>
      <w:r>
        <w:rPr>
          <w:rFonts w:ascii="Times New Roman" w:cs="Times New Roman" w:eastAsia="Times New Roman" w:hAnsi="Times New Roman"/>
          <w:sz w:val="18"/>
          <w:szCs w:val="18"/>
          <w:color w:val="auto"/>
        </w:rPr>
        <w:t>ty. Wherever possible, each provision of this Rider shall be interpreted in such manner as to be effective and valid under applicable law, but if any provision of this Rider shall be prohibited by or invalid under applicable law, such provision shall be ineffective to the extent of such prohibition or invalidity, without invalidating the remainder of such provision or the remaining provisions of this Rider.</w:t>
      </w:r>
    </w:p>
    <w:p>
      <w:pPr>
        <w:spacing w:after="0" w:line="175" w:lineRule="exact"/>
        <w:rPr>
          <w:rFonts w:ascii="Times New Roman" w:cs="Times New Roman" w:eastAsia="Times New Roman" w:hAnsi="Times New Roman"/>
          <w:sz w:val="18"/>
          <w:szCs w:val="18"/>
          <w:color w:val="auto"/>
        </w:rPr>
      </w:pPr>
    </w:p>
    <w:p>
      <w:pPr>
        <w:ind w:left="620" w:hanging="182"/>
        <w:spacing w:after="0"/>
        <w:tabs>
          <w:tab w:leader="none" w:pos="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ration and 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9.1 This Rider is intended to supplement and be construed in conjunction with the Agreement and all right available to Purchaser under the Agreement shall, likewise, be available in respect to any right under this Rider. Notwithstanding the above, this Rider constitutes a complete agreement of the Parties as to its content and is intended to be a fully integrated agreement. There are no provisions of any nature whatsoever relating to the subject matter of this Rider which are not contained herein. This Rider, which is subject to modification only in writing, is supplementary to, and is to be considered a part of, the Agreement, shall take effect when dated, accepted, and signed by one of the officers of Purchaser.</w:t>
      </w:r>
    </w:p>
    <w:p>
      <w:pPr>
        <w:spacing w:after="0" w:line="183" w:lineRule="exact"/>
        <w:rPr>
          <w:sz w:val="20"/>
          <w:szCs w:val="20"/>
          <w:color w:val="auto"/>
        </w:rPr>
      </w:pPr>
    </w:p>
    <w:p>
      <w:pPr>
        <w:spacing w:after="0"/>
        <w:tabs>
          <w:tab w:leader="none" w:pos="10320" w:val="left"/>
        </w:tabs>
        <w:rPr>
          <w:sz w:val="20"/>
          <w:szCs w:val="20"/>
          <w:color w:val="auto"/>
        </w:rPr>
      </w:pPr>
      <w:r>
        <w:rPr>
          <w:rFonts w:ascii="Times New Roman" w:cs="Times New Roman" w:eastAsia="Times New Roman" w:hAnsi="Times New Roman"/>
          <w:sz w:val="18"/>
          <w:szCs w:val="18"/>
          <w:color w:val="auto"/>
        </w:rPr>
        <w:t>Alterna Capital Solutions: Inventory Rider</w:t>
      </w:r>
      <w:r>
        <w:rPr>
          <w:sz w:val="20"/>
          <w:szCs w:val="20"/>
          <w:color w:val="auto"/>
        </w:rPr>
        <w:tab/>
      </w:r>
      <w:r>
        <w:rPr>
          <w:rFonts w:ascii="Times New Roman" w:cs="Times New Roman" w:eastAsia="Times New Roman" w:hAnsi="Times New Roman"/>
          <w:sz w:val="17"/>
          <w:szCs w:val="17"/>
          <w:color w:val="auto"/>
        </w:rPr>
        <w:t>Page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4" w:name="page185"/>
    <w:bookmarkEnd w:id="18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9.2 No representations or statements of any kind, other than as contained herein and in the Agreement, have been made by the Parties hereto or any of their agents or representatives. This Rider supersedes all prior negotiations, offers and discussions with respect to the subject matter hereof and shall be construed in conjunction with the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9.3 In the event this Rider is executed subsequent to the Agreement, Seller acknowledges that by the execution and acceptance of this Rider by Purchaser, Seller does herewith release, discharge, and acquit Purchaser from any and all claims, known or unknown, asserted or unasserted, in contract, tort or otherwise, relating to or arising under the Agreement which have accrued as of the date of execution of this Rider.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9.4 This Rider may be signed in any number of counterparts, each of which shall be an original, with the same effect as if all signatures were upon the same instrument. Delivery of an executed counterpart of the signature page to this Rider by facsimile or other electronic means shall be effective as delivery of a manually executed counterpart of this Rider, and any Party delivering such an executed counterpart of the signature page to this Rider by such means to any other Party shall thereafter also promptly deliver a manually executed counterpart of this Rider to such other Party, provided that the failure to deliver such manually executed counterpart shall not affect the validity, enforceability, or binding effect of this Rider.</w:t>
      </w:r>
    </w:p>
    <w:p>
      <w:pPr>
        <w:spacing w:after="0" w:line="183" w:lineRule="exact"/>
        <w:rPr>
          <w:sz w:val="20"/>
          <w:szCs w:val="20"/>
          <w:color w:val="auto"/>
        </w:rPr>
      </w:pPr>
    </w:p>
    <w:p>
      <w:pPr>
        <w:ind w:firstLine="656"/>
        <w:spacing w:after="0" w:line="282" w:lineRule="auto"/>
        <w:tabs>
          <w:tab w:leader="none" w:pos="9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w:t>
      </w:r>
      <w:r>
        <w:rPr>
          <w:rFonts w:ascii="Times New Roman" w:cs="Times New Roman" w:eastAsia="Times New Roman" w:hAnsi="Times New Roman"/>
          <w:sz w:val="18"/>
          <w:szCs w:val="18"/>
          <w:color w:val="auto"/>
        </w:rPr>
        <w:t>ys’ Fees. Seller agrees to reimburse Purchaser for any attorney’s fees incurred in connection with this Rider under the terms provided in section 24 of the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hereunto set their hand and seal as of the day and year specified at the beginning hereof.</w:t>
      </w: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294005</wp:posOffset>
            </wp:positionV>
            <wp:extent cx="882650" cy="2228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6">
                      <a:extLst>
                        <a:ext uri="{28A0092B-C50C-407E-A947-70E740481C1C}"/>
                      </a:extLst>
                    </a:blip>
                    <a:srcRect/>
                    <a:stretch>
                      <a:fillRect/>
                    </a:stretch>
                  </pic:blipFill>
                  <pic:spPr bwMode="auto">
                    <a:xfrm>
                      <a:off x="0" y="0"/>
                      <a:ext cx="882650" cy="22288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26035</wp:posOffset>
            </wp:positionV>
            <wp:extent cx="318897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7">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30"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Norman E. Snyder, Jr.</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Address:201 Merritt 7</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Norwalk, CT 06851</w:t>
      </w: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ALTERNA CAPITAL SOLUTIONS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156845</wp:posOffset>
            </wp:positionV>
            <wp:extent cx="1294130" cy="2228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8">
                      <a:extLst>
                        <a:ext uri="{28A0092B-C50C-407E-A947-70E740481C1C}"/>
                      </a:extLst>
                    </a:blip>
                    <a:srcRect/>
                    <a:stretch>
                      <a:fillRect/>
                    </a:stretch>
                  </pic:blipFill>
                  <pic:spPr bwMode="auto">
                    <a:xfrm>
                      <a:off x="0" y="0"/>
                      <a:ext cx="1294130" cy="222885"/>
                    </a:xfrm>
                    <a:prstGeom prst="rect">
                      <a:avLst/>
                    </a:prstGeom>
                    <a:noFill/>
                  </pic:spPr>
                </pic:pic>
              </a:graphicData>
            </a:graphic>
          </wp:anchor>
        </w:drawing>
      </w:r>
    </w:p>
    <w:p>
      <w:pPr>
        <w:spacing w:after="0" w:line="3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26035</wp:posOffset>
            </wp:positionV>
            <wp:extent cx="318897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9">
                      <a:extLst>
                        <a:ext uri="{28A0092B-C50C-407E-A947-70E740481C1C}"/>
                      </a:extLst>
                    </a:blip>
                    <a:srcRect/>
                    <a:stretch>
                      <a:fillRect/>
                    </a:stretch>
                  </pic:blipFill>
                  <pic:spPr bwMode="auto">
                    <a:xfrm>
                      <a:off x="0" y="0"/>
                      <a:ext cx="3188970" cy="17145"/>
                    </a:xfrm>
                    <a:prstGeom prst="rect">
                      <a:avLst/>
                    </a:prstGeom>
                    <a:noFill/>
                  </pic:spPr>
                </pic:pic>
              </a:graphicData>
            </a:graphic>
          </wp:anchor>
        </w:drawing>
      </w:r>
    </w:p>
    <w:p>
      <w:pPr>
        <w:spacing w:after="0" w:line="30"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Eugene Stanley Carpenter</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tabs>
          <w:tab w:leader="none" w:pos="10240" w:val="left"/>
        </w:tabs>
        <w:rPr>
          <w:sz w:val="20"/>
          <w:szCs w:val="20"/>
          <w:color w:val="auto"/>
        </w:rPr>
      </w:pPr>
      <w:r>
        <w:rPr>
          <w:rFonts w:ascii="Times New Roman" w:cs="Times New Roman" w:eastAsia="Times New Roman" w:hAnsi="Times New Roman"/>
          <w:sz w:val="18"/>
          <w:szCs w:val="18"/>
          <w:color w:val="auto"/>
        </w:rPr>
        <w:t>Alterna Capital Solutions: Inventory Rider</w:t>
      </w:r>
      <w:r>
        <w:rPr>
          <w:sz w:val="20"/>
          <w:szCs w:val="20"/>
          <w:color w:val="auto"/>
        </w:rPr>
        <w:tab/>
      </w:r>
      <w:r>
        <w:rPr>
          <w:rFonts w:ascii="Times New Roman" w:cs="Times New Roman" w:eastAsia="Times New Roman" w:hAnsi="Times New Roman"/>
          <w:sz w:val="17"/>
          <w:szCs w:val="17"/>
          <w:color w:val="auto"/>
        </w:rPr>
        <w:t>Page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5" w:name="page186"/>
    <w:bookmarkEnd w:id="18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ELIGIBLE INVENTORY LOCATIONS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be determined</w:t>
      </w:r>
    </w:p>
    <w:p>
      <w:pPr>
        <w:spacing w:after="0" w:line="229" w:lineRule="exact"/>
        <w:rPr>
          <w:sz w:val="20"/>
          <w:szCs w:val="20"/>
          <w:color w:val="auto"/>
        </w:rPr>
      </w:pPr>
    </w:p>
    <w:p>
      <w:pPr>
        <w:spacing w:after="0"/>
        <w:tabs>
          <w:tab w:leader="none" w:pos="10240" w:val="left"/>
        </w:tabs>
        <w:rPr>
          <w:sz w:val="20"/>
          <w:szCs w:val="20"/>
          <w:color w:val="auto"/>
        </w:rPr>
      </w:pPr>
      <w:r>
        <w:rPr>
          <w:rFonts w:ascii="Times New Roman" w:cs="Times New Roman" w:eastAsia="Times New Roman" w:hAnsi="Times New Roman"/>
          <w:sz w:val="18"/>
          <w:szCs w:val="18"/>
          <w:color w:val="auto"/>
        </w:rPr>
        <w:t>Alterna Capital Solutions: Inventory Rider</w:t>
      </w:r>
      <w:r>
        <w:rPr>
          <w:sz w:val="20"/>
          <w:szCs w:val="20"/>
          <w:color w:val="auto"/>
        </w:rPr>
        <w:tab/>
      </w:r>
      <w:r>
        <w:rPr>
          <w:rFonts w:ascii="Times New Roman" w:cs="Times New Roman" w:eastAsia="Times New Roman" w:hAnsi="Times New Roman"/>
          <w:sz w:val="17"/>
          <w:szCs w:val="17"/>
          <w:color w:val="auto"/>
        </w:rPr>
        <w:t>Page 11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6" w:name="page187"/>
    <w:bookmarkEnd w:id="186"/>
    <w:p>
      <w:pPr>
        <w:jc w:val="center"/>
        <w:ind w:right="-99"/>
        <w:spacing w:after="0"/>
        <w:rPr>
          <w:sz w:val="20"/>
          <w:szCs w:val="20"/>
          <w:color w:val="auto"/>
        </w:rPr>
      </w:pPr>
      <w:r>
        <w:rPr>
          <w:rFonts w:ascii="Times New Roman" w:cs="Times New Roman" w:eastAsia="Times New Roman" w:hAnsi="Times New Roman"/>
          <w:sz w:val="18"/>
          <w:szCs w:val="18"/>
          <w:color w:val="auto"/>
        </w:rPr>
        <w:t>FORM OF VALIDITY GUARANTY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 CAPITAL SOLUTIONS,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2420 Lakemont Avenue, Suite 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 32814</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induce you to enter into a Financing Agreement, with REED’S INC. (hereinafter referred to as the “Client”), dated March 16, 2022 ( the “Financing Agreement”) and/or to continue under or to refrain at this time from terminating your present arrangement with the Client, and in consideration of your so doing, the undersigned represents and warrants to you that, to the best of his knowledge in his capacity as Chief Financial Officer of Client, (a) each and every Receivable referred to or defined in the Financing Agreement and in which the Client has granted you a security interest will (i) represent a bona fide existing obligation of a customer of the Client and owing to the Client and arising in the ordinary course of its business; (ii) be due and owing to the Client without defense, offset or counterclaim; and (iii) will have arisen from the Client’s delivery of the goods or services in accordance with the terms of the purchase order ; (b) all remittances received by the Client on account of Receivables will be held by the Client as your property; and (c) the Client will immediately deliver, to you, the identical checks, monies or other forms of payment received.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further represents and warrants that, to the best of his knowledge as Chief Financial Officer of Client (i) reports provided to you by the Client as to inventory in the possession of the Client (the “Inventory Reports”) will be accurate as to description, quantity, quality and unit value of the inventory identified in such reports at the time of tender of such reports; (ii) the inventory identified in the Inventory Reports shall actually be, at the time of tender of such reports, at the locations described in the such reports.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shall continue in full force and effect until actual receipt by you from the undersigned of written notice of cancellation, but such cancellation shall be applicable only to transactions having their inception thereafter and in no way shall affect the continuing liability of those of the undersigned who do not give you such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will, at all reasonable times, and at your request and expense, assist you in the collection and liquidation of the Receivables.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further agrees that in the event of any breach of the warranties and representations herein contained that is found by a final judgment of a court of competent jurisdiction (not subject to appeal), to have resulted primarily and directly from fraudulent conduct of the undersigned, the undersigned shall be liable to you for any loss or damage (including without limitation costs, expenses and reasonable attorneys’ fees) suffered by you solely a result of the breach of the representations contained herein (such loss or damage, the “Damages”) to the extent not otherwise recoverable by you from the Client or its insurance providers.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shall not be liable for Damages arising from the breach of representations contained herein with respect to (i) Receivables arising on or after the Termination Date, as hereinafter defined; or (ii) Inventory Reports issued after the Termination Date. The Termination Date means the date which is 30 days after your receipt of notice from the undersigned that the undersigned is no longer an officer, director or employee of the Client.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agreement shall be construed and governed by the laws of the state of Florida. Terms that are used herein but are not defined herein but are defined in the Financing shall have meanings ascribed to such terms in the Financing Agreement and any supplements and/or amendments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566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color w:val="auto"/>
        </w:rPr>
        <w:t>Exhibit 22(ii)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Affiliate Guarantor of Reed’s, Inc.</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11, 2021, we entered into an amendment to that certain Financing Agreement dated October 4, 2018, as amended or supplemented with our senior secured lender, Rosenthal &amp; Rosenthal, Inc. (“Rosenthal”) releasing and replacing that irrevocable standby letter of credit by Daniel J. Doherty,</w:t>
      </w:r>
    </w:p>
    <w:p>
      <w:pPr>
        <w:jc w:val="both"/>
        <w:ind w:firstLine="8"/>
        <w:spacing w:after="0" w:line="253" w:lineRule="auto"/>
        <w:tabs>
          <w:tab w:leader="none" w:pos="23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Daniel J. Doherty, III 2002 Family Trust in the amount of $1.5 million, which served as financial collateral for certain obligations of Reed’s under the Rosenthal credit facility, with a two million dollar ($2,000,000) pledge of securities to Rosenthal by John J. Bello and Nancy E. Bello, as Co-Trustees of THE JOHN AND NANCY BELLO REVOCABLE LIVING TRUST, under trust agreement dated December 3, 2012 (the “Bello Trust”), evidenced by that certain Pledge Agreement to Rosenthal, and as to which Rosenthal has a first and only perfected security interest by the Securities Account Control Agreement held by securities broker).</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November 24, 2021, the Bello trust provided additional collateral support consisting of a pledge of three million ($3,300,000) of securities securing a $2,500,000 over-advance under the Financing Agreement, and John J. Bello also provided a personal guarantee.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pledged securities were made up of equity funds and did not include securities of Reed’s,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additional collateral was released on March 17, 2022 along with the personal guarantee.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John J. Bello, current Chairman and former Interim Chief Executive Officer of Reed’s, is a related party. He is also a greater than 5% beneficial owner of Reed’s common stock. As consideration for the collateral support, Mr. Bello received 400,000 shares of Reed’s restricted stock and a warrant to purchase up to 1,500,000 shares of common stock at an exercise price of $0.46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8" w:name="page189"/>
    <w:bookmarkEnd w:id="188"/>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pertaining to Reed’s, Inc. 2020 Equity Incentive Plan, as amended December 30, 2021, of our report dated April 15, 2022, relating to the financial statements of Reed’s, Inc. as of December 31, 2021 and 2020, (which report includes an explanatory paragraph relating to substantial doubt about Reed’s, Inc.’s ability to continue as a going concern), which appear in Reed’s, Inc.’s Annual Report on Form 10-K for the year ended December 31, 2021, filed with the Securities and Exchange Commission on March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Weinberg &amp; Company, 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9" w:name="page190"/>
    <w:bookmarkEnd w:id="189"/>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Norman E. Snyder, Jr., certify that:</w:t>
      </w:r>
    </w:p>
    <w:p>
      <w:pPr>
        <w:spacing w:after="0" w:line="225"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Reed’s,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April 15, 2022</w:t>
      </w:r>
      <w:r>
        <w:rPr>
          <w:sz w:val="20"/>
          <w:szCs w:val="20"/>
          <w:color w:val="auto"/>
        </w:rPr>
        <w:tab/>
      </w:r>
      <w:r>
        <w:rPr>
          <w:rFonts w:ascii="Times New Roman" w:cs="Times New Roman" w:eastAsia="Times New Roman" w:hAnsi="Times New Roman"/>
          <w:sz w:val="17"/>
          <w:szCs w:val="17"/>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Norman E. Snyder, Jr.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0" w:name="page191"/>
    <w:bookmarkEnd w:id="190"/>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J. Spisak, certify that:</w:t>
      </w:r>
    </w:p>
    <w:p>
      <w:pPr>
        <w:spacing w:after="0" w:line="225"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Reed’s,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April 15, 2022</w:t>
      </w:r>
      <w:r>
        <w:rPr>
          <w:sz w:val="20"/>
          <w:szCs w:val="20"/>
          <w:color w:val="auto"/>
        </w:rPr>
        <w:tab/>
      </w:r>
      <w:r>
        <w:rPr>
          <w:rFonts w:ascii="Times New Roman" w:cs="Times New Roman" w:eastAsia="Times New Roman" w:hAnsi="Times New Roman"/>
          <w:sz w:val="18"/>
          <w:szCs w:val="18"/>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Thomas J. Spisak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1" w:name="page192"/>
    <w:bookmarkEnd w:id="191"/>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Reed’s, Inc., a Delaware corporation (the “Company”) for the year ended December 31, 2021, as filed with the Securities and Exchange Commission on the date hereof (the “Report”), Norman E. Snyder, Jr., Chief Executive Officer of the Company, hereby certifies, pursuant to 18 U.S.C. § 1350, as adopted pursuant to §906 of the Sarbanes-Oxley Act of 2002, that, to the best of his knowledge and belief:</w:t>
      </w:r>
    </w:p>
    <w:p>
      <w:pPr>
        <w:spacing w:after="0" w:line="180" w:lineRule="exact"/>
        <w:rPr>
          <w:sz w:val="20"/>
          <w:szCs w:val="20"/>
          <w:color w:val="auto"/>
        </w:rPr>
      </w:pPr>
    </w:p>
    <w:p>
      <w:pPr>
        <w:ind w:left="900" w:hanging="244"/>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94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REED’S, INC.</w:t>
      </w:r>
    </w:p>
    <w:p>
      <w:pPr>
        <w:spacing w:after="0" w:line="22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April 15, 2022</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Norman E. Snyder, Jr.</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Reed’s, Inc., a Delaware corporation (the “Company”) for the year ended December 31, 2021, as filed with the Securities and Exchange Commission on the date hereof (the “Report”), Thomas J. Spisak, Chief Financial Officer of the Company, hereby certifies, pursuant to 18 U.S.C. § 1350, as adopted pursuant to §906 of the Sarbanes-Oxley Act of 2002, that, to the best of her knowledge and belief:</w:t>
      </w:r>
    </w:p>
    <w:p>
      <w:pPr>
        <w:spacing w:after="0" w:line="176" w:lineRule="exact"/>
        <w:rPr>
          <w:sz w:val="20"/>
          <w:szCs w:val="20"/>
          <w:color w:val="auto"/>
        </w:rPr>
      </w:pPr>
    </w:p>
    <w:p>
      <w:pPr>
        <w:ind w:left="900" w:hanging="244"/>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94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REED’S, INC.</w:t>
      </w:r>
    </w:p>
    <w:p>
      <w:pPr>
        <w:spacing w:after="0" w:line="22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April 15,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Thomas J. Spisak</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lvl w:ilvl="1">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1)"/>
      <w:numFmt w:val="upperLetter"/>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1."/>
      <w:numFmt w:val="decimal"/>
      <w:start w:val="2"/>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decimal"/>
      <w:start w:val="3"/>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upperLetter"/>
      <w:start w:val="61"/>
    </w:lvl>
  </w:abstractNum>
  <w:abstractNum w:abstractNumId="26">
    <w:nsid w:val="7A6D8D3C"/>
    <w:multiLevelType w:val="hybridMultilevel"/>
    <w:lvl w:ilvl="0">
      <w:lvlJc w:val="left"/>
      <w:lvlText w:val="%1"/>
      <w:numFmt w:val="decimal"/>
      <w:start w:val="104"/>
    </w:lvl>
    <w:lvl w:ilvl="1">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1."/>
      <w:numFmt w:val="decimal"/>
      <w:start w:val="2"/>
    </w:lvl>
  </w:abstractNum>
  <w:abstractNum w:abstractNumId="29">
    <w:nsid w:val="6DE91B18"/>
    <w:multiLevelType w:val="hybridMultilevel"/>
    <w:lvl w:ilvl="0">
      <w:lvlJc w:val="left"/>
      <w:lvlText w:val="(%1)"/>
      <w:numFmt w:val="upperLetter"/>
      <w:start w:val="1"/>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decimal"/>
      <w:start w:val="2"/>
    </w:lvl>
  </w:abstractNum>
  <w:abstractNum w:abstractNumId="32">
    <w:nsid w:val="32FFF902"/>
    <w:multiLevelType w:val="hybridMultilevel"/>
    <w:lvl w:ilvl="0">
      <w:lvlJc w:val="left"/>
      <w:lvlText w:val="%1."/>
      <w:numFmt w:val="decimal"/>
      <w:start w:val="4"/>
    </w:lvl>
  </w:abstractNum>
  <w:abstractNum w:abstractNumId="33">
    <w:nsid w:val="684A481A"/>
    <w:multiLevelType w:val="hybridMultilevel"/>
    <w:lvl w:ilvl="0">
      <w:lvlJc w:val="left"/>
      <w:lvlText w:val="%1."/>
      <w:numFmt w:val="decimal"/>
      <w:start w:val="9"/>
    </w:lvl>
  </w:abstractNum>
  <w:abstractNum w:abstractNumId="34">
    <w:nsid w:val="579478FE"/>
    <w:multiLevelType w:val="hybridMultilevel"/>
    <w:lvl w:ilvl="0">
      <w:lvlJc w:val="left"/>
      <w:lvlText w:val="%1."/>
      <w:numFmt w:val="decimal"/>
      <w:start w:val="13"/>
    </w:lvl>
  </w:abstractNum>
  <w:abstractNum w:abstractNumId="35">
    <w:nsid w:val="749ABB43"/>
    <w:multiLevelType w:val="hybridMultilevel"/>
    <w:lvl w:ilvl="0">
      <w:lvlJc w:val="left"/>
      <w:lvlText w:val="%1."/>
      <w:numFmt w:val="decimal"/>
      <w:start w:val="15"/>
    </w:lvl>
  </w:abstractNum>
  <w:abstractNum w:abstractNumId="36">
    <w:nsid w:val="3DC240FB"/>
    <w:multiLevelType w:val="hybridMultilevel"/>
    <w:lvl w:ilvl="0">
      <w:lvlJc w:val="left"/>
      <w:lvlText w:val="%1."/>
      <w:numFmt w:val="decimal"/>
      <w:start w:val="19"/>
    </w:lvl>
  </w:abstractNum>
  <w:abstractNum w:abstractNumId="37">
    <w:nsid w:val="1BA026FA"/>
    <w:multiLevelType w:val="hybridMultilevel"/>
    <w:lvl w:ilvl="0">
      <w:lvlJc w:val="left"/>
      <w:lvlText w:val="(%1)"/>
      <w:numFmt w:val="lowerLetter"/>
      <w:start w:val="1"/>
    </w:lvl>
  </w:abstractNum>
  <w:abstractNum w:abstractNumId="38">
    <w:nsid w:val="79A1DEAA"/>
    <w:multiLevelType w:val="hybridMultilevel"/>
    <w:lvl w:ilvl="0">
      <w:lvlJc w:val="left"/>
      <w:lvlText w:val="%1."/>
      <w:numFmt w:val="decimal"/>
      <w:start w:val="21"/>
    </w:lvl>
  </w:abstractNum>
  <w:abstractNum w:abstractNumId="39">
    <w:nsid w:val="75C6C33A"/>
    <w:multiLevelType w:val="hybridMultilevel"/>
    <w:lvl w:ilvl="0">
      <w:lvlJc w:val="left"/>
      <w:lvlText w:val="%1."/>
      <w:numFmt w:val="decimal"/>
      <w:start w:val="23"/>
    </w:lvl>
  </w:abstractNum>
  <w:abstractNum w:abstractNumId="40">
    <w:nsid w:val="12E685FB"/>
    <w:multiLevelType w:val="hybridMultilevel"/>
    <w:lvl w:ilvl="0">
      <w:lvlJc w:val="left"/>
      <w:lvlText w:val="%1."/>
      <w:numFmt w:val="decimal"/>
      <w:start w:val="30"/>
    </w:lvl>
  </w:abstractNum>
  <w:abstractNum w:abstractNumId="41">
    <w:nsid w:val="70C6A529"/>
    <w:multiLevelType w:val="hybridMultilevel"/>
    <w:lvl w:ilvl="0">
      <w:lvlJc w:val="left"/>
      <w:lvlText w:val="%1."/>
      <w:numFmt w:val="decimal"/>
      <w:start w:val="33"/>
    </w:lvl>
  </w:abstractNum>
  <w:abstractNum w:abstractNumId="42">
    <w:nsid w:val="520EEDD1"/>
    <w:multiLevelType w:val="hybridMultilevel"/>
    <w:lvl w:ilvl="0">
      <w:lvlJc w:val="left"/>
      <w:lvlText w:val="%1."/>
      <w:numFmt w:val="decimal"/>
      <w:start w:val="36"/>
    </w:lvl>
  </w:abstractNum>
  <w:abstractNum w:abstractNumId="43">
    <w:nsid w:val="374A3FE6"/>
    <w:multiLevelType w:val="hybridMultilevel"/>
    <w:lvl w:ilvl="0">
      <w:lvlJc w:val="left"/>
      <w:lvlText w:val="(%1)"/>
      <w:numFmt w:val="lowerLetter"/>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1."/>
      <w:numFmt w:val="decimal"/>
      <w:start w:val="2"/>
    </w:lvl>
  </w:abstractNum>
  <w:abstractNum w:abstractNumId="46">
    <w:nsid w:val="649BB77C"/>
    <w:multiLevelType w:val="hybridMultilevel"/>
    <w:lvl w:ilvl="0">
      <w:lvlJc w:val="left"/>
      <w:lvlText w:val="%1."/>
      <w:numFmt w:val="decimal"/>
      <w:start w:val="3"/>
    </w:lvl>
  </w:abstractNum>
  <w:abstractNum w:abstractNumId="47">
    <w:nsid w:val="275AC794"/>
    <w:multiLevelType w:val="hybridMultilevel"/>
    <w:lvl w:ilvl="0">
      <w:lvlJc w:val="left"/>
      <w:lvlText w:val="%1."/>
      <w:numFmt w:val="decimal"/>
      <w:start w:val="4"/>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2"/>
    </w:lvl>
  </w:abstractNum>
  <w:abstractNum w:abstractNumId="50">
    <w:nsid w:val="180115BE"/>
    <w:multiLevelType w:val="hybridMultilevel"/>
    <w:lvl w:ilvl="0">
      <w:lvlJc w:val="left"/>
      <w:lvlText w:val="(%1)"/>
      <w:numFmt w:val="decimal"/>
      <w:start w:val="360"/>
    </w:lvl>
  </w:abstractNum>
  <w:abstractNum w:abstractNumId="51">
    <w:nsid w:val="235BA861"/>
    <w:multiLevelType w:val="hybridMultilevel"/>
    <w:lvl w:ilvl="0">
      <w:lvlJc w:val="left"/>
      <w:lvlText w:val="(%1)"/>
      <w:numFmt w:val="lowerLetter"/>
      <w:start w:val="1"/>
    </w:lvl>
    <w:lvl w:ilvl="1">
      <w:lvlJc w:val="left"/>
      <w:lvlText w:val="%2."/>
      <w:numFmt w:val="decimal"/>
      <w:start w:val="3"/>
    </w:lvl>
  </w:abstractNum>
  <w:abstractNum w:abstractNumId="52">
    <w:nsid w:val="47398C89"/>
    <w:multiLevelType w:val="hybridMultilevel"/>
    <w:lvl w:ilvl="0">
      <w:lvlJc w:val="left"/>
      <w:lvlText w:val="%1."/>
      <w:numFmt w:val="decimal"/>
      <w:start w:val="4"/>
    </w:lvl>
  </w:abstractNum>
  <w:abstractNum w:abstractNumId="53">
    <w:nsid w:val="354FE9F9"/>
    <w:multiLevelType w:val="hybridMultilevel"/>
    <w:lvl w:ilvl="0">
      <w:lvlJc w:val="left"/>
      <w:lvlText w:val="%1."/>
      <w:numFmt w:val="decimal"/>
      <w:start w:val="5"/>
    </w:lvl>
  </w:abstractNum>
  <w:abstractNum w:abstractNumId="54">
    <w:nsid w:val="15B5AF5C"/>
    <w:multiLevelType w:val="hybridMultilevel"/>
    <w:lvl w:ilvl="0">
      <w:lvlJc w:val="left"/>
      <w:lvlText w:val="%1."/>
      <w:numFmt w:val="decimal"/>
      <w:start w:val="6"/>
    </w:lvl>
  </w:abstractNum>
  <w:abstractNum w:abstractNumId="55">
    <w:nsid w:val="741226BB"/>
    <w:multiLevelType w:val="hybridMultilevel"/>
    <w:lvl w:ilvl="0">
      <w:lvlJc w:val="left"/>
      <w:lvlText w:val="%1."/>
      <w:numFmt w:val="decimal"/>
      <w:start w:val="7"/>
    </w:lvl>
  </w:abstractNum>
  <w:abstractNum w:abstractNumId="56">
    <w:nsid w:val="D34B6A8"/>
    <w:multiLevelType w:val="hybridMultilevel"/>
    <w:lvl w:ilvl="0">
      <w:lvlJc w:val="left"/>
      <w:lvlText w:val="%1"/>
      <w:numFmt w:val="decimal"/>
      <w:start w:val="1"/>
    </w:lvl>
    <w:lvl w:ilvl="1">
      <w:lvlJc w:val="left"/>
      <w:lvlText w:val="%2."/>
      <w:numFmt w:val="decimal"/>
      <w:start w:val="8"/>
    </w:lvl>
  </w:abstractNum>
  <w:abstractNum w:abstractNumId="57">
    <w:nsid w:val="10233C99"/>
    <w:multiLevelType w:val="hybridMultilevel"/>
    <w:lvl w:ilvl="0">
      <w:lvlJc w:val="left"/>
      <w:lvlText w:val="%1."/>
      <w:numFmt w:val="decimal"/>
      <w:start w:val="9"/>
    </w:lvl>
    <w:lvl w:ilvl="1">
      <w:lvlJc w:val="left"/>
      <w:lvlText w:val="%2"/>
      <w:numFmt w:val="decimal"/>
      <w:start w:val="1"/>
    </w:lvl>
  </w:abstractNum>
  <w:abstractNum w:abstractNumId="58">
    <w:nsid w:val="3F6AB60F"/>
    <w:multiLevelType w:val="hybridMultilevel"/>
    <w:lvl w:ilvl="0">
      <w:lvlJc w:val="left"/>
      <w:lvlText w:val="%1."/>
      <w:numFmt w:val="decimal"/>
      <w:start w:val="10"/>
    </w:lvl>
  </w:abstractNum>
  <w:abstractNum w:abstractNumId="59">
    <w:nsid w:val="61574095"/>
    <w:multiLevelType w:val="hybridMultilevel"/>
    <w:lvl w:ilvl="0">
      <w:lvlJc w:val="left"/>
      <w:lvlText w:val="%1"/>
      <w:numFmt w:val="upperLetter"/>
      <w:start w:val="6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119" Type="http://schemas.openxmlformats.org/officeDocument/2006/relationships/image" Target="media/image71.png"/><Relationship Id="rId120" Type="http://schemas.openxmlformats.org/officeDocument/2006/relationships/image" Target="media/image72.png"/><Relationship Id="rId121" Type="http://schemas.openxmlformats.org/officeDocument/2006/relationships/image" Target="media/image73.png"/><Relationship Id="rId122" Type="http://schemas.openxmlformats.org/officeDocument/2006/relationships/image" Target="media/image74.png"/><Relationship Id="rId123" Type="http://schemas.openxmlformats.org/officeDocument/2006/relationships/image" Target="media/image75.png"/><Relationship Id="rId124" Type="http://schemas.openxmlformats.org/officeDocument/2006/relationships/image" Target="media/image76.png"/><Relationship Id="rId125" Type="http://schemas.openxmlformats.org/officeDocument/2006/relationships/image" Target="media/image77.png"/><Relationship Id="rId126" Type="http://schemas.openxmlformats.org/officeDocument/2006/relationships/image" Target="media/image78.png"/><Relationship Id="rId127" Type="http://schemas.openxmlformats.org/officeDocument/2006/relationships/image" Target="media/image79.png"/><Relationship Id="rId128" Type="http://schemas.openxmlformats.org/officeDocument/2006/relationships/image" Target="media/image80.png"/><Relationship Id="rId129" Type="http://schemas.openxmlformats.org/officeDocument/2006/relationships/image" Target="media/image81.png"/><Relationship Id="rId130" Type="http://schemas.openxmlformats.org/officeDocument/2006/relationships/image" Target="media/image82.png"/><Relationship Id="rId131" Type="http://schemas.openxmlformats.org/officeDocument/2006/relationships/image" Target="media/image83.png"/><Relationship Id="rId132" Type="http://schemas.openxmlformats.org/officeDocument/2006/relationships/image" Target="media/image84.png"/><Relationship Id="rId133" Type="http://schemas.openxmlformats.org/officeDocument/2006/relationships/image" Target="media/image85.png"/><Relationship Id="rId134" Type="http://schemas.openxmlformats.org/officeDocument/2006/relationships/image" Target="media/image86.png"/><Relationship Id="rId135" Type="http://schemas.openxmlformats.org/officeDocument/2006/relationships/image" Target="media/image87.png"/><Relationship Id="rId136" Type="http://schemas.openxmlformats.org/officeDocument/2006/relationships/image" Target="media/image88.png"/><Relationship Id="rId137" Type="http://schemas.openxmlformats.org/officeDocument/2006/relationships/image" Target="media/image89.png"/><Relationship Id="rId138" Type="http://schemas.openxmlformats.org/officeDocument/2006/relationships/image" Target="media/image90.png"/><Relationship Id="rId139" Type="http://schemas.openxmlformats.org/officeDocument/2006/relationships/image" Target="media/image91.png"/><Relationship Id="rId140" Type="http://schemas.openxmlformats.org/officeDocument/2006/relationships/image" Target="media/image92.png"/><Relationship Id="rId141" Type="http://schemas.openxmlformats.org/officeDocument/2006/relationships/image" Target="media/image93.png"/><Relationship Id="rId142" Type="http://schemas.openxmlformats.org/officeDocument/2006/relationships/image" Target="media/image94.png"/><Relationship Id="rId143" Type="http://schemas.openxmlformats.org/officeDocument/2006/relationships/image" Target="media/image95.png"/><Relationship Id="rId144" Type="http://schemas.openxmlformats.org/officeDocument/2006/relationships/image" Target="media/image96.png"/><Relationship Id="rId145"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149" Type="http://schemas.openxmlformats.org/officeDocument/2006/relationships/image" Target="media/image101.png"/><Relationship Id="rId150" Type="http://schemas.openxmlformats.org/officeDocument/2006/relationships/image" Target="media/image102.png"/><Relationship Id="rId151"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png"/><Relationship Id="rId154" Type="http://schemas.openxmlformats.org/officeDocument/2006/relationships/image" Target="media/image106.png"/><Relationship Id="rId155" Type="http://schemas.openxmlformats.org/officeDocument/2006/relationships/image" Target="media/image107.png"/><Relationship Id="rId156"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93"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196" Type="http://schemas.openxmlformats.org/officeDocument/2006/relationships/image" Target="media/image148.png"/><Relationship Id="rId197"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png"/><Relationship Id="rId200" Type="http://schemas.openxmlformats.org/officeDocument/2006/relationships/image" Target="media/image152.png"/><Relationship Id="rId201"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jpeg"/><Relationship Id="rId214" Type="http://schemas.openxmlformats.org/officeDocument/2006/relationships/image" Target="media/image166.png"/><Relationship Id="rId215" Type="http://schemas.openxmlformats.org/officeDocument/2006/relationships/image" Target="media/image167.jpe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jpeg"/><Relationship Id="rId222" Type="http://schemas.openxmlformats.org/officeDocument/2006/relationships/image" Target="media/image174.png"/><Relationship Id="rId223" Type="http://schemas.openxmlformats.org/officeDocument/2006/relationships/image" Target="media/image175.jpeg"/><Relationship Id="rId224"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jpeg"/><Relationship Id="rId227" Type="http://schemas.openxmlformats.org/officeDocument/2006/relationships/image" Target="media/image179.png"/><Relationship Id="rId228" Type="http://schemas.openxmlformats.org/officeDocument/2006/relationships/image" Target="media/image180.png"/><Relationship Id="rId229"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3" Type="http://schemas.openxmlformats.org/officeDocument/2006/relationships/image" Target="media/image185.png"/><Relationship Id="rId234" Type="http://schemas.openxmlformats.org/officeDocument/2006/relationships/image" Target="media/image186.png"/><Relationship Id="rId235" Type="http://schemas.openxmlformats.org/officeDocument/2006/relationships/image" Target="media/image187.png"/><Relationship Id="rId236" Type="http://schemas.openxmlformats.org/officeDocument/2006/relationships/image" Target="media/image188.jpeg"/><Relationship Id="rId237" Type="http://schemas.openxmlformats.org/officeDocument/2006/relationships/image" Target="media/image189.png"/><Relationship Id="rId238" Type="http://schemas.openxmlformats.org/officeDocument/2006/relationships/image" Target="media/image190.jpeg"/><Relationship Id="rId239" Type="http://schemas.openxmlformats.org/officeDocument/2006/relationships/image" Target="media/image191.png"/><Relationship Id="rId240" Type="http://schemas.openxmlformats.org/officeDocument/2006/relationships/image" Target="media/image192.png"/><Relationship Id="rId241" Type="http://schemas.openxmlformats.org/officeDocument/2006/relationships/image" Target="media/image193.png"/><Relationship Id="rId242" Type="http://schemas.openxmlformats.org/officeDocument/2006/relationships/image" Target="media/image194.png"/><Relationship Id="rId243" Type="http://schemas.openxmlformats.org/officeDocument/2006/relationships/image" Target="media/image195.png"/><Relationship Id="rId244" Type="http://schemas.openxmlformats.org/officeDocument/2006/relationships/image" Target="media/image196.png"/><Relationship Id="rId245" Type="http://schemas.openxmlformats.org/officeDocument/2006/relationships/image" Target="media/image197.png"/><Relationship Id="rId246" Type="http://schemas.openxmlformats.org/officeDocument/2006/relationships/image" Target="media/image198.png"/><Relationship Id="rId247" Type="http://schemas.openxmlformats.org/officeDocument/2006/relationships/image" Target="media/image199.png"/><Relationship Id="rId248" Type="http://schemas.openxmlformats.org/officeDocument/2006/relationships/image" Target="media/image200.png"/><Relationship Id="rId249" Type="http://schemas.openxmlformats.org/officeDocument/2006/relationships/image" Target="media/image201.png"/><Relationship Id="rId250" Type="http://schemas.openxmlformats.org/officeDocument/2006/relationships/image" Target="media/image202.png"/><Relationship Id="rId251" Type="http://schemas.openxmlformats.org/officeDocument/2006/relationships/image" Target="media/image203.png"/><Relationship Id="rId252" Type="http://schemas.openxmlformats.org/officeDocument/2006/relationships/image" Target="media/image204.png"/><Relationship Id="rId253" Type="http://schemas.openxmlformats.org/officeDocument/2006/relationships/image" Target="media/image205.png"/><Relationship Id="rId78" Type="http://schemas.openxmlformats.org/officeDocument/2006/relationships/hyperlink" Target="http://www.sec.gov/Archives/edgar/data/1140215/000149315220006033/ex3-8.htm" TargetMode="External"/><Relationship Id="rId79" Type="http://schemas.openxmlformats.org/officeDocument/2006/relationships/hyperlink" Target="https://www.sec.gov/Archives/edgar/data/1140215/000114420405013149/ex4-1.htm" TargetMode="External"/><Relationship Id="rId80" Type="http://schemas.openxmlformats.org/officeDocument/2006/relationships/hyperlink" Target="https://www.sec.gov/Archives/edgar/data/1140215/000114420405013149/ex4-2.htm" TargetMode="External"/><Relationship Id="rId81" Type="http://schemas.openxmlformats.org/officeDocument/2006/relationships/hyperlink" Target="http://www.sec.gov/Archives/edgar/data/1140215/000149315216010520/ex4-1.htm" TargetMode="External"/><Relationship Id="rId82" Type="http://schemas.openxmlformats.org/officeDocument/2006/relationships/hyperlink" Target="http://www.sec.gov/Archives/edgar/data/1140215/000149315216010520/ex4-2.htm" TargetMode="External"/><Relationship Id="rId83" Type="http://schemas.openxmlformats.org/officeDocument/2006/relationships/hyperlink" Target="http://www.sec.gov/Archives/edgar/data/1140215/000149315216009631/ex10-1.htm" TargetMode="External"/><Relationship Id="rId84" Type="http://schemas.openxmlformats.org/officeDocument/2006/relationships/hyperlink" Target="http://www.sec.gov/Archives/edgar/data/1140215/000149315217004312/ex4-1.htm" TargetMode="External"/><Relationship Id="rId85" Type="http://schemas.openxmlformats.org/officeDocument/2006/relationships/hyperlink" Target="http://www.sec.gov/Archives/edgar/data/1140215/000149315217004312/ex4-2.htm" TargetMode="External"/><Relationship Id="rId86" Type="http://schemas.openxmlformats.org/officeDocument/2006/relationships/hyperlink" Target="http://www.sec.gov/Archives/edgar/data/1140215/000149315217007818/ex4-1.htm" TargetMode="External"/><Relationship Id="rId87" Type="http://schemas.openxmlformats.org/officeDocument/2006/relationships/hyperlink" Target="http://www.sec.gov/Archives/edgar/data/1140215/000149315217007818/ex4-2.htm" TargetMode="External"/><Relationship Id="rId88" Type="http://schemas.openxmlformats.org/officeDocument/2006/relationships/hyperlink" Target="https://www.sec.gov/Archives/edgar/data/1140215/000149315221007217/ex4-10.htm" TargetMode="External"/><Relationship Id="rId89" Type="http://schemas.openxmlformats.org/officeDocument/2006/relationships/hyperlink" Target="https://www.sec.gov/Archives/edgar/data/1140215/000149315222007411/ex4-1.htm" TargetMode="External"/><Relationship Id="rId90" Type="http://schemas.openxmlformats.org/officeDocument/2006/relationships/hyperlink" Target="https://www.sec.gov/Archives/edgar/data/1140215/000149315222006788/ex4-1.htm" TargetMode="External"/><Relationship Id="rId91" Type="http://schemas.openxmlformats.org/officeDocument/2006/relationships/hyperlink" Target="https://www.sec.gov/Archives/edgar/data/1140215/000149315221007217/ex10-1.htm" TargetMode="External"/><Relationship Id="rId92" Type="http://schemas.openxmlformats.org/officeDocument/2006/relationships/hyperlink" Target="https://www.sec.gov/Archives/edgar/data/1140215/000149315221007217/ex10-2.htm" TargetMode="External"/><Relationship Id="rId93" Type="http://schemas.openxmlformats.org/officeDocument/2006/relationships/hyperlink" Target="https://www.sec.gov/Archives/edgar/data/1140215/000149315221007217/ex10-3.htm" TargetMode="External"/><Relationship Id="rId94" Type="http://schemas.openxmlformats.org/officeDocument/2006/relationships/hyperlink" Target="http://www.sec.gov/Archives/edgar/data/1140215/000149315216010520/ex10-3.htm" TargetMode="External"/><Relationship Id="rId95" Type="http://schemas.openxmlformats.org/officeDocument/2006/relationships/hyperlink" Target="http://www.sec.gov/Archives/edgar/data/1140215/000149315217004312/ex10-3.htm" TargetMode="External"/><Relationship Id="rId96" Type="http://schemas.openxmlformats.org/officeDocument/2006/relationships/hyperlink" Target="https://www.sec.gov/Archives/edgar/data/1140215/000149315218001119/ex4-2.htm" TargetMode="External"/><Relationship Id="rId97" Type="http://schemas.openxmlformats.org/officeDocument/2006/relationships/hyperlink" Target="http://www.sec.gov/Archives/edgar/data/1140215/000149315221001155/ex4-2.htm" TargetMode="External"/><Relationship Id="rId98" Type="http://schemas.openxmlformats.org/officeDocument/2006/relationships/hyperlink" Target="https://www.sec.gov/Archives/edgar/data/1140215/000149315221007217/ex10-8.htm" TargetMode="External"/><Relationship Id="rId99" Type="http://schemas.openxmlformats.org/officeDocument/2006/relationships/hyperlink" Target="http://www.sec.gov/Archives/edgar/data/1140215/000149315218015883/ex10-2.htm" TargetMode="External"/><Relationship Id="rId100" Type="http://schemas.openxmlformats.org/officeDocument/2006/relationships/hyperlink" Target="http://www.sec.gov/Archives/edgar/data/1140215/000149315218015883/ex10-3.htm" TargetMode="External"/><Relationship Id="rId101" Type="http://schemas.openxmlformats.org/officeDocument/2006/relationships/hyperlink" Target="http://www.sec.gov/Archives/edgar/data/1140215/000149315218015883/ex10-4.htm" TargetMode="External"/><Relationship Id="rId102" Type="http://schemas.openxmlformats.org/officeDocument/2006/relationships/hyperlink" Target="https://www.sec.gov/Archives/edgar/data/1140215/000149315221007217/ex10-12.htm" TargetMode="External"/><Relationship Id="rId103" Type="http://schemas.openxmlformats.org/officeDocument/2006/relationships/hyperlink" Target="http://www.sec.gov/Archives/edgar/data/1140215/000149315218015883/ex10-7.htm" TargetMode="External"/><Relationship Id="rId104" Type="http://schemas.openxmlformats.org/officeDocument/2006/relationships/hyperlink" Target="https://www.sec.gov/Archives/edgar/data/1140215/000149315219002075/ex10-1.htm" TargetMode="External"/><Relationship Id="rId105" Type="http://schemas.openxmlformats.org/officeDocument/2006/relationships/hyperlink" Target="https://www.sec.gov/Archives/edgar/data/1140215/000149315219002075/ex10-2.htm" TargetMode="External"/><Relationship Id="rId106" Type="http://schemas.openxmlformats.org/officeDocument/2006/relationships/hyperlink" Target="http://www.sec.gov/Archives/edgar/data/1140215/000149315219004430/ex10-31.htm" TargetMode="External"/><Relationship Id="rId107" Type="http://schemas.openxmlformats.org/officeDocument/2006/relationships/hyperlink" Target="http://www.sec.gov/Archives/edgar/data/1140215/000149315220004211/ex10-38.htm" TargetMode="External"/><Relationship Id="rId108" Type="http://schemas.openxmlformats.org/officeDocument/2006/relationships/hyperlink" Target="https://www.sec.gov/Archives/edgar/data/1140215/000149315220005418/ex10-1.htm" TargetMode="External"/><Relationship Id="rId109" Type="http://schemas.openxmlformats.org/officeDocument/2006/relationships/hyperlink" Target="https://www.sec.gov/Archives/edgar/data/1140215/000149315220015105/ex4-1.htm" TargetMode="External"/><Relationship Id="rId110" Type="http://schemas.openxmlformats.org/officeDocument/2006/relationships/hyperlink" Target="http://www.sec.gov/Archives/edgar/data/1140215/000149315220015105/ex10-1.htm" TargetMode="External"/><Relationship Id="rId111" Type="http://schemas.openxmlformats.org/officeDocument/2006/relationships/hyperlink" Target="http://www.sec.gov/Archives/edgar/data/1140215/000149315220007547/ex10-1.htm" TargetMode="External"/><Relationship Id="rId112" Type="http://schemas.openxmlformats.org/officeDocument/2006/relationships/hyperlink" Target="http://www.sec.gov/Archives/edgar/data/1140215/000149315219017032/ex10-3.htm" TargetMode="External"/><Relationship Id="rId113" Type="http://schemas.openxmlformats.org/officeDocument/2006/relationships/hyperlink" Target="http://www.sec.gov/Archives/edgar/data/1140215/000149315219017032/ex10-4.htm" TargetMode="External"/><Relationship Id="rId114" Type="http://schemas.openxmlformats.org/officeDocument/2006/relationships/hyperlink" Target="http://www.sec.gov/Archives/edgar/data/1140215/000149315218015883/ex10-1.htm" TargetMode="External"/><Relationship Id="rId115" Type="http://schemas.openxmlformats.org/officeDocument/2006/relationships/hyperlink" Target="https://www.sec.gov/Archives/edgar/data/1140215/000149315222006788/ex10-1.htm" TargetMode="External"/><Relationship Id="rId116" Type="http://schemas.openxmlformats.org/officeDocument/2006/relationships/hyperlink" Target="https://www.sec.gov/Archives/edgar/data/1140215/000149315222006788/ex10-2.htm" TargetMode="External"/><Relationship Id="rId117" Type="http://schemas.openxmlformats.org/officeDocument/2006/relationships/hyperlink" Target="https://www.sec.gov/Archives/edgar/data/1140215/000114420406025563/v045243_ex14-1.htm" TargetMode="External"/><Relationship Id="rId118" Type="http://schemas.openxmlformats.org/officeDocument/2006/relationships/hyperlink" Target="https://www.sec.gov/Archives/edgar/data/1140215/000149315221007217/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2022-04-15T16:35:58Z</dcterms:created>
  <dcterms:modified xsi:type="dcterms:W3CDTF">2022-04-15T16:35:58Z</dcterms:modified>
</cp:coreProperties>
</file>