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422910</wp:posOffset>
            </wp:positionH>
            <wp:positionV relativeFrom="page">
              <wp:posOffset>476250</wp:posOffset>
            </wp:positionV>
            <wp:extent cx="67075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810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529590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114935</wp:posOffset>
            </wp:positionV>
            <wp:extent cx="16770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135255</wp:posOffset>
            </wp:positionV>
            <wp:extent cx="16770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121285</wp:posOffset>
            </wp:positionV>
            <wp:extent cx="16770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REED’S,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135255</wp:posOffset>
            </wp:positionV>
            <wp:extent cx="16770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94" w:lineRule="exact"/>
        <w:rPr>
          <w:sz w:val="24"/>
          <w:szCs w:val="24"/>
          <w:color w:val="auto"/>
        </w:rPr>
      </w:pPr>
    </w:p>
    <w:tbl>
      <w:tblPr>
        <w:tblLayout w:type="fixed"/>
        <w:tblInd w:w="360" w:type="dxa"/>
        <w:tblCellMar>
          <w:top w:w="0" w:type="dxa"/>
          <w:left w:w="0" w:type="dxa"/>
          <w:bottom w:w="0" w:type="dxa"/>
          <w:right w:w="0" w:type="dxa"/>
        </w:tblCellMar>
      </w:tblPr>
      <w:tr>
        <w:trPr>
          <w:trHeight w:val="205"/>
        </w:trPr>
        <w:tc>
          <w:tcPr>
            <w:tcW w:w="2920" w:type="dxa"/>
            <w:vAlign w:val="bottom"/>
          </w:tcPr>
          <w:p>
            <w:pPr>
              <w:spacing w:after="0"/>
              <w:rPr>
                <w:sz w:val="17"/>
                <w:szCs w:val="17"/>
                <w:color w:val="auto"/>
              </w:rPr>
            </w:pPr>
          </w:p>
        </w:tc>
        <w:tc>
          <w:tcPr>
            <w:tcW w:w="4400" w:type="dxa"/>
            <w:vAlign w:val="bottom"/>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6"/>
              </w:rPr>
              <w:t>(Exact name of Registrant as Specified in Its Charter)</w:t>
            </w:r>
          </w:p>
        </w:tc>
        <w:tc>
          <w:tcPr>
            <w:tcW w:w="1820" w:type="dxa"/>
            <w:vAlign w:val="bottom"/>
          </w:tcPr>
          <w:p>
            <w:pPr>
              <w:spacing w:after="0"/>
              <w:rPr>
                <w:sz w:val="17"/>
                <w:szCs w:val="17"/>
                <w:color w:val="auto"/>
              </w:rPr>
            </w:pPr>
          </w:p>
        </w:tc>
      </w:tr>
      <w:tr>
        <w:trPr>
          <w:trHeight w:val="335"/>
        </w:trPr>
        <w:tc>
          <w:tcPr>
            <w:tcW w:w="292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0" w:type="dxa"/>
            <w:vAlign w:val="bottom"/>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8"/>
              </w:rPr>
              <w:t>001-32501</w:t>
            </w:r>
          </w:p>
        </w:tc>
        <w:tc>
          <w:tcPr>
            <w:tcW w:w="18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35-2177773</w:t>
            </w:r>
          </w:p>
        </w:tc>
      </w:tr>
      <w:tr>
        <w:trPr>
          <w:trHeight w:val="180"/>
        </w:trPr>
        <w:tc>
          <w:tcPr>
            <w:tcW w:w="292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(State or Other Jurisdiction</w:t>
            </w:r>
          </w:p>
        </w:tc>
        <w:tc>
          <w:tcPr>
            <w:tcW w:w="4400" w:type="dxa"/>
            <w:vAlign w:val="bottom"/>
          </w:tcPr>
          <w:p>
            <w:pPr>
              <w:jc w:val="center"/>
              <w:ind w:right="28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(Commission</w:t>
            </w:r>
          </w:p>
        </w:tc>
        <w:tc>
          <w:tcPr>
            <w:tcW w:w="1820" w:type="dxa"/>
            <w:vAlign w:val="bottom"/>
          </w:tcPr>
          <w:p>
            <w:pPr>
              <w:jc w:val="center"/>
              <w:ind w:left="5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05"/>
        </w:trPr>
        <w:tc>
          <w:tcPr>
            <w:tcW w:w="292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of Incorporation)</w:t>
            </w:r>
          </w:p>
        </w:tc>
        <w:tc>
          <w:tcPr>
            <w:tcW w:w="4400" w:type="dxa"/>
            <w:vAlign w:val="bottom"/>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7"/>
              </w:rPr>
              <w:t>File Number)</w:t>
            </w:r>
          </w:p>
        </w:tc>
        <w:tc>
          <w:tcPr>
            <w:tcW w:w="1820" w:type="dxa"/>
            <w:vAlign w:val="bottom"/>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7"/>
              </w:rPr>
              <w:t>Identification No.)</w:t>
            </w:r>
          </w:p>
        </w:tc>
      </w:tr>
      <w:tr>
        <w:trPr>
          <w:trHeight w:val="335"/>
        </w:trPr>
        <w:tc>
          <w:tcPr>
            <w:tcW w:w="292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8"/>
              </w:rPr>
              <w:t>501 Merritt 7 PH</w:t>
            </w:r>
          </w:p>
        </w:tc>
        <w:tc>
          <w:tcPr>
            <w:tcW w:w="44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80"/>
        </w:trPr>
        <w:tc>
          <w:tcPr>
            <w:tcW w:w="292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Norwalk, Connecticut</w:t>
            </w:r>
          </w:p>
        </w:tc>
        <w:tc>
          <w:tcPr>
            <w:tcW w:w="4400" w:type="dxa"/>
            <w:vAlign w:val="bottom"/>
          </w:tcPr>
          <w:p>
            <w:pPr>
              <w:spacing w:after="0"/>
              <w:rPr>
                <w:sz w:val="15"/>
                <w:szCs w:val="15"/>
                <w:color w:val="auto"/>
              </w:rPr>
            </w:pPr>
          </w:p>
        </w:tc>
        <w:tc>
          <w:tcPr>
            <w:tcW w:w="182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b w:val="1"/>
                <w:bCs w:val="1"/>
                <w:color w:val="auto"/>
              </w:rPr>
              <w:t>06851</w:t>
            </w:r>
          </w:p>
        </w:tc>
      </w:tr>
      <w:tr>
        <w:trPr>
          <w:trHeight w:val="205"/>
        </w:trPr>
        <w:tc>
          <w:tcPr>
            <w:tcW w:w="292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(Address of Principal Executive Offices)</w:t>
            </w:r>
          </w:p>
        </w:tc>
        <w:tc>
          <w:tcPr>
            <w:tcW w:w="4400" w:type="dxa"/>
            <w:vAlign w:val="bottom"/>
          </w:tcPr>
          <w:p>
            <w:pPr>
              <w:spacing w:after="0"/>
              <w:rPr>
                <w:sz w:val="17"/>
                <w:szCs w:val="17"/>
                <w:color w:val="auto"/>
              </w:rPr>
            </w:pPr>
          </w:p>
        </w:tc>
        <w:tc>
          <w:tcPr>
            <w:tcW w:w="1820" w:type="dxa"/>
            <w:vAlign w:val="bottom"/>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(800) 997-3337</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76" w:lineRule="exact"/>
        <w:rPr>
          <w:rFonts w:ascii="MS PGothic" w:cs="MS PGothic" w:eastAsia="MS PGothic" w:hAnsi="MS PGothic"/>
          <w:sz w:val="16"/>
          <w:szCs w:val="16"/>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76" w:lineRule="exact"/>
        <w:rPr>
          <w:rFonts w:ascii="MS PGothic" w:cs="MS PGothic" w:eastAsia="MS PGothic" w:hAnsi="MS PGothic"/>
          <w:sz w:val="16"/>
          <w:szCs w:val="16"/>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76" w:lineRule="exact"/>
        <w:rPr>
          <w:rFonts w:ascii="MS PGothic" w:cs="MS PGothic" w:eastAsia="MS PGothic" w:hAnsi="MS PGothic"/>
          <w:sz w:val="16"/>
          <w:szCs w:val="16"/>
          <w:color w:val="auto"/>
        </w:rPr>
      </w:pPr>
    </w:p>
    <w:p>
      <w:pPr>
        <w:ind w:right="3320" w:firstLine="6"/>
        <w:spacing w:after="0" w:line="468" w:lineRule="auto"/>
        <w:tabs>
          <w:tab w:leader="none" w:pos="28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2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200" w:type="dxa"/>
            <w:vAlign w:val="bottom"/>
          </w:tcPr>
          <w:p>
            <w:pPr>
              <w:spacing w:after="0"/>
              <w:rPr>
                <w:sz w:val="16"/>
                <w:szCs w:val="16"/>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195"/>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Common stock, $0.0001 par value per share</w:t>
            </w:r>
          </w:p>
        </w:tc>
        <w:tc>
          <w:tcPr>
            <w:tcW w:w="2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REED</w:t>
            </w:r>
          </w:p>
        </w:tc>
        <w:tc>
          <w:tcPr>
            <w:tcW w:w="20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NYSE American LLC</w:t>
            </w:r>
          </w:p>
        </w:tc>
      </w:tr>
    </w:tbl>
    <w:p>
      <w:pPr>
        <w:spacing w:after="0" w:line="144" w:lineRule="exact"/>
        <w:rPr>
          <w:sz w:val="24"/>
          <w:szCs w:val="24"/>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9"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6"/>
          <w:szCs w:val="16"/>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right="20"/>
        <w:spacing w:after="0" w:line="20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67075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114935</wp:posOffset>
            </wp:positionV>
            <wp:extent cx="670750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381635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5.03.</w:t>
      </w:r>
      <w:r>
        <w:rPr>
          <w:sz w:val="20"/>
          <w:szCs w:val="20"/>
          <w:color w:val="auto"/>
        </w:rPr>
        <w:tab/>
      </w:r>
      <w:r>
        <w:rPr>
          <w:rFonts w:ascii="Times New Roman" w:cs="Times New Roman" w:eastAsia="Times New Roman" w:hAnsi="Times New Roman"/>
          <w:sz w:val="14"/>
          <w:szCs w:val="14"/>
          <w:b w:val="1"/>
          <w:bCs w:val="1"/>
          <w:color w:val="auto"/>
        </w:rPr>
        <w:t>Amendments to Articles of Incorporation or Bylaws; Change in Fiscal Year.</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Amended Bylaws</w:t>
      </w:r>
    </w:p>
    <w:p>
      <w:pPr>
        <w:spacing w:after="0" w:line="178" w:lineRule="exact"/>
        <w:rPr>
          <w:sz w:val="24"/>
          <w:szCs w:val="24"/>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On December 5, 2025, upon the listing of Reed’s, Inc.’s (the “Company’s”) common stock, par value $0.0001 per share (“Common Stock”), on the NYSE American LLC (the “NYSE American”), the Company’s Second Amended and Restated Bylaws (the “Bylaws”) became effective. Among other things, the amendments effected by the Bylaws:</w:t>
      </w:r>
    </w:p>
    <w:p>
      <w:pPr>
        <w:spacing w:after="0" w:line="152" w:lineRule="exact"/>
        <w:rPr>
          <w:sz w:val="24"/>
          <w:szCs w:val="24"/>
          <w:color w:val="auto"/>
        </w:rPr>
      </w:pPr>
    </w:p>
    <w:p>
      <w:pPr>
        <w:jc w:val="both"/>
        <w:ind w:left="580" w:hanging="286"/>
        <w:spacing w:after="0" w:line="238" w:lineRule="auto"/>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the procedural mechanics and disclosure requirements in connection with stockholder nominations of directors and the submissions of proposals regarding other business at stockholder meetings, including by (i) requiring any stockholder submitting a nomination notice to make a representation as to whether such shareholder intends to solicit proxies in support of director nominees other than the Company’s nominees in accordance with Rule 14a-19 under the Securities Exchange Act of 1934, as amended (the “Exchange Act”), and to provide reasonable evidence that certain requirements of such rule have been satisfied and (ii) the nomination of each proposed director nominee other than the Company’s nominees be disregarded (notwithstanding that the nominee is included as a nominee in the Company’s proxy statement, notice of meeting or other proxy materials for any annual meeting (or any supplement thereto) and notwithstanding that proxies or votes in respect of the election of such proposed nominees may have been received by the Company (which proxies and votes shall be disregarded)) if, after a stockholder provides notice pursuant to Rule 14a-19(b) under the Exchange Act, such stockholder subsequently fails to comply with the requirements of Rule 14a-19 under the Exchange Act;</w:t>
      </w:r>
    </w:p>
    <w:p>
      <w:pPr>
        <w:sectPr>
          <w:pgSz w:w="11900" w:h="16840" w:orient="portrait"/>
          <w:cols w:equalWidth="0" w:num="1">
            <w:col w:w="10580"/>
          </w:cols>
          <w:pgMar w:left="660" w:top="995" w:right="660" w:bottom="297" w:gutter="0" w:footer="0" w:header="0"/>
        </w:sectPr>
      </w:pPr>
    </w:p>
    <w:bookmarkStart w:id="1" w:name="page2"/>
    <w:bookmarkEnd w:id="1"/>
    <w:p>
      <w:pPr>
        <w:ind w:left="580" w:hanging="28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expressly permit stockholders and proxyholders who are not physically present at a meeting to attend such a meeting by means of remote communication;</w:t>
      </w:r>
    </w:p>
    <w:p>
      <w:pPr>
        <w:spacing w:after="0" w:line="29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the former requirement that the list of stockholders entitled to vote at a stockholder meeting also be made available during the actual meeting;</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adjournment of stockholder meetings relying on remote communication due to a technical failure;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the provisions related to indemnification of directors and officers of the Company;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various other updates, including technical, modernizing and clarifying changes.</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foregoing description of the changes contained in the Bylaws does not purport to be complete and is qualified in its entirety by reference to the full text of the Bylaws, a copy of which is incorporated by reference herein as Exhibit 3.1.</w:t>
      </w:r>
    </w:p>
    <w:p>
      <w:pPr>
        <w:spacing w:after="0" w:line="14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Underwritten Public Offering</w:t>
      </w:r>
    </w:p>
    <w:p>
      <w:pPr>
        <w:spacing w:after="0" w:line="17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On December 4, 2025, the Company entered into an underwriting agreement (the “Underwriting Agreement”) with A.G.P./Alliance Global Partners, as representative of the underwriters (the “Underwriters”), pursuant to which the Company agreed to sell and issue to the Underwriters, in a public offering (the “Offering”), an aggregate of</w:t>
      </w:r>
    </w:p>
    <w:p>
      <w:pPr>
        <w:spacing w:after="0" w:line="1" w:lineRule="exact"/>
        <w:rPr>
          <w:sz w:val="20"/>
          <w:szCs w:val="20"/>
          <w:color w:val="auto"/>
        </w:rPr>
      </w:pPr>
    </w:p>
    <w:p>
      <w:pPr>
        <w:jc w:val="both"/>
        <w:ind w:firstLine="6"/>
        <w:spacing w:after="0" w:line="236" w:lineRule="auto"/>
        <w:tabs>
          <w:tab w:leader="none" w:pos="18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2,500,000 shares of Common Stock and (ii) warrants to purchase up to 2,500,000 shares of Common Stock. The Offering closed on December 8, 2025. Each share of Common Stock and accompanying warrant to purchase one share of Common Stock were sold together at a combined public offering price of $4.00 less underwriting discounts and commissions. Additionally, the Company granted the Underwriters a 45-day option (the “Overallotment Option”) to purchase up to an additional 375,000 shares of Common Stock and/or warrants at the public offering price, less underwriting discounts and commissions.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December 5, 2025, the Underwriters notified the Company of their determination to partially exercise the Overallotment Option for warrants to purchase an aggregate of 375,000 shares of Common Stock. All of the securities in the Offering were sold by the Company.</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net proceeds to the Company from the Offering, including the partial exercise of the Overallotment Option, were approximately $9.0 million, after deducting underwriting discounts and commissions and certain offering expenses. The Company currently intends to use the net proceeds from the Offering, together with its existing cash and cash equivalents, to fund growth initiatives, working capital and other general corporate purposes, which may include repayment of debt.</w:t>
      </w:r>
    </w:p>
    <w:p>
      <w:pPr>
        <w:spacing w:after="0" w:line="15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Each warrant issued in the Offering has an exercise price per share of Common Stock equal to $4.50, subject to certain adjustments. The warrants are immediately exercisable upon issuance and will expire on December 8, 2030 (the “Expiration Date”), provided that the holder will be prohibited, subject to certain exceptions, from exercising the warrant for shares of the Company’s Common Stock to the extent that immediately after giving effect to such exercise, the holder, together with its affiliates and other attribution parties, would own more than 4.99% or 9.99% (as elected by the holder) of the total number of shares of the Company’s Common Stock then issued and outstanding, which percentage may be changed at the holder’s election to a higher or lower percentage not in excess of 9.99% upon 61 days’ prior notice from the holder to the Company subject to the terms of the warrants. If, and only if, there is no effective registration statement at the time of exercise, the warrants may be exercised cashlessly.</w:t>
      </w:r>
    </w:p>
    <w:p>
      <w:pPr>
        <w:spacing w:after="0" w:line="15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D&amp;D Source of Life Holding Ltd., the controlling stockholder of the Company, and its affiliated entities purchased approximately $5.0 million of securities issued in the Offering at the public offering price.</w:t>
      </w:r>
    </w:p>
    <w:p>
      <w:pPr>
        <w:spacing w:after="0" w:line="14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Offering was made pursuant to the Company’s registration statement on Form S-1 (File No. 333-291443) that was declared effective by the Securities and Exchange Commission on December 4, 2025 and a prospectus dated December 4, 2025.</w:t>
      </w:r>
    </w:p>
    <w:p>
      <w:pPr>
        <w:spacing w:after="0" w:line="14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foregoing descriptions of the terms of the Underwriting Agreement and the warrants do not purport to be complete and are each qualified in their entirety by reference to the Underwriting Agreement and Form of Warrant to Purchase Common Stock, which are attached as Exhibit 1.1 and Exhibit 4.1 hereto, respectively, and incorporated by reference herein. A copy of the legal opinion of Cooley LLP relating to the validity of the issuance and sale of the securities in the Offering is attached as Exhibit 5.1 hereto.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Uplisting to NYSE American Stock Exchange</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In connection with the Offering, the Company’s Common Stock was approved for listing and began trading on the NYSE American on December 5, 2025. Upon effectiveness of the listing on the NYSE American, trading of the Common Stock on the OTC Markets’ OTCQX Best Market terminated.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9.01</w:t>
            </w:r>
          </w:p>
        </w:tc>
        <w:tc>
          <w:tcPr>
            <w:tcW w:w="100" w:type="dxa"/>
            <w:vAlign w:val="bottom"/>
          </w:tcPr>
          <w:p>
            <w:pPr>
              <w:spacing w:after="0"/>
              <w:rPr>
                <w:sz w:val="17"/>
                <w:szCs w:val="17"/>
                <w:color w:val="auto"/>
              </w:rPr>
            </w:pPr>
          </w:p>
        </w:tc>
        <w:tc>
          <w:tcPr>
            <w:tcW w:w="95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6"/>
                <w:szCs w:val="16"/>
                <w:color w:val="auto"/>
              </w:rPr>
            </w:pPr>
          </w:p>
        </w:tc>
        <w:tc>
          <w:tcPr>
            <w:tcW w:w="95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Exhibit Title or Description</w:t>
            </w:r>
          </w:p>
        </w:tc>
        <w:tc>
          <w:tcPr>
            <w:tcW w:w="0" w:type="dxa"/>
            <w:vAlign w:val="bottom"/>
          </w:tcPr>
          <w:p>
            <w:pPr>
              <w:spacing w:after="0"/>
              <w:rPr>
                <w:sz w:val="1"/>
                <w:szCs w:val="1"/>
                <w:color w:val="auto"/>
              </w:rPr>
            </w:pPr>
          </w:p>
        </w:tc>
      </w:tr>
      <w:tr>
        <w:trPr>
          <w:trHeight w:val="32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958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Underwriting Agreement, dated December 4, 2025, by and between Reed’s, Inc. and A.G.P./Alliance Global Partners as representative of the</w:t>
              </w:r>
            </w:hyperlink>
          </w:p>
        </w:tc>
        <w:tc>
          <w:tcPr>
            <w:tcW w:w="0" w:type="dxa"/>
            <w:vAlign w:val="bottom"/>
          </w:tcPr>
          <w:p>
            <w:pPr>
              <w:spacing w:after="0"/>
              <w:rPr>
                <w:sz w:val="1"/>
                <w:szCs w:val="1"/>
                <w:color w:val="auto"/>
              </w:rPr>
            </w:pPr>
          </w:p>
        </w:tc>
      </w:tr>
      <w:tr>
        <w:trPr>
          <w:trHeight w:val="160"/>
        </w:trPr>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3"/>
                <w:szCs w:val="13"/>
                <w:color w:val="auto"/>
              </w:rPr>
            </w:pPr>
          </w:p>
        </w:tc>
        <w:tc>
          <w:tcPr>
            <w:tcW w:w="86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EE"/>
                <w:w w:val="94"/>
              </w:rPr>
            </w:pPr>
            <w:hyperlink w:anchor="page1">
              <w:r>
                <w:rPr>
                  <w:rFonts w:ascii="Times New Roman" w:cs="Times New Roman" w:eastAsia="Times New Roman" w:hAnsi="Times New Roman"/>
                  <w:sz w:val="16"/>
                  <w:szCs w:val="16"/>
                  <w:color w:val="0000EE"/>
                  <w:w w:val="94"/>
                </w:rPr>
                <w:t>Underwriters.</w:t>
              </w:r>
            </w:hyperlink>
          </w:p>
        </w:tc>
        <w:tc>
          <w:tcPr>
            <w:tcW w:w="87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580" w:type="dxa"/>
            <w:vAlign w:val="bottom"/>
            <w:gridSpan w:val="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Second Amended and Restated Bylaws of Reed’s, Inc.</w:t>
              </w:r>
            </w:hyperlink>
          </w:p>
        </w:tc>
        <w:tc>
          <w:tcPr>
            <w:tcW w:w="0" w:type="dxa"/>
            <w:vAlign w:val="bottom"/>
          </w:tcPr>
          <w:p>
            <w:pPr>
              <w:spacing w:after="0"/>
              <w:rPr>
                <w:sz w:val="1"/>
                <w:szCs w:val="1"/>
                <w:color w:val="auto"/>
              </w:rPr>
            </w:pPr>
          </w:p>
        </w:tc>
      </w:tr>
      <w:tr>
        <w:trPr>
          <w:trHeight w:val="160"/>
        </w:trPr>
        <w:tc>
          <w:tcPr>
            <w:tcW w:w="8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3"/>
                <w:szCs w:val="13"/>
                <w:color w:val="auto"/>
              </w:rPr>
            </w:pPr>
          </w:p>
        </w:tc>
        <w:tc>
          <w:tcPr>
            <w:tcW w:w="340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Warrant to Purchase Common Stock dated</w:t>
              </w:r>
            </w:hyperlink>
          </w:p>
        </w:tc>
        <w:tc>
          <w:tcPr>
            <w:tcW w:w="6180" w:type="dxa"/>
            <w:vAlign w:val="bottom"/>
            <w:gridSpan w:val="2"/>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December 8, 2025</w:t>
              </w:r>
            </w:hyperlink>
            <w:r>
              <w:rPr>
                <w:rFonts w:ascii="Times New Roman" w:cs="Times New Roman" w:eastAsia="Times New Roman" w:hAnsi="Times New Roman"/>
                <w:sz w:val="16"/>
                <w:szCs w:val="16"/>
                <w:color w:val="0000EE"/>
              </w:rPr>
              <w:t>.</w:t>
            </w:r>
          </w:p>
        </w:tc>
        <w:tc>
          <w:tcPr>
            <w:tcW w:w="0" w:type="dxa"/>
            <w:vAlign w:val="bottom"/>
          </w:tcPr>
          <w:p>
            <w:pPr>
              <w:spacing w:after="0"/>
              <w:rPr>
                <w:sz w:val="1"/>
                <w:szCs w:val="1"/>
                <w:color w:val="auto"/>
              </w:rPr>
            </w:pPr>
          </w:p>
        </w:tc>
      </w:tr>
      <w:tr>
        <w:trPr>
          <w:trHeight w:val="160"/>
        </w:trPr>
        <w:tc>
          <w:tcPr>
            <w:tcW w:w="8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3"/>
                <w:szCs w:val="13"/>
                <w:color w:val="auto"/>
              </w:rPr>
            </w:pPr>
          </w:p>
        </w:tc>
        <w:tc>
          <w:tcPr>
            <w:tcW w:w="440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Opinion of Cooley LLP.</w:t>
              </w:r>
            </w:hyperlink>
          </w:p>
        </w:tc>
        <w:tc>
          <w:tcPr>
            <w:tcW w:w="5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3"/>
                <w:szCs w:val="13"/>
                <w:color w:val="auto"/>
              </w:rPr>
            </w:pPr>
          </w:p>
        </w:tc>
        <w:tc>
          <w:tcPr>
            <w:tcW w:w="1520" w:type="dxa"/>
            <w:vAlign w:val="bottom"/>
            <w:tcBorders>
              <w:top w:val="single" w:sz="8" w:color="0000EE"/>
            </w:tcBorders>
            <w:gridSpan w:val="2"/>
          </w:tcPr>
          <w:p>
            <w:pPr>
              <w:spacing w:after="0" w:line="160"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Consent of Cooley LLP</w:t>
              </w:r>
            </w:hyperlink>
          </w:p>
        </w:tc>
        <w:tc>
          <w:tcPr>
            <w:tcW w:w="8060" w:type="dxa"/>
            <w:vAlign w:val="bottom"/>
            <w:gridSpan w:val="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(included in Exhibit 5.1)</w:t>
              </w:r>
            </w:hyperlink>
            <w:r>
              <w:rPr>
                <w:rFonts w:ascii="Times New Roman" w:cs="Times New Roman" w:eastAsia="Times New Roman" w:hAnsi="Times New Roman"/>
                <w:sz w:val="16"/>
                <w:szCs w:val="16"/>
                <w:color w:val="0000EE"/>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40" w:right="2640" w:hanging="5234"/>
        <w:spacing w:after="0" w:line="634" w:lineRule="auto"/>
        <w:tabs>
          <w:tab w:leader="none" w:pos="97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XBRL tags are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67075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w:t>
      </w:r>
    </w:p>
    <w:p>
      <w:pPr>
        <w:sectPr>
          <w:pgSz w:w="11900" w:h="16840" w:orient="portrait"/>
          <w:cols w:equalWidth="0" w:num="1">
            <w:col w:w="10580"/>
          </w:cols>
          <w:pgMar w:left="660" w:top="557" w:right="660" w:bottom="38"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t>thereunto duly authorized.</w:t>
      </w:r>
    </w:p>
    <w:p>
      <w:pPr>
        <w:spacing w:after="0" w:line="1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Reed’s, Inc.</w:t>
      </w:r>
    </w:p>
    <w:p>
      <w:pPr>
        <w:spacing w:after="0" w:line="176"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6"/>
          <w:szCs w:val="16"/>
          <w:color w:val="auto"/>
        </w:rPr>
        <w:t>Date: December 8, 2025</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Douglas W. McCurdy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6985</wp:posOffset>
            </wp:positionV>
            <wp:extent cx="31476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Douglas W. McCurdy</w:t>
      </w:r>
    </w:p>
    <w:p>
      <w:pPr>
        <w:ind w:left="5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9800"/>
          </w:cols>
          <w:pgMar w:left="660" w:top="557" w:right="1440" w:bottom="1440" w:gutter="0" w:footer="0" w:header="0"/>
        </w:sectPr>
      </w:pPr>
    </w:p>
    <w:bookmarkStart w:id="3" w:name="page4"/>
    <w:bookmarkEnd w:id="3"/>
    <w:p>
      <w:pPr>
        <w:ind w:left="9840"/>
        <w:spacing w:after="0"/>
        <w:rPr>
          <w:sz w:val="20"/>
          <w:szCs w:val="20"/>
          <w:color w:val="auto"/>
        </w:rPr>
      </w:pPr>
      <w:r>
        <w:rPr>
          <w:rFonts w:ascii="Times New Roman" w:cs="Times New Roman" w:eastAsia="Times New Roman" w:hAnsi="Times New Roman"/>
          <w:sz w:val="16"/>
          <w:szCs w:val="16"/>
          <w:b w:val="1"/>
          <w:bCs w:val="1"/>
          <w:color w:val="auto"/>
        </w:rPr>
        <w:t>Exhibit 1.1</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UNDERWRITING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4,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A.G.P./Alliance Global Partners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590 Madison Avenue</w:t>
      </w:r>
    </w:p>
    <w:p>
      <w:pPr>
        <w:spacing w:after="0" w:line="234" w:lineRule="auto"/>
        <w:rPr>
          <w:sz w:val="20"/>
          <w:szCs w:val="20"/>
          <w:color w:val="auto"/>
        </w:rPr>
      </w:pPr>
      <w:r>
        <w:rPr>
          <w:rFonts w:ascii="Times New Roman" w:cs="Times New Roman" w:eastAsia="Times New Roman" w:hAnsi="Times New Roman"/>
          <w:sz w:val="16"/>
          <w:szCs w:val="16"/>
          <w:color w:val="auto"/>
        </w:rPr>
        <w:t>28th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Representative of the Underwriters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named on </w:t>
      </w:r>
      <w:r>
        <w:rPr>
          <w:rFonts w:ascii="Times New Roman" w:cs="Times New Roman" w:eastAsia="Times New Roman" w:hAnsi="Times New Roman"/>
          <w:sz w:val="16"/>
          <w:szCs w:val="16"/>
          <w:i w:val="1"/>
          <w:iCs w:val="1"/>
          <w:u w:val="single" w:color="auto"/>
          <w:color w:val="auto"/>
        </w:rPr>
        <w:t>Schedule 1</w:t>
      </w:r>
      <w:r>
        <w:rPr>
          <w:rFonts w:ascii="Times New Roman" w:cs="Times New Roman" w:eastAsia="Times New Roman" w:hAnsi="Times New Roman"/>
          <w:sz w:val="16"/>
          <w:szCs w:val="16"/>
          <w:i w:val="1"/>
          <w:iCs w:val="1"/>
          <w:color w:val="auto"/>
        </w:rPr>
        <w:t xml:space="preserve">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76"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The undersigned, Reed’s, Inc., a corporation incorporated under the law of the State of Delaware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hereby confirms its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xml:space="preserve">”) with the underwriter or underwriters, as the case may be, named in Schedule 1 hereto (each, an </w:t>
      </w:r>
      <w:r>
        <w:rPr>
          <w:rFonts w:ascii="Times New Roman" w:cs="Times New Roman" w:eastAsia="Times New Roman" w:hAnsi="Times New Roman"/>
          <w:sz w:val="16"/>
          <w:szCs w:val="16"/>
          <w:u w:val="single" w:color="auto"/>
          <w:color w:val="auto"/>
        </w:rPr>
        <w:t>“Underwriter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Underwriters</w:t>
      </w:r>
      <w:r>
        <w:rPr>
          <w:rFonts w:ascii="Times New Roman" w:cs="Times New Roman" w:eastAsia="Times New Roman" w:hAnsi="Times New Roman"/>
          <w:sz w:val="16"/>
          <w:szCs w:val="16"/>
          <w:color w:val="auto"/>
        </w:rPr>
        <w:t>”), for whom A.G.P./Alliance Global Partners is acting as representative (in such capacity, the “</w:t>
      </w:r>
      <w:r>
        <w:rPr>
          <w:rFonts w:ascii="Times New Roman" w:cs="Times New Roman" w:eastAsia="Times New Roman" w:hAnsi="Times New Roman"/>
          <w:sz w:val="16"/>
          <w:szCs w:val="16"/>
          <w:u w:val="single" w:color="auto"/>
          <w:color w:val="auto"/>
        </w:rPr>
        <w:t>Representative</w:t>
      </w:r>
      <w:r>
        <w:rPr>
          <w:rFonts w:ascii="Times New Roman" w:cs="Times New Roman" w:eastAsia="Times New Roman" w:hAnsi="Times New Roman"/>
          <w:sz w:val="16"/>
          <w:szCs w:val="16"/>
          <w:color w:val="auto"/>
        </w:rPr>
        <w:t>”), as follows:</w:t>
      </w:r>
    </w:p>
    <w:p>
      <w:pPr>
        <w:spacing w:after="0" w:line="152" w:lineRule="exact"/>
        <w:rPr>
          <w:sz w:val="20"/>
          <w:szCs w:val="20"/>
          <w:color w:val="auto"/>
        </w:rPr>
      </w:pPr>
    </w:p>
    <w:p>
      <w:pPr>
        <w:ind w:left="160" w:hanging="154"/>
        <w:spacing w:after="0"/>
        <w:tabs>
          <w:tab w:leader="none" w:pos="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and Sale of Shares.</w:t>
      </w:r>
    </w:p>
    <w:p>
      <w:pPr>
        <w:spacing w:after="0" w:line="176" w:lineRule="exact"/>
        <w:rPr>
          <w:rFonts w:ascii="Times New Roman" w:cs="Times New Roman" w:eastAsia="Times New Roman" w:hAnsi="Times New Roman"/>
          <w:sz w:val="16"/>
          <w:szCs w:val="16"/>
          <w:color w:val="auto"/>
        </w:rPr>
      </w:pPr>
    </w:p>
    <w:p>
      <w:pPr>
        <w:ind w:left="780" w:hanging="198"/>
        <w:spacing w:after="0"/>
        <w:tabs>
          <w:tab w:leader="none" w:pos="78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left="1340" w:hanging="182"/>
        <w:spacing w:after="0"/>
        <w:tabs>
          <w:tab w:leader="none" w:pos="134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and Purchase of Securities.</w:t>
      </w:r>
    </w:p>
    <w:p>
      <w:pPr>
        <w:spacing w:after="0" w:line="176" w:lineRule="exact"/>
        <w:rPr>
          <w:rFonts w:ascii="Times New Roman" w:cs="Times New Roman" w:eastAsia="Times New Roman" w:hAnsi="Times New Roman"/>
          <w:sz w:val="16"/>
          <w:szCs w:val="16"/>
          <w:color w:val="auto"/>
        </w:rPr>
      </w:pPr>
    </w:p>
    <w:p>
      <w:pPr>
        <w:jc w:val="both"/>
        <w:ind w:right="40" w:firstLine="1735"/>
        <w:spacing w:after="0" w:line="278" w:lineRule="auto"/>
        <w:tabs>
          <w:tab w:leader="none" w:pos="1984" w:val="left"/>
        </w:tabs>
        <w:numPr>
          <w:ilvl w:val="3"/>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basis of the representations and warranties herein contained, but subject to the terms and conditions herein set forth, the Company agrees to issue and sell to the Underwriters an aggregate of (i) 2,500,000 shares of its common stock, par value $0.0001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xml:space="preserve">”) and (ii) an aggregate of 2,500,000 common warrants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to purchase 2,500,000 shares of Common Stock at an exercise price of $4.50 per share of Common Stock (the “</w:t>
      </w:r>
      <w:r>
        <w:rPr>
          <w:rFonts w:ascii="Times New Roman" w:cs="Times New Roman" w:eastAsia="Times New Roman" w:hAnsi="Times New Roman"/>
          <w:sz w:val="14"/>
          <w:szCs w:val="14"/>
          <w:u w:val="single" w:color="auto"/>
          <w:color w:val="auto"/>
        </w:rPr>
        <w:t>Common Warrants</w:t>
      </w:r>
      <w:r>
        <w:rPr>
          <w:rFonts w:ascii="Times New Roman" w:cs="Times New Roman" w:eastAsia="Times New Roman" w:hAnsi="Times New Roman"/>
          <w:sz w:val="14"/>
          <w:szCs w:val="14"/>
          <w:color w:val="auto"/>
        </w:rPr>
        <w:t xml:space="preserve">”). The 2,500,000 shares of Common Stock referred to in this Section 1(a) is hereinafter referred to as the </w:t>
      </w:r>
      <w:r>
        <w:rPr>
          <w:rFonts w:ascii="Times New Roman" w:cs="Times New Roman" w:eastAsia="Times New Roman" w:hAnsi="Times New Roman"/>
          <w:sz w:val="14"/>
          <w:szCs w:val="14"/>
          <w:u w:val="single" w:color="auto"/>
          <w:color w:val="auto"/>
        </w:rPr>
        <w:t>“Firm Shares</w:t>
      </w:r>
      <w:r>
        <w:rPr>
          <w:rFonts w:ascii="Times New Roman" w:cs="Times New Roman" w:eastAsia="Times New Roman" w:hAnsi="Times New Roman"/>
          <w:sz w:val="14"/>
          <w:szCs w:val="14"/>
          <w:color w:val="auto"/>
        </w:rPr>
        <w:t>;” the Common Warrants referred to in this Section 1(a) are hereinafter referred to as the “</w:t>
      </w:r>
      <w:r>
        <w:rPr>
          <w:rFonts w:ascii="Times New Roman" w:cs="Times New Roman" w:eastAsia="Times New Roman" w:hAnsi="Times New Roman"/>
          <w:sz w:val="14"/>
          <w:szCs w:val="14"/>
          <w:u w:val="single" w:color="auto"/>
          <w:color w:val="auto"/>
        </w:rPr>
        <w:t>Firm Warrants</w:t>
      </w:r>
      <w:r>
        <w:rPr>
          <w:rFonts w:ascii="Times New Roman" w:cs="Times New Roman" w:eastAsia="Times New Roman" w:hAnsi="Times New Roman"/>
          <w:sz w:val="14"/>
          <w:szCs w:val="14"/>
          <w:color w:val="auto"/>
        </w:rPr>
        <w:t>;” and the Firm Shares and Firm Warrants are collectively referred to as the “</w:t>
      </w:r>
      <w:r>
        <w:rPr>
          <w:rFonts w:ascii="Times New Roman" w:cs="Times New Roman" w:eastAsia="Times New Roman" w:hAnsi="Times New Roman"/>
          <w:sz w:val="14"/>
          <w:szCs w:val="14"/>
          <w:u w:val="single" w:color="auto"/>
          <w:color w:val="auto"/>
        </w:rPr>
        <w:t>Firm Securities</w:t>
      </w:r>
      <w:r>
        <w:rPr>
          <w:rFonts w:ascii="Times New Roman" w:cs="Times New Roman" w:eastAsia="Times New Roman" w:hAnsi="Times New Roman"/>
          <w:sz w:val="14"/>
          <w:szCs w:val="14"/>
          <w:color w:val="auto"/>
        </w:rPr>
        <w:t>.” The Common Warrants shall be issued pursuant to, and shall have the rights and privileges set forth in the Common Warrants and in a warrant agency agreement dated on or before the Closing Date between the Company and Transfer Online, Inc. as warrant agent (the “</w:t>
      </w:r>
      <w:r>
        <w:rPr>
          <w:rFonts w:ascii="Times New Roman" w:cs="Times New Roman" w:eastAsia="Times New Roman" w:hAnsi="Times New Roman"/>
          <w:sz w:val="14"/>
          <w:szCs w:val="14"/>
          <w:u w:val="single" w:color="auto"/>
          <w:color w:val="auto"/>
        </w:rPr>
        <w:t>Warrant Agreement</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jc w:val="both"/>
        <w:ind w:right="40" w:firstLine="1735"/>
        <w:spacing w:after="0" w:line="243" w:lineRule="auto"/>
        <w:tabs>
          <w:tab w:leader="none" w:pos="1984" w:val="left"/>
        </w:tabs>
        <w:numPr>
          <w:ilvl w:val="3"/>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Underwriters, severally and not jointly, agree to purchase from the Company the number of Firm Securities set forth on</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attached hereto and made a part hereof at a purchase price of $3.72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per Firm Share and accompanying Firm Warrant (or 93% of the public offering price per Firm Share and Firm Warrant). The Firm Securities are to be offered initially to the public at the offering price set forth on the cover page of the Prospectus (as defined in Section 2(a)(i)(A) hereof).</w:t>
      </w:r>
    </w:p>
    <w:p>
      <w:pPr>
        <w:spacing w:after="0" w:line="155" w:lineRule="exact"/>
        <w:rPr>
          <w:rFonts w:ascii="Times New Roman" w:cs="Times New Roman" w:eastAsia="Times New Roman" w:hAnsi="Times New Roman"/>
          <w:sz w:val="16"/>
          <w:szCs w:val="16"/>
          <w:color w:val="auto"/>
        </w:rPr>
      </w:pPr>
    </w:p>
    <w:p>
      <w:pPr>
        <w:ind w:left="1980" w:hanging="245"/>
        <w:spacing w:after="0"/>
        <w:tabs>
          <w:tab w:leader="none" w:pos="1980" w:val="left"/>
        </w:tabs>
        <w:numPr>
          <w:ilvl w:val="3"/>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Underwriters undertake that the Firm Securities shall be allocated to a minimum of 400 U.S. beneficial holders.</w:t>
      </w:r>
    </w:p>
    <w:p>
      <w:pPr>
        <w:spacing w:after="0" w:line="176" w:lineRule="exact"/>
        <w:rPr>
          <w:rFonts w:ascii="Times New Roman" w:cs="Times New Roman" w:eastAsia="Times New Roman" w:hAnsi="Times New Roman"/>
          <w:sz w:val="16"/>
          <w:szCs w:val="16"/>
          <w:color w:val="auto"/>
        </w:rPr>
      </w:pPr>
    </w:p>
    <w:p>
      <w:pPr>
        <w:ind w:left="1380" w:hanging="222"/>
        <w:spacing w:after="0"/>
        <w:tabs>
          <w:tab w:leader="none" w:pos="138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Firm Share Payment and Delivery</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735"/>
        <w:spacing w:after="0" w:line="276" w:lineRule="auto"/>
        <w:tabs>
          <w:tab w:leader="none" w:pos="2008" w:val="left"/>
        </w:tabs>
        <w:numPr>
          <w:ilvl w:val="3"/>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and payment for the Firm Securities shall be made no later than 2:00 p.m., Eastern time, on the first (1st) Business Day following the effective date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of the Registration Statement (as defined in Section 2(a)(i)(A) below) (or the second (2nd) Business Day following the Effective Date if the Registration Statement is declared effective after 4:01 p.m., Eastern time) or at such earlier time as shall be agreed upon by the Representative and</w:t>
      </w:r>
    </w:p>
    <w:p>
      <w:pPr>
        <w:jc w:val="both"/>
        <w:ind w:right="20"/>
        <w:spacing w:after="0" w:line="210" w:lineRule="auto"/>
        <w:rPr>
          <w:sz w:val="20"/>
          <w:szCs w:val="20"/>
          <w:color w:val="auto"/>
        </w:rPr>
      </w:pPr>
      <w:r>
        <w:rPr>
          <w:rFonts w:ascii="Times New Roman" w:cs="Times New Roman" w:eastAsia="Times New Roman" w:hAnsi="Times New Roman"/>
          <w:sz w:val="16"/>
          <w:szCs w:val="16"/>
          <w:color w:val="auto"/>
        </w:rPr>
        <w:t xml:space="preserve">the Company, at the offices of Thompson Hine LLP, 300 Madison Avenue, 27 </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New York, New York (“ </w:t>
      </w:r>
      <w:r>
        <w:rPr>
          <w:rFonts w:ascii="Times New Roman" w:cs="Times New Roman" w:eastAsia="Times New Roman" w:hAnsi="Times New Roman"/>
          <w:sz w:val="16"/>
          <w:szCs w:val="16"/>
          <w:u w:val="single" w:color="auto"/>
          <w:color w:val="auto"/>
        </w:rPr>
        <w:t>Underwriters’ Counsel</w:t>
      </w:r>
      <w:r>
        <w:rPr>
          <w:rFonts w:ascii="Times New Roman" w:cs="Times New Roman" w:eastAsia="Times New Roman" w:hAnsi="Times New Roman"/>
          <w:sz w:val="16"/>
          <w:szCs w:val="16"/>
          <w:color w:val="auto"/>
        </w:rPr>
        <w:t xml:space="preserve"> ”), or at such other place (or by electronic transmission) as shall be agreed upon by the Representative and the Company. The hour and date of delivery and payment for the Firm Securities is called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67075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firstLine="1735"/>
        <w:spacing w:after="0" w:line="239" w:lineRule="auto"/>
        <w:tabs>
          <w:tab w:leader="none" w:pos="1981"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for the Firm Securities shall be made on the Closing Date by wire transfer in federal (immediately available) funds, payable to the order of the Company prior to the Company’s delivery of the Firm Securities, through the facilities of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or via a DWAC transfer, for the account of the Representative. If the Representative so elects, the Firm Securities shall be registered in such name or names and in such authorized denominations as the Representative may request in writing two full Business Days prior to the Closing Date. The Company shall not be obligated to sell or deliver the Firm Securities except upon tender of payment by the Representative for all of the Firm Securities or via delivery versus payment for the Firm Securities. The term “</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a Sunday or a legal holiday or a day on which banking institutions are authorized or obligated by law to close in New York, New York.</w:t>
      </w:r>
    </w:p>
    <w:p>
      <w:pPr>
        <w:spacing w:after="0" w:line="155" w:lineRule="exact"/>
        <w:rPr>
          <w:rFonts w:ascii="Times New Roman" w:cs="Times New Roman" w:eastAsia="Times New Roman" w:hAnsi="Times New Roman"/>
          <w:sz w:val="16"/>
          <w:szCs w:val="16"/>
          <w:color w:val="auto"/>
        </w:rPr>
      </w:pPr>
    </w:p>
    <w:p>
      <w:pPr>
        <w:ind w:left="1420" w:hanging="262"/>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Over-allotment Option</w:t>
      </w:r>
      <w:r>
        <w:rPr>
          <w:rFonts w:ascii="Times New Roman" w:cs="Times New Roman" w:eastAsia="Times New Roman" w:hAnsi="Times New Roman"/>
          <w:sz w:val="16"/>
          <w:szCs w:val="16"/>
          <w:i w:val="1"/>
          <w:iCs w:val="1"/>
          <w:color w:val="auto"/>
        </w:rPr>
        <w:t>.</w:t>
      </w:r>
    </w:p>
    <w:p>
      <w:pPr>
        <w:spacing w:after="0" w:line="178" w:lineRule="exact"/>
        <w:rPr>
          <w:rFonts w:ascii="Times New Roman" w:cs="Times New Roman" w:eastAsia="Times New Roman" w:hAnsi="Times New Roman"/>
          <w:sz w:val="16"/>
          <w:szCs w:val="16"/>
          <w:color w:val="auto"/>
        </w:rPr>
      </w:pPr>
    </w:p>
    <w:p>
      <w:pPr>
        <w:jc w:val="both"/>
        <w:ind w:right="20" w:firstLine="1735"/>
        <w:spacing w:after="0" w:line="238" w:lineRule="auto"/>
        <w:tabs>
          <w:tab w:leader="none" w:pos="1981"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Securities</w:t>
      </w:r>
      <w:r>
        <w:rPr>
          <w:rFonts w:ascii="Times New Roman" w:cs="Times New Roman" w:eastAsia="Times New Roman" w:hAnsi="Times New Roman"/>
          <w:sz w:val="16"/>
          <w:szCs w:val="16"/>
          <w:color w:val="auto"/>
        </w:rPr>
        <w:t>. For the purposes of covering any over-allotments in connection with the distribution and sale of the Firm Securities, the Company hereby grants to the Representative an option (the “</w:t>
      </w:r>
      <w:r>
        <w:rPr>
          <w:rFonts w:ascii="Times New Roman" w:cs="Times New Roman" w:eastAsia="Times New Roman" w:hAnsi="Times New Roman"/>
          <w:sz w:val="16"/>
          <w:szCs w:val="16"/>
          <w:u w:val="single" w:color="auto"/>
          <w:color w:val="auto"/>
        </w:rPr>
        <w:t>Over-allotment Option</w:t>
      </w:r>
      <w:r>
        <w:rPr>
          <w:rFonts w:ascii="Times New Roman" w:cs="Times New Roman" w:eastAsia="Times New Roman" w:hAnsi="Times New Roman"/>
          <w:sz w:val="16"/>
          <w:szCs w:val="16"/>
          <w:color w:val="auto"/>
        </w:rPr>
        <w:t>”) to purchase, in the aggregate, (a) up to 375,000 additional shares of Common Stock (the “</w:t>
      </w:r>
      <w:r>
        <w:rPr>
          <w:rFonts w:ascii="Times New Roman" w:cs="Times New Roman" w:eastAsia="Times New Roman" w:hAnsi="Times New Roman"/>
          <w:sz w:val="16"/>
          <w:szCs w:val="16"/>
          <w:u w:val="single" w:color="auto"/>
          <w:color w:val="auto"/>
        </w:rPr>
        <w:t>Option Shares</w:t>
      </w:r>
      <w:r>
        <w:rPr>
          <w:rFonts w:ascii="Times New Roman" w:cs="Times New Roman" w:eastAsia="Times New Roman" w:hAnsi="Times New Roman"/>
          <w:sz w:val="16"/>
          <w:szCs w:val="16"/>
          <w:color w:val="auto"/>
        </w:rPr>
        <w:t>”) at a per share purchase price equal to $3.71 (93% of the public offering price allocated to each Firm Share) and/or (b) up to 375,000 Common Warrants to purchase up to 375,000 shares of Common Stock (the “</w:t>
      </w:r>
      <w:r>
        <w:rPr>
          <w:rFonts w:ascii="Times New Roman" w:cs="Times New Roman" w:eastAsia="Times New Roman" w:hAnsi="Times New Roman"/>
          <w:sz w:val="16"/>
          <w:szCs w:val="16"/>
          <w:u w:val="single" w:color="auto"/>
          <w:color w:val="auto"/>
        </w:rPr>
        <w:t>Option Warrants</w:t>
      </w:r>
      <w:r>
        <w:rPr>
          <w:rFonts w:ascii="Times New Roman" w:cs="Times New Roman" w:eastAsia="Times New Roman" w:hAnsi="Times New Roman"/>
          <w:sz w:val="16"/>
          <w:szCs w:val="16"/>
          <w:color w:val="auto"/>
        </w:rPr>
        <w:t>,” and together with the Option Shares, the “</w:t>
      </w:r>
      <w:r>
        <w:rPr>
          <w:rFonts w:ascii="Times New Roman" w:cs="Times New Roman" w:eastAsia="Times New Roman" w:hAnsi="Times New Roman"/>
          <w:sz w:val="16"/>
          <w:szCs w:val="16"/>
          <w:u w:val="single" w:color="auto"/>
          <w:color w:val="auto"/>
        </w:rPr>
        <w:t>Option Securities</w:t>
      </w:r>
      <w:r>
        <w:rPr>
          <w:rFonts w:ascii="Times New Roman" w:cs="Times New Roman" w:eastAsia="Times New Roman" w:hAnsi="Times New Roman"/>
          <w:sz w:val="16"/>
          <w:szCs w:val="16"/>
          <w:color w:val="auto"/>
        </w:rPr>
        <w:t xml:space="preserve">”) at a per warrant purchase price equal to $0.01 (93% of the public offering price allocated to each Firm Warrant), representing fifteen percent (15%) of the Firm Shares and Firm Warrants, respectively, sold in the offering, from the Company. The Firm Securities and the Option Securities are collectively referred to as the “ </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The Securities shall be issued directly by the Company and shall have the rights and privileges described in the Registration Statement, the Pricing Disclosure Package and the Prospectus referred to below. The offering and sale of the Securities is herein referred to as the “</w:t>
      </w:r>
      <w:r>
        <w:rPr>
          <w:rFonts w:ascii="Times New Roman" w:cs="Times New Roman" w:eastAsia="Times New Roman" w:hAnsi="Times New Roman"/>
          <w:sz w:val="16"/>
          <w:szCs w:val="16"/>
          <w:u w:val="single" w:color="auto"/>
          <w:color w:val="auto"/>
        </w:rPr>
        <w:t>Offering</w:t>
      </w:r>
      <w:r>
        <w:rPr>
          <w:rFonts w:ascii="Times New Roman" w:cs="Times New Roman" w:eastAsia="Times New Roman" w:hAnsi="Times New Roman"/>
          <w:sz w:val="16"/>
          <w:szCs w:val="16"/>
          <w:color w:val="auto"/>
        </w:rPr>
        <w:t>.”</w:t>
      </w:r>
    </w:p>
    <w:p>
      <w:pPr>
        <w:spacing w:after="0" w:line="160" w:lineRule="exact"/>
        <w:rPr>
          <w:rFonts w:ascii="Times New Roman" w:cs="Times New Roman" w:eastAsia="Times New Roman" w:hAnsi="Times New Roman"/>
          <w:sz w:val="16"/>
          <w:szCs w:val="16"/>
          <w:color w:val="auto"/>
        </w:rPr>
      </w:pPr>
    </w:p>
    <w:p>
      <w:pPr>
        <w:jc w:val="both"/>
        <w:ind w:right="20" w:firstLine="1735"/>
        <w:spacing w:after="0" w:line="237" w:lineRule="auto"/>
        <w:tabs>
          <w:tab w:leader="none" w:pos="1969"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Option</w:t>
      </w:r>
      <w:r>
        <w:rPr>
          <w:rFonts w:ascii="Times New Roman" w:cs="Times New Roman" w:eastAsia="Times New Roman" w:hAnsi="Times New Roman"/>
          <w:sz w:val="16"/>
          <w:szCs w:val="16"/>
          <w:color w:val="auto"/>
        </w:rPr>
        <w:t>. The Over-allotment Option granted pursuant to Section 1(a)(iii)(A) hereof may be exercised by the Representative as to all (at any time) or any part (from time to time) for any number of the Option Securities within 45 days after the Effective Date. The Representative shall not be under any obligation to purchase any of the Option Securities prior to the exercise of the Over-allotment Option. The Over-allotment Option granted hereby may be exercised by the giving of oral notice to the Company from the Representative, which must be confirmed in writing by overnight mail or email or facsimile or other electronic transmission setting forth the number of the Option Securities to be purchased and the date and time for delivery of and payment for the Option Securities (the “</w:t>
      </w:r>
      <w:r>
        <w:rPr>
          <w:rFonts w:ascii="Times New Roman" w:cs="Times New Roman" w:eastAsia="Times New Roman" w:hAnsi="Times New Roman"/>
          <w:sz w:val="16"/>
          <w:szCs w:val="16"/>
          <w:u w:val="single" w:color="auto"/>
          <w:color w:val="auto"/>
        </w:rPr>
        <w:t>Option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which shall not be later than five (5) full Business Days after the date of the notice or such other time as shall be agreed upon by the Company and the Representative, at the offices of Underwriters’ Counsel or at such other place (including remotely by facsimile or other electronic transmission) as shall be agreed upon by the Company and the Representative. If such delivery and payment for the Option Securities does not occur on the Closing Date, the Option Closing Date will be as set forth in the notice. Upon exercise of the Over-allotment Option with respect to all or any portion of the Option Securities subject to the terms and conditions set forth herein, (i) the Company shall become obligated to sell to the Underwriters the number of the Option Securities specified in such notice and (ii) the Underwriters shall purchase the number of Option Securities (subject to such adjustments to eliminate fractional shares or warrants as the Representative may determine) that bears the same proportion to the total number of Option Securities to be purchased as the number of the Firm Securities as set forth in Schedule 1 opposite the name of such Underwriters bears to the total number of Firm Securities.</w:t>
      </w:r>
    </w:p>
    <w:p>
      <w:pPr>
        <w:sectPr>
          <w:pgSz w:w="11900" w:h="16840" w:orient="portrait"/>
          <w:cols w:equalWidth="0" w:num="1">
            <w:col w:w="10600"/>
          </w:cols>
          <w:pgMar w:left="660" w:top="735" w:right="640" w:bottom="21" w:gutter="0" w:footer="0" w:header="0"/>
        </w:sectPr>
      </w:pPr>
    </w:p>
    <w:bookmarkStart w:id="4" w:name="page5"/>
    <w:bookmarkEnd w:id="4"/>
    <w:p>
      <w:pPr>
        <w:jc w:val="both"/>
        <w:ind w:firstLine="1735"/>
        <w:spacing w:after="0" w:line="241" w:lineRule="auto"/>
        <w:tabs>
          <w:tab w:leader="none" w:pos="199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and Delivery</w:t>
      </w:r>
      <w:r>
        <w:rPr>
          <w:rFonts w:ascii="Times New Roman" w:cs="Times New Roman" w:eastAsia="Times New Roman" w:hAnsi="Times New Roman"/>
          <w:sz w:val="16"/>
          <w:szCs w:val="16"/>
          <w:color w:val="auto"/>
        </w:rPr>
        <w:t>. Payment for the Option Securities shall be made on the Option Closing Date by wire transfer in Federal (immediately available) funds, payable to the order of the Company prior to the Company’s delivery of the Option Securities, through the facilities of DTC or DWAC transfer, for the account of the Underwriters. If the Representative so elects, the Option Securities shall be registered in such name or names and in such authorized denominations as the Underwriters may request in writing at least two full Business Days prior to the Option Closing Date. The Company shall not be obligated to sell or deliver the Option Securities except upon tender of payment by the Underwriters for applicable Option Securities.</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6"/>
        <w:spacing w:after="0" w:line="247" w:lineRule="auto"/>
        <w:tabs>
          <w:tab w:leader="none" w:pos="15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The Company represents and warrants to the Underwriters as of the Applicable Time (as defined below) and as of the Closing Date and as of the Option Closing Date, if any, as follows (unless otherwise indicated, all references to the Company in this Section 2 shall refer to the Company and its subsidiary incorporated under the laws of the United States, if any):</w:t>
      </w:r>
    </w:p>
    <w:p>
      <w:pPr>
        <w:spacing w:after="0" w:line="152" w:lineRule="exact"/>
        <w:rPr>
          <w:rFonts w:ascii="Times New Roman" w:cs="Times New Roman" w:eastAsia="Times New Roman" w:hAnsi="Times New Roman"/>
          <w:sz w:val="16"/>
          <w:szCs w:val="16"/>
          <w:color w:val="auto"/>
        </w:rPr>
      </w:pPr>
    </w:p>
    <w:p>
      <w:pPr>
        <w:ind w:left="780" w:hanging="198"/>
        <w:spacing w:after="0"/>
        <w:tabs>
          <w:tab w:leader="none" w:pos="78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Filing of Registration Statement</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left="1340" w:hanging="182"/>
        <w:spacing w:after="0"/>
        <w:tabs>
          <w:tab w:leader="none" w:pos="1340"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Pursuant to the Securities Act</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735"/>
        <w:spacing w:after="0" w:line="271" w:lineRule="auto"/>
        <w:tabs>
          <w:tab w:leader="none" w:pos="2017" w:val="left"/>
        </w:tabs>
        <w:numPr>
          <w:ilvl w:val="3"/>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filed with the U.S.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a registration statement, and an amendment or amendments thereto, on Form S-1 (File No. 333-291443), including any related prospectus or prospectuses, for the registration of the Securities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xml:space="preserve">”), which registration statement and amendment or amendments have been prepared by the Company in conformity in all material respects with the requirements of the Securities Act and the rules and regulations of the Commission under the Securities Act (the “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Act Regulations</w:t>
      </w:r>
      <w:r>
        <w:rPr>
          <w:rFonts w:ascii="Times New Roman" w:cs="Times New Roman" w:eastAsia="Times New Roman" w:hAnsi="Times New Roman"/>
          <w:sz w:val="14"/>
          <w:szCs w:val="14"/>
          <w:color w:val="auto"/>
        </w:rPr>
        <w:t>”) and, as of the Effective Date thereof, will contain all material statements that are required to be stated therein in accordance with the Securities Act and the Securities Act Regulations. Except as the context may otherwise require, such registration statement, as amended, on file with the Commission at the time the registration statement became effective (including the Preliminary Prospectus included in the registration statement, financial statements, schedules, exhibits and all other documents filed as a part thereof or incorporated therein by reference and all information deemed to be a part thereof as of the Effective Date pursuant to paragraph</w:t>
      </w:r>
    </w:p>
    <w:p>
      <w:pPr>
        <w:spacing w:after="0" w:line="4" w:lineRule="exact"/>
        <w:rPr>
          <w:rFonts w:ascii="Times New Roman" w:cs="Times New Roman" w:eastAsia="Times New Roman" w:hAnsi="Times New Roman"/>
          <w:sz w:val="14"/>
          <w:szCs w:val="14"/>
          <w:color w:val="auto"/>
        </w:rPr>
      </w:pPr>
    </w:p>
    <w:p>
      <w:pPr>
        <w:jc w:val="both"/>
        <w:spacing w:after="0" w:line="28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 of Rule 430A of the Securities Act Regulations (the “ </w:t>
      </w:r>
      <w:r>
        <w:rPr>
          <w:rFonts w:ascii="Times New Roman" w:cs="Times New Roman" w:eastAsia="Times New Roman" w:hAnsi="Times New Roman"/>
          <w:sz w:val="14"/>
          <w:szCs w:val="14"/>
          <w:u w:val="single" w:color="auto"/>
          <w:color w:val="auto"/>
        </w:rPr>
        <w:t>Rule 430A Information</w:t>
      </w:r>
      <w:r>
        <w:rPr>
          <w:rFonts w:ascii="Times New Roman" w:cs="Times New Roman" w:eastAsia="Times New Roman" w:hAnsi="Times New Roman"/>
          <w:sz w:val="14"/>
          <w:szCs w:val="14"/>
          <w:color w:val="auto"/>
        </w:rPr>
        <w:t>”)), is referred to herein as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If the Company files any registration statement pursuant to Rule 462(b) of the Securities Act Regulations, then after such filing, the term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shall include such registration statement filed pursuant to Rule 462(b). The Registration Statement has been declared effective by the Commission as of the Applicable Time (as defined below).</w:t>
      </w:r>
    </w:p>
    <w:p>
      <w:pPr>
        <w:spacing w:after="0" w:line="126" w:lineRule="exact"/>
        <w:rPr>
          <w:rFonts w:ascii="Times New Roman" w:cs="Times New Roman" w:eastAsia="Times New Roman" w:hAnsi="Times New Roman"/>
          <w:sz w:val="14"/>
          <w:szCs w:val="14"/>
          <w:color w:val="auto"/>
        </w:rPr>
      </w:pPr>
    </w:p>
    <w:p>
      <w:pPr>
        <w:jc w:val="both"/>
        <w:ind w:firstLine="1735"/>
        <w:spacing w:after="0" w:line="241" w:lineRule="auto"/>
        <w:tabs>
          <w:tab w:leader="none" w:pos="2014" w:val="left"/>
        </w:tabs>
        <w:numPr>
          <w:ilvl w:val="3"/>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Times New Roman" w:cs="Times New Roman" w:eastAsia="Times New Roman" w:hAnsi="Times New Roman"/>
          <w:sz w:val="16"/>
          <w:szCs w:val="16"/>
          <w:u w:val="single" w:color="auto"/>
          <w:color w:val="auto"/>
        </w:rPr>
        <w:t>Preliminary Prospectus</w:t>
      </w:r>
      <w:r>
        <w:rPr>
          <w:rFonts w:ascii="Times New Roman" w:cs="Times New Roman" w:eastAsia="Times New Roman" w:hAnsi="Times New Roman"/>
          <w:sz w:val="16"/>
          <w:szCs w:val="16"/>
          <w:color w:val="auto"/>
        </w:rPr>
        <w:t>.” The Preliminary Prospectus that was included in the Registration Statement immediately prior to the Applicable Time is hereinafter called the “</w:t>
      </w:r>
      <w:r>
        <w:rPr>
          <w:rFonts w:ascii="Times New Roman" w:cs="Times New Roman" w:eastAsia="Times New Roman" w:hAnsi="Times New Roman"/>
          <w:sz w:val="16"/>
          <w:szCs w:val="16"/>
          <w:u w:val="single" w:color="auto"/>
          <w:color w:val="auto"/>
        </w:rPr>
        <w:t>Pricing Prospectus</w:t>
      </w:r>
      <w:r>
        <w:rPr>
          <w:rFonts w:ascii="Times New Roman" w:cs="Times New Roman" w:eastAsia="Times New Roman" w:hAnsi="Times New Roman"/>
          <w:sz w:val="16"/>
          <w:szCs w:val="16"/>
          <w:color w:val="auto"/>
        </w:rPr>
        <w:t>.” The final prospectus in the form first furnished to the Underwriters for use in the Offering is hereinafter called the “</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Any reference to the “most recent Preliminary Prospectus” shall be deemed to refer to the latest Preliminary Prospectus included in the Registration Statement.</w:t>
      </w:r>
    </w:p>
    <w:p>
      <w:pPr>
        <w:spacing w:after="0" w:line="156" w:lineRule="exact"/>
        <w:rPr>
          <w:rFonts w:ascii="Times New Roman" w:cs="Times New Roman" w:eastAsia="Times New Roman" w:hAnsi="Times New Roman"/>
          <w:sz w:val="16"/>
          <w:szCs w:val="16"/>
          <w:color w:val="auto"/>
        </w:rPr>
      </w:pPr>
    </w:p>
    <w:p>
      <w:pPr>
        <w:ind w:left="1980" w:hanging="245"/>
        <w:spacing w:after="0"/>
        <w:tabs>
          <w:tab w:leader="none" w:pos="1980" w:val="left"/>
        </w:tabs>
        <w:numPr>
          <w:ilvl w:val="3"/>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Time</w:t>
      </w:r>
      <w:r>
        <w:rPr>
          <w:rFonts w:ascii="Times New Roman" w:cs="Times New Roman" w:eastAsia="Times New Roman" w:hAnsi="Times New Roman"/>
          <w:sz w:val="16"/>
          <w:szCs w:val="16"/>
          <w:color w:val="auto"/>
        </w:rPr>
        <w:t>” means 4:30 p.m., Eastern time, on the date of this Agreement.</w:t>
      </w:r>
    </w:p>
    <w:p>
      <w:pPr>
        <w:spacing w:after="0" w:line="176" w:lineRule="exact"/>
        <w:rPr>
          <w:rFonts w:ascii="Times New Roman" w:cs="Times New Roman" w:eastAsia="Times New Roman" w:hAnsi="Times New Roman"/>
          <w:sz w:val="16"/>
          <w:szCs w:val="16"/>
          <w:color w:val="auto"/>
        </w:rPr>
      </w:pPr>
    </w:p>
    <w:p>
      <w:pPr>
        <w:jc w:val="both"/>
        <w:ind w:right="20" w:firstLine="1735"/>
        <w:spacing w:after="0" w:line="239" w:lineRule="auto"/>
        <w:tabs>
          <w:tab w:leader="none" w:pos="1984" w:val="left"/>
        </w:tabs>
        <w:numPr>
          <w:ilvl w:val="3"/>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Issuer Free Writing Prospectus</w:t>
      </w:r>
      <w:r>
        <w:rPr>
          <w:rFonts w:ascii="Times New Roman" w:cs="Times New Roman" w:eastAsia="Times New Roman" w:hAnsi="Times New Roman"/>
          <w:sz w:val="16"/>
          <w:szCs w:val="16"/>
          <w:color w:val="auto"/>
        </w:rPr>
        <w:t>” means any “issuer free writing prospectus,” as defined in Rule 433 of the Securities Act Regulations (“</w:t>
      </w:r>
      <w:r>
        <w:rPr>
          <w:rFonts w:ascii="Times New Roman" w:cs="Times New Roman" w:eastAsia="Times New Roman" w:hAnsi="Times New Roman"/>
          <w:sz w:val="16"/>
          <w:szCs w:val="16"/>
          <w:u w:val="single" w:color="auto"/>
          <w:color w:val="auto"/>
        </w:rPr>
        <w:t>Rule 433</w:t>
      </w:r>
      <w:r>
        <w:rPr>
          <w:rFonts w:ascii="Times New Roman" w:cs="Times New Roman" w:eastAsia="Times New Roman" w:hAnsi="Times New Roman"/>
          <w:sz w:val="16"/>
          <w:szCs w:val="16"/>
          <w:color w:val="auto"/>
        </w:rPr>
        <w:t>”), including without limitation any “free writing prospectus” (as defined in Rule 405 of the Securities Act Regulations)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61" w:lineRule="exact"/>
        <w:rPr>
          <w:rFonts w:ascii="Times New Roman" w:cs="Times New Roman" w:eastAsia="Times New Roman" w:hAnsi="Times New Roman"/>
          <w:sz w:val="16"/>
          <w:szCs w:val="16"/>
          <w:color w:val="auto"/>
        </w:rPr>
      </w:pPr>
    </w:p>
    <w:p>
      <w:pPr>
        <w:ind w:right="20" w:firstLine="1735"/>
        <w:spacing w:after="0" w:line="259" w:lineRule="auto"/>
        <w:tabs>
          <w:tab w:leader="none" w:pos="1979" w:val="left"/>
        </w:tabs>
        <w:numPr>
          <w:ilvl w:val="3"/>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Issuer General Use Free Writing Prospectus</w:t>
      </w:r>
      <w:r>
        <w:rPr>
          <w:rFonts w:ascii="Times New Roman" w:cs="Times New Roman" w:eastAsia="Times New Roman" w:hAnsi="Times New Roman"/>
          <w:sz w:val="16"/>
          <w:szCs w:val="16"/>
          <w:color w:val="auto"/>
        </w:rPr>
        <w:t>” means any Issuer Free Writing Prospectus that is intended for general distribution to prospective investors (other than a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electronic road show,” as defined in Rule 433).</w:t>
      </w:r>
    </w:p>
    <w:p>
      <w:pPr>
        <w:spacing w:after="0" w:line="143" w:lineRule="exact"/>
        <w:rPr>
          <w:rFonts w:ascii="Times New Roman" w:cs="Times New Roman" w:eastAsia="Times New Roman" w:hAnsi="Times New Roman"/>
          <w:sz w:val="16"/>
          <w:szCs w:val="16"/>
          <w:color w:val="auto"/>
        </w:rPr>
      </w:pPr>
    </w:p>
    <w:p>
      <w:pPr>
        <w:ind w:left="1960" w:hanging="225"/>
        <w:spacing w:after="0"/>
        <w:tabs>
          <w:tab w:leader="none" w:pos="1960" w:val="left"/>
        </w:tabs>
        <w:numPr>
          <w:ilvl w:val="3"/>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Issuer Limited Use Free Writing Prospectus</w:t>
      </w:r>
      <w:r>
        <w:rPr>
          <w:rFonts w:ascii="Times New Roman" w:cs="Times New Roman" w:eastAsia="Times New Roman" w:hAnsi="Times New Roman"/>
          <w:sz w:val="14"/>
          <w:szCs w:val="14"/>
          <w:color w:val="auto"/>
        </w:rPr>
        <w:t>” means any Issuer Free Writing Prospectus that is not an Issuer General Use Free Writing</w:t>
      </w:r>
    </w:p>
    <w:p>
      <w:pPr>
        <w:spacing w:after="0" w:line="3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Prospectus.</w:t>
      </w:r>
    </w:p>
    <w:p>
      <w:pPr>
        <w:spacing w:after="0" w:line="158" w:lineRule="exact"/>
        <w:rPr>
          <w:rFonts w:ascii="Times New Roman" w:cs="Times New Roman" w:eastAsia="Times New Roman" w:hAnsi="Times New Roman"/>
          <w:sz w:val="14"/>
          <w:szCs w:val="14"/>
          <w:color w:val="auto"/>
        </w:rPr>
      </w:pPr>
    </w:p>
    <w:p>
      <w:pPr>
        <w:ind w:right="40" w:firstLine="1735"/>
        <w:spacing w:after="0" w:line="259" w:lineRule="auto"/>
        <w:tabs>
          <w:tab w:leader="none" w:pos="1984" w:val="left"/>
        </w:tabs>
        <w:numPr>
          <w:ilvl w:val="3"/>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Pricing Disclosure Package</w:t>
      </w:r>
      <w:r>
        <w:rPr>
          <w:rFonts w:ascii="Times New Roman" w:cs="Times New Roman" w:eastAsia="Times New Roman" w:hAnsi="Times New Roman"/>
          <w:sz w:val="16"/>
          <w:szCs w:val="16"/>
          <w:color w:val="auto"/>
        </w:rPr>
        <w:t>” means any Issuer General Use Free Writing Prospectus issued at or prior to the Applicable Time, and the Pricing Prospectus, all considered together.</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1158"/>
        <w:spacing w:after="0" w:line="243" w:lineRule="auto"/>
        <w:tabs>
          <w:tab w:leader="none" w:pos="138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Pursuant to the Exchange Act</w:t>
      </w:r>
      <w:r>
        <w:rPr>
          <w:rFonts w:ascii="Times New Roman" w:cs="Times New Roman" w:eastAsia="Times New Roman" w:hAnsi="Times New Roman"/>
          <w:sz w:val="16"/>
          <w:szCs w:val="16"/>
          <w:color w:val="auto"/>
        </w:rPr>
        <w:t>. The Company has filed with the Commission a Form 8-A providing for the registration pursuant to Section 12(b) under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of the Common Stock. The Company has taken no action designed to, or likely to have the effect of, terminating the registration of the Common Stock under the Exchange Act, nor has the Company received any notification that the Commission is contemplating terminating such registration.</w:t>
      </w:r>
    </w:p>
    <w:p>
      <w:pPr>
        <w:spacing w:after="0" w:line="155"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79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Exchange Listing</w:t>
      </w:r>
      <w:r>
        <w:rPr>
          <w:rFonts w:ascii="Times New Roman" w:cs="Times New Roman" w:eastAsia="Times New Roman" w:hAnsi="Times New Roman"/>
          <w:sz w:val="16"/>
          <w:szCs w:val="16"/>
          <w:color w:val="auto"/>
        </w:rPr>
        <w:t>. The Common Stock has been approved for listing on the New York Stock Exchange American (the “</w:t>
      </w:r>
      <w:r>
        <w:rPr>
          <w:rFonts w:ascii="Times New Roman" w:cs="Times New Roman" w:eastAsia="Times New Roman" w:hAnsi="Times New Roman"/>
          <w:sz w:val="16"/>
          <w:szCs w:val="16"/>
          <w:u w:val="single" w:color="auto"/>
          <w:color w:val="auto"/>
        </w:rPr>
        <w:t>Exchange</w:t>
      </w:r>
      <w:r>
        <w:rPr>
          <w:rFonts w:ascii="Times New Roman" w:cs="Times New Roman" w:eastAsia="Times New Roman" w:hAnsi="Times New Roman"/>
          <w:sz w:val="16"/>
          <w:szCs w:val="16"/>
          <w:color w:val="auto"/>
        </w:rPr>
        <w:t>”), subject to official notice of issuance, and the Company has taken no action designed to, or likely to have the effect of, delisting the Common Stock from the Exchange, nor has the Company received any notification that the Exchange is contemplating terminating such listing.</w:t>
      </w:r>
    </w:p>
    <w:p>
      <w:pPr>
        <w:spacing w:after="0" w:line="152" w:lineRule="exact"/>
        <w:rPr>
          <w:rFonts w:ascii="Times New Roman" w:cs="Times New Roman" w:eastAsia="Times New Roman" w:hAnsi="Times New Roman"/>
          <w:sz w:val="16"/>
          <w:szCs w:val="16"/>
          <w:color w:val="auto"/>
        </w:rPr>
      </w:pPr>
    </w:p>
    <w:p>
      <w:pPr>
        <w:jc w:val="both"/>
        <w:ind w:right="40" w:firstLine="582"/>
        <w:spacing w:after="0" w:line="247" w:lineRule="auto"/>
        <w:tabs>
          <w:tab w:leader="none" w:pos="80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Stop Orders, etc</w:t>
      </w:r>
      <w:r>
        <w:rPr>
          <w:rFonts w:ascii="Times New Roman" w:cs="Times New Roman" w:eastAsia="Times New Roman" w:hAnsi="Times New Roman"/>
          <w:sz w:val="16"/>
          <w:szCs w:val="16"/>
          <w:color w:val="auto"/>
        </w:rPr>
        <w:t>. Neither the Commission nor, to the Company’s knowledge,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152" w:lineRule="exact"/>
        <w:rPr>
          <w:rFonts w:ascii="Times New Roman" w:cs="Times New Roman" w:eastAsia="Times New Roman" w:hAnsi="Times New Roman"/>
          <w:sz w:val="16"/>
          <w:szCs w:val="16"/>
          <w:color w:val="auto"/>
        </w:rPr>
      </w:pPr>
    </w:p>
    <w:p>
      <w:pPr>
        <w:ind w:left="800" w:hanging="218"/>
        <w:spacing w:after="0"/>
        <w:tabs>
          <w:tab w:leader="none" w:pos="8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Disclosures in Registration Statement</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left="1340" w:hanging="182"/>
        <w:spacing w:after="0"/>
        <w:tabs>
          <w:tab w:leader="none" w:pos="13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Securities Act and 10b-5 Representation</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735"/>
        <w:spacing w:after="0" w:line="239" w:lineRule="auto"/>
        <w:tabs>
          <w:tab w:leader="none" w:pos="1995"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61" w:lineRule="exact"/>
        <w:rPr>
          <w:rFonts w:ascii="Times New Roman" w:cs="Times New Roman" w:eastAsia="Times New Roman" w:hAnsi="Times New Roman"/>
          <w:sz w:val="16"/>
          <w:szCs w:val="16"/>
          <w:color w:val="auto"/>
        </w:rPr>
      </w:pPr>
    </w:p>
    <w:p>
      <w:pPr>
        <w:jc w:val="both"/>
        <w:ind w:firstLine="1735"/>
        <w:spacing w:after="0" w:line="289" w:lineRule="auto"/>
        <w:tabs>
          <w:tab w:leader="none" w:pos="1980"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not misleading; provided, however, that this representation and warranty shall not apply to statements made or statements omitted in reliance upon and in conformity with written information furnished to the Company with respect to the Underwriters by the Underwriters</w:t>
      </w:r>
    </w:p>
    <w:p>
      <w:pPr>
        <w:sectPr>
          <w:pgSz w:w="11900" w:h="16840" w:orient="portrait"/>
          <w:cols w:equalWidth="0" w:num="1">
            <w:col w:w="10580"/>
          </w:cols>
          <w:pgMar w:left="660" w:top="737" w:right="660" w:bottom="47" w:gutter="0" w:footer="0" w:header="0"/>
        </w:sectPr>
      </w:pPr>
    </w:p>
    <w:bookmarkStart w:id="5" w:name="page6"/>
    <w:bookmarkEnd w:id="5"/>
    <w:p>
      <w:pPr>
        <w:jc w:val="both"/>
        <w:spacing w:after="0" w:line="247" w:lineRule="auto"/>
        <w:rPr>
          <w:sz w:val="20"/>
          <w:szCs w:val="20"/>
          <w:color w:val="auto"/>
        </w:rPr>
      </w:pPr>
      <w:r>
        <w:rPr>
          <w:rFonts w:ascii="Times New Roman" w:cs="Times New Roman" w:eastAsia="Times New Roman" w:hAnsi="Times New Roman"/>
          <w:sz w:val="16"/>
          <w:szCs w:val="16"/>
          <w:color w:val="auto"/>
        </w:rPr>
        <w:t>expressly for use in the Registration Statement, the Pricing Prospectus or the Prospectus or any amendment thereof or supplement thereto. The parties acknowledge and agree that such information provided by or on behalf of any Underwriter consists solely of the disclosure contained in the “Underwriting” section of the Prospectus (the “</w:t>
      </w:r>
      <w:r>
        <w:rPr>
          <w:rFonts w:ascii="Times New Roman" w:cs="Times New Roman" w:eastAsia="Times New Roman" w:hAnsi="Times New Roman"/>
          <w:sz w:val="16"/>
          <w:szCs w:val="16"/>
          <w:u w:val="single" w:color="auto"/>
          <w:color w:val="auto"/>
        </w:rPr>
        <w:t>Underwriters’ Information</w:t>
      </w:r>
      <w:r>
        <w:rPr>
          <w:rFonts w:ascii="Times New Roman" w:cs="Times New Roman" w:eastAsia="Times New Roman" w:hAnsi="Times New Roman"/>
          <w:sz w:val="16"/>
          <w:szCs w:val="16"/>
          <w:color w:val="auto"/>
        </w:rPr>
        <w:t>”); and</w:t>
      </w:r>
    </w:p>
    <w:p>
      <w:pPr>
        <w:spacing w:after="0" w:line="152" w:lineRule="exact"/>
        <w:rPr>
          <w:sz w:val="20"/>
          <w:szCs w:val="20"/>
          <w:color w:val="auto"/>
        </w:rPr>
      </w:pPr>
    </w:p>
    <w:p>
      <w:pPr>
        <w:jc w:val="both"/>
        <w:ind w:firstLine="1735"/>
        <w:spacing w:after="0" w:line="239" w:lineRule="auto"/>
        <w:tabs>
          <w:tab w:leader="none" w:pos="197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does not conflict in any material respect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provided, however, that this representation and warranty shall not apply to the Underwriters’ Information.</w:t>
      </w:r>
    </w:p>
    <w:p>
      <w:pPr>
        <w:spacing w:after="0" w:line="157" w:lineRule="exact"/>
        <w:rPr>
          <w:rFonts w:ascii="Times New Roman" w:cs="Times New Roman" w:eastAsia="Times New Roman" w:hAnsi="Times New Roman"/>
          <w:sz w:val="16"/>
          <w:szCs w:val="16"/>
          <w:color w:val="auto"/>
        </w:rPr>
      </w:pPr>
    </w:p>
    <w:p>
      <w:pPr>
        <w:jc w:val="both"/>
        <w:ind w:right="20" w:firstLine="1735"/>
        <w:spacing w:after="0" w:line="243" w:lineRule="auto"/>
        <w:tabs>
          <w:tab w:leader="none" w:pos="198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Prospectus nor any amendment or supplement thereto (including any prospectus wrapper),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the Underwriters’ Information.</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firstLine="1158"/>
        <w:spacing w:after="0" w:line="272" w:lineRule="auto"/>
        <w:tabs>
          <w:tab w:leader="none" w:pos="1404"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Disclosure of Agreements</w:t>
      </w:r>
      <w:r>
        <w:rPr>
          <w:rFonts w:ascii="Times New Roman" w:cs="Times New Roman" w:eastAsia="Times New Roman" w:hAnsi="Times New Roman"/>
          <w:sz w:val="14"/>
          <w:szCs w:val="14"/>
          <w:color w:val="auto"/>
        </w:rPr>
        <w:t xml:space="preserve"> .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Pricing Disclosure Package and the Prospectus, and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material default thereunder and, to the Company’s knowledge, no event has occurred that, with the lapse of time or the giving of notice, or both, would constitute a material default thereunder, except as disclosed in the Registration Statement, the Pricing Disclosure Package and the Prospectus.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 (each, a “</w:t>
      </w:r>
      <w:r>
        <w:rPr>
          <w:rFonts w:ascii="Times New Roman" w:cs="Times New Roman" w:eastAsia="Times New Roman" w:hAnsi="Times New Roman"/>
          <w:sz w:val="14"/>
          <w:szCs w:val="14"/>
          <w:u w:val="single" w:color="auto"/>
          <w:color w:val="auto"/>
        </w:rPr>
        <w:t>Governmental Entity</w:t>
      </w:r>
      <w:r>
        <w:rPr>
          <w:rFonts w:ascii="Times New Roman" w:cs="Times New Roman" w:eastAsia="Times New Roman" w:hAnsi="Times New Roman"/>
          <w:sz w:val="14"/>
          <w:szCs w:val="14"/>
          <w:color w:val="auto"/>
        </w:rPr>
        <w:t>”), including, without limitation, those relating to environmental laws and regulations, that would reasonably be expected to constitute a Material Adverse Change.</w:t>
      </w:r>
    </w:p>
    <w:p>
      <w:pPr>
        <w:spacing w:after="0" w:line="324" w:lineRule="exact"/>
        <w:rPr>
          <w:rFonts w:ascii="Times New Roman" w:cs="Times New Roman" w:eastAsia="Times New Roman" w:hAnsi="Times New Roman"/>
          <w:sz w:val="14"/>
          <w:szCs w:val="14"/>
          <w:color w:val="auto"/>
        </w:rPr>
      </w:pPr>
    </w:p>
    <w:p>
      <w:pPr>
        <w:jc w:val="both"/>
        <w:ind w:right="20" w:firstLine="1158"/>
        <w:spacing w:after="0" w:line="247" w:lineRule="auto"/>
        <w:tabs>
          <w:tab w:leader="none" w:pos="1416"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Prior Securities Transactions</w:t>
      </w:r>
      <w:r>
        <w:rPr>
          <w:rFonts w:ascii="Times New Roman" w:cs="Times New Roman" w:eastAsia="Times New Roman" w:hAnsi="Times New Roman"/>
          <w:sz w:val="16"/>
          <w:szCs w:val="16"/>
          <w:color w:val="auto"/>
        </w:rPr>
        <w:t>. Since January 1, 2025,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spacing w:after="0" w:line="152" w:lineRule="exact"/>
        <w:rPr>
          <w:rFonts w:ascii="Times New Roman" w:cs="Times New Roman" w:eastAsia="Times New Roman" w:hAnsi="Times New Roman"/>
          <w:sz w:val="16"/>
          <w:szCs w:val="16"/>
          <w:color w:val="auto"/>
        </w:rPr>
      </w:pPr>
    </w:p>
    <w:p>
      <w:pPr>
        <w:ind w:right="20" w:firstLine="1158"/>
        <w:spacing w:after="0" w:line="259" w:lineRule="auto"/>
        <w:tabs>
          <w:tab w:leader="none" w:pos="1416"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Regulations</w:t>
      </w:r>
      <w:r>
        <w:rPr>
          <w:rFonts w:ascii="Times New Roman" w:cs="Times New Roman" w:eastAsia="Times New Roman" w:hAnsi="Times New Roman"/>
          <w:sz w:val="16"/>
          <w:szCs w:val="16"/>
          <w:color w:val="auto"/>
        </w:rPr>
        <w:t>. The disclosures in the Registration Statement, the Pricing Disclosure Package and the Prospectus concerning the effects of federal, state, local and all foreign laws, rules and regulations relating to the Company’s business as currently contemplated are correct in all material respects.</w:t>
      </w:r>
    </w:p>
    <w:p>
      <w:pPr>
        <w:spacing w:after="0" w:line="143" w:lineRule="exact"/>
        <w:rPr>
          <w:rFonts w:ascii="Times New Roman" w:cs="Times New Roman" w:eastAsia="Times New Roman" w:hAnsi="Times New Roman"/>
          <w:sz w:val="16"/>
          <w:szCs w:val="16"/>
          <w:color w:val="auto"/>
        </w:rPr>
      </w:pPr>
    </w:p>
    <w:p>
      <w:pPr>
        <w:ind w:left="780" w:hanging="198"/>
        <w:spacing w:after="0"/>
        <w:tabs>
          <w:tab w:leader="none" w:pos="7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after Dates in Registration Statement</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158"/>
        <w:spacing w:after="0" w:line="239" w:lineRule="auto"/>
        <w:tabs>
          <w:tab w:leader="none" w:pos="1344"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Change</w:t>
      </w:r>
      <w:r>
        <w:rPr>
          <w:rFonts w:ascii="Times New Roman" w:cs="Times New Roman" w:eastAsia="Times New Roman" w:hAnsi="Times New Roman"/>
          <w:sz w:val="16"/>
          <w:szCs w:val="16"/>
          <w:color w:val="auto"/>
        </w:rPr>
        <w:t>. Except as otherwise disclosed in the Registration Statement, the Pricing Disclosure Package and the Prospectus, since the respective dates as of which information is given in the Registration Statement, the Pricing Disclosure Package and the Prospectus, except as otherwise specifically stated therein: (i) there has been no material adverse change in the financial position or results of operations of the Company, nor to the Company’s knowledge, any change or development that, singularly or in the aggregate, would reasonably be expected to involve a material adverse change, in or affecting the condition (financial or otherwise), results of operations, business, assets or prospects of the Company and its subsidiaries, considered as one entity (a “</w:t>
      </w:r>
      <w:r>
        <w:rPr>
          <w:rFonts w:ascii="Times New Roman" w:cs="Times New Roman" w:eastAsia="Times New Roman" w:hAnsi="Times New Roman"/>
          <w:sz w:val="16"/>
          <w:szCs w:val="16"/>
          <w:u w:val="single" w:color="auto"/>
          <w:color w:val="auto"/>
        </w:rPr>
        <w:t>Material Adverse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Change</w:t>
      </w:r>
      <w:r>
        <w:rPr>
          <w:rFonts w:ascii="Times New Roman" w:cs="Times New Roman" w:eastAsia="Times New Roman" w:hAnsi="Times New Roman"/>
          <w:sz w:val="16"/>
          <w:szCs w:val="16"/>
          <w:color w:val="auto"/>
        </w:rPr>
        <w:t>”); and (ii) there have been no material transactions entered into by the Company that are not in the ordinary course of business, other than as contemplated pursuant to this Agreement; and (iii) no officer or director of the Company has resigned from any position with the Company.</w:t>
      </w:r>
    </w:p>
    <w:p>
      <w:pPr>
        <w:spacing w:after="0" w:line="157" w:lineRule="exact"/>
        <w:rPr>
          <w:rFonts w:ascii="Times New Roman" w:cs="Times New Roman" w:eastAsia="Times New Roman" w:hAnsi="Times New Roman"/>
          <w:sz w:val="16"/>
          <w:szCs w:val="16"/>
          <w:color w:val="auto"/>
        </w:rPr>
      </w:pPr>
    </w:p>
    <w:p>
      <w:pPr>
        <w:jc w:val="both"/>
        <w:ind w:firstLine="1158"/>
        <w:spacing w:after="0" w:line="239" w:lineRule="auto"/>
        <w:tabs>
          <w:tab w:leader="none" w:pos="138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Recent Securities Transactions, etc</w:t>
      </w:r>
      <w:r>
        <w:rPr>
          <w:rFonts w:ascii="Times New Roman" w:cs="Times New Roman" w:eastAsia="Times New Roman" w:hAnsi="Times New Roman"/>
          <w:sz w:val="16"/>
          <w:szCs w:val="16"/>
          <w:color w:val="auto"/>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(other than (i) grants under any stock compensation plan and (ii) shares of common stock issued upon exercise or conversion of option, warrants or convertible securities described in the Registration Statement, the Pricing Disclosure Package and the Prospectus) or incurred any material liability or obligation, direct or contingent, for borrowed money; or (ii) declared or paid any dividend or made any other distribution on or in respect to its capital stock.</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82"/>
        <w:spacing w:after="0" w:line="247" w:lineRule="auto"/>
        <w:tabs>
          <w:tab w:leader="none" w:pos="76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Accountants</w:t>
      </w:r>
      <w:r>
        <w:rPr>
          <w:rFonts w:ascii="Times New Roman" w:cs="Times New Roman" w:eastAsia="Times New Roman" w:hAnsi="Times New Roman"/>
          <w:sz w:val="16"/>
          <w:szCs w:val="16"/>
          <w:color w:val="auto"/>
        </w:rPr>
        <w:t xml:space="preserve">. To the knowledge of the Company, Weinberg &amp; Company, P.A. (the “ </w:t>
      </w:r>
      <w:r>
        <w:rPr>
          <w:rFonts w:ascii="Times New Roman" w:cs="Times New Roman" w:eastAsia="Times New Roman" w:hAnsi="Times New Roman"/>
          <w:sz w:val="16"/>
          <w:szCs w:val="16"/>
          <w:u w:val="single" w:color="auto"/>
          <w:color w:val="auto"/>
        </w:rPr>
        <w:t>Auditor</w:t>
      </w:r>
      <w:r>
        <w:rPr>
          <w:rFonts w:ascii="Times New Roman" w:cs="Times New Roman" w:eastAsia="Times New Roman" w:hAnsi="Times New Roman"/>
          <w:sz w:val="16"/>
          <w:szCs w:val="16"/>
          <w:color w:val="auto"/>
        </w:rPr>
        <w:t>”),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w:t>
      </w:r>
    </w:p>
    <w:p>
      <w:pPr>
        <w:spacing w:after="0" w:line="152" w:lineRule="exact"/>
        <w:rPr>
          <w:rFonts w:ascii="Times New Roman" w:cs="Times New Roman" w:eastAsia="Times New Roman" w:hAnsi="Times New Roman"/>
          <w:sz w:val="16"/>
          <w:szCs w:val="16"/>
          <w:color w:val="auto"/>
        </w:rPr>
      </w:pPr>
    </w:p>
    <w:p>
      <w:pPr>
        <w:jc w:val="both"/>
        <w:ind w:firstLine="582"/>
        <w:spacing w:after="0" w:line="272" w:lineRule="auto"/>
        <w:tabs>
          <w:tab w:leader="none" w:pos="8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 etc</w:t>
      </w:r>
      <w:r>
        <w:rPr>
          <w:rFonts w:ascii="Times New Roman" w:cs="Times New Roman" w:eastAsia="Times New Roman" w:hAnsi="Times New Roman"/>
          <w:sz w:val="14"/>
          <w:szCs w:val="14"/>
          <w:color w:val="auto"/>
        </w:rPr>
        <w:t>. The financial statements, including the notes thereto and supporting schedules included or incorporated by reference in the Registration Statement, the Pricing Disclosure Package and the Prospectus, fairly present in all material respects the financial position and the results of operations of the Company at the dates and for the periods to which they apply; and such financial statements have been prepared in conformity with United States generally accepted accounting principles (“</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included in the Registration Statement present fairly in all material respects the information required to be stated therein. Except as included therein, no historical or pro forma financial statements are required to be included in the Registration Statement, the Pricing Disclosure Package or the Prospectus under the Securities Act or the Securities Act Regulations. The pro forma and pro forma as adjusted financial information and the related notes, if any, included in the Registration Statement, the Pricing Disclosure Package and the Prospectus have been properly compiled and prepared in all material respects in accordance with the applicable requirements of the Securities Act and the Securities Act Regulations and present fairly in all material respects the information shown therein, and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comply with Regulation G of the Exchange Act and Item 10 of Regulation S-K of the Securities Act, to the extent applicable. Each of the Registration Statement, the Pricing Disclosure Package and the Prospectus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the Pricing Disclosure Package and the Prospectus, (a) the Company has not incurred any</w:t>
      </w:r>
    </w:p>
    <w:p>
      <w:pPr>
        <w:sectPr>
          <w:pgSz w:w="11900" w:h="16840" w:orient="portrait"/>
          <w:cols w:equalWidth="0" w:num="1">
            <w:col w:w="10580"/>
          </w:cols>
          <w:pgMar w:left="660" w:top="557" w:right="660" w:bottom="244" w:gutter="0" w:footer="0" w:header="0"/>
        </w:sectPr>
      </w:pPr>
    </w:p>
    <w:bookmarkStart w:id="6" w:name="page7"/>
    <w:bookmarkEnd w:id="6"/>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(other than (i) grants under any stock compensation plan and (ii) shares of common stock issued upon exercise or conversion of option, warrants or convertible securities described in the Registration Statement, the Pricing Disclosure Package and the Prospectus), and (d) there has not been any Material Adverse Change in the Company’s long-term or short-term debt.</w:t>
      </w:r>
    </w:p>
    <w:p>
      <w:pPr>
        <w:spacing w:after="0" w:line="157" w:lineRule="exact"/>
        <w:rPr>
          <w:sz w:val="20"/>
          <w:szCs w:val="20"/>
          <w:color w:val="auto"/>
        </w:rPr>
      </w:pPr>
    </w:p>
    <w:p>
      <w:pPr>
        <w:jc w:val="both"/>
        <w:ind w:right="20" w:firstLine="582"/>
        <w:spacing w:after="0" w:line="239" w:lineRule="auto"/>
        <w:tabs>
          <w:tab w:leader="none" w:pos="80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Capital; Options, etc</w:t>
      </w:r>
      <w:r>
        <w:rPr>
          <w:rFonts w:ascii="Times New Roman" w:cs="Times New Roman" w:eastAsia="Times New Roman" w:hAnsi="Times New Roman"/>
          <w:sz w:val="16"/>
          <w:szCs w:val="16"/>
          <w:color w:val="auto"/>
        </w:rPr>
        <w:t>. The Company had, at the date or dates indicated in the Registration Statement, the Pricing Disclosure Package and the Prospectus, the duly authorized, issued and outstanding capitalization as set forth therein (other than for subsequent issuances, if any, pursuant to employee benefit plans, or upon the exercise of outstanding options or warrants or the settlement of restricted stock units, in each case described in the Registration Statement, the Pricing Disclosure Package and the Prospectus). Based on the assumptions stated in the Registration Statement, the Pricing Disclosure Package and the Prospectus, the Company will have on the Closing Date the adjusted stock capitalization set forth therein. There are no stock options, warrants, or other rights to purchase or otherwise acquire any authorized, but unissued shares of Common Stock of the Company or any security convertible or exercisable into shares of Common Stock of the Company other than those described in the Registration Statement, the Pricing Disclosure Package and the Prospectus.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60" w:hanging="1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 Issuance of Securities, etc.</w:t>
      </w:r>
    </w:p>
    <w:p>
      <w:pPr>
        <w:spacing w:after="0" w:line="176" w:lineRule="exact"/>
        <w:rPr>
          <w:rFonts w:ascii="Times New Roman" w:cs="Times New Roman" w:eastAsia="Times New Roman" w:hAnsi="Times New Roman"/>
          <w:sz w:val="16"/>
          <w:szCs w:val="16"/>
          <w:color w:val="auto"/>
        </w:rPr>
      </w:pPr>
    </w:p>
    <w:p>
      <w:pPr>
        <w:jc w:val="both"/>
        <w:ind w:right="20" w:firstLine="1158"/>
        <w:spacing w:after="0" w:line="278" w:lineRule="auto"/>
        <w:tabs>
          <w:tab w:leader="none" w:pos="133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Outstanding Securities</w:t>
      </w:r>
      <w:r>
        <w:rPr>
          <w:rFonts w:ascii="Times New Roman" w:cs="Times New Roman" w:eastAsia="Times New Roman" w:hAnsi="Times New Roman"/>
          <w:sz w:val="14"/>
          <w:szCs w:val="14"/>
          <w:color w:val="auto"/>
        </w:rPr>
        <w:t>. All issued and outstanding securities of the Company issued prior to the transactions contemplated by this Agreement have been duly authorized and validly issued and are fully paid and non-assessable; and except as disclosed in the Registration Statement, the Pricing Disclosure Package and the Prospectus, none of such securities were issued in violation of the preemptive rights of any holders of any security of the Company or similar contractual rights granted by the Company. The authorized shares of Common Stock and other securities of the Company to be outstanding upon consummation of the Offering conform in all material respects to all statements relating thereto contained in the Registration Statement, the Pricing Disclosure Package and the Prospectus. The offers and sales of the outstanding shares of Common Stock were at all relevant times either registered under the Securities Act and the applicable state securities or “blue sky” laws or, based in part on the representations and warranties of the purchasers of such shares, exempt from such registration requirements.</w:t>
      </w:r>
    </w:p>
    <w:p>
      <w:pPr>
        <w:spacing w:after="0" w:line="135" w:lineRule="exact"/>
        <w:rPr>
          <w:rFonts w:ascii="Times New Roman" w:cs="Times New Roman" w:eastAsia="Times New Roman" w:hAnsi="Times New Roman"/>
          <w:sz w:val="14"/>
          <w:szCs w:val="14"/>
          <w:color w:val="auto"/>
        </w:rPr>
      </w:pPr>
    </w:p>
    <w:p>
      <w:pPr>
        <w:jc w:val="both"/>
        <w:ind w:right="20" w:firstLine="1158"/>
        <w:spacing w:after="0" w:line="241" w:lineRule="auto"/>
        <w:tabs>
          <w:tab w:leader="none" w:pos="138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Securities Sold Pursuant to this Agreement</w:t>
      </w:r>
      <w:r>
        <w:rPr>
          <w:rFonts w:ascii="Times New Roman" w:cs="Times New Roman" w:eastAsia="Times New Roman" w:hAnsi="Times New Roman"/>
          <w:sz w:val="16"/>
          <w:szCs w:val="16"/>
          <w:color w:val="auto"/>
        </w:rPr>
        <w:t>. The Securities have been duly authorized for issuance and sale and, when issued and paid for, will be validly issued, fully paid and non-assessable; the Securities are not and will not be subject to the preemptive rights of any holders of any security of the Company or similar contractual rights granted by the Company, except as disclosed in the Registration Statement, the Pricing Disclosure Package and the Prospectus; and all corporate action required to be taken for the authorization, issuance and sale of the Securities has been duly and validly taken; the Securities conform in all material respects to all statements with respect thereto contained in the Registration Statement, the Pricing Disclosure Package and the Prospectus.</w:t>
      </w:r>
    </w:p>
    <w:p>
      <w:pPr>
        <w:spacing w:after="0" w:line="157" w:lineRule="exact"/>
        <w:rPr>
          <w:sz w:val="20"/>
          <w:szCs w:val="20"/>
          <w:color w:val="auto"/>
        </w:rPr>
      </w:pPr>
    </w:p>
    <w:p>
      <w:pPr>
        <w:jc w:val="both"/>
        <w:ind w:right="20" w:firstLine="582"/>
        <w:spacing w:after="0" w:line="243" w:lineRule="auto"/>
        <w:tabs>
          <w:tab w:leader="none" w:pos="75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 of Third Parties</w:t>
      </w:r>
      <w:r>
        <w:rPr>
          <w:rFonts w:ascii="Times New Roman" w:cs="Times New Roman" w:eastAsia="Times New Roman" w:hAnsi="Times New Roman"/>
          <w:sz w:val="16"/>
          <w:szCs w:val="16"/>
          <w:color w:val="auto"/>
        </w:rPr>
        <w:t>. Except as set forth in the Registration Statement, the Pricing Disclosure Package and the Prospectus, no 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 (except for any such rights that have been waived).</w:t>
      </w:r>
    </w:p>
    <w:p>
      <w:pPr>
        <w:spacing w:after="0" w:line="155" w:lineRule="exact"/>
        <w:rPr>
          <w:rFonts w:ascii="Times New Roman" w:cs="Times New Roman" w:eastAsia="Times New Roman" w:hAnsi="Times New Roman"/>
          <w:sz w:val="16"/>
          <w:szCs w:val="16"/>
          <w:color w:val="auto"/>
        </w:rPr>
      </w:pPr>
    </w:p>
    <w:p>
      <w:pPr>
        <w:jc w:val="both"/>
        <w:ind w:right="20" w:firstLine="582"/>
        <w:spacing w:after="0" w:line="239" w:lineRule="auto"/>
        <w:tabs>
          <w:tab w:leader="none" w:pos="79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Validity and Binding Effect of Agreements</w:t>
      </w:r>
      <w:r>
        <w:rPr>
          <w:rFonts w:ascii="Times New Roman" w:cs="Times New Roman" w:eastAsia="Times New Roman" w:hAnsi="Times New Roman"/>
          <w:sz w:val="16"/>
          <w:szCs w:val="16"/>
          <w:color w:val="auto"/>
        </w:rPr>
        <w:t xml:space="preserve"> . This Agreement, the Warrant Agreement, and the Common Warrants have been duly and validly authorized by the Company, and, when executed and delivered and assuming due execution and delivery by the other parties thereto, will constitute, the valid and binding agreements of the Company, enforceable against the Company in accordance with its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1" w:lineRule="exact"/>
        <w:rPr>
          <w:rFonts w:ascii="Times New Roman" w:cs="Times New Roman" w:eastAsia="Times New Roman" w:hAnsi="Times New Roman"/>
          <w:sz w:val="16"/>
          <w:szCs w:val="16"/>
          <w:color w:val="auto"/>
        </w:rPr>
      </w:pPr>
    </w:p>
    <w:p>
      <w:pPr>
        <w:jc w:val="both"/>
        <w:ind w:right="20" w:firstLine="582"/>
        <w:spacing w:after="0" w:line="238" w:lineRule="auto"/>
        <w:tabs>
          <w:tab w:leader="none" w:pos="76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 etc</w:t>
      </w:r>
      <w:r>
        <w:rPr>
          <w:rFonts w:ascii="Times New Roman" w:cs="Times New Roman" w:eastAsia="Times New Roman" w:hAnsi="Times New Roman"/>
          <w:sz w:val="16"/>
          <w:szCs w:val="16"/>
          <w:color w:val="auto"/>
        </w:rPr>
        <w:t>. The execution, delivery and performance by the Company of this Agreement, the Warrant Agreement, the Common Warrants and all ancillary documents, the consummation by the Company of the transactions herein and therein contemplated and the compliance by the Company with the terms hereof and thereof do not and will not, with or without the giving of notice or the lapse of time or both: (i) result in a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Company’s Certificate of Incorporation (as the same may be amended or restated from time to time, the “</w:t>
      </w:r>
      <w:r>
        <w:rPr>
          <w:rFonts w:ascii="Times New Roman" w:cs="Times New Roman" w:eastAsia="Times New Roman" w:hAnsi="Times New Roman"/>
          <w:sz w:val="16"/>
          <w:szCs w:val="16"/>
          <w:u w:val="single" w:color="auto"/>
          <w:color w:val="auto"/>
        </w:rPr>
        <w:t>Charter</w:t>
      </w:r>
      <w:r>
        <w:rPr>
          <w:rFonts w:ascii="Times New Roman" w:cs="Times New Roman" w:eastAsia="Times New Roman" w:hAnsi="Times New Roman"/>
          <w:sz w:val="16"/>
          <w:szCs w:val="16"/>
          <w:color w:val="auto"/>
        </w:rPr>
        <w:t>”) or the by-laws of the Company (as the same may be amended or restated from time to time,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or (iii) violate any existing applicable law, rule, regulation, judgment, order or decree of any Governmental Entity having jurisdiction over the Company as of the date hereof, except in the cases of clauses (i) and (iii) for such breaches, conflicts or violations which would not reasonably be expected to have a Material Adverse Change.</w:t>
      </w:r>
    </w:p>
    <w:p>
      <w:pPr>
        <w:spacing w:after="0" w:line="158" w:lineRule="exact"/>
        <w:rPr>
          <w:rFonts w:ascii="Times New Roman" w:cs="Times New Roman" w:eastAsia="Times New Roman" w:hAnsi="Times New Roman"/>
          <w:sz w:val="16"/>
          <w:szCs w:val="16"/>
          <w:color w:val="auto"/>
        </w:rPr>
      </w:pPr>
    </w:p>
    <w:p>
      <w:pPr>
        <w:ind w:firstLine="582"/>
        <w:spacing w:after="0" w:line="236" w:lineRule="auto"/>
        <w:tabs>
          <w:tab w:leader="none" w:pos="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w:t>
      </w:r>
      <w:r>
        <w:rPr>
          <w:rFonts w:ascii="Times New Roman" w:cs="Times New Roman" w:eastAsia="Times New Roman" w:hAnsi="Times New Roman"/>
          <w:sz w:val="16"/>
          <w:szCs w:val="16"/>
          <w:color w:val="auto"/>
        </w:rPr>
        <w:t>. Except as described in the Registration Statement, the Pricing Disclosure Package and the Prospectus or as would not reasonably be expected to result, individually or in the aggregate, in a Material Adverse Change: (i) the Company has not received notice from any Governmental Entity alleging or asserting noncompliance with any Applicable Laws (as defined in clause (ii) below) or Authorizations (as defined in clause (iii) below); (ii) the Company is and has been in material compliance with federal, state or foreign statutes, laws, ordinances, rules and regulations applicable to the Company (collectively, “</w:t>
      </w:r>
      <w:r>
        <w:rPr>
          <w:rFonts w:ascii="Times New Roman" w:cs="Times New Roman" w:eastAsia="Times New Roman" w:hAnsi="Times New Roman"/>
          <w:sz w:val="16"/>
          <w:szCs w:val="16"/>
          <w:u w:val="single" w:color="auto"/>
          <w:color w:val="auto"/>
        </w:rPr>
        <w:t>Applicable Laws</w:t>
      </w:r>
      <w:r>
        <w:rPr>
          <w:rFonts w:ascii="Times New Roman" w:cs="Times New Roman" w:eastAsia="Times New Roman" w:hAnsi="Times New Roman"/>
          <w:sz w:val="16"/>
          <w:szCs w:val="16"/>
          <w:color w:val="auto"/>
        </w:rPr>
        <w:t>”); (iii) the Company possesses all material licenses, certificates, approvals, clearances, consents, authorizations, qualifications, registrations, permits, and supplements or amendments thereto required by any such Applicable Laws and/or to carry on its businesses as now conducted (“</w:t>
      </w:r>
      <w:r>
        <w:rPr>
          <w:rFonts w:ascii="Times New Roman" w:cs="Times New Roman" w:eastAsia="Times New Roman" w:hAnsi="Times New Roman"/>
          <w:sz w:val="16"/>
          <w:szCs w:val="16"/>
          <w:u w:val="single" w:color="auto"/>
          <w:color w:val="auto"/>
        </w:rPr>
        <w:t>Authorizations</w:t>
      </w:r>
      <w:r>
        <w:rPr>
          <w:rFonts w:ascii="Times New Roman" w:cs="Times New Roman" w:eastAsia="Times New Roman" w:hAnsi="Times New Roman"/>
          <w:sz w:val="16"/>
          <w:szCs w:val="16"/>
          <w:color w:val="auto"/>
        </w:rPr>
        <w:t>”) and to the Company’s knowledge, such Authorizations are valid and in full force and effect and the Company is not in violation of any term of any such Authorizations; (iv) the Company has not received notice of any claim, action, suit, proceeding, hearing, enforcement, investigation, arbitration or other action from any Governmental Entity or third party alleging that any product, operation or activity is in violation of any Applicable Laws or Authorizations or has any knowledge that any such Governmental Entity or third party is considering any such claim, litigation, arbitration, action, suit, investigation or proceeding, nor, to the Company’s knowledge, has there been any material noncompliance with or violation of any Applicable Laws by the Company that would reasonably be expected to require the issuance of any such communication or result in an investigation, corrective action, or enforcement action by any Governmental Entity; and (v) the Company has not received notice that any Governmental Entity has taken, is taking or intends to take action to limit, suspend, modify or revoke any Authorizations or has any knowledge that any such Governmental Entity has threatened or is considering such action. Neither the Company nor, to the Company’s knowledge, any of its directors, officers, employees or agents has been convicted of any crime under any Applicable Laws.</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82"/>
        <w:spacing w:after="0" w:line="239" w:lineRule="auto"/>
        <w:tabs>
          <w:tab w:leader="none" w:pos="79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Defaults; Violations</w:t>
      </w:r>
      <w:r>
        <w:rPr>
          <w:rFonts w:ascii="Times New Roman" w:cs="Times New Roman" w:eastAsia="Times New Roman" w:hAnsi="Times New Roman"/>
          <w:sz w:val="16"/>
          <w:szCs w:val="16"/>
          <w:color w:val="auto"/>
        </w:rPr>
        <w:t>. To the Company’s knowledge,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to its knowledge, (i) in violation of any term or provision of its Charter or Bylaws, or (ii) in violation of any franchise, license, permit, applicable law, rule, regulation, judgment or decree of any Governmental Entity applicable to the Company, except for such defaults or violations the consequences of which would not reasonably be expected to result in a Material Adverse Change.</w:t>
      </w:r>
    </w:p>
    <w:p>
      <w:pPr>
        <w:spacing w:after="0" w:line="161" w:lineRule="exact"/>
        <w:rPr>
          <w:rFonts w:ascii="Times New Roman" w:cs="Times New Roman" w:eastAsia="Times New Roman" w:hAnsi="Times New Roman"/>
          <w:sz w:val="16"/>
          <w:szCs w:val="16"/>
          <w:color w:val="auto"/>
        </w:rPr>
      </w:pPr>
    </w:p>
    <w:p>
      <w:pPr>
        <w:ind w:left="800" w:hanging="218"/>
        <w:spacing w:after="0"/>
        <w:tabs>
          <w:tab w:leader="none" w:pos="8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Corporate Power; Licenses; Consents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right="20" w:firstLine="1158"/>
        <w:spacing w:after="0" w:line="259" w:lineRule="auto"/>
        <w:tabs>
          <w:tab w:leader="none" w:pos="133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Conduct of Business</w:t>
      </w:r>
      <w:r>
        <w:rPr>
          <w:rFonts w:ascii="Times New Roman" w:cs="Times New Roman" w:eastAsia="Times New Roman" w:hAnsi="Times New Roman"/>
          <w:sz w:val="16"/>
          <w:szCs w:val="16"/>
          <w:color w:val="auto"/>
        </w:rPr>
        <w:t>. Except as described in the Registration Statement, the Pricing Disclosure Package and the Prospectus, the Company has all requisite corporate power and authority, and has all necessary authorizations, approvals, orders, licenses, certificates and permits of and from all governmental</w:t>
      </w:r>
    </w:p>
    <w:p>
      <w:pPr>
        <w:sectPr>
          <w:pgSz w:w="11900" w:h="16840" w:orient="portrait"/>
          <w:cols w:equalWidth="0" w:num="1">
            <w:col w:w="10600"/>
          </w:cols>
          <w:pgMar w:left="660" w:top="557" w:right="640" w:bottom="65"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16"/>
          <w:szCs w:val="16"/>
          <w:color w:val="auto"/>
        </w:rPr>
        <w:t>regulatory officials and bodies that it needs as of the date hereof to conduct its business purpose as described in the Registration Statement, the Pricing Disclosure Package and the Prospectus, except where such failure would not reasonably be expected to result in a Material Adverse Change.</w:t>
      </w:r>
    </w:p>
    <w:p>
      <w:pPr>
        <w:spacing w:after="0" w:line="143" w:lineRule="exact"/>
        <w:rPr>
          <w:sz w:val="20"/>
          <w:szCs w:val="20"/>
          <w:color w:val="auto"/>
        </w:rPr>
      </w:pPr>
    </w:p>
    <w:p>
      <w:pPr>
        <w:jc w:val="both"/>
        <w:ind w:firstLine="1158"/>
        <w:spacing w:after="0" w:line="239" w:lineRule="auto"/>
        <w:tabs>
          <w:tab w:leader="none" w:pos="138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Transactions Contemplated Herein</w:t>
      </w:r>
      <w:r>
        <w:rPr>
          <w:rFonts w:ascii="Times New Roman" w:cs="Times New Roman" w:eastAsia="Times New Roman" w:hAnsi="Times New Roman"/>
          <w:sz w:val="16"/>
          <w:szCs w:val="16"/>
          <w:color w:val="auto"/>
        </w:rPr>
        <w:t>. The Company has all corporate power and authority to enter into this Agreement, the Warrant Agreement, and the Common Warrants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Common Warrants and as contemplated by the Registration Statement, the Pricing Disclosure Package and the Prospectus, except with respect to applicable federal and state securities laws and the rules and regulations of the Financial Industry Regulatory Authority, Inc. (“</w:t>
      </w:r>
      <w:r>
        <w:rPr>
          <w:rFonts w:ascii="Times New Roman" w:cs="Times New Roman" w:eastAsia="Times New Roman" w:hAnsi="Times New Roman"/>
          <w:sz w:val="16"/>
          <w:szCs w:val="16"/>
          <w:u w:val="single" w:color="auto"/>
          <w:color w:val="auto"/>
        </w:rPr>
        <w:t>FINRA</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right="20" w:firstLine="582"/>
        <w:spacing w:after="0" w:line="241" w:lineRule="auto"/>
        <w:tabs>
          <w:tab w:leader="none" w:pos="81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D&amp;O Questionnaires</w:t>
      </w:r>
      <w:r>
        <w:rPr>
          <w:rFonts w:ascii="Times New Roman" w:cs="Times New Roman" w:eastAsia="Times New Roman" w:hAnsi="Times New Roman"/>
          <w:sz w:val="16"/>
          <w:szCs w:val="16"/>
          <w:color w:val="auto"/>
        </w:rPr>
        <w:t>. To the Company’s knowledge, all information contained in the questionnaires (the “</w:t>
      </w:r>
      <w:r>
        <w:rPr>
          <w:rFonts w:ascii="Times New Roman" w:cs="Times New Roman" w:eastAsia="Times New Roman" w:hAnsi="Times New Roman"/>
          <w:sz w:val="16"/>
          <w:szCs w:val="16"/>
          <w:u w:val="single" w:color="auto"/>
          <w:color w:val="auto"/>
        </w:rPr>
        <w:t>Questionnaires</w:t>
      </w:r>
      <w:r>
        <w:rPr>
          <w:rFonts w:ascii="Times New Roman" w:cs="Times New Roman" w:eastAsia="Times New Roman" w:hAnsi="Times New Roman"/>
          <w:sz w:val="16"/>
          <w:szCs w:val="16"/>
          <w:color w:val="auto"/>
        </w:rPr>
        <w:t>”) completed by each of the Company’s directors, officers and 5% shareholders immediately prior to the Offering (the “</w:t>
      </w:r>
      <w:r>
        <w:rPr>
          <w:rFonts w:ascii="Times New Roman" w:cs="Times New Roman" w:eastAsia="Times New Roman" w:hAnsi="Times New Roman"/>
          <w:sz w:val="16"/>
          <w:szCs w:val="16"/>
          <w:u w:val="single" w:color="auto"/>
          <w:color w:val="auto"/>
        </w:rPr>
        <w:t>Insiders</w:t>
      </w:r>
      <w:r>
        <w:rPr>
          <w:rFonts w:ascii="Times New Roman" w:cs="Times New Roman" w:eastAsia="Times New Roman" w:hAnsi="Times New Roman"/>
          <w:sz w:val="16"/>
          <w:szCs w:val="16"/>
          <w:color w:val="auto"/>
        </w:rPr>
        <w:t>”) as supplemented by all information concerning the Company’s directors, officers and principal stockholders as described in the Registration Statement, the Pricing Disclosure Package and the Prospectus, provided to the Representative, is true and correct in all material respects and the Company has not become aware of any information which would cause the information disclosed in the Questionnaires to become materially inaccurate and incorrect.</w:t>
      </w:r>
    </w:p>
    <w:p>
      <w:pPr>
        <w:spacing w:after="0" w:line="156" w:lineRule="exact"/>
        <w:rPr>
          <w:rFonts w:ascii="Times New Roman" w:cs="Times New Roman" w:eastAsia="Times New Roman" w:hAnsi="Times New Roman"/>
          <w:sz w:val="16"/>
          <w:szCs w:val="16"/>
          <w:color w:val="auto"/>
        </w:rPr>
      </w:pPr>
    </w:p>
    <w:p>
      <w:pPr>
        <w:jc w:val="both"/>
        <w:ind w:firstLine="582"/>
        <w:spacing w:after="0" w:line="243" w:lineRule="auto"/>
        <w:tabs>
          <w:tab w:leader="none" w:pos="82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 Governmental Proceedings</w:t>
      </w:r>
      <w:r>
        <w:rPr>
          <w:rFonts w:ascii="Times New Roman" w:cs="Times New Roman" w:eastAsia="Times New Roman" w:hAnsi="Times New Roman"/>
          <w:sz w:val="16"/>
          <w:szCs w:val="16"/>
          <w:color w:val="auto"/>
        </w:rPr>
        <w:t>. There is no material action, suit, proceeding, inquiry, arbitration, investigation, litigation or governmental proceeding pending or, to the Company’s knowledge, threatened against, or involving the Company or, to the Company’s knowledge, any executive officer or director which has not been disclosed in the Registration Statement, the Pricing Disclosure Package and the Prospectus which is required to be disclosed, in each case which individually or in the aggregate, is reasonably expected to result in a Material Adverse Change.</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582"/>
        <w:spacing w:after="0" w:line="243" w:lineRule="auto"/>
        <w:tabs>
          <w:tab w:leader="none" w:pos="7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Good Standing</w:t>
      </w:r>
      <w:r>
        <w:rPr>
          <w:rFonts w:ascii="Times New Roman" w:cs="Times New Roman" w:eastAsia="Times New Roman" w:hAnsi="Times New Roman"/>
          <w:sz w:val="16"/>
          <w:szCs w:val="16"/>
          <w:color w:val="auto"/>
        </w:rPr>
        <w:t>. The Company has been duly organized and is validly existing as a corporation and is in good standing under the laws of the State of Delaware as of the date hereof, and is duly qualified to do business and is in good standing in each other jurisdiction in which its ownership or lease of property or the conduct of business requires such qualification, except where the failure to qualify, singularly or in the aggregate, would not have or reasonably be expected to result in a Material Adverse Change.</w:t>
      </w:r>
    </w:p>
    <w:p>
      <w:pPr>
        <w:spacing w:after="0" w:line="155" w:lineRule="exact"/>
        <w:rPr>
          <w:rFonts w:ascii="Times New Roman" w:cs="Times New Roman" w:eastAsia="Times New Roman" w:hAnsi="Times New Roman"/>
          <w:sz w:val="16"/>
          <w:szCs w:val="16"/>
          <w:color w:val="auto"/>
        </w:rPr>
      </w:pPr>
    </w:p>
    <w:p>
      <w:pPr>
        <w:jc w:val="both"/>
        <w:ind w:right="20" w:firstLine="582"/>
        <w:spacing w:after="0" w:line="243" w:lineRule="auto"/>
        <w:tabs>
          <w:tab w:leader="none" w:pos="79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will carry insurance in such amounts and covering such risks which the Company believes are reasonably adequate and as is customary for companies engaged in similar businesses in similar industries. The Company has no reason to believe that it will not be able to obtain comparable coverage from insurers as may be necessary or appropriate to conduct its business as now conducted and at a cost that would not reasonably be expected to result in a Material Adverse Change.</w:t>
      </w:r>
    </w:p>
    <w:p>
      <w:pPr>
        <w:spacing w:after="0" w:line="155" w:lineRule="exact"/>
        <w:rPr>
          <w:rFonts w:ascii="Times New Roman" w:cs="Times New Roman" w:eastAsia="Times New Roman" w:hAnsi="Times New Roman"/>
          <w:sz w:val="16"/>
          <w:szCs w:val="16"/>
          <w:color w:val="auto"/>
        </w:rPr>
      </w:pPr>
    </w:p>
    <w:p>
      <w:pPr>
        <w:ind w:left="760" w:hanging="1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Transactions Affecting Disclosure to FINRA</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right="20" w:firstLine="1158"/>
        <w:spacing w:after="0" w:line="243" w:lineRule="auto"/>
        <w:tabs>
          <w:tab w:leader="none" w:pos="1332"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Finder’s Fees</w:t>
      </w:r>
      <w:r>
        <w:rPr>
          <w:rFonts w:ascii="Times New Roman" w:cs="Times New Roman" w:eastAsia="Times New Roman" w:hAnsi="Times New Roman"/>
          <w:sz w:val="16"/>
          <w:szCs w:val="16"/>
          <w:color w:val="auto"/>
        </w:rPr>
        <w:t>. Except as described in the Registration Statement, the Pricing Disclosure Package and the Prospectus, there are no claims, payments, arrangements, agreements or understandings relating to the payment of a finder’s, consulting or origination fee by the Company or any Insider with respect to the sale of the Securities hereunder or any other arrangements, agreements or understandings of the Company or, to the Company’s knowledge, any of its stockholders that may affect the Underwriters’ compensation, as determined by FINRA.</w:t>
      </w:r>
    </w:p>
    <w:p>
      <w:pPr>
        <w:spacing w:after="0" w:line="155" w:lineRule="exact"/>
        <w:rPr>
          <w:rFonts w:ascii="Times New Roman" w:cs="Times New Roman" w:eastAsia="Times New Roman" w:hAnsi="Times New Roman"/>
          <w:sz w:val="16"/>
          <w:szCs w:val="16"/>
          <w:color w:val="auto"/>
        </w:rPr>
      </w:pPr>
    </w:p>
    <w:p>
      <w:pPr>
        <w:jc w:val="both"/>
        <w:ind w:right="20" w:firstLine="1158"/>
        <w:spacing w:after="0" w:line="241" w:lineRule="auto"/>
        <w:tabs>
          <w:tab w:leader="none" w:pos="138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Payments Within Twelve (12) Months</w:t>
      </w:r>
      <w:r>
        <w:rPr>
          <w:rFonts w:ascii="Times New Roman" w:cs="Times New Roman" w:eastAsia="Times New Roman" w:hAnsi="Times New Roman"/>
          <w:sz w:val="16"/>
          <w:szCs w:val="16"/>
          <w:color w:val="auto"/>
        </w:rPr>
        <w:t xml:space="preserve"> . Except as described in the Registration Statement, the Pricing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period immediately preceding the Effective Date.</w:t>
      </w:r>
    </w:p>
    <w:p>
      <w:pPr>
        <w:spacing w:after="0" w:line="156" w:lineRule="exact"/>
        <w:rPr>
          <w:rFonts w:ascii="Times New Roman" w:cs="Times New Roman" w:eastAsia="Times New Roman" w:hAnsi="Times New Roman"/>
          <w:sz w:val="16"/>
          <w:szCs w:val="16"/>
          <w:color w:val="auto"/>
        </w:rPr>
      </w:pPr>
    </w:p>
    <w:p>
      <w:pPr>
        <w:ind w:right="20" w:firstLine="1158"/>
        <w:spacing w:after="0" w:line="259" w:lineRule="auto"/>
        <w:tabs>
          <w:tab w:leader="none" w:pos="1428"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 of Proceeds</w:t>
      </w:r>
      <w:r>
        <w:rPr>
          <w:rFonts w:ascii="Times New Roman" w:cs="Times New Roman" w:eastAsia="Times New Roman" w:hAnsi="Times New Roman"/>
          <w:sz w:val="16"/>
          <w:szCs w:val="16"/>
          <w:color w:val="auto"/>
        </w:rPr>
        <w:t>. None of the net proceeds of the Offering will be paid by the Company to any participating FINRA member or its affiliates, except as specifically authorized herein.</w:t>
      </w:r>
    </w:p>
    <w:p>
      <w:pPr>
        <w:spacing w:after="0" w:line="143" w:lineRule="exact"/>
        <w:rPr>
          <w:rFonts w:ascii="Times New Roman" w:cs="Times New Roman" w:eastAsia="Times New Roman" w:hAnsi="Times New Roman"/>
          <w:sz w:val="16"/>
          <w:szCs w:val="16"/>
          <w:color w:val="auto"/>
        </w:rPr>
      </w:pPr>
    </w:p>
    <w:p>
      <w:pPr>
        <w:jc w:val="both"/>
        <w:ind w:right="20" w:firstLine="1158"/>
        <w:spacing w:after="0" w:line="243" w:lineRule="auto"/>
        <w:tabs>
          <w:tab w:leader="none" w:pos="1416"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FINRA Affiliation</w:t>
      </w:r>
      <w:r>
        <w:rPr>
          <w:rFonts w:ascii="Times New Roman" w:cs="Times New Roman" w:eastAsia="Times New Roman" w:hAnsi="Times New Roman"/>
          <w:sz w:val="16"/>
          <w:szCs w:val="16"/>
          <w:color w:val="auto"/>
        </w:rPr>
        <w:t>. There is no (i) officer or director of the Company, (ii) to the Company’s knowledge, beneficial owner of 10% or more of any class of the Company’s securities or (iii) to the Company’s knowledge, beneficial owner of the Company’s unregistered equity securities which were acquired during the 180-day period immediately preceding the original filing of the Registration Statement that, in each case, is an affiliate or associated person of a FINRA member participating in the Offering (as determined in accordance with the rules and regulations of FINRA).</w:t>
      </w:r>
    </w:p>
    <w:p>
      <w:pPr>
        <w:spacing w:after="0" w:line="155" w:lineRule="exact"/>
        <w:rPr>
          <w:rFonts w:ascii="Times New Roman" w:cs="Times New Roman" w:eastAsia="Times New Roman" w:hAnsi="Times New Roman"/>
          <w:sz w:val="16"/>
          <w:szCs w:val="16"/>
          <w:color w:val="auto"/>
        </w:rPr>
      </w:pPr>
    </w:p>
    <w:p>
      <w:pPr>
        <w:ind w:right="40" w:firstLine="1158"/>
        <w:spacing w:after="0" w:line="331" w:lineRule="auto"/>
        <w:tabs>
          <w:tab w:leader="none" w:pos="1368"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All information provided by the Company in its FINRA Questionnaire to Underwriters’ Counsel specifically for use by Underwriters’ Counsel in connection with its Public Offering System filings (and related disclosure) with FINRA is true, correct and complete in all material respects.</w:t>
      </w:r>
    </w:p>
    <w:p>
      <w:pPr>
        <w:spacing w:after="0" w:line="96" w:lineRule="exact"/>
        <w:rPr>
          <w:rFonts w:ascii="Times New Roman" w:cs="Times New Roman" w:eastAsia="Times New Roman" w:hAnsi="Times New Roman"/>
          <w:sz w:val="14"/>
          <w:szCs w:val="14"/>
          <w:color w:val="auto"/>
        </w:rPr>
      </w:pPr>
    </w:p>
    <w:p>
      <w:pPr>
        <w:jc w:val="both"/>
        <w:ind w:firstLine="582"/>
        <w:spacing w:after="0" w:line="238" w:lineRule="auto"/>
        <w:tabs>
          <w:tab w:leader="none" w:pos="79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Corrupt Practices Act</w:t>
      </w:r>
      <w:r>
        <w:rPr>
          <w:rFonts w:ascii="Times New Roman" w:cs="Times New Roman" w:eastAsia="Times New Roman" w:hAnsi="Times New Roman"/>
          <w:sz w:val="16"/>
          <w:szCs w:val="16"/>
          <w:color w:val="auto"/>
        </w:rPr>
        <w:t>. Neither the Company nor, to the Company’s knowledge, any director, officer, agent, employee or affiliate of the Company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spacing w:after="0" w:line="158" w:lineRule="exact"/>
        <w:rPr>
          <w:rFonts w:ascii="Times New Roman" w:cs="Times New Roman" w:eastAsia="Times New Roman" w:hAnsi="Times New Roman"/>
          <w:sz w:val="16"/>
          <w:szCs w:val="16"/>
          <w:color w:val="auto"/>
        </w:rPr>
      </w:pPr>
    </w:p>
    <w:p>
      <w:pPr>
        <w:jc w:val="both"/>
        <w:ind w:right="20" w:firstLine="582"/>
        <w:spacing w:after="0" w:line="241" w:lineRule="auto"/>
        <w:tabs>
          <w:tab w:leader="none" w:pos="79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OFAC</w:t>
      </w:r>
      <w:r>
        <w:rPr>
          <w:rFonts w:ascii="Times New Roman" w:cs="Times New Roman" w:eastAsia="Times New Roman" w:hAnsi="Times New Roman"/>
          <w:sz w:val="16"/>
          <w:szCs w:val="16"/>
          <w:color w:val="auto"/>
        </w:rPr>
        <w:t>. Neither the Company nor, to the Company’s knowledge, any director, officer, agent, employee or affiliate of the Company or any other person acting on behalf of the Company, is currently subject to any U.S. sanctions administered by the Office of Foreign Assets Control of the U.S. Department of the Treasury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582"/>
        <w:spacing w:after="0" w:line="241" w:lineRule="auto"/>
        <w:tabs>
          <w:tab w:leader="none" w:pos="82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Money Laundering Laws</w:t>
      </w:r>
      <w:r>
        <w:rPr>
          <w:rFonts w:ascii="Times New Roman" w:cs="Times New Roman" w:eastAsia="Times New Roman" w:hAnsi="Times New Roman"/>
          <w:sz w:val="16"/>
          <w:szCs w:val="16"/>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6"/>
          <w:szCs w:val="16"/>
          <w:u w:val="single" w:color="auto"/>
          <w:color w:val="auto"/>
        </w:rPr>
        <w:t>Money Laundering Laws</w:t>
      </w:r>
      <w:r>
        <w:rPr>
          <w:rFonts w:ascii="Times New Roman" w:cs="Times New Roman" w:eastAsia="Times New Roman" w:hAnsi="Times New Roman"/>
          <w:sz w:val="16"/>
          <w:szCs w:val="16"/>
          <w:color w:val="auto"/>
        </w:rPr>
        <w:t>”); and no action, suit or proceeding by or before any Governmental Entity involving the Company with respect to the Money Laundering Laws is pending or, to the knowledge of the Company, threatened.</w:t>
      </w:r>
    </w:p>
    <w:p>
      <w:pPr>
        <w:spacing w:after="0" w:line="156" w:lineRule="exact"/>
        <w:rPr>
          <w:rFonts w:ascii="Times New Roman" w:cs="Times New Roman" w:eastAsia="Times New Roman" w:hAnsi="Times New Roman"/>
          <w:sz w:val="16"/>
          <w:szCs w:val="16"/>
          <w:color w:val="auto"/>
        </w:rPr>
      </w:pPr>
    </w:p>
    <w:p>
      <w:pPr>
        <w:ind w:right="40" w:firstLine="582"/>
        <w:spacing w:after="0" w:line="259" w:lineRule="auto"/>
        <w:tabs>
          <w:tab w:leader="none" w:pos="79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Officers’ Certificate</w:t>
      </w:r>
      <w:r>
        <w:rPr>
          <w:rFonts w:ascii="Times New Roman" w:cs="Times New Roman" w:eastAsia="Times New Roman" w:hAnsi="Times New Roman"/>
          <w:sz w:val="16"/>
          <w:szCs w:val="16"/>
          <w:color w:val="auto"/>
        </w:rPr>
        <w:t>. Any certificate signed by any duly authorized officer of the Company and delivered to the Representative or to Underwriters’ Counsel pursuant to this Agreement shall be deemed a representation and warranty by the Company to the Representative as to the matters covered thereby.</w:t>
      </w:r>
    </w:p>
    <w:p>
      <w:pPr>
        <w:sectPr>
          <w:pgSz w:w="11900" w:h="16840" w:orient="portrait"/>
          <w:cols w:equalWidth="0" w:num="1">
            <w:col w:w="10580"/>
          </w:cols>
          <w:pgMar w:left="660" w:top="557" w:right="660" w:bottom="65" w:gutter="0" w:footer="0" w:header="0"/>
        </w:sectPr>
      </w:pPr>
    </w:p>
    <w:bookmarkStart w:id="8" w:name="page9"/>
    <w:bookmarkEnd w:id="8"/>
    <w:p>
      <w:pPr>
        <w:jc w:val="both"/>
        <w:ind w:right="20" w:firstLine="582"/>
        <w:spacing w:after="0" w:line="247" w:lineRule="auto"/>
        <w:tabs>
          <w:tab w:leader="none" w:pos="79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Lock-Up Agreements. Schedule 2</w:t>
      </w:r>
      <w:r>
        <w:rPr>
          <w:rFonts w:ascii="Times New Roman" w:cs="Times New Roman" w:eastAsia="Times New Roman" w:hAnsi="Times New Roman"/>
          <w:sz w:val="16"/>
          <w:szCs w:val="16"/>
          <w:color w:val="auto"/>
        </w:rPr>
        <w:t xml:space="preserve"> hereto contains a complete and accurate list of the Company’s officers, directors and certain shareholders (collectively, the “</w:t>
      </w:r>
      <w:r>
        <w:rPr>
          <w:rFonts w:ascii="Times New Roman" w:cs="Times New Roman" w:eastAsia="Times New Roman" w:hAnsi="Times New Roman"/>
          <w:sz w:val="16"/>
          <w:szCs w:val="16"/>
          <w:u w:val="single" w:color="auto"/>
          <w:color w:val="auto"/>
        </w:rPr>
        <w:t>Lock-Up Parties</w:t>
      </w:r>
      <w:r>
        <w:rPr>
          <w:rFonts w:ascii="Times New Roman" w:cs="Times New Roman" w:eastAsia="Times New Roman" w:hAnsi="Times New Roman"/>
          <w:sz w:val="16"/>
          <w:szCs w:val="16"/>
          <w:color w:val="auto"/>
        </w:rPr>
        <w:t xml:space="preserve">”). The Company has caused each of the Lock-Up Parties to deliver to the Underwriter an executed Lock-Up Agreement,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Lock-Up Agreement</w:t>
      </w:r>
      <w:r>
        <w:rPr>
          <w:rFonts w:ascii="Times New Roman" w:cs="Times New Roman" w:eastAsia="Times New Roman" w:hAnsi="Times New Roman"/>
          <w:sz w:val="16"/>
          <w:szCs w:val="16"/>
          <w:color w:val="auto"/>
        </w:rPr>
        <w:t>”), prior to the execution of this Agreement.</w:t>
      </w:r>
    </w:p>
    <w:p>
      <w:pPr>
        <w:spacing w:after="0" w:line="152" w:lineRule="exact"/>
        <w:rPr>
          <w:rFonts w:ascii="Times New Roman" w:cs="Times New Roman" w:eastAsia="Times New Roman" w:hAnsi="Times New Roman"/>
          <w:sz w:val="16"/>
          <w:szCs w:val="16"/>
          <w:color w:val="auto"/>
        </w:rPr>
      </w:pPr>
    </w:p>
    <w:p>
      <w:pPr>
        <w:ind w:right="20" w:firstLine="582"/>
        <w:spacing w:after="0" w:line="259" w:lineRule="auto"/>
        <w:tabs>
          <w:tab w:leader="none" w:pos="7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Subsidiaries</w:t>
      </w:r>
      <w:r>
        <w:rPr>
          <w:rFonts w:ascii="Times New Roman" w:cs="Times New Roman" w:eastAsia="Times New Roman" w:hAnsi="Times New Roman"/>
          <w:sz w:val="16"/>
          <w:szCs w:val="16"/>
          <w:color w:val="auto"/>
        </w:rPr>
        <w:t>. Except as described in the Registration Statement, the Pricing Disclosure Package and the Prospectus, the Company has no direct or indirect subsidiaries or variable interest entities and does not hold any equity interests in any other entity.</w:t>
      </w:r>
    </w:p>
    <w:p>
      <w:pPr>
        <w:spacing w:after="0" w:line="143" w:lineRule="exact"/>
        <w:rPr>
          <w:sz w:val="20"/>
          <w:szCs w:val="20"/>
          <w:color w:val="auto"/>
        </w:rPr>
      </w:pPr>
    </w:p>
    <w:p>
      <w:pPr>
        <w:ind w:firstLine="582"/>
        <w:spacing w:after="0" w:line="259" w:lineRule="auto"/>
        <w:tabs>
          <w:tab w:leader="none" w:pos="86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Related Party Transactions</w:t>
      </w:r>
      <w:r>
        <w:rPr>
          <w:rFonts w:ascii="Times New Roman" w:cs="Times New Roman" w:eastAsia="Times New Roman" w:hAnsi="Times New Roman"/>
          <w:sz w:val="16"/>
          <w:szCs w:val="16"/>
          <w:color w:val="auto"/>
        </w:rPr>
        <w:t>. There are no business relationships or related party transactions involving the Company or any other person required to be described in the Registration Statement, the Pricing Disclosure Package and the Prospectus that have not been described as required.</w:t>
      </w:r>
    </w:p>
    <w:p>
      <w:pPr>
        <w:spacing w:after="0" w:line="143" w:lineRule="exact"/>
        <w:rPr>
          <w:rFonts w:ascii="Times New Roman" w:cs="Times New Roman" w:eastAsia="Times New Roman" w:hAnsi="Times New Roman"/>
          <w:sz w:val="16"/>
          <w:szCs w:val="16"/>
          <w:color w:val="auto"/>
        </w:rPr>
      </w:pPr>
    </w:p>
    <w:p>
      <w:pPr>
        <w:jc w:val="both"/>
        <w:ind w:right="20" w:firstLine="582"/>
        <w:spacing w:after="0" w:line="243" w:lineRule="auto"/>
        <w:tabs>
          <w:tab w:leader="none" w:pos="9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The Board of Directors of the Company comprises the persons set forth under the heading of the Pricing Prospectus and the Prospectus captioned “Management.” The qualifications of the persons serving as board members and the overall composition of the board comply with the Exchange Act, the rules and regulations promulgated under the Exchange Act (the “</w:t>
      </w:r>
      <w:r>
        <w:rPr>
          <w:rFonts w:ascii="Times New Roman" w:cs="Times New Roman" w:eastAsia="Times New Roman" w:hAnsi="Times New Roman"/>
          <w:sz w:val="16"/>
          <w:szCs w:val="16"/>
          <w:u w:val="single" w:color="auto"/>
          <w:color w:val="auto"/>
        </w:rPr>
        <w:t>Exchange Act Regulations</w:t>
      </w:r>
      <w:r>
        <w:rPr>
          <w:rFonts w:ascii="Times New Roman" w:cs="Times New Roman" w:eastAsia="Times New Roman" w:hAnsi="Times New Roman"/>
          <w:sz w:val="16"/>
          <w:szCs w:val="16"/>
          <w:color w:val="auto"/>
        </w:rPr>
        <w:t>”), the Sarbanes-Oxley Act of 2002 and the rules promulgated thereunder (the “</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applicable to the Company and the listing rules of the Exchange.</w:t>
      </w:r>
    </w:p>
    <w:p>
      <w:pPr>
        <w:spacing w:after="0" w:line="15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Sarbanes-Oxley Compliance</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158"/>
        <w:spacing w:after="0" w:line="243" w:lineRule="auto"/>
        <w:tabs>
          <w:tab w:leader="none" w:pos="1344"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Controls</w:t>
      </w:r>
      <w:r>
        <w:rPr>
          <w:rFonts w:ascii="Times New Roman" w:cs="Times New Roman" w:eastAsia="Times New Roman" w:hAnsi="Times New Roman"/>
          <w:sz w:val="16"/>
          <w:szCs w:val="16"/>
          <w:color w:val="auto"/>
        </w:rPr>
        <w:t>. Except as disclosed in the Registration Statement, the Pricing Disclosure Package and the Prospectus, the Company has developed and currently maintains disclosure controls and procedures that will comply with Rule 13a-15 or 15d-15 under the Exchange Act Regulations applicable to it, and such controls and procedures are effective to ensure that all material information concerning the Company will be made known on a timely basis to the individuals responsible for the preparation of the Company’s Exchange Act filings and other public disclosure documents.</w:t>
      </w:r>
    </w:p>
    <w:p>
      <w:pPr>
        <w:spacing w:after="0" w:line="155" w:lineRule="exact"/>
        <w:rPr>
          <w:rFonts w:ascii="Times New Roman" w:cs="Times New Roman" w:eastAsia="Times New Roman" w:hAnsi="Times New Roman"/>
          <w:sz w:val="16"/>
          <w:szCs w:val="16"/>
          <w:color w:val="auto"/>
        </w:rPr>
      </w:pPr>
    </w:p>
    <w:p>
      <w:pPr>
        <w:jc w:val="both"/>
        <w:ind w:right="20" w:firstLine="1158"/>
        <w:spacing w:after="0" w:line="243" w:lineRule="auto"/>
        <w:tabs>
          <w:tab w:leader="none" w:pos="1392"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w:t>
      </w:r>
      <w:r>
        <w:rPr>
          <w:rFonts w:ascii="Times New Roman" w:cs="Times New Roman" w:eastAsia="Times New Roman" w:hAnsi="Times New Roman"/>
          <w:sz w:val="16"/>
          <w:szCs w:val="16"/>
          <w:color w:val="auto"/>
        </w:rPr>
        <w:t>. Except as set forth in the Registration Statement, the Pricing Disclosure Package and the Prospectus, the Company is, or at the Applicable Time and on the Closing Date will be, in material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582"/>
        <w:spacing w:after="0" w:line="237" w:lineRule="auto"/>
        <w:tabs>
          <w:tab w:leader="none" w:pos="9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Accounting Controls</w:t>
      </w:r>
      <w:r>
        <w:rPr>
          <w:rFonts w:ascii="Times New Roman" w:cs="Times New Roman" w:eastAsia="Times New Roman" w:hAnsi="Times New Roman"/>
          <w:sz w:val="16"/>
          <w:szCs w:val="16"/>
          <w:color w:val="auto"/>
        </w:rPr>
        <w:t>. Except as set forth in the Registration Statement, the Pricing Disclosure Package and the Prospectus, the Company maintains systems of “internal control over financial reporting” (as defined under Rules 13a-15 and 15d-15 under the Exchange Act Regulations) that comply in all material respects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Company’s auditors and the Audit Committee of the Board of Directors of the Company have been advised of: (i) all significant deficiencies and material weaknesses, if any,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if any, known to the Company’s management, whether or not material, that involves management or other employees who have a significant role in the Company’s internal controls over financial reporting.</w:t>
      </w:r>
    </w:p>
    <w:p>
      <w:pPr>
        <w:spacing w:after="0" w:line="157"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85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Investment Company Status</w:t>
      </w:r>
      <w:r>
        <w:rPr>
          <w:rFonts w:ascii="Times New Roman" w:cs="Times New Roman" w:eastAsia="Times New Roman" w:hAnsi="Times New Roman"/>
          <w:sz w:val="16"/>
          <w:szCs w:val="16"/>
          <w:color w:val="auto"/>
        </w:rPr>
        <w:t>. The Company is not and, after giving effect to the Offering and the application of the proceeds thereof as described in the Registration Statement, the Pricing Disclosure Package and the Prospectus, will not be, required to register as an “investment company,” as defined in the Investment Company Act of 1940, as amended.</w:t>
      </w:r>
    </w:p>
    <w:p>
      <w:pPr>
        <w:spacing w:after="0" w:line="152"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Labor Disputes</w:t>
      </w:r>
      <w:r>
        <w:rPr>
          <w:rFonts w:ascii="Times New Roman" w:cs="Times New Roman" w:eastAsia="Times New Roman" w:hAnsi="Times New Roman"/>
          <w:sz w:val="16"/>
          <w:szCs w:val="16"/>
          <w:color w:val="auto"/>
        </w:rPr>
        <w:t>. No material labor dispute with the employees of the Company exists or, to the knowledge of the Company, is imminent.</w:t>
      </w:r>
    </w:p>
    <w:p>
      <w:pPr>
        <w:spacing w:after="0" w:line="176" w:lineRule="exact"/>
        <w:rPr>
          <w:rFonts w:ascii="Times New Roman" w:cs="Times New Roman" w:eastAsia="Times New Roman" w:hAnsi="Times New Roman"/>
          <w:sz w:val="16"/>
          <w:szCs w:val="16"/>
          <w:color w:val="auto"/>
        </w:rPr>
      </w:pPr>
    </w:p>
    <w:p>
      <w:pPr>
        <w:jc w:val="both"/>
        <w:ind w:firstLine="582"/>
        <w:spacing w:after="0" w:line="237" w:lineRule="auto"/>
        <w:tabs>
          <w:tab w:leader="none" w:pos="88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To the Company’s knowledge, the Company has, or can acquire on reasonable terms, ownership of and/or license to, or otherwise has the right to use, all inventions, know-how (including trade secrets and other unpatented and/or unpatentable proprietary or confidential information, systems or procedures), patents and patent rights trademarks, service marks and trade names, copyrights, (collectively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material to carrying on its businesses as described in the Pricing Prospectus. The Company has not received any correspondence relating to any Intellectual Property, including notice of: (A) infringement or misappropriation of, or conflict with, any Intellectual Property of a third party; (B) asserted rights of others with respect to any Intellectual Property of the Company; or (C) assertions that any Intellectual Property of the Company is invalid or otherwise inadequate to protect the interest of the Company. There are no third parties who have been able to establish any material rights to any Intellectual Property, except for the retained rights of the owners or licensors of any Intellectual Property that is licensed to the Company. There is no pending or, to the Company’s knowledge, threatened action, suit, proceeding or claim by others: (A) challenging the validity, enforceability or scope of any Intellectual Property of the Company or (B) challenging the Company’s rights in or to any Intellectual Property or (C) that the Company materially infringes, misappropriates or otherwise violates or conflicts with any Intellectual Property or other proprietary rights of others, that in each case (if the subject of any unfavorable decision, ruling or finding), individually or in the aggregate, would have or would reasonably be expected to have a Material Adverse Change.</w:t>
      </w:r>
    </w:p>
    <w:p>
      <w:pPr>
        <w:spacing w:after="0" w:line="160" w:lineRule="exact"/>
        <w:rPr>
          <w:rFonts w:ascii="Times New Roman" w:cs="Times New Roman" w:eastAsia="Times New Roman" w:hAnsi="Times New Roman"/>
          <w:sz w:val="16"/>
          <w:szCs w:val="16"/>
          <w:color w:val="auto"/>
        </w:rPr>
      </w:pPr>
    </w:p>
    <w:p>
      <w:pPr>
        <w:jc w:val="both"/>
        <w:ind w:firstLine="582"/>
        <w:spacing w:after="0" w:line="237" w:lineRule="auto"/>
        <w:tabs>
          <w:tab w:leader="none" w:pos="87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The Company has filed all returns (as hereinafter defined) required to be filed with taxing authorities prior to the date hereof or has duly obtained extensions of time for the filing thereof. Except as described in the Registration Statement, the Pricing Disclosure Package and the Prospectus, the Company has paid all taxes (as hereinafter defined) shown as due and payable on such returns that were filed and has paid all taxes imposed on or assessed against the Company, except for such exceptions as would not reasonably be expected, individually or in the aggregate, to have a Material Adverse Change. The provisions for taxes payable, if any, shown on the financial statements included or incorporated by reference in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taxing authority in connection with any of the returns or taxes asserted as due from the Company, and (ii) no waivers of statutes of limitation with respect to the returns or collection of taxes have been given by or requested from the Company. The term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xml:space="preserve">”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 </w:t>
      </w:r>
      <w:r>
        <w:rPr>
          <w:rFonts w:ascii="Times New Roman" w:cs="Times New Roman" w:eastAsia="Times New Roman" w:hAnsi="Times New Roman"/>
          <w:sz w:val="16"/>
          <w:szCs w:val="16"/>
          <w:u w:val="single" w:color="auto"/>
          <w:color w:val="auto"/>
        </w:rPr>
        <w:t>returns</w:t>
      </w:r>
      <w:r>
        <w:rPr>
          <w:rFonts w:ascii="Times New Roman" w:cs="Times New Roman" w:eastAsia="Times New Roman" w:hAnsi="Times New Roman"/>
          <w:sz w:val="16"/>
          <w:szCs w:val="16"/>
          <w:color w:val="auto"/>
        </w:rPr>
        <w:t>” means all returns, declarations, reports, statements and other documents required to be filed in respect to taxes.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82"/>
        <w:spacing w:after="0" w:line="299" w:lineRule="auto"/>
        <w:tabs>
          <w:tab w:leader="none" w:pos="8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Employee Benefit Laws</w:t>
      </w:r>
      <w:r>
        <w:rPr>
          <w:rFonts w:ascii="Times New Roman" w:cs="Times New Roman" w:eastAsia="Times New Roman" w:hAnsi="Times New Roman"/>
          <w:sz w:val="14"/>
          <w:szCs w:val="14"/>
          <w:color w:val="auto"/>
        </w:rPr>
        <w:t>. To its knowledge, the Company is not in violation of or has not received notice of any violation with respect to any federal or state law relating to discrimination in the hiring, promotion or pay of employees, nor any applicable federal or state wages and hours law, nor any state law precluding the denial of credit due to the neighborhood in which a property is situated, the violation of any of which would reasonably be expected to have a Material Adverse Change.</w:t>
      </w:r>
    </w:p>
    <w:p>
      <w:pPr>
        <w:sectPr>
          <w:pgSz w:w="11900" w:h="16840" w:orient="portrait"/>
          <w:cols w:equalWidth="0" w:num="1">
            <w:col w:w="10580"/>
          </w:cols>
          <w:pgMar w:left="660" w:top="737" w:right="660" w:bottom="221" w:gutter="0" w:footer="0" w:header="0"/>
        </w:sectPr>
      </w:pPr>
    </w:p>
    <w:bookmarkStart w:id="9" w:name="page10"/>
    <w:bookmarkEnd w:id="9"/>
    <w:p>
      <w:pPr>
        <w:jc w:val="both"/>
        <w:ind w:right="20" w:firstLine="582"/>
        <w:spacing w:after="0" w:line="247" w:lineRule="auto"/>
        <w:tabs>
          <w:tab w:leader="none" w:pos="80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Industry Data</w:t>
      </w:r>
      <w:r>
        <w:rPr>
          <w:rFonts w:ascii="Times New Roman" w:cs="Times New Roman" w:eastAsia="Times New Roman" w:hAnsi="Times New Roman"/>
          <w:sz w:val="16"/>
          <w:szCs w:val="16"/>
          <w:color w:val="auto"/>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spacing w:after="0" w:line="152"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87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Forward-Looking Statements</w:t>
      </w:r>
      <w:r>
        <w:rPr>
          <w:rFonts w:ascii="Times New Roman" w:cs="Times New Roman" w:eastAsia="Times New Roman" w:hAnsi="Times New Roman"/>
          <w:sz w:val="16"/>
          <w:szCs w:val="16"/>
          <w:color w:val="auto"/>
        </w:rPr>
        <w:t>.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spacing w:after="0" w:line="152" w:lineRule="exact"/>
        <w:rPr>
          <w:rFonts w:ascii="Times New Roman" w:cs="Times New Roman" w:eastAsia="Times New Roman" w:hAnsi="Times New Roman"/>
          <w:sz w:val="16"/>
          <w:szCs w:val="16"/>
          <w:color w:val="auto"/>
        </w:rPr>
      </w:pPr>
    </w:p>
    <w:p>
      <w:pPr>
        <w:jc w:val="both"/>
        <w:ind w:firstLine="582"/>
        <w:spacing w:after="0" w:line="238" w:lineRule="auto"/>
        <w:tabs>
          <w:tab w:leader="none" w:pos="80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Export and Import Laws</w:t>
      </w:r>
      <w:r>
        <w:rPr>
          <w:rFonts w:ascii="Times New Roman" w:cs="Times New Roman" w:eastAsia="Times New Roman" w:hAnsi="Times New Roman"/>
          <w:sz w:val="16"/>
          <w:szCs w:val="16"/>
          <w:color w:val="auto"/>
        </w:rPr>
        <w:t>. The Company, and, to the Company’s knowledge, any director, officer, agent or employee of, or other person associated with or acting on behalf of the Company, has acted at all times in compliance with applicable Export and Import Laws (as defined below) in all material respects and there are no claims, complaints, charges, investigations or proceedings pending or expected or, to the knowledge of the Company, threatened between the Company or its Subsidiary and any governmental authority under any Export or Import Laws. The term “</w:t>
      </w:r>
      <w:r>
        <w:rPr>
          <w:rFonts w:ascii="Times New Roman" w:cs="Times New Roman" w:eastAsia="Times New Roman" w:hAnsi="Times New Roman"/>
          <w:sz w:val="16"/>
          <w:szCs w:val="16"/>
          <w:u w:val="single" w:color="auto"/>
          <w:color w:val="auto"/>
        </w:rPr>
        <w:t>Export and Import Laws</w:t>
      </w:r>
      <w:r>
        <w:rPr>
          <w:rFonts w:ascii="Times New Roman" w:cs="Times New Roman" w:eastAsia="Times New Roman" w:hAnsi="Times New Roman"/>
          <w:sz w:val="16"/>
          <w:szCs w:val="16"/>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60"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Integration</w:t>
      </w:r>
      <w:r>
        <w:rPr>
          <w:rFonts w:ascii="Times New Roman" w:cs="Times New Roman" w:eastAsia="Times New Roman" w:hAnsi="Times New Roman"/>
          <w:sz w:val="16"/>
          <w:szCs w:val="16"/>
          <w:color w:val="auto"/>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spacing w:after="0" w:line="152"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87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 and Non-Competition</w:t>
      </w:r>
      <w:r>
        <w:rPr>
          <w:rFonts w:ascii="Times New Roman" w:cs="Times New Roman" w:eastAsia="Times New Roman" w:hAnsi="Times New Roman"/>
          <w:sz w:val="16"/>
          <w:szCs w:val="16"/>
          <w:color w:val="auto"/>
        </w:rPr>
        <w:t>. To the Company’s knowledge, no director, officer, key employee or consultant of the Company is subject to any confidentiality, non-disclosure, non-competition agreement or non-solicitation agreement with any employer or prior employer that would reasonably be expected to materially affect his ability to be and act in his respective capacity with the Company or be expected to result in a Material Adverse Change.</w:t>
      </w:r>
    </w:p>
    <w:p>
      <w:pPr>
        <w:spacing w:after="0" w:line="152" w:lineRule="exact"/>
        <w:rPr>
          <w:rFonts w:ascii="Times New Roman" w:cs="Times New Roman" w:eastAsia="Times New Roman" w:hAnsi="Times New Roman"/>
          <w:sz w:val="16"/>
          <w:szCs w:val="16"/>
          <w:color w:val="auto"/>
        </w:rPr>
      </w:pPr>
    </w:p>
    <w:p>
      <w:pPr>
        <w:ind w:right="40" w:firstLine="582"/>
        <w:spacing w:after="0" w:line="259" w:lineRule="auto"/>
        <w:tabs>
          <w:tab w:leader="none" w:pos="87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Smaller Reporting Company</w:t>
      </w:r>
      <w:r>
        <w:rPr>
          <w:rFonts w:ascii="Times New Roman" w:cs="Times New Roman" w:eastAsia="Times New Roman" w:hAnsi="Times New Roman"/>
          <w:sz w:val="16"/>
          <w:szCs w:val="16"/>
          <w:color w:val="auto"/>
        </w:rPr>
        <w:t>. As of the time of filing of the Registration Statement, the Company was a “smaller reporting company,” as defined in Rule 12b-2 of the Exchange Act Regulations.</w:t>
      </w:r>
    </w:p>
    <w:p>
      <w:pPr>
        <w:spacing w:after="0" w:line="143" w:lineRule="exact"/>
        <w:rPr>
          <w:rFonts w:ascii="Times New Roman" w:cs="Times New Roman" w:eastAsia="Times New Roman" w:hAnsi="Times New Roman"/>
          <w:sz w:val="16"/>
          <w:szCs w:val="16"/>
          <w:color w:val="auto"/>
        </w:rPr>
      </w:pPr>
    </w:p>
    <w:p>
      <w:pPr>
        <w:jc w:val="both"/>
        <w:ind w:firstLine="582"/>
        <w:spacing w:after="0" w:line="284" w:lineRule="auto"/>
        <w:tabs>
          <w:tab w:leader="none" w:pos="87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w:t>
      </w:r>
      <w:r>
        <w:rPr>
          <w:rFonts w:ascii="Times New Roman" w:cs="Times New Roman" w:eastAsia="Times New Roman" w:hAnsi="Times New Roman"/>
          <w:sz w:val="14"/>
          <w:szCs w:val="14"/>
          <w:color w:val="auto"/>
        </w:rPr>
        <w:t>. (i) At the earliest time after the filing of the Registration Statement that the Company made a bona fide offer (within the meaning of Rule 164(h)(2) of the Securities Act) and (ii) at the date of this Agreement, neither the Company nor any subsidiary of the Company in the preceding three years has: (w) been convicted of a felony or misdemeanor or has been made the subject of a judicial or administrative decree or order as described in Rule 405, (x) been the subject of a bankruptcy petition or insolvency or similar proceeding, (y) had a registration statement be the subject of a proceeding under Section 8 of the Securities Act, or (z) been, and is not currently, the subject of a proceeding under Section 8A of the Securities Act in connection with the offering of the Securities, all as described in Rule 405.</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582"/>
        <w:spacing w:after="0" w:line="272" w:lineRule="auto"/>
        <w:tabs>
          <w:tab w:leader="none" w:pos="876"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Controlled Entities</w:t>
      </w:r>
      <w:r>
        <w:rPr>
          <w:rFonts w:ascii="Times New Roman" w:cs="Times New Roman" w:eastAsia="Times New Roman" w:hAnsi="Times New Roman"/>
          <w:sz w:val="14"/>
          <w:szCs w:val="14"/>
          <w:color w:val="auto"/>
        </w:rPr>
        <w:t>. The principal subsidiaries and consolidated entities listed on Exhibit 21 of the Registration Statement shall be referred to hereinafter each as a “</w:t>
      </w:r>
      <w:r>
        <w:rPr>
          <w:rFonts w:ascii="Times New Roman" w:cs="Times New Roman" w:eastAsia="Times New Roman" w:hAnsi="Times New Roman"/>
          <w:sz w:val="14"/>
          <w:szCs w:val="14"/>
          <w:u w:val="single" w:color="auto"/>
          <w:color w:val="auto"/>
        </w:rPr>
        <w:t>Controlled Entity</w:t>
      </w:r>
      <w:r>
        <w:rPr>
          <w:rFonts w:ascii="Times New Roman" w:cs="Times New Roman" w:eastAsia="Times New Roman" w:hAnsi="Times New Roman"/>
          <w:sz w:val="14"/>
          <w:szCs w:val="14"/>
          <w:color w:val="auto"/>
        </w:rPr>
        <w:t>” and collectively as “</w:t>
      </w:r>
      <w:r>
        <w:rPr>
          <w:rFonts w:ascii="Times New Roman" w:cs="Times New Roman" w:eastAsia="Times New Roman" w:hAnsi="Times New Roman"/>
          <w:sz w:val="14"/>
          <w:szCs w:val="14"/>
          <w:u w:val="single" w:color="auto"/>
          <w:color w:val="auto"/>
        </w:rPr>
        <w:t>Controlled Entities</w:t>
      </w:r>
      <w:r>
        <w:rPr>
          <w:rFonts w:ascii="Times New Roman" w:cs="Times New Roman" w:eastAsia="Times New Roman" w:hAnsi="Times New Roman"/>
          <w:sz w:val="14"/>
          <w:szCs w:val="14"/>
          <w:color w:val="auto"/>
        </w:rPr>
        <w:t>.” Each Controlled Entity has been duly organized and is validly existing under the laws of the jurisdiction of its organization (to the extent such concept exists in such jurisdiction), with power and authority (corporate and other) to own its properties and conduct its business as described in the Registration Statement, the Pricing Disclosure Package and the Prospectus; and, to the extent applicable, each Controlled Entity is duly qualified to do business as a foreign corporation in all other jurisdictions in which its ownership or lease of property or the conduct of its business requires such qualification, except to the extent that the failure to be so qualified or be in good standing would not be reasonably likely to result in a Material Adverse Effect; the constitutive documents of each Controlled Entity comply with the requirements of applicable laws of the jurisdiction of its organization and are in full force and effect. Except as may not be required by applicable law, all of the issued and outstanding share capital of each Controlled Entity has been duly authorized and validly issued and is fully paid (to the extent such concept exists or is applicable in such jurisdiction), and such share capital is owned, directly or indirectly, by the Company as set forth in the Registration Statement, the Pricing Disclosure Package and Prospectus, free from liens, encumbrances and claims, except to the extent that such liens, encumbrances or claims would not reasonably be expected to have a Material Adverse Effect. Except as disclosed in the Registration Statement, the Pricing Disclosure and the Prospectus, (i) no Controlled Entities is currently prohibited, directly or indirectly, from paying any dividends to the Company (or the Company’s subsidiary that holds the outstanding equity interest of such Controlled Entity); and (ii) no Controlled Entity is prohibited, directly or indirectly, from making any other distribution on such Controlled Entity’s equity capital, from repaying to the Company any loans or advances to such Controlled Entity from the Company or any of the Company’s subsidiaries. To the Company’s knowledge, none of the Controlled Entities or any of their properties, assets or revenues are entitled to any right of immunity on the grounds of sovereignty from any legal action, suit or proceeding, from set-off or counterclaim, from the jurisdiction of any court, from services of process, from attachment prior to or in aid of execution of judgment, or from any other legal process or proceeding for the giving of any relief or for the enforcement of any judgment.</w:t>
      </w:r>
    </w:p>
    <w:p>
      <w:pPr>
        <w:spacing w:after="0" w:line="321" w:lineRule="exact"/>
        <w:rPr>
          <w:rFonts w:ascii="Times New Roman" w:cs="Times New Roman" w:eastAsia="Times New Roman" w:hAnsi="Times New Roman"/>
          <w:sz w:val="14"/>
          <w:szCs w:val="14"/>
          <w:color w:val="auto"/>
        </w:rPr>
      </w:pPr>
    </w:p>
    <w:p>
      <w:pPr>
        <w:ind w:left="160" w:hanging="154"/>
        <w:spacing w:after="0"/>
        <w:tabs>
          <w:tab w:leader="none" w:pos="1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Covenants of the Company</w:t>
      </w:r>
      <w:r>
        <w:rPr>
          <w:rFonts w:ascii="Times New Roman" w:cs="Times New Roman" w:eastAsia="Times New Roman" w:hAnsi="Times New Roman"/>
          <w:sz w:val="16"/>
          <w:szCs w:val="16"/>
          <w:color w:val="auto"/>
        </w:rPr>
        <w:t>. The Company covenants and agrees as follows:</w:t>
      </w:r>
    </w:p>
    <w:p>
      <w:pPr>
        <w:spacing w:after="0" w:line="176" w:lineRule="exact"/>
        <w:rPr>
          <w:rFonts w:ascii="Times New Roman" w:cs="Times New Roman" w:eastAsia="Times New Roman" w:hAnsi="Times New Roman"/>
          <w:sz w:val="16"/>
          <w:szCs w:val="16"/>
          <w:color w:val="auto"/>
        </w:rPr>
      </w:pPr>
    </w:p>
    <w:p>
      <w:pPr>
        <w:jc w:val="both"/>
        <w:ind w:firstLine="582"/>
        <w:spacing w:after="0" w:line="241" w:lineRule="auto"/>
        <w:tabs>
          <w:tab w:leader="none" w:pos="78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to Registration Statement</w:t>
      </w:r>
      <w:r>
        <w:rPr>
          <w:rFonts w:ascii="Times New Roman" w:cs="Times New Roman" w:eastAsia="Times New Roman" w:hAnsi="Times New Roman"/>
          <w:sz w:val="16"/>
          <w:szCs w:val="16"/>
          <w:color w:val="auto"/>
        </w:rPr>
        <w:t>. During the period when a prospectus relating to the Securities is required by the Securities Act to be delivered, the Company shall deliver to the Underwriters, prior to filing, any amendment or supplement to the Registration Statement or Prospectus proposed to be filed after the Effective Date and not file any such amendment or supplement to which the Underwriters shall reasonably object in writing; provided however, that this Section 3(a) shall not be applicable with respect to any supplements to the Registration Statement filed solely for the purpose of supplementing the Registration Statement or Prospectus with a report filed with the Commission by the Company pursuant to the Exchange Act.</w:t>
      </w:r>
    </w:p>
    <w:p>
      <w:pPr>
        <w:spacing w:after="0" w:line="156" w:lineRule="exact"/>
        <w:rPr>
          <w:rFonts w:ascii="Times New Roman" w:cs="Times New Roman" w:eastAsia="Times New Roman" w:hAnsi="Times New Roman"/>
          <w:sz w:val="16"/>
          <w:szCs w:val="16"/>
          <w:color w:val="auto"/>
        </w:rPr>
      </w:pPr>
    </w:p>
    <w:p>
      <w:pPr>
        <w:ind w:left="800" w:hanging="218"/>
        <w:spacing w:after="0"/>
        <w:tabs>
          <w:tab w:leader="none" w:pos="80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Securities Laws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158"/>
        <w:spacing w:after="0" w:line="237" w:lineRule="auto"/>
        <w:tabs>
          <w:tab w:leader="none" w:pos="1332" w:val="left"/>
        </w:tabs>
        <w:numPr>
          <w:ilvl w:val="2"/>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w:t>
      </w:r>
      <w:r>
        <w:rPr>
          <w:rFonts w:ascii="Times New Roman" w:cs="Times New Roman" w:eastAsia="Times New Roman" w:hAnsi="Times New Roman"/>
          <w:sz w:val="16"/>
          <w:szCs w:val="16"/>
          <w:color w:val="auto"/>
        </w:rPr>
        <w:t>. The Company, subject to Section 3 (b)(ii), shall comply with the requirements of Rule 430A of the Securities Act Regulations, and will notify the Underwriters promptly, and confirm the notice in writing (which may be by electronic mail),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to the Company’s knowledge,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Securities. The Company shall effect all filings required under Rule 424(b) of the Securities Act Regulations, in the manner and within the time period required by Rule 424(b) (without reliance on Rule 424(b)(8)), and shall take such steps as it deems necessary to ascertain promptly whether the form of prospectus transmitted for filing under Rule 424(b) was received for filing by the Commission and, in the event that it was not, it will promptly file such prospectus. The Company shall use its commercially reasonable efforts to prevent the issuance of any stop order, prevention or suspension and, if any such order is issued, to obtain the lifting thereof at the earliest possible moment.</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1158"/>
        <w:spacing w:after="0" w:line="299" w:lineRule="auto"/>
        <w:tabs>
          <w:tab w:leader="none" w:pos="1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Continued Compliance</w:t>
      </w:r>
      <w:r>
        <w:rPr>
          <w:rFonts w:ascii="Times New Roman" w:cs="Times New Roman" w:eastAsia="Times New Roman" w:hAnsi="Times New Roman"/>
          <w:sz w:val="14"/>
          <w:szCs w:val="14"/>
          <w:color w:val="auto"/>
        </w:rPr>
        <w:t>. The Company shall comply with the Securities Act, the Securities Act Regulations, the Exchange Act and the Exchange Act Regulations so as to permit the completion of the distribution of the Securities as contemplated in this Agreement and in the Registration Statement, the Pricing Disclosure Package and the Prospectus. If at any time when a prospectus relating to the Securities is (or, but for the exception afforded by Rule 172 of the Securities Act</w:t>
      </w:r>
    </w:p>
    <w:p>
      <w:pPr>
        <w:sectPr>
          <w:pgSz w:w="11900" w:h="16840" w:orient="portrait"/>
          <w:cols w:equalWidth="0" w:num="1">
            <w:col w:w="10580"/>
          </w:cols>
          <w:pgMar w:left="660" w:top="557" w:right="660" w:bottom="41" w:gutter="0" w:footer="0" w:header="0"/>
        </w:sectPr>
      </w:pPr>
    </w:p>
    <w:bookmarkStart w:id="10" w:name="page11"/>
    <w:bookmarkEnd w:id="10"/>
    <w:p>
      <w:pPr>
        <w:jc w:val="both"/>
        <w:ind w:right="20"/>
        <w:spacing w:after="0" w:line="236" w:lineRule="auto"/>
        <w:rPr>
          <w:sz w:val="20"/>
          <w:szCs w:val="20"/>
          <w:color w:val="auto"/>
        </w:rPr>
      </w:pPr>
      <w:r>
        <w:rPr>
          <w:rFonts w:ascii="Times New Roman" w:cs="Times New Roman" w:eastAsia="Times New Roman" w:hAnsi="Times New Roman"/>
          <w:sz w:val="16"/>
          <w:szCs w:val="16"/>
          <w:color w:val="auto"/>
        </w:rPr>
        <w:t>Regulations (“</w:t>
      </w:r>
      <w:r>
        <w:rPr>
          <w:rFonts w:ascii="Times New Roman" w:cs="Times New Roman" w:eastAsia="Times New Roman" w:hAnsi="Times New Roman"/>
          <w:sz w:val="16"/>
          <w:szCs w:val="16"/>
          <w:u w:val="single" w:color="auto"/>
          <w:color w:val="auto"/>
        </w:rPr>
        <w:t>Rule 172</w:t>
      </w:r>
      <w:r>
        <w:rPr>
          <w:rFonts w:ascii="Times New Roman" w:cs="Times New Roman" w:eastAsia="Times New Roman" w:hAnsi="Times New Roman"/>
          <w:sz w:val="16"/>
          <w:szCs w:val="16"/>
          <w:color w:val="auto"/>
        </w:rPr>
        <w:t>”), would be) required by the Securities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promptly (A) give the Underwriters notice of such event; (B) prepare any amendment or supplement as may be necessary to correct such statement or omission or to make the Registration Statement, the Pricing Disclosure Package or the Prospectus comply with such requirements and, a reasonable amount of time prior to any proposed filing or use, furnish the Underwriters with copies of any such amendment or supplement and (C) file with the Commission any such amendment or supplement; provided that the Company shall not file or use any such amendment or supplement to which the Underwriters or Underwriters’ Counsel shall reasonably object. The Company will furnish to the Underwriters such number of copies of such amendment or supplement as the Underwriters may reasonably request. The Company has given the Underwriters notice of any filings made pursuant to the Exchange Act or the Exchange Act Regulations within 48 hours prior to the Applicable Time. The Company shall give the Underwriters notice of its intention to make any such filing from the Applicable Time until the later of the Closing Date and the exercise in full or expiration of the Over- allotment Option specified in Section 1(a)(iii) hereof and will furnish the Underwriters with copies of the related document(s) a reasonable amount of time prior to such proposed filing, as the case may be, and will not file or use any such document to which the Underwriters or Underwriters’ Counsel shall reasonably object.</w:t>
      </w:r>
    </w:p>
    <w:p>
      <w:pPr>
        <w:spacing w:after="0" w:line="165" w:lineRule="exact"/>
        <w:rPr>
          <w:sz w:val="20"/>
          <w:szCs w:val="20"/>
          <w:color w:val="auto"/>
        </w:rPr>
      </w:pPr>
    </w:p>
    <w:p>
      <w:pPr>
        <w:jc w:val="both"/>
        <w:ind w:right="20" w:firstLine="582"/>
        <w:spacing w:after="0" w:line="239" w:lineRule="auto"/>
        <w:tabs>
          <w:tab w:leader="none" w:pos="81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to the Underwriters of Registration Statements</w:t>
      </w:r>
      <w:r>
        <w:rPr>
          <w:rFonts w:ascii="Times New Roman" w:cs="Times New Roman" w:eastAsia="Times New Roman" w:hAnsi="Times New Roman"/>
          <w:sz w:val="16"/>
          <w:szCs w:val="16"/>
          <w:color w:val="auto"/>
        </w:rPr>
        <w:t>. The Company has delivered or made available or shall deliver or make available to the Underwriters and the Underwriters’ Counsel, without charge, signed copies of the Registration Statement as originally filed and each amendment thereto (including exhibits filed therewith) and signed copies of all consents and certificates of experts, and will also deliver to the Underwriters,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61" w:lineRule="exact"/>
        <w:rPr>
          <w:rFonts w:ascii="Times New Roman" w:cs="Times New Roman" w:eastAsia="Times New Roman" w:hAnsi="Times New Roman"/>
          <w:sz w:val="16"/>
          <w:szCs w:val="16"/>
          <w:color w:val="auto"/>
        </w:rPr>
      </w:pPr>
    </w:p>
    <w:p>
      <w:pPr>
        <w:ind w:firstLine="582"/>
        <w:spacing w:after="0" w:line="280" w:lineRule="auto"/>
        <w:tabs>
          <w:tab w:leader="none" w:pos="7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to the Underwriters of Prospectuses</w:t>
      </w:r>
      <w:r>
        <w:rPr>
          <w:rFonts w:ascii="Times New Roman" w:cs="Times New Roman" w:eastAsia="Times New Roman" w:hAnsi="Times New Roman"/>
          <w:sz w:val="14"/>
          <w:szCs w:val="14"/>
          <w:color w:val="auto"/>
        </w:rPr>
        <w:t>. The Company has delivered or made available or will deliver or make available to each 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period when a prospectus relating to the Securities is (or, but for the exception afforded by Rule 172, would be) required to be delivered under the Securities Act, such number of copies of the Prospectus (as amended or supplemented) as such Underwriter may reasonably request. The Prospectus and any amendments or supplements thereto furnished to the Underwriter will be identical to the electronically transmitted copies thereof filed with the Commission pursuant to EDGAR, except to the extent permitted by Regulation S-T.</w:t>
      </w:r>
    </w:p>
    <w:p>
      <w:pPr>
        <w:spacing w:after="0" w:line="133" w:lineRule="exact"/>
        <w:rPr>
          <w:rFonts w:ascii="Times New Roman" w:cs="Times New Roman" w:eastAsia="Times New Roman" w:hAnsi="Times New Roman"/>
          <w:sz w:val="14"/>
          <w:szCs w:val="14"/>
          <w:color w:val="auto"/>
        </w:rPr>
      </w:pPr>
    </w:p>
    <w:p>
      <w:pPr>
        <w:ind w:left="780" w:hanging="198"/>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The Company shall use its commercially reasonable efforts to effect the listing of the Common Stock on the Exchange.</w:t>
      </w:r>
    </w:p>
    <w:p>
      <w:pPr>
        <w:spacing w:after="0" w:line="176" w:lineRule="exact"/>
        <w:rPr>
          <w:rFonts w:ascii="Times New Roman" w:cs="Times New Roman" w:eastAsia="Times New Roman" w:hAnsi="Times New Roman"/>
          <w:sz w:val="16"/>
          <w:szCs w:val="16"/>
          <w:color w:val="auto"/>
        </w:rPr>
      </w:pPr>
    </w:p>
    <w:p>
      <w:pPr>
        <w:ind w:left="780" w:hanging="198"/>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Reports to the Underwriters; Transfer Agent</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right="40" w:firstLine="1158"/>
        <w:spacing w:after="0" w:line="238" w:lineRule="auto"/>
        <w:tabs>
          <w:tab w:leader="none" w:pos="133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Periodic Reports, etc</w:t>
      </w:r>
      <w:r>
        <w:rPr>
          <w:rFonts w:ascii="Times New Roman" w:cs="Times New Roman" w:eastAsia="Times New Roman" w:hAnsi="Times New Roman"/>
          <w:sz w:val="16"/>
          <w:szCs w:val="16"/>
          <w:color w:val="auto"/>
        </w:rPr>
        <w:t>. For a period of one (1) year after the date of this Agreement, at the Underwriters’ request, the Company shall furnish or make available to the Underwriters copies of such financial statements and other periodic and special reports as the Company from time to time furnishes generally to holders of any class of its securities and also promptly furnish or make available to the Underwriters: (i) a copy of each periodic report the Company shall be required to file with the Commission under the Exchange Act and the Exchange Act Regulations; (ii) a copy of every press release and every news item and article with respect to the Company or its affairs which was released by the Company and filed or furnished on a Current Report on Form 8-K; (iii) a copy of each Current Report on Form 8-K prepared and filed by the Company; and (iv) five copies of each registration statement filed by the Company under the Securities Act. Documents filed with the Commission pursuant to its EDGAR system or otherwise filed with the Commission or made publicly available shall be deemed to have been delivered to the Underwriter pursuant to this Section 3(f)(i).</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20" w:firstLine="1158"/>
        <w:spacing w:after="0" w:line="331" w:lineRule="auto"/>
        <w:tabs>
          <w:tab w:leader="none" w:pos="1380"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Agent; Warrant Agent</w:t>
      </w:r>
      <w:r>
        <w:rPr>
          <w:rFonts w:ascii="Times New Roman" w:cs="Times New Roman" w:eastAsia="Times New Roman" w:hAnsi="Times New Roman"/>
          <w:sz w:val="14"/>
          <w:szCs w:val="14"/>
          <w:color w:val="auto"/>
        </w:rPr>
        <w:t xml:space="preserve"> . The Company shall maintain a transfer agent and registrar for the Common Stock and maintain its engagement of a warrant agent until the earlier of (i) the expiration of the Common Warrants and (ii) the date on which all of the Common Warrants have been exercised.</w:t>
      </w:r>
    </w:p>
    <w:p>
      <w:pPr>
        <w:spacing w:after="0" w:line="96" w:lineRule="exact"/>
        <w:rPr>
          <w:rFonts w:ascii="Times New Roman" w:cs="Times New Roman" w:eastAsia="Times New Roman" w:hAnsi="Times New Roman"/>
          <w:sz w:val="14"/>
          <w:szCs w:val="14"/>
          <w:color w:val="auto"/>
        </w:rPr>
      </w:pPr>
    </w:p>
    <w:p>
      <w:pPr>
        <w:ind w:left="800" w:hanging="218"/>
        <w:spacing w:after="0"/>
        <w:tabs>
          <w:tab w:leader="none" w:pos="80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Expenses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right="20" w:firstLine="1158"/>
        <w:spacing w:after="0" w:line="273" w:lineRule="auto"/>
        <w:tabs>
          <w:tab w:leader="none" w:pos="1332" w:val="left"/>
        </w:tabs>
        <w:numPr>
          <w:ilvl w:val="2"/>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Expenses Related to the Offering</w:t>
      </w:r>
      <w:r>
        <w:rPr>
          <w:rFonts w:ascii="Times New Roman" w:cs="Times New Roman" w:eastAsia="Times New Roman" w:hAnsi="Times New Roman"/>
          <w:sz w:val="14"/>
          <w:szCs w:val="14"/>
          <w:color w:val="auto"/>
        </w:rPr>
        <w:t>. The Company hereby agrees to pay all expenses incident to the performance of the obligations of the Company under this Agreement, including, but not limited to: (a) all filing fees and communication expenses relating to the registration of the Securities to be sold in the Offering (including the Option Securities) with the Commission; (b) all actual Public Offering Filing System filing fees associated with the review of the Offering by FINRA; (c) all fees and expenses relating to the listing of the Common Stock on the Exchange; (d) all fees, expenses and disbursements, if any, relating to the registration or qualification of the Securities under the “blue sky” securities laws of such states and other jurisdictions as the Representative may reasonably designate (including, without limitation, all filing and registration fees, and the reasonable fees and disbursements of “blue sky” counsel); (e) all actual fees, expenses and disbursements relating to the registration, qualification or exemption of the Securities under the securities laws of such foreign jurisdictions as the Representative may reasonably designate; (f) the costs of all mailing and printing of the Registration Statements, Prospectuses and all amendments, supplements and exhibits thereto and as many preliminary and final Prospectuses as the Representative may reasonably deem necessary; (g) the costs of preparing, printing and delivering certificates representing the Securities as the Representative may reasonably deem necessary; (h) fees and expenses of the transfer agent for the Common Stock and Common Warrants, together with any fees of the warrant agent for the Common Warrants; (i) stock transfer and/or stamp taxes, if any, payable upon the transfer of securities from the Company to the Representative; (j) the fees and expenses of the Company’s Auditor; (k) the fees and expenses of the Company’s legal counsel and other agents; and</w:t>
      </w:r>
    </w:p>
    <w:p>
      <w:pPr>
        <w:spacing w:after="0" w:line="164" w:lineRule="exact"/>
        <w:rPr>
          <w:rFonts w:ascii="Times New Roman" w:cs="Times New Roman" w:eastAsia="Times New Roman" w:hAnsi="Times New Roman"/>
          <w:sz w:val="14"/>
          <w:szCs w:val="14"/>
          <w:color w:val="auto"/>
        </w:rPr>
      </w:pPr>
    </w:p>
    <w:p>
      <w:pPr>
        <w:jc w:val="both"/>
        <w:ind w:firstLine="6"/>
        <w:spacing w:after="0" w:line="235" w:lineRule="auto"/>
        <w:tabs>
          <w:tab w:leader="none" w:pos="19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due diligence fees and expenses of the Representative (including, without limitation, domestic and foreign legal counsel, background checks, travel expenses and other diligence expenses), provided, however, that such fees and expenses, taken together with (A) the fees described in clause (d) above, and (B) the costs, fees and expenses incurred by the Underwriters in connection with determining their compliance with the rules and regulations of FINRA related to the Underwriters’ participation in the offering and distribution of the Securities, including any related filing fees and the legal fees of, and disbursements by, counsel to the Underwriters, shall not to exceed a total of $100,000. The Representative may deduct from the net proceeds of the Offering payable to the Company on the Closing Date, or any Option Closing Date, if any, the expenses set forth herein (as limited by this Section 3(g)(i)) to be paid by the Company to the Representative, provided, however, that in the event that the Offering is terminated, the Company agrees to reimburse the Underwriters pursuant to Section 8(c) hereof.</w:t>
      </w:r>
    </w:p>
    <w:p>
      <w:pPr>
        <w:spacing w:after="0" w:line="161" w:lineRule="exact"/>
        <w:rPr>
          <w:rFonts w:ascii="Times New Roman" w:cs="Times New Roman" w:eastAsia="Times New Roman" w:hAnsi="Times New Roman"/>
          <w:sz w:val="16"/>
          <w:szCs w:val="16"/>
          <w:color w:val="auto"/>
        </w:rPr>
      </w:pPr>
    </w:p>
    <w:p>
      <w:pPr>
        <w:jc w:val="both"/>
        <w:ind w:right="40" w:firstLine="1158"/>
        <w:spacing w:after="0" w:line="247" w:lineRule="auto"/>
        <w:tabs>
          <w:tab w:leader="none" w:pos="1380"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Non-accountable Expenses</w:t>
      </w:r>
      <w:r>
        <w:rPr>
          <w:rFonts w:ascii="Times New Roman" w:cs="Times New Roman" w:eastAsia="Times New Roman" w:hAnsi="Times New Roman"/>
          <w:sz w:val="16"/>
          <w:szCs w:val="16"/>
          <w:color w:val="auto"/>
        </w:rPr>
        <w:t xml:space="preserve">. The Company further agrees that, in addition to the expenses payable pursuant to Section 3(g)(i), on the Closing Date it shall pay to the Representative, by deduction from the net proceeds of the Offering contemplated herein, a non-accountable expense allowance up to $15,000 pursuant to the Terms of Engagement between the Company and the </w:t>
      </w:r>
      <w:r>
        <w:rPr>
          <w:rFonts w:ascii="Times New Roman" w:cs="Times New Roman" w:eastAsia="Times New Roman" w:hAnsi="Times New Roman"/>
          <w:sz w:val="16"/>
          <w:szCs w:val="16"/>
          <w:u w:val="single" w:color="auto"/>
          <w:color w:val="auto"/>
        </w:rPr>
        <w:t>Representative</w:t>
      </w:r>
      <w:r>
        <w:rPr>
          <w:rFonts w:ascii="Times New Roman" w:cs="Times New Roman" w:eastAsia="Times New Roman" w:hAnsi="Times New Roman"/>
          <w:sz w:val="16"/>
          <w:szCs w:val="16"/>
          <w:color w:val="auto"/>
        </w:rPr>
        <w:t>.</w:t>
      </w:r>
    </w:p>
    <w:p>
      <w:pPr>
        <w:spacing w:after="0" w:line="152" w:lineRule="exact"/>
        <w:rPr>
          <w:rFonts w:ascii="Times New Roman" w:cs="Times New Roman" w:eastAsia="Times New Roman" w:hAnsi="Times New Roman"/>
          <w:sz w:val="16"/>
          <w:szCs w:val="16"/>
          <w:color w:val="auto"/>
        </w:rPr>
      </w:pPr>
    </w:p>
    <w:p>
      <w:pPr>
        <w:ind w:right="40" w:firstLine="582"/>
        <w:spacing w:after="0" w:line="259" w:lineRule="auto"/>
        <w:tabs>
          <w:tab w:leader="none" w:pos="792"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Application of Net Proceeds</w:t>
      </w:r>
      <w:r>
        <w:rPr>
          <w:rFonts w:ascii="Times New Roman" w:cs="Times New Roman" w:eastAsia="Times New Roman" w:hAnsi="Times New Roman"/>
          <w:sz w:val="16"/>
          <w:szCs w:val="16"/>
          <w:color w:val="auto"/>
        </w:rPr>
        <w:t>. The Company shall apply the net proceeds from the Offering received by it in a manner consistent with the application thereof described under the caption “Use of Proceeds” in the Registration Statement, the Pricing Disclosure Package and the Prospectus.</w:t>
      </w:r>
    </w:p>
    <w:p>
      <w:pPr>
        <w:spacing w:after="0" w:line="143" w:lineRule="exact"/>
        <w:rPr>
          <w:rFonts w:ascii="Times New Roman" w:cs="Times New Roman" w:eastAsia="Times New Roman" w:hAnsi="Times New Roman"/>
          <w:sz w:val="16"/>
          <w:szCs w:val="16"/>
          <w:color w:val="auto"/>
        </w:rPr>
      </w:pPr>
    </w:p>
    <w:p>
      <w:pPr>
        <w:jc w:val="both"/>
        <w:ind w:right="40" w:firstLine="582"/>
        <w:spacing w:after="0" w:line="247" w:lineRule="auto"/>
        <w:tabs>
          <w:tab w:leader="none" w:pos="768"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Rule 158</w:t>
      </w:r>
      <w:r>
        <w:rPr>
          <w:rFonts w:ascii="Times New Roman" w:cs="Times New Roman" w:eastAsia="Times New Roman" w:hAnsi="Times New Roman"/>
          <w:sz w:val="16"/>
          <w:szCs w:val="16"/>
          <w:color w:val="auto"/>
        </w:rPr>
        <w:t>. The Company will timely file such reports pursuant to the Exchange Act as are necessary in order to make generally available to its security holders as soon as practicable an earnings statement for the purposes of, and to provide to the Underwriters the benefits contemplated by, Rule 158(a) under Section 11(a) of the Securities Act.</w:t>
      </w:r>
    </w:p>
    <w:p>
      <w:pPr>
        <w:sectPr>
          <w:pgSz w:w="11900" w:h="16840" w:orient="portrait"/>
          <w:cols w:equalWidth="0" w:num="1">
            <w:col w:w="10600"/>
          </w:cols>
          <w:pgMar w:left="660" w:top="557" w:right="640" w:bottom="254" w:gutter="0" w:footer="0" w:header="0"/>
        </w:sectPr>
      </w:pP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600"/>
          </w:cols>
          <w:pgMar w:left="660" w:top="557" w:right="640" w:bottom="254" w:gutter="0" w:footer="0" w:header="0"/>
          <w:type w:val="continuous"/>
        </w:sectPr>
      </w:pPr>
    </w:p>
    <w:bookmarkStart w:id="11" w:name="page12"/>
    <w:bookmarkEnd w:id="11"/>
    <w:p>
      <w:pPr>
        <w:jc w:val="both"/>
        <w:ind w:right="20" w:firstLine="582"/>
        <w:spacing w:after="0" w:line="247" w:lineRule="auto"/>
        <w:tabs>
          <w:tab w:leader="none" w:pos="76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Stabilization</w:t>
      </w:r>
      <w:r>
        <w:rPr>
          <w:rFonts w:ascii="Times New Roman" w:cs="Times New Roman" w:eastAsia="Times New Roman" w:hAnsi="Times New Roman"/>
          <w:sz w:val="16"/>
          <w:szCs w:val="16"/>
          <w:color w:val="auto"/>
        </w:rPr>
        <w:t>. Neither the Company nor, to its knowledge, any of its employees, directors or stockholders (without the consent of the Representative)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Securities.</w:t>
      </w:r>
    </w:p>
    <w:p>
      <w:pPr>
        <w:spacing w:after="0" w:line="152" w:lineRule="exact"/>
        <w:rPr>
          <w:rFonts w:ascii="Times New Roman" w:cs="Times New Roman" w:eastAsia="Times New Roman" w:hAnsi="Times New Roman"/>
          <w:sz w:val="16"/>
          <w:szCs w:val="16"/>
          <w:color w:val="auto"/>
        </w:rPr>
      </w:pPr>
    </w:p>
    <w:p>
      <w:pPr>
        <w:jc w:val="both"/>
        <w:ind w:firstLine="582"/>
        <w:spacing w:after="0" w:line="241" w:lineRule="auto"/>
        <w:tabs>
          <w:tab w:leader="none" w:pos="79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Internal Controls</w:t>
      </w:r>
      <w:r>
        <w:rPr>
          <w:rFonts w:ascii="Times New Roman" w:cs="Times New Roman" w:eastAsia="Times New Roman" w:hAnsi="Times New Roman"/>
          <w:sz w:val="16"/>
          <w:szCs w:val="16"/>
          <w:color w:val="auto"/>
        </w:rPr>
        <w:t>. The Company shall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56" w:lineRule="exact"/>
        <w:rPr>
          <w:rFonts w:ascii="Times New Roman" w:cs="Times New Roman" w:eastAsia="Times New Roman" w:hAnsi="Times New Roman"/>
          <w:sz w:val="16"/>
          <w:szCs w:val="16"/>
          <w:color w:val="auto"/>
        </w:rPr>
      </w:pPr>
    </w:p>
    <w:p>
      <w:pPr>
        <w:ind w:right="20" w:firstLine="582"/>
        <w:spacing w:after="0" w:line="259" w:lineRule="auto"/>
        <w:tabs>
          <w:tab w:leader="none" w:pos="75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Accountants</w:t>
      </w:r>
      <w:r>
        <w:rPr>
          <w:rFonts w:ascii="Times New Roman" w:cs="Times New Roman" w:eastAsia="Times New Roman" w:hAnsi="Times New Roman"/>
          <w:sz w:val="16"/>
          <w:szCs w:val="16"/>
          <w:color w:val="auto"/>
        </w:rPr>
        <w:t>. The Company shall continue to retain an independent registered public accounting firm for a period of at least three (3) years after the date of this Agreement or for such shorter period as the Company may be subject to the requirements of the Securities Act or Exchange Act, as applicable.</w:t>
      </w:r>
    </w:p>
    <w:p>
      <w:pPr>
        <w:spacing w:after="0" w:line="143" w:lineRule="exact"/>
        <w:rPr>
          <w:rFonts w:ascii="Times New Roman" w:cs="Times New Roman" w:eastAsia="Times New Roman" w:hAnsi="Times New Roman"/>
          <w:sz w:val="16"/>
          <w:szCs w:val="16"/>
          <w:color w:val="auto"/>
        </w:rPr>
      </w:pPr>
    </w:p>
    <w:p>
      <w:pPr>
        <w:jc w:val="both"/>
        <w:ind w:right="20" w:firstLine="582"/>
        <w:spacing w:after="0" w:line="241" w:lineRule="auto"/>
        <w:tabs>
          <w:tab w:leader="none" w:pos="8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FINRA</w:t>
      </w:r>
      <w:r>
        <w:rPr>
          <w:rFonts w:ascii="Times New Roman" w:cs="Times New Roman" w:eastAsia="Times New Roman" w:hAnsi="Times New Roman"/>
          <w:sz w:val="16"/>
          <w:szCs w:val="16"/>
          <w:color w:val="auto"/>
        </w:rPr>
        <w:t>. For a period of 60 days from the later of the Closing Date or the Option Closing Date, the Company shall advise the Representative (who shall make an appropriate filing with FINRA) if it is or becomes aware that (i) any officer or director of the Company, (ii) any beneficial owner of 10% or more of any class of the Company’s securities or (iii) any beneficial owner of the Company’s unregistered equity securities which were acquired during the 180 days immediately preceding the original filing of the Registration Statement is or becomes an affiliate or associated person of a FINRA member participating in the Offering (as determined in accordance with the rules and regulations of FINRA).</w:t>
      </w:r>
    </w:p>
    <w:p>
      <w:pPr>
        <w:spacing w:after="0" w:line="156"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79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Fiduciary Duties</w:t>
      </w:r>
      <w:r>
        <w:rPr>
          <w:rFonts w:ascii="Times New Roman" w:cs="Times New Roman" w:eastAsia="Times New Roman" w:hAnsi="Times New Roman"/>
          <w:sz w:val="16"/>
          <w:szCs w:val="16"/>
          <w:color w:val="auto"/>
        </w:rPr>
        <w:t>. The Company acknowledges and agrees that the Underwriters’ responsibility to the Company is solely contractual in 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152" w:lineRule="exact"/>
        <w:rPr>
          <w:rFonts w:ascii="Times New Roman" w:cs="Times New Roman" w:eastAsia="Times New Roman" w:hAnsi="Times New Roman"/>
          <w:sz w:val="16"/>
          <w:szCs w:val="16"/>
          <w:color w:val="auto"/>
        </w:rPr>
      </w:pPr>
    </w:p>
    <w:p>
      <w:pPr>
        <w:ind w:left="800" w:hanging="218"/>
        <w:spacing w:after="0"/>
        <w:tabs>
          <w:tab w:leader="none" w:pos="8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Lock-Up Agreements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158"/>
        <w:spacing w:after="0" w:line="277" w:lineRule="auto"/>
        <w:tabs>
          <w:tab w:leader="none" w:pos="1351"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on behalf of itself and any successor entity, agrees that, without the prior written consent of the Representative, it will not, for a period of ninety (90) days after the closing of the offering (the “</w:t>
      </w:r>
      <w:r>
        <w:rPr>
          <w:rFonts w:ascii="Times New Roman" w:cs="Times New Roman" w:eastAsia="Times New Roman" w:hAnsi="Times New Roman"/>
          <w:sz w:val="14"/>
          <w:szCs w:val="14"/>
          <w:u w:val="single" w:color="auto"/>
          <w:color w:val="auto"/>
        </w:rPr>
        <w:t>Lock-Up Period</w:t>
      </w:r>
      <w:r>
        <w:rPr>
          <w:rFonts w:ascii="Times New Roman" w:cs="Times New Roman" w:eastAsia="Times New Roman" w:hAnsi="Times New Roman"/>
          <w:sz w:val="14"/>
          <w:szCs w:val="14"/>
          <w:color w:val="auto"/>
        </w:rPr>
        <w:t>”),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 to be filed any registration statement with the Commission relating to the offering of any shares of capital stock of the Company or any securities convertible into or exercisable or exchangeable for shares of capital stock of the Company (other than pursuant to a registration statement on Form S-8 for employee benefit plans); or (iii) enter into any swap or other arrangement that transfers to another, in whole or in part, any of the economic consequences of ownership of capital stock of the Company, whether any such transaction described in clause (i), (ii) or (iii) above is to be settled by delivery of shares of capital stock of the Company or such other securities, in cash or otherwise.</w:t>
      </w:r>
    </w:p>
    <w:p>
      <w:pPr>
        <w:spacing w:after="0" w:line="134" w:lineRule="exact"/>
        <w:rPr>
          <w:rFonts w:ascii="Times New Roman" w:cs="Times New Roman" w:eastAsia="Times New Roman" w:hAnsi="Times New Roman"/>
          <w:sz w:val="14"/>
          <w:szCs w:val="14"/>
          <w:color w:val="auto"/>
        </w:rPr>
      </w:pPr>
    </w:p>
    <w:p>
      <w:pPr>
        <w:jc w:val="both"/>
        <w:ind w:firstLine="1158"/>
        <w:spacing w:after="0" w:line="238" w:lineRule="auto"/>
        <w:tabs>
          <w:tab w:leader="none" w:pos="1385"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restrictions contained in this Section 3(o) shall not apply to (i) the Securities to be sold hereunder; (ii) the issuance by the Company of shares of Common Stock upon the exercise of an outstanding stock option or warrant or the conversion of a security outstanding on the date hereof and disclosed in the Registration Statement and the Pricing Disclosure Package, (iii) the filing of any registration statement on Form S-8, and the issuance of securities registered thereunder, the grant by the Company of stock options, stock awards, restricted stock units or other equity awards,, or the issuance of shares of capital stock of the Company or securities convertible into or exercisable for capital stock (whether upon the exercise of stock options or otherwise) to employees, officers, directors, advisors, or consultants of the Company pursuant to the terms of a plan in effect on the date hereof and disclosed in the Pricing Prospectus, or (iv) the offer or issuance or agreement to issue by the Company of Common Stock or securities convertible into, exercisable for or which are otherwise exchangeable for or represent the right to receive Common Stock in connection with mergers, acquisitions, joint ventures, strategic alliances, commercial or other collaborative relationships or licensing arrangements or any other similar non-capital raising transactions.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582"/>
        <w:spacing w:after="0" w:line="241" w:lineRule="auto"/>
        <w:tabs>
          <w:tab w:leader="none" w:pos="80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Blue Sky Qualifications</w:t>
      </w:r>
      <w:r>
        <w:rPr>
          <w:rFonts w:ascii="Times New Roman" w:cs="Times New Roman" w:eastAsia="Times New Roman" w:hAnsi="Times New Roman"/>
          <w:sz w:val="16"/>
          <w:szCs w:val="16"/>
          <w:color w:val="auto"/>
        </w:rPr>
        <w:t>. The Company shall use its commercially reasonable efforts, in cooperation with the Representative, if necessary, to qualify the Securities for offering and sale under the applicable securities laws of such states and other jurisdictions (domestic or foreign) as the Representative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56" w:lineRule="exact"/>
        <w:rPr>
          <w:rFonts w:ascii="Times New Roman" w:cs="Times New Roman" w:eastAsia="Times New Roman" w:hAnsi="Times New Roman"/>
          <w:sz w:val="16"/>
          <w:szCs w:val="16"/>
          <w:color w:val="auto"/>
        </w:rPr>
      </w:pPr>
    </w:p>
    <w:p>
      <w:pPr>
        <w:jc w:val="both"/>
        <w:ind w:right="40" w:firstLine="582"/>
        <w:spacing w:after="0" w:line="243" w:lineRule="auto"/>
        <w:tabs>
          <w:tab w:leader="none" w:pos="79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Reporting Requirements</w:t>
      </w:r>
      <w:r>
        <w:rPr>
          <w:rFonts w:ascii="Times New Roman" w:cs="Times New Roman" w:eastAsia="Times New Roman" w:hAnsi="Times New Roman"/>
          <w:sz w:val="16"/>
          <w:szCs w:val="16"/>
          <w:color w:val="auto"/>
        </w:rPr>
        <w:t>. The Company, during the period when a prospectus relating to the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Securities as may be required under Rule 463 under the Securities Act Regulations.</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 xml:space="preserve">4. </w:t>
      </w:r>
      <w:r>
        <w:rPr>
          <w:rFonts w:ascii="Times New Roman" w:cs="Times New Roman" w:eastAsia="Times New Roman" w:hAnsi="Times New Roman"/>
          <w:sz w:val="14"/>
          <w:szCs w:val="14"/>
          <w:u w:val="single" w:color="auto"/>
          <w:color w:val="auto"/>
        </w:rPr>
        <w:t>Conditions of Underwriters’ Obligations</w:t>
      </w:r>
      <w:r>
        <w:rPr>
          <w:rFonts w:ascii="Times New Roman" w:cs="Times New Roman" w:eastAsia="Times New Roman" w:hAnsi="Times New Roman"/>
          <w:sz w:val="14"/>
          <w:szCs w:val="14"/>
          <w:color w:val="auto"/>
        </w:rPr>
        <w:t>. The obligations of the Underwriters to purchase and pay for the Securities, as provided herein, shall be subject to (i) the continuing accuracy of the representations and warranties of the Company as of the date hereof and as of each of the Closing Date and the Option Closing Date, if any;</w:t>
      </w:r>
    </w:p>
    <w:p>
      <w:pPr>
        <w:spacing w:after="0" w:line="1" w:lineRule="exact"/>
        <w:rPr>
          <w:sz w:val="20"/>
          <w:szCs w:val="20"/>
          <w:color w:val="auto"/>
        </w:rPr>
      </w:pPr>
    </w:p>
    <w:p>
      <w:pPr>
        <w:ind w:firstLine="6"/>
        <w:spacing w:after="0" w:line="238" w:lineRule="auto"/>
        <w:tabs>
          <w:tab w:leader="none" w:pos="23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of the statements of officers of the Company made pursuant to the provisions hereof; (iii) the performance by the Company of its obligations hereunder; and (iv) the following conditions:</w:t>
      </w:r>
    </w:p>
    <w:p>
      <w:pPr>
        <w:spacing w:after="0" w:line="157" w:lineRule="exact"/>
        <w:rPr>
          <w:rFonts w:ascii="Times New Roman" w:cs="Times New Roman" w:eastAsia="Times New Roman" w:hAnsi="Times New Roman"/>
          <w:sz w:val="16"/>
          <w:szCs w:val="16"/>
          <w:color w:val="auto"/>
        </w:rPr>
      </w:pPr>
    </w:p>
    <w:p>
      <w:pPr>
        <w:ind w:left="780" w:hanging="198"/>
        <w:spacing w:after="0"/>
        <w:tabs>
          <w:tab w:leader="none" w:pos="7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158"/>
        <w:spacing w:after="0" w:line="238" w:lineRule="auto"/>
        <w:tabs>
          <w:tab w:leader="none" w:pos="1332"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Effectiveness of Registration Statement; Rule 430A Information</w:t>
      </w:r>
      <w:r>
        <w:rPr>
          <w:rFonts w:ascii="Times New Roman" w:cs="Times New Roman" w:eastAsia="Times New Roman" w:hAnsi="Times New Roman"/>
          <w:sz w:val="16"/>
          <w:szCs w:val="16"/>
          <w:color w:val="auto"/>
        </w:rPr>
        <w:t>. The Registration Statement has become effective not later than 5:00 p.m., Eastern time, on the date of this Agreement or such later date and time as shall be consented to in writing by the Underwriters, and, at each of the Closing Date and any Option Closing Date, no stop order suspending the effectiveness of the Registration Statement or any post-effective amendment thereto shall have been issued under the Securities Act, no order preventing or suspending the use of any Preliminary Prospectus or the Prospectus shall have been issued and no proceedings for any of those purposes have been instituted or are pending or, to the Company’s knowledge, contemplated by the Commission. The Company has complied with each request (if any) from the Commission for additional information. The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60" w:lineRule="exact"/>
        <w:rPr>
          <w:rFonts w:ascii="Times New Roman" w:cs="Times New Roman" w:eastAsia="Times New Roman" w:hAnsi="Times New Roman"/>
          <w:sz w:val="16"/>
          <w:szCs w:val="16"/>
          <w:color w:val="auto"/>
        </w:rPr>
      </w:pPr>
    </w:p>
    <w:p>
      <w:pPr>
        <w:ind w:right="40" w:firstLine="1158"/>
        <w:spacing w:after="0" w:line="259" w:lineRule="auto"/>
        <w:tabs>
          <w:tab w:leader="none" w:pos="1392"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FINRA Clearance</w:t>
      </w:r>
      <w:r>
        <w:rPr>
          <w:rFonts w:ascii="Times New Roman" w:cs="Times New Roman" w:eastAsia="Times New Roman" w:hAnsi="Times New Roman"/>
          <w:sz w:val="16"/>
          <w:szCs w:val="16"/>
          <w:color w:val="auto"/>
        </w:rPr>
        <w:t>. On or before the date of this Agreement, the Underwriters shall have received clearance from FINRA as to the amount of compensation allowable or payable to the Underwriters as described in the Registration Statement.</w:t>
      </w:r>
    </w:p>
    <w:p>
      <w:pPr>
        <w:spacing w:after="0" w:line="143" w:lineRule="exact"/>
        <w:rPr>
          <w:rFonts w:ascii="Times New Roman" w:cs="Times New Roman" w:eastAsia="Times New Roman" w:hAnsi="Times New Roman"/>
          <w:sz w:val="16"/>
          <w:szCs w:val="16"/>
          <w:color w:val="auto"/>
        </w:rPr>
      </w:pPr>
    </w:p>
    <w:p>
      <w:pPr>
        <w:ind w:right="20" w:firstLine="1158"/>
        <w:spacing w:after="0" w:line="331" w:lineRule="auto"/>
        <w:tabs>
          <w:tab w:leader="none" w:pos="1416"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Exchange Clearance</w:t>
      </w:r>
      <w:r>
        <w:rPr>
          <w:rFonts w:ascii="Times New Roman" w:cs="Times New Roman" w:eastAsia="Times New Roman" w:hAnsi="Times New Roman"/>
          <w:sz w:val="14"/>
          <w:szCs w:val="14"/>
          <w:color w:val="auto"/>
        </w:rPr>
        <w:t>. On the Closing Date, the Firm Shares shall have been approved for listing on the Exchange, subject only to official notice of issuance. On each Option Closing Date (if any), the Option Shares shall have been approved for listing on the Exchange, subject only to official notice of issuance.</w:t>
      </w:r>
    </w:p>
    <w:p>
      <w:pPr>
        <w:spacing w:after="0" w:line="96" w:lineRule="exact"/>
        <w:rPr>
          <w:rFonts w:ascii="Times New Roman" w:cs="Times New Roman" w:eastAsia="Times New Roman" w:hAnsi="Times New Roman"/>
          <w:sz w:val="14"/>
          <w:szCs w:val="14"/>
          <w:color w:val="auto"/>
        </w:rPr>
      </w:pPr>
    </w:p>
    <w:p>
      <w:pPr>
        <w:ind w:left="800" w:hanging="218"/>
        <w:spacing w:after="0"/>
        <w:tabs>
          <w:tab w:leader="none" w:pos="80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Counsel Matters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right="20" w:firstLine="1158"/>
        <w:spacing w:after="0" w:line="331" w:lineRule="auto"/>
        <w:tabs>
          <w:tab w:leader="none" w:pos="1332"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 Date Opinion of U.S. Counsel</w:t>
      </w:r>
      <w:r>
        <w:rPr>
          <w:rFonts w:ascii="Times New Roman" w:cs="Times New Roman" w:eastAsia="Times New Roman" w:hAnsi="Times New Roman"/>
          <w:sz w:val="14"/>
          <w:szCs w:val="14"/>
          <w:color w:val="auto"/>
        </w:rPr>
        <w:t>. On the Closing Date and on each Option Closing Date (if any), the Underwriters shall have received (i) the opinion of Cooley LLP, the U.S. counsel to the Company, dated the Closing Date or Option Closing Date, as applicable, and addressed to the Underwriters, and (ii) a</w:t>
      </w:r>
    </w:p>
    <w:p>
      <w:pPr>
        <w:sectPr>
          <w:pgSz w:w="11900" w:h="16840" w:orient="portrait"/>
          <w:cols w:equalWidth="0" w:num="1">
            <w:col w:w="10580"/>
          </w:cols>
          <w:pgMar w:left="660" w:top="965" w:right="660" w:bottom="0" w:gutter="0" w:footer="0" w:header="0"/>
        </w:sectPr>
      </w:pPr>
    </w:p>
    <w:bookmarkStart w:id="12" w:name="page13"/>
    <w:bookmarkEnd w:id="12"/>
    <w:p>
      <w:pPr>
        <w:ind w:right="20"/>
        <w:spacing w:after="0" w:line="259" w:lineRule="auto"/>
        <w:rPr>
          <w:sz w:val="20"/>
          <w:szCs w:val="20"/>
          <w:color w:val="auto"/>
        </w:rPr>
      </w:pPr>
      <w:r>
        <w:rPr>
          <w:rFonts w:ascii="Times New Roman" w:cs="Times New Roman" w:eastAsia="Times New Roman" w:hAnsi="Times New Roman"/>
          <w:sz w:val="16"/>
          <w:szCs w:val="16"/>
          <w:color w:val="auto"/>
        </w:rPr>
        <w:t>written statement providing certain “10b-5” negative assurances, addressed to the Underwriters and dated the Closing Date and any Option Closing Date (if such date is other than the Closing Date), each in a form reasonably satisfactory to the Underwriter and Underwriters’ Counsel.</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80" w:hanging="198"/>
        <w:spacing w:after="0"/>
        <w:tabs>
          <w:tab w:leader="none" w:pos="7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Comfort Letters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158"/>
        <w:spacing w:after="0" w:line="243" w:lineRule="auto"/>
        <w:tabs>
          <w:tab w:leader="none" w:pos="1344"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Comfort Letter</w:t>
      </w:r>
      <w:r>
        <w:rPr>
          <w:rFonts w:ascii="Times New Roman" w:cs="Times New Roman" w:eastAsia="Times New Roman" w:hAnsi="Times New Roman"/>
          <w:sz w:val="16"/>
          <w:szCs w:val="16"/>
          <w:color w:val="auto"/>
        </w:rPr>
        <w:t>. At the time this Agreement is executed, the Underwriters shall have received a cold comfort letter from the Auditor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Underwriters and in form and substance satisfactory in all respects to the Underwriters and to the Auditor, dated as of the date of this Agreement.</w:t>
      </w:r>
    </w:p>
    <w:p>
      <w:pPr>
        <w:spacing w:after="0" w:line="155" w:lineRule="exact"/>
        <w:rPr>
          <w:rFonts w:ascii="Times New Roman" w:cs="Times New Roman" w:eastAsia="Times New Roman" w:hAnsi="Times New Roman"/>
          <w:sz w:val="16"/>
          <w:szCs w:val="16"/>
          <w:color w:val="auto"/>
        </w:rPr>
      </w:pPr>
    </w:p>
    <w:p>
      <w:pPr>
        <w:jc w:val="both"/>
        <w:ind w:right="20" w:firstLine="1158"/>
        <w:spacing w:after="0" w:line="243" w:lineRule="auto"/>
        <w:tabs>
          <w:tab w:leader="none" w:pos="138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Bring-down Comfort Letter</w:t>
      </w:r>
      <w:r>
        <w:rPr>
          <w:rFonts w:ascii="Times New Roman" w:cs="Times New Roman" w:eastAsia="Times New Roman" w:hAnsi="Times New Roman"/>
          <w:sz w:val="16"/>
          <w:szCs w:val="16"/>
          <w:color w:val="auto"/>
        </w:rPr>
        <w:t>. At the Closing Date and on each Option Closing Date (if any), the Underwriters shall have received from the Auditor, a letter, dated as of the Closing Date or Option Closing Date, as applicable, to the effect that such Auditor reaffirms the statements made in the letter furnished pursuant to Section 4(c)(i), except that the specified date referred to shall be a date not more than three (3) business days prior to the Closing Date or Option Closing Date, as applicable.</w:t>
      </w:r>
    </w:p>
    <w:p>
      <w:pPr>
        <w:spacing w:after="0" w:line="155" w:lineRule="exact"/>
        <w:rPr>
          <w:rFonts w:ascii="Times New Roman" w:cs="Times New Roman" w:eastAsia="Times New Roman" w:hAnsi="Times New Roman"/>
          <w:sz w:val="16"/>
          <w:szCs w:val="16"/>
          <w:color w:val="auto"/>
        </w:rPr>
      </w:pPr>
    </w:p>
    <w:p>
      <w:pPr>
        <w:jc w:val="both"/>
        <w:ind w:right="20" w:firstLine="1158"/>
        <w:spacing w:after="0" w:line="243" w:lineRule="auto"/>
        <w:tabs>
          <w:tab w:leader="none" w:pos="1416"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CFO Certificate</w:t>
      </w:r>
      <w:r>
        <w:rPr>
          <w:rFonts w:ascii="Times New Roman" w:cs="Times New Roman" w:eastAsia="Times New Roman" w:hAnsi="Times New Roman"/>
          <w:sz w:val="16"/>
          <w:szCs w:val="16"/>
          <w:color w:val="auto"/>
        </w:rPr>
        <w:t>. On the date of this Agreement and on the Closing Date, the Company shall have furnished to the Underwriters, a certificate on behalf of the Company, dated the respective dates of delivery thereof and addressed to the Underwriters, of its Chief Financial Officer with respect to certain financial data contained in the Registration Statement and the Prospectus, providing “management comfort” with respect to such information, in form and substance reasonably satisfactory to the Underwriters.</w:t>
      </w:r>
    </w:p>
    <w:p>
      <w:pPr>
        <w:spacing w:after="0" w:line="155" w:lineRule="exact"/>
        <w:rPr>
          <w:rFonts w:ascii="Times New Roman" w:cs="Times New Roman" w:eastAsia="Times New Roman" w:hAnsi="Times New Roman"/>
          <w:sz w:val="16"/>
          <w:szCs w:val="16"/>
          <w:color w:val="auto"/>
        </w:rPr>
      </w:pPr>
    </w:p>
    <w:p>
      <w:pPr>
        <w:ind w:left="800" w:hanging="218"/>
        <w:spacing w:after="0"/>
        <w:tabs>
          <w:tab w:leader="none" w:pos="8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Officers’ Certificates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1158"/>
        <w:spacing w:after="0" w:line="276" w:lineRule="auto"/>
        <w:tabs>
          <w:tab w:leader="none" w:pos="1344"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The Company shall have furnished to the Underwriters a certificate, dated the Closing Date or Option Closing Date, as applicable, of its Chief Executive Officer, and its Chief Financial Officer stating on behalf of the Company and not in an individual capacity that (i) to their knowledge after reasonable investigation, as of the Closing Date or Option Closing Date, as applicable, the representations and warranties of the Company in this Agreement are true and correct in all material respects (except for those representations and warranties qualified as to materiality, which shall be true and correct in all respects and except for those representations and warranties which refer to facts existing at a specific date, which shall be true and correct as of such date) and the Company has complied with all agreements and satisfied all conditions on its part to be performed or satisfied hereunder at or prior to the Closing Date and any Option Closing Date (if such date is other than the Closing Date) and (ii) there has not been, subsequent to the date of this Agreement, any Material Adverse Change in the financial position or results of operations of the Company, or any change or development that, singularly or in the aggregate, would involve a Material Adverse Change, in or affecting the condition (financial or otherwise), results of operations, business, assets or prospects of the Company, except as set forth in the Prospectus.</w:t>
      </w:r>
    </w:p>
    <w:p>
      <w:pPr>
        <w:spacing w:after="0" w:line="319" w:lineRule="exact"/>
        <w:rPr>
          <w:rFonts w:ascii="Times New Roman" w:cs="Times New Roman" w:eastAsia="Times New Roman" w:hAnsi="Times New Roman"/>
          <w:sz w:val="14"/>
          <w:szCs w:val="14"/>
          <w:color w:val="auto"/>
        </w:rPr>
      </w:pPr>
    </w:p>
    <w:p>
      <w:pPr>
        <w:jc w:val="both"/>
        <w:ind w:right="20" w:firstLine="1158"/>
        <w:spacing w:after="0" w:line="241" w:lineRule="auto"/>
        <w:tabs>
          <w:tab w:leader="none" w:pos="1392"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Secretary’s Certificate</w:t>
      </w:r>
      <w:r>
        <w:rPr>
          <w:rFonts w:ascii="Times New Roman" w:cs="Times New Roman" w:eastAsia="Times New Roman" w:hAnsi="Times New Roman"/>
          <w:sz w:val="16"/>
          <w:szCs w:val="16"/>
          <w:color w:val="auto"/>
        </w:rPr>
        <w:t>. On the Closing Date and any Option Closing Date, the Underwriters shall have received a certificate of the Company signed by the Secretary of the Company, dated the Closing Date, certifying: (i) that each of the Charter and Bylaws is true and complete, has not been modified and is in full force and effect; (ii) that the resolutions of the Company’s Board of Directors relating to the Offering are in full force and effect and have not been modified; (iii) the good standing of the Company; and (iv) as to the incumbency of the officers of the Company. The documents referred to in such certificate shall be attached to such certificate.</w:t>
      </w:r>
    </w:p>
    <w:p>
      <w:pPr>
        <w:spacing w:after="0" w:line="156" w:lineRule="exact"/>
        <w:rPr>
          <w:rFonts w:ascii="Times New Roman" w:cs="Times New Roman" w:eastAsia="Times New Roman" w:hAnsi="Times New Roman"/>
          <w:sz w:val="16"/>
          <w:szCs w:val="16"/>
          <w:color w:val="auto"/>
        </w:rPr>
      </w:pPr>
    </w:p>
    <w:p>
      <w:pPr>
        <w:jc w:val="both"/>
        <w:ind w:firstLine="582"/>
        <w:spacing w:after="0" w:line="237" w:lineRule="auto"/>
        <w:tabs>
          <w:tab w:leader="none" w:pos="7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Changes</w:t>
      </w:r>
      <w:r>
        <w:rPr>
          <w:rFonts w:ascii="Times New Roman" w:cs="Times New Roman" w:eastAsia="Times New Roman" w:hAnsi="Times New Roman"/>
          <w:sz w:val="16"/>
          <w:szCs w:val="16"/>
          <w:color w:val="auto"/>
        </w:rPr>
        <w:t>. For the period from and after the date of this Agreement and through and including the Closing Date and, if applicable, the Option Closing Date: (i) there shall have been no Material Adverse Change or development involving a prospective Material Adverse Change in the condition or the business activities, financial or otherwise, of the Company or any subsidiary of the Company from the latest dates as of which such condition is set forth in the Registration Statement, the Pricing Disclosure Package and the Prospectus; (ii) no action, suit or proceeding, at law or in equity, shall have been pending or threatened against the Company or any Insider before or by any court or federal or state commission, board or other administrative agency wherein an unfavorable decision, ruling or finding would reasonably be expected to result in a Material Adverse Change, except as set forth in the Registration Statement, the Pricing Disclosure Package and the Prospectus; (iii) no stop order shall have been issued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20" w:firstLine="582"/>
        <w:spacing w:after="0" w:line="259" w:lineRule="auto"/>
        <w:tabs>
          <w:tab w:leader="none" w:pos="7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Lock-Up Agreements</w:t>
      </w:r>
      <w:r>
        <w:rPr>
          <w:rFonts w:ascii="Times New Roman" w:cs="Times New Roman" w:eastAsia="Times New Roman" w:hAnsi="Times New Roman"/>
          <w:sz w:val="16"/>
          <w:szCs w:val="16"/>
          <w:color w:val="auto"/>
        </w:rPr>
        <w:t xml:space="preserve">. On or before the date of this Agreement, the Company shall have delivered to the Underwriters executed copies of the Lock-Up Agreements from each of the persons/entities listed in </w:t>
      </w:r>
      <w:r>
        <w:rPr>
          <w:rFonts w:ascii="Times New Roman" w:cs="Times New Roman" w:eastAsia="Times New Roman" w:hAnsi="Times New Roman"/>
          <w:sz w:val="16"/>
          <w:szCs w:val="16"/>
          <w:u w:val="single" w:color="auto"/>
          <w:color w:val="auto"/>
        </w:rPr>
        <w:t>Schedule 2</w:t>
      </w:r>
      <w:r>
        <w:rPr>
          <w:rFonts w:ascii="Times New Roman" w:cs="Times New Roman" w:eastAsia="Times New Roman" w:hAnsi="Times New Roman"/>
          <w:sz w:val="16"/>
          <w:szCs w:val="16"/>
          <w:color w:val="auto"/>
        </w:rPr>
        <w:t xml:space="preserve"> hereto.</w:t>
      </w:r>
    </w:p>
    <w:p>
      <w:pPr>
        <w:spacing w:after="0" w:line="143" w:lineRule="exact"/>
        <w:rPr>
          <w:rFonts w:ascii="Times New Roman" w:cs="Times New Roman" w:eastAsia="Times New Roman" w:hAnsi="Times New Roman"/>
          <w:sz w:val="16"/>
          <w:szCs w:val="16"/>
          <w:color w:val="auto"/>
        </w:rPr>
      </w:pPr>
    </w:p>
    <w:p>
      <w:pPr>
        <w:ind w:left="800" w:hanging="218"/>
        <w:spacing w:after="0"/>
        <w:tabs>
          <w:tab w:leader="none" w:pos="8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Agreement</w:t>
      </w:r>
      <w:r>
        <w:rPr>
          <w:rFonts w:ascii="Times New Roman" w:cs="Times New Roman" w:eastAsia="Times New Roman" w:hAnsi="Times New Roman"/>
          <w:sz w:val="16"/>
          <w:szCs w:val="16"/>
          <w:color w:val="auto"/>
        </w:rPr>
        <w:t>. On or before the Closing Date, the Company shall have delivered to the Underwriters executed copies of the Warrant Agreement.</w:t>
      </w:r>
    </w:p>
    <w:p>
      <w:pPr>
        <w:spacing w:after="0" w:line="176" w:lineRule="exact"/>
        <w:rPr>
          <w:sz w:val="20"/>
          <w:szCs w:val="20"/>
          <w:color w:val="auto"/>
        </w:rPr>
      </w:pPr>
    </w:p>
    <w:p>
      <w:pPr>
        <w:jc w:val="both"/>
        <w:ind w:firstLine="582"/>
        <w:spacing w:after="0" w:line="243" w:lineRule="auto"/>
        <w:tabs>
          <w:tab w:leader="none" w:pos="792"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Documents</w:t>
      </w:r>
      <w:r>
        <w:rPr>
          <w:rFonts w:ascii="Times New Roman" w:cs="Times New Roman" w:eastAsia="Times New Roman" w:hAnsi="Times New Roman"/>
          <w:sz w:val="16"/>
          <w:szCs w:val="16"/>
          <w:color w:val="auto"/>
        </w:rPr>
        <w:t>. At the Closing Date, Underwriters’ Counsel shall have been furnished with such documents and opinions as they may reasonably require for the purpose of enabling Underwriters’ Counsel to deliver an opinion to the Underwriters,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Underwriters and Underwriters’ Counsel.</w:t>
      </w:r>
    </w:p>
    <w:p>
      <w:pPr>
        <w:spacing w:after="0" w:line="155" w:lineRule="exact"/>
        <w:rPr>
          <w:rFonts w:ascii="Times New Roman" w:cs="Times New Roman" w:eastAsia="Times New Roman" w:hAnsi="Times New Roman"/>
          <w:sz w:val="16"/>
          <w:szCs w:val="16"/>
          <w:color w:val="auto"/>
        </w:rPr>
      </w:pPr>
    </w:p>
    <w:p>
      <w:pPr>
        <w:ind w:left="160" w:hanging="154"/>
        <w:spacing w:after="0"/>
        <w:tabs>
          <w:tab w:leader="none" w:pos="1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p>
    <w:p>
      <w:pPr>
        <w:spacing w:after="0" w:line="176" w:lineRule="exact"/>
        <w:rPr>
          <w:rFonts w:ascii="Times New Roman" w:cs="Times New Roman" w:eastAsia="Times New Roman" w:hAnsi="Times New Roman"/>
          <w:sz w:val="16"/>
          <w:szCs w:val="16"/>
          <w:color w:val="auto"/>
        </w:rPr>
      </w:pPr>
    </w:p>
    <w:p>
      <w:pPr>
        <w:jc w:val="both"/>
        <w:ind w:firstLine="582"/>
        <w:spacing w:after="0" w:line="236" w:lineRule="auto"/>
        <w:tabs>
          <w:tab w:leader="none" w:pos="7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of the Underwriters</w:t>
      </w:r>
      <w:r>
        <w:rPr>
          <w:rFonts w:ascii="Times New Roman" w:cs="Times New Roman" w:eastAsia="Times New Roman" w:hAnsi="Times New Roman"/>
          <w:sz w:val="16"/>
          <w:szCs w:val="16"/>
          <w:color w:val="auto"/>
        </w:rPr>
        <w:t>. The Company agrees to indemnify and hold harmless each Underwriter, its affiliates and each person controlling such Underwriters (within the meaning of Section 15 of the Securities Act), and the directors, officers, agents and employees of each Underwriter, its affiliates and each such controlling person (each Underwriter, and each such entity or person hereafter is referred to as an “</w:t>
      </w:r>
      <w:r>
        <w:rPr>
          <w:rFonts w:ascii="Times New Roman" w:cs="Times New Roman" w:eastAsia="Times New Roman" w:hAnsi="Times New Roman"/>
          <w:sz w:val="16"/>
          <w:szCs w:val="16"/>
          <w:u w:val="single" w:color="auto"/>
          <w:color w:val="auto"/>
        </w:rPr>
        <w:t>Underwriter Indemnified Person</w:t>
      </w:r>
      <w:r>
        <w:rPr>
          <w:rFonts w:ascii="Times New Roman" w:cs="Times New Roman" w:eastAsia="Times New Roman" w:hAnsi="Times New Roman"/>
          <w:sz w:val="16"/>
          <w:szCs w:val="16"/>
          <w:color w:val="auto"/>
        </w:rPr>
        <w:t>”) from and against any losses, claims, damages, judgments, assessments, costs and other liabilities (collectively, the “</w:t>
      </w:r>
      <w:r>
        <w:rPr>
          <w:rFonts w:ascii="Times New Roman" w:cs="Times New Roman" w:eastAsia="Times New Roman" w:hAnsi="Times New Roman"/>
          <w:sz w:val="16"/>
          <w:szCs w:val="16"/>
          <w:u w:val="single" w:color="auto"/>
          <w:color w:val="auto"/>
        </w:rPr>
        <w:t>Liabilities</w:t>
      </w:r>
      <w:r>
        <w:rPr>
          <w:rFonts w:ascii="Times New Roman" w:cs="Times New Roman" w:eastAsia="Times New Roman" w:hAnsi="Times New Roman"/>
          <w:sz w:val="16"/>
          <w:szCs w:val="16"/>
          <w:color w:val="auto"/>
        </w:rPr>
        <w:t xml:space="preserve">”), and shall reimburse each Underwriter Indemnified Person for all fees and expenses (including the reasonable fees and expenses of counsel for the Underwriter Indemnified Persons, except as otherwise expressly provided in this Agreement) (collectively, the “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as they are incurred in connection with such Indemnified Person’s enforcement of his or its rights under this Agreement, and agrees to advance payment of such Expenses as they are incurred by an Underwriter Indemnified Person in investigating, preparing, pursuing or defending any actions, whether or not any Indemnified Person is a party thereto, arising out of or based upon any untrue statement or alleged untrue statement of a material fact contained in (i) the Registration Statement, the Pricing Disclosure Package, the Preliminary Prospectus, the Prospectus or in any Issuer Free Writing Prospectus (as from time to time each may be amended and supplemented); (ii) any materials or information provided to investors by, or with the approval of, the Company in connection with the marketing of the Offering, including any “road show” or investor presentations made to investors by the Company (whether in person or electronically); or (iii) any application or other document or written communication (in this Section 5, collectively called “</w:t>
      </w:r>
      <w:r>
        <w:rPr>
          <w:rFonts w:ascii="Times New Roman" w:cs="Times New Roman" w:eastAsia="Times New Roman" w:hAnsi="Times New Roman"/>
          <w:sz w:val="16"/>
          <w:szCs w:val="16"/>
          <w:u w:val="single" w:color="auto"/>
          <w:color w:val="auto"/>
        </w:rPr>
        <w:t>application</w:t>
      </w:r>
      <w:r>
        <w:rPr>
          <w:rFonts w:ascii="Times New Roman" w:cs="Times New Roman" w:eastAsia="Times New Roman" w:hAnsi="Times New Roman"/>
          <w:sz w:val="16"/>
          <w:szCs w:val="16"/>
          <w:color w:val="auto"/>
        </w:rPr>
        <w:t>”) executed by the Company or based upon written information furnished by the Company in any jurisdiction in order to qualify the Securities under the securities laws thereof or filed with the Commission, any state securities commission or agency, the Exchange or any other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w:t>
      </w:r>
    </w:p>
    <w:p>
      <w:pPr>
        <w:sectPr>
          <w:pgSz w:w="11900" w:h="16840" w:orient="portrait"/>
          <w:cols w:equalWidth="0" w:num="1">
            <w:col w:w="10580"/>
          </w:cols>
          <w:pgMar w:left="660" w:top="557" w:right="660" w:bottom="88"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82"/>
        <w:spacing w:after="0" w:line="236" w:lineRule="auto"/>
        <w:tabs>
          <w:tab w:leader="none" w:pos="80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Procedure</w:t>
      </w:r>
      <w:r>
        <w:rPr>
          <w:rFonts w:ascii="Times New Roman" w:cs="Times New Roman" w:eastAsia="Times New Roman" w:hAnsi="Times New Roman"/>
          <w:sz w:val="16"/>
          <w:szCs w:val="16"/>
          <w:color w:val="auto"/>
        </w:rPr>
        <w:t>. Upon receipt by an indemnified person under this section 5 (an “</w:t>
      </w:r>
      <w:r>
        <w:rPr>
          <w:rFonts w:ascii="Times New Roman" w:cs="Times New Roman" w:eastAsia="Times New Roman" w:hAnsi="Times New Roman"/>
          <w:sz w:val="16"/>
          <w:szCs w:val="16"/>
          <w:u w:val="single" w:color="auto"/>
          <w:color w:val="auto"/>
        </w:rPr>
        <w:t>Indemnified Person</w:t>
      </w:r>
      <w:r>
        <w:rPr>
          <w:rFonts w:ascii="Times New Roman" w:cs="Times New Roman" w:eastAsia="Times New Roman" w:hAnsi="Times New Roman"/>
          <w:sz w:val="16"/>
          <w:szCs w:val="16"/>
          <w:color w:val="auto"/>
        </w:rPr>
        <w:t>”) of actual notice of an action against such Indemnified Person with respect to which indemnity may reasonably be expected to be sought under this Agreement, such Indemnified Person shall promptly notify the indemnifying person (the “</w:t>
      </w:r>
      <w:r>
        <w:rPr>
          <w:rFonts w:ascii="Times New Roman" w:cs="Times New Roman" w:eastAsia="Times New Roman" w:hAnsi="Times New Roman"/>
          <w:sz w:val="16"/>
          <w:szCs w:val="16"/>
          <w:u w:val="single" w:color="auto"/>
          <w:color w:val="auto"/>
        </w:rPr>
        <w:t>Indemnifying Person</w:t>
      </w:r>
      <w:r>
        <w:rPr>
          <w:rFonts w:ascii="Times New Roman" w:cs="Times New Roman" w:eastAsia="Times New Roman" w:hAnsi="Times New Roman"/>
          <w:sz w:val="16"/>
          <w:szCs w:val="16"/>
          <w:color w:val="auto"/>
        </w:rPr>
        <w:t>”) in writing; provided that failure by any Indemnified Person so to notify the Indemnifying Person shall not relieve the Indemnifying Person from any obligation or liability which the Indemnifying Person may have on account of this Section 5 or otherwise to such Indemnified Person, except to the extent the Indemnifying Person is materially prejudiced as a proximate result of such failure. An Indemnified Person shall have the right to require that the Indemnifying Person assume the defense of any such action (including the employment of counsel designated by the Indemnifying Person and reasonably satisfactory to the Indemnified Person). Any Indemnified Person shall have the right to employ separate counsel in any such action and participate in the defense thereof, but the fees and expenses of such counsel shall be at the expense of such Indemnified Person unless: (i) the Indemnifying Person has failed promptly to assume the defense and employ counsel reasonably satisfactory to the Indemnified Person for the benefit of the Indemnified Person or (ii) such Indemnified Person shall have been advised that in the opinion of counsel that there is an actual or potential conflict of interest that prevents (or makes it imprudent for) the counsel engaged by the Indemnifying Person for the purpose of representing the Indemnified Person, to represent both such Indemnified Person and any other person represented or proposed to be represented by such counsel. The Indemnifying Person shall not be liable for the fees and expenses of more than one separate counsel (together with local counsel), representing all Indemnified Persons who are parties to such action), which counsel (together with any local counsel) for the Indemnified Persons shall be selected by the Indemnified Person, subject to the Indemnifying Person’s approval (which shall not be unreasonably withheld). The Indemnifying Person shall not be liable for any settlement of any action effected without its written consent (which shall not be unreasonably withheld). In addition, the Indemnifying Person shall not, without the prior written consent of each Indemnified Person, settle, compromise or consent to the entry of any judgment in or otherwise seek to terminate any pending or threatened action in respect of which advancement, reimbursement, indemnification or contribution may be sought hereunder (whether or not such Indemnified Person is a party thereto) unless such settlement, compromise, consent or termination (i) includes an unconditional release of that Indemnified Person, from all Liabilities arising out of such action for which indemnification or contribution may be sought hereunder and (ii) does not include a statement as to or an admission of fault, culpability or a failure to act, by or on behalf of any Indemnified Person. The advancement, reimbursement, indemnification and contribution obligations of the Indemnifying Person required hereby shall be made by periodic payments of the amount thereof during the course of the investigation or defense, as every Liability and Expense is incurred and is due and payable, and in such amounts as fully satisfy each and every Liability and Expense as it is incurred (and in no event later than 30 days following the date of any invoice therefore).</w:t>
      </w:r>
    </w:p>
    <w:p>
      <w:pPr>
        <w:spacing w:after="0" w:line="160" w:lineRule="exact"/>
        <w:rPr>
          <w:rFonts w:ascii="Times New Roman" w:cs="Times New Roman" w:eastAsia="Times New Roman" w:hAnsi="Times New Roman"/>
          <w:sz w:val="16"/>
          <w:szCs w:val="16"/>
          <w:color w:val="auto"/>
        </w:rPr>
      </w:pPr>
    </w:p>
    <w:p>
      <w:pPr>
        <w:jc w:val="both"/>
        <w:ind w:right="20" w:firstLine="582"/>
        <w:spacing w:after="0" w:line="273" w:lineRule="auto"/>
        <w:tabs>
          <w:tab w:leader="none" w:pos="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of the Company</w:t>
      </w:r>
      <w:r>
        <w:rPr>
          <w:rFonts w:ascii="Times New Roman" w:cs="Times New Roman" w:eastAsia="Times New Roman" w:hAnsi="Times New Roman"/>
          <w:sz w:val="14"/>
          <w:szCs w:val="14"/>
          <w:color w:val="auto"/>
        </w:rPr>
        <w:t>. Each Underwriter, severally and not jointly, agrees to indemnify and hold harmless the Company, its directors, its officers who signed the Registration Statement and persons who control the Company within the meaning of Section 15 of the Securities Act or Section 20 of the Exchange Act against any and all Liabilities, but only with respect to untrue statements or omissions, or alleged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in any application, and in respect of which indemnity may be sought against any Underwriter, such Underwriter shall have the rights and duties given to the Company, and the Company and each other person so indemnified shall have the rights and duties given to the Underwriters by the provisions of Section 5(a). The Company agrees promptly to notify the Underwriters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Securities or in connection with the Registration Statement, the Pricing Disclosure Package, the Prospectus or any Issuer Free Writing Prospectus; provided that failure by the Company so to notify the Underwriters shall not relieve any Underwriters from any obligation or liability which such Underwriters may have on account of this Section 5 or otherwise to the Company, except to the extent such Underwriters is materially prejudiced as a proximate result of such failure.</w:t>
      </w:r>
    </w:p>
    <w:p>
      <w:pPr>
        <w:spacing w:after="0" w:line="323" w:lineRule="exact"/>
        <w:rPr>
          <w:rFonts w:ascii="Times New Roman" w:cs="Times New Roman" w:eastAsia="Times New Roman" w:hAnsi="Times New Roman"/>
          <w:sz w:val="14"/>
          <w:szCs w:val="14"/>
          <w:color w:val="auto"/>
        </w:rPr>
      </w:pPr>
    </w:p>
    <w:p>
      <w:pPr>
        <w:ind w:firstLine="582"/>
        <w:spacing w:after="0" w:line="236" w:lineRule="auto"/>
        <w:tabs>
          <w:tab w:leader="none" w:pos="79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If the indemnification provided for in this Section 5 shall for any reason be unavailable to or insufficient to hold harmless an indemnified party under Section 5(a) or 5(c) in respect of any Liabilities and Expenses referred to therein, then each indemnifying party shall, in lieu of indemnifying such indemnified party, contribute to the amount paid or payable by such indemnified party as a result of such Liabilities and Expenses, (i) in such proportion as shall be appropriate to reflect the relative benefits received by the Company, on the one hand, and each of the Underwriter, on the other hand, from the Offering,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matters as to which such Liabilities or Expenses relate, as well as any other relevant equitable considerations. The relative benefits received by the Company, on the one hand, and the Underwriter, on the other hand, with respect to such Offering shall be deemed to be in the same proportion as the total proceeds from the Offering purchased under this Agreement (before deducting expenses) received by the Company bear to the total underwriting discount and commissions actually received by the Underwriters in connection with the Offering, in each case as set forth in the table on the cover page of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on the one hand, or the Underwriters, on the other hand, and the parties’ relative intent, knowledge, access to information and opportunity to correct or prevent such untrue statement, omission, act or failure to act; provided that the parties hereto agree that the written information furnished to the Company through the Underwriters by or on behalf of any Underwriter for use in any Preliminary Prospectus, any Registration Statement or the Prospectus, or in any amendment or supplement thereto, consists solely of the Underwriters’ Information. The Company and the Underwriters agree that it would not be just and equitable if contributions pursuant to this subsection (d) were determined by pro rata allocation (even if the Underwriters were treated as one entity for such purpose) or by any other method of allocation which does not take into account the equitable considerations referred to above in this subsection (d). Notwithstanding the above, no person guilty of fraudulent misrepresentation within the meaning of Section 11(f) of the Securities Act shall be entitled to contribution from a party who was not guilty of fraudulent misrepresentation.</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82"/>
        <w:spacing w:after="0" w:line="243" w:lineRule="auto"/>
        <w:tabs>
          <w:tab w:leader="none" w:pos="7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 &amp; Third-Party Beneficiaries</w:t>
      </w:r>
      <w:r>
        <w:rPr>
          <w:rFonts w:ascii="Times New Roman" w:cs="Times New Roman" w:eastAsia="Times New Roman" w:hAnsi="Times New Roman"/>
          <w:sz w:val="16"/>
          <w:szCs w:val="16"/>
          <w:color w:val="auto"/>
        </w:rPr>
        <w:t>. The advancement, reimbursement, indemnity and contribution obligations set forth in this Section 5 shall remain in full force and effect regardless of any termination of, or the completion of any Indemnified Person’s services under or in connection with, this Agreement. Each Indemnified Person is an intended third-party beneficiary of this Section 5, and has the right to enforce the provisions of Section 5 as if he/she/it was a party to this Agreement.</w:t>
      </w:r>
    </w:p>
    <w:p>
      <w:pPr>
        <w:spacing w:after="0" w:line="155" w:lineRule="exact"/>
        <w:rPr>
          <w:rFonts w:ascii="Times New Roman" w:cs="Times New Roman" w:eastAsia="Times New Roman" w:hAnsi="Times New Roman"/>
          <w:sz w:val="16"/>
          <w:szCs w:val="16"/>
          <w:color w:val="auto"/>
        </w:rPr>
      </w:pPr>
    </w:p>
    <w:p>
      <w:pPr>
        <w:ind w:left="160" w:hanging="154"/>
        <w:spacing w:after="0"/>
        <w:tabs>
          <w:tab w:leader="none" w:pos="1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 by an Underwriter</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right="40" w:firstLine="582"/>
        <w:spacing w:after="0" w:line="241" w:lineRule="auto"/>
        <w:tabs>
          <w:tab w:leader="none" w:pos="78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 Not Exceeding 10% of Securities</w:t>
      </w:r>
      <w:r>
        <w:rPr>
          <w:rFonts w:ascii="Times New Roman" w:cs="Times New Roman" w:eastAsia="Times New Roman" w:hAnsi="Times New Roman"/>
          <w:sz w:val="16"/>
          <w:szCs w:val="16"/>
          <w:color w:val="auto"/>
        </w:rPr>
        <w:t>. If any Underwriter or Underwriters shall default in its or their obligations to purchase the Firm Securities or the Option Securities, if the over-allotment is exercised, and if the number of the Firm Securities or Option Securities with respect to which such default relates does not exceed in the aggregate 10% of the number of Firm Securities or Option Securities that all Underwriters have agreed to purchase hereunder, then such Firm Securities or Option Securities to which the default relates shall be purchased by each non-defaulting Underwriter, acting severally and not jointly, in proportion to their respective commitments hereunder.</w:t>
      </w:r>
    </w:p>
    <w:p>
      <w:pPr>
        <w:spacing w:after="0" w:line="156" w:lineRule="exact"/>
        <w:rPr>
          <w:rFonts w:ascii="Times New Roman" w:cs="Times New Roman" w:eastAsia="Times New Roman" w:hAnsi="Times New Roman"/>
          <w:sz w:val="16"/>
          <w:szCs w:val="16"/>
          <w:color w:val="auto"/>
        </w:rPr>
      </w:pPr>
    </w:p>
    <w:p>
      <w:pPr>
        <w:jc w:val="both"/>
        <w:ind w:right="40" w:firstLine="582"/>
        <w:spacing w:after="0" w:line="278" w:lineRule="auto"/>
        <w:tabs>
          <w:tab w:leader="none" w:pos="804"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Default Exceeding 10% of Securities</w:t>
      </w:r>
      <w:r>
        <w:rPr>
          <w:rFonts w:ascii="Times New Roman" w:cs="Times New Roman" w:eastAsia="Times New Roman" w:hAnsi="Times New Roman"/>
          <w:sz w:val="14"/>
          <w:szCs w:val="14"/>
          <w:color w:val="auto"/>
        </w:rPr>
        <w:t>. In the event that the default addressed in Section 6(a) relates to more than 10% of the Firm Securities or Option Securities, the Representative may in its discretion arrange for itself or for another party or parties to purchase such Firm Securities or Option Securities to which such default relates on the terms contained herein. If, within one (1) Business Day after such default relating to more than 10% of the Firm Securities or Option Securities, the Representative does not arrange for the purchase of such Firm Securities or Option Securities, then the Company shall be entitled to a further period of one (1) Business Day within which to procure another party or parties satisfactory to the Representative to purchase said Firm Securities on such terms. In the event that neither the Representative nor the Company arrange for the purchase of the Firm Securities to which a default relates as provided in this Section 6, this Agreement will be terminated by the Representative or the Company without liability on the part of the Company (except as provided in Sections 3(g) and 5 hereof) or the Underwriters</w:t>
      </w:r>
    </w:p>
    <w:p>
      <w:pPr>
        <w:sectPr>
          <w:pgSz w:w="11900" w:h="16840" w:orient="portrait"/>
          <w:cols w:equalWidth="0" w:num="1">
            <w:col w:w="10600"/>
          </w:cols>
          <w:pgMar w:left="660" w:top="737" w:right="640" w:bottom="57" w:gutter="0" w:footer="0" w:header="0"/>
        </w:sectPr>
      </w:pPr>
    </w:p>
    <w:bookmarkStart w:id="14" w:name="page15"/>
    <w:bookmarkEnd w:id="14"/>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(except as provided in Section 5 hereof); provided, however, that if such default occurs with respect to the Option Securities, this Agreement will not terminate as to the Firm Securities; and provided, further, that nothing herein shall relieve a defaulting Underwriter of its liability, if any, to the other Underwriters and to the Company for damages occasioned by its default hereunder.</w:t>
      </w:r>
    </w:p>
    <w:p>
      <w:pPr>
        <w:spacing w:after="0" w:line="152" w:lineRule="exact"/>
        <w:rPr>
          <w:sz w:val="20"/>
          <w:szCs w:val="20"/>
          <w:color w:val="auto"/>
        </w:rPr>
      </w:pPr>
    </w:p>
    <w:p>
      <w:pPr>
        <w:jc w:val="both"/>
        <w:ind w:right="40" w:firstLine="582"/>
        <w:spacing w:after="0" w:line="239" w:lineRule="auto"/>
        <w:tabs>
          <w:tab w:leader="none" w:pos="792"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Postponement of Closing Date</w:t>
      </w:r>
      <w:r>
        <w:rPr>
          <w:rFonts w:ascii="Times New Roman" w:cs="Times New Roman" w:eastAsia="Times New Roman" w:hAnsi="Times New Roman"/>
          <w:sz w:val="16"/>
          <w:szCs w:val="16"/>
          <w:color w:val="auto"/>
        </w:rPr>
        <w:t>. In the event that the Firm Securities or Option Securities to which the default relates are to be purchased by the non-defaulting Underwriter,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Pricing Disclosure Package or the Prospectus or in any other documents and arrangements, and the Company agrees to file promptly any amendment to the Registration Statement, the Pricing Disclosure Package or the Prospectus that in the opinion of Underwriters’ Counsel for the Underwriters may thereby be made necessary. The term “</w:t>
      </w:r>
      <w:r>
        <w:rPr>
          <w:rFonts w:ascii="Times New Roman" w:cs="Times New Roman" w:eastAsia="Times New Roman" w:hAnsi="Times New Roman"/>
          <w:sz w:val="16"/>
          <w:szCs w:val="16"/>
          <w:u w:val="single" w:color="auto"/>
          <w:color w:val="auto"/>
        </w:rPr>
        <w:t>Underwriter</w:t>
      </w:r>
      <w:r>
        <w:rPr>
          <w:rFonts w:ascii="Times New Roman" w:cs="Times New Roman" w:eastAsia="Times New Roman" w:hAnsi="Times New Roman"/>
          <w:sz w:val="16"/>
          <w:szCs w:val="16"/>
          <w:color w:val="auto"/>
        </w:rPr>
        <w:t>” as used in this Agreement shall include any party substituted under this Section 6 with like effect as if it had originally been a party to this Agreement with respect to such Securities.</w:t>
      </w:r>
    </w:p>
    <w:p>
      <w:pPr>
        <w:spacing w:after="0" w:line="157" w:lineRule="exact"/>
        <w:rPr>
          <w:rFonts w:ascii="Times New Roman" w:cs="Times New Roman" w:eastAsia="Times New Roman" w:hAnsi="Times New Roman"/>
          <w:sz w:val="16"/>
          <w:szCs w:val="16"/>
          <w:color w:val="auto"/>
        </w:rPr>
      </w:pPr>
    </w:p>
    <w:p>
      <w:pPr>
        <w:jc w:val="both"/>
        <w:ind w:right="40" w:firstLine="6"/>
        <w:spacing w:after="0" w:line="214" w:lineRule="auto"/>
        <w:tabs>
          <w:tab w:leader="none" w:pos="156"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Prohibition on Press Releases and Public Announcements</w:t>
      </w:r>
      <w:r>
        <w:rPr>
          <w:rFonts w:ascii="Times New Roman" w:cs="Times New Roman" w:eastAsia="Times New Roman" w:hAnsi="Times New Roman"/>
          <w:sz w:val="15"/>
          <w:szCs w:val="15"/>
          <w:color w:val="auto"/>
        </w:rPr>
        <w:t>. The Company shall not issue press releases or engage in any other publicity, without the Representative’s prior written consent (such consent not to be unreasonably withheld), for a period ending at 5:00 p.m., Eastern time, on the earlier of (i)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5"/>
          <w:szCs w:val="15"/>
          <w:color w:val="auto"/>
        </w:rPr>
        <w:t>) Business Day</w:t>
      </w:r>
    </w:p>
    <w:p>
      <w:pPr>
        <w:spacing w:after="0" w:line="1" w:lineRule="exact"/>
        <w:rPr>
          <w:sz w:val="20"/>
          <w:szCs w:val="20"/>
          <w:color w:val="auto"/>
        </w:rPr>
      </w:pPr>
    </w:p>
    <w:p>
      <w:pPr>
        <w:ind w:right="40"/>
        <w:spacing w:after="0" w:line="200" w:lineRule="auto"/>
        <w:rPr>
          <w:sz w:val="20"/>
          <w:szCs w:val="20"/>
          <w:color w:val="auto"/>
        </w:rPr>
      </w:pPr>
      <w:r>
        <w:rPr>
          <w:rFonts w:ascii="Times New Roman" w:cs="Times New Roman" w:eastAsia="Times New Roman" w:hAnsi="Times New Roman"/>
          <w:sz w:val="16"/>
          <w:szCs w:val="16"/>
          <w:color w:val="auto"/>
        </w:rPr>
        <w:t>following the forty-fifth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day after the Closing Date or (ii) the Option Closing Date, other than normal and customary releases issued in the ordinary course of the Company’s business.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60" w:hanging="154"/>
        <w:spacing w:after="0"/>
        <w:tabs>
          <w:tab w:leader="none" w:pos="1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 of this Agreement and Termination Thereof.</w:t>
      </w:r>
    </w:p>
    <w:p>
      <w:pPr>
        <w:spacing w:after="0" w:line="176" w:lineRule="exact"/>
        <w:rPr>
          <w:rFonts w:ascii="Times New Roman" w:cs="Times New Roman" w:eastAsia="Times New Roman" w:hAnsi="Times New Roman"/>
          <w:sz w:val="16"/>
          <w:szCs w:val="16"/>
          <w:color w:val="auto"/>
        </w:rPr>
      </w:pPr>
    </w:p>
    <w:p>
      <w:pPr>
        <w:ind w:right="40" w:firstLine="582"/>
        <w:spacing w:after="0" w:line="259" w:lineRule="auto"/>
        <w:tabs>
          <w:tab w:leader="none" w:pos="78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This Agreement shall become effective when both the Company and the Representative have executed the same and delivered counterparts of such signatures to the other party.</w:t>
      </w:r>
    </w:p>
    <w:p>
      <w:pPr>
        <w:spacing w:after="0" w:line="143" w:lineRule="exact"/>
        <w:rPr>
          <w:rFonts w:ascii="Times New Roman" w:cs="Times New Roman" w:eastAsia="Times New Roman" w:hAnsi="Times New Roman"/>
          <w:sz w:val="16"/>
          <w:szCs w:val="16"/>
          <w:color w:val="auto"/>
        </w:rPr>
      </w:pPr>
    </w:p>
    <w:p>
      <w:pPr>
        <w:jc w:val="both"/>
        <w:ind w:firstLine="582"/>
        <w:spacing w:after="0" w:line="237" w:lineRule="auto"/>
        <w:tabs>
          <w:tab w:leader="none" w:pos="792"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The Representative shall have the right to terminate this Agreement at any time prior to any Closing Date, (i) if any domestic or international event or act or occurrence has materially disrupted, or in Representative’s opinion will in the immediate future materially disrupt, general securities markets in the United States; or (ii) if trading on the New York Stock Exchange or the NASDAQ Stock Market LLC shall have been suspended or materially limited, or minimum or maximum prices for trading shall have been fixed, or maximum ranges for prices for securities shall have been required by any United States national securities exchange or national securities association,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Representative’s opinion, make it inadvisable to proceed with the delivery of the Securities; or (vii) if the Company is in material breach of any of its representations, warranties or covenants hereunder; or (viii) if the Representative shall have become aware after the date hereof of such a Material Adverse Change in the conditions of the Company, or such adverse material change in general market conditions as in the Representative’s judgment would make it impracticable to proceed with the offering, sale and/or delivery of the Securities or to enforce contracts made by the Representative for the sale of the Securities. Section 5 of this Agreement shall survive any termination of this Agreement.</w:t>
      </w:r>
    </w:p>
    <w:p>
      <w:pPr>
        <w:spacing w:after="0" w:line="158" w:lineRule="exact"/>
        <w:rPr>
          <w:rFonts w:ascii="Times New Roman" w:cs="Times New Roman" w:eastAsia="Times New Roman" w:hAnsi="Times New Roman"/>
          <w:sz w:val="16"/>
          <w:szCs w:val="16"/>
          <w:color w:val="auto"/>
        </w:rPr>
      </w:pPr>
    </w:p>
    <w:p>
      <w:pPr>
        <w:jc w:val="both"/>
        <w:ind w:right="40" w:firstLine="582"/>
        <w:spacing w:after="0" w:line="239" w:lineRule="auto"/>
        <w:tabs>
          <w:tab w:leader="none" w:pos="78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xml:space="preserve">. Notwithstanding anything to the contrary in this Agreement, except in the case of a default by the Underwriters pursuant to Section (6)(b) above, in the event that this Agreement shall not be carried out for any reason whatsoever, within the time specified herein or any extensions thereof pursuant to the terms herein, the Company will, subject to demand by the Representative, reimburse the Representative for only those documented out-of-pocket expenses (including the reasonable fees and expenses of their counsel), actually incurred by the Representative in connection herewith as allowed under FINRA Rule 5110 less any amounts previously paid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all such expenses, including the costs and expenses set forth in Section 3(h) which were actually paid, shall not to exceed $100,000 in the aggregate.</w:t>
      </w:r>
    </w:p>
    <w:p>
      <w:pPr>
        <w:spacing w:after="0" w:line="161" w:lineRule="exact"/>
        <w:rPr>
          <w:sz w:val="20"/>
          <w:szCs w:val="20"/>
          <w:color w:val="auto"/>
        </w:rPr>
      </w:pPr>
    </w:p>
    <w:p>
      <w:pPr>
        <w:jc w:val="both"/>
        <w:ind w:right="20" w:firstLine="582"/>
        <w:spacing w:after="0" w:line="299" w:lineRule="auto"/>
        <w:tabs>
          <w:tab w:leader="none" w:pos="65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 ) </w:t>
      </w:r>
      <w:r>
        <w:rPr>
          <w:rFonts w:ascii="Times New Roman" w:cs="Times New Roman" w:eastAsia="Times New Roman" w:hAnsi="Times New Roman"/>
          <w:sz w:val="14"/>
          <w:szCs w:val="14"/>
          <w:u w:val="single" w:color="auto"/>
          <w:color w:val="auto"/>
        </w:rPr>
        <w:t>Survival of Indemnification, Advancement, Hold Harmless &amp; Contribution Provisions</w:t>
      </w:r>
      <w:r>
        <w:rPr>
          <w:rFonts w:ascii="Times New Roman" w:cs="Times New Roman" w:eastAsia="Times New Roman" w:hAnsi="Times New Roman"/>
          <w:sz w:val="14"/>
          <w:szCs w:val="14"/>
          <w:color w:val="auto"/>
        </w:rPr>
        <w:t>.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w:t>
      </w:r>
    </w:p>
    <w:p>
      <w:pPr>
        <w:spacing w:after="0" w:line="119" w:lineRule="exact"/>
        <w:rPr>
          <w:sz w:val="20"/>
          <w:szCs w:val="20"/>
          <w:color w:val="auto"/>
        </w:rPr>
      </w:pPr>
    </w:p>
    <w:p>
      <w:pPr>
        <w:jc w:val="both"/>
        <w:ind w:right="20" w:firstLine="582"/>
        <w:spacing w:after="0" w:line="243" w:lineRule="auto"/>
        <w:tabs>
          <w:tab w:leader="none" w:pos="78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Warranties, Agreements to Survive</w:t>
      </w:r>
      <w:r>
        <w:rPr>
          <w:rFonts w:ascii="Times New Roman" w:cs="Times New Roman" w:eastAsia="Times New Roman" w:hAnsi="Times New Roman"/>
          <w:sz w:val="16"/>
          <w:szCs w:val="16"/>
          <w:color w:val="auto"/>
        </w:rPr>
        <w:t>.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or (ii) delivery of and payment for the Securities.</w:t>
      </w:r>
    </w:p>
    <w:p>
      <w:pPr>
        <w:spacing w:after="0" w:line="155" w:lineRule="exact"/>
        <w:rPr>
          <w:rFonts w:ascii="Times New Roman" w:cs="Times New Roman" w:eastAsia="Times New Roman" w:hAnsi="Times New Roman"/>
          <w:sz w:val="16"/>
          <w:szCs w:val="16"/>
          <w:color w:val="auto"/>
        </w:rPr>
      </w:pPr>
    </w:p>
    <w:p>
      <w:pPr>
        <w:ind w:left="160" w:hanging="154"/>
        <w:spacing w:after="0"/>
        <w:tabs>
          <w:tab w:leader="none" w:pos="1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p>
    <w:p>
      <w:pPr>
        <w:spacing w:after="0" w:line="176" w:lineRule="exact"/>
        <w:rPr>
          <w:rFonts w:ascii="Times New Roman" w:cs="Times New Roman" w:eastAsia="Times New Roman" w:hAnsi="Times New Roman"/>
          <w:sz w:val="16"/>
          <w:szCs w:val="16"/>
          <w:color w:val="auto"/>
        </w:rPr>
      </w:pPr>
    </w:p>
    <w:p>
      <w:pPr>
        <w:jc w:val="both"/>
        <w:ind w:right="20" w:firstLine="582"/>
        <w:spacing w:after="0" w:line="239" w:lineRule="auto"/>
        <w:tabs>
          <w:tab w:leader="none" w:pos="78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e-mail attachment at the email address set forth below at or prior to 5:30 p.m. (New York City time) on a Business Day, (b) the next Business Day after the date of transmission, if such notice or communication is delivered via e-mail attachment at the e-mail address as set forth below on a day that is not a Business Day or later than 5:30 p.m. (New York City time) on any Business Day, (c) the second (2nd) Business Day following the date of mailing, if sent by U.S. nationally recognized overnight courier service or (d) upon actual receipt by the party to whom such notice is required to be given.</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to the Representative: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A.G.P./Alliance Global Partners</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590 Madison Avenue</w:t>
      </w:r>
    </w:p>
    <w:p>
      <w:pPr>
        <w:ind w:left="580"/>
        <w:spacing w:after="0" w:line="234" w:lineRule="auto"/>
        <w:rPr>
          <w:sz w:val="20"/>
          <w:szCs w:val="20"/>
          <w:color w:val="auto"/>
        </w:rPr>
      </w:pPr>
      <w:r>
        <w:rPr>
          <w:rFonts w:ascii="Times New Roman" w:cs="Times New Roman" w:eastAsia="Times New Roman" w:hAnsi="Times New Roman"/>
          <w:sz w:val="16"/>
          <w:szCs w:val="16"/>
          <w:color w:val="auto"/>
        </w:rPr>
        <w:t>28th Floor</w:t>
      </w:r>
    </w:p>
    <w:p>
      <w:pPr>
        <w:ind w:left="580"/>
        <w:spacing w:after="0" w:line="235" w:lineRule="auto"/>
        <w:rPr>
          <w:sz w:val="20"/>
          <w:szCs w:val="20"/>
          <w:color w:val="auto"/>
        </w:rPr>
      </w:pPr>
      <w:r>
        <w:rPr>
          <w:rFonts w:ascii="Times New Roman" w:cs="Times New Roman" w:eastAsia="Times New Roman" w:hAnsi="Times New Roman"/>
          <w:sz w:val="16"/>
          <w:szCs w:val="16"/>
          <w:color w:val="auto"/>
        </w:rPr>
        <w:t>New York, NY 10022</w:t>
      </w:r>
    </w:p>
    <w:p>
      <w:pPr>
        <w:ind w:left="580"/>
        <w:spacing w:after="0" w:line="235" w:lineRule="auto"/>
        <w:rPr>
          <w:sz w:val="20"/>
          <w:szCs w:val="20"/>
          <w:color w:val="auto"/>
        </w:rPr>
      </w:pPr>
      <w:r>
        <w:rPr>
          <w:rFonts w:ascii="Times New Roman" w:cs="Times New Roman" w:eastAsia="Times New Roman" w:hAnsi="Times New Roman"/>
          <w:sz w:val="16"/>
          <w:szCs w:val="16"/>
          <w:color w:val="auto"/>
        </w:rPr>
        <w:t>Attention: [***]</w:t>
      </w:r>
    </w:p>
    <w:p>
      <w:pPr>
        <w:ind w:left="580"/>
        <w:spacing w:after="0"/>
        <w:rPr>
          <w:sz w:val="20"/>
          <w:szCs w:val="20"/>
          <w:color w:val="auto"/>
        </w:rPr>
      </w:pPr>
      <w:r>
        <w:rPr>
          <w:rFonts w:ascii="Times New Roman" w:cs="Times New Roman" w:eastAsia="Times New Roman" w:hAnsi="Times New Roman"/>
          <w:sz w:val="16"/>
          <w:szCs w:val="16"/>
          <w:color w:val="auto"/>
        </w:rPr>
        <w:t>Email: [***]</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with copies to (which shall not constitute notice):</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Thompson Hine LLP</w:t>
      </w:r>
    </w:p>
    <w:p>
      <w:pPr>
        <w:spacing w:after="0" w:line="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300 Madison Avenue</w:t>
      </w:r>
    </w:p>
    <w:p>
      <w:pPr>
        <w:ind w:left="580"/>
        <w:spacing w:after="0" w:line="182" w:lineRule="auto"/>
        <w:rPr>
          <w:sz w:val="20"/>
          <w:szCs w:val="20"/>
          <w:color w:val="auto"/>
        </w:rPr>
      </w:pPr>
      <w:r>
        <w:rPr>
          <w:rFonts w:ascii="Times New Roman" w:cs="Times New Roman" w:eastAsia="Times New Roman" w:hAnsi="Times New Roman"/>
          <w:sz w:val="15"/>
          <w:szCs w:val="15"/>
          <w:color w:val="auto"/>
        </w:rPr>
        <w:t>27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Floor</w:t>
      </w:r>
    </w:p>
    <w:p>
      <w:pPr>
        <w:ind w:left="580"/>
        <w:spacing w:after="0" w:line="235" w:lineRule="auto"/>
        <w:rPr>
          <w:sz w:val="20"/>
          <w:szCs w:val="20"/>
          <w:color w:val="auto"/>
        </w:rPr>
      </w:pPr>
      <w:r>
        <w:rPr>
          <w:rFonts w:ascii="Times New Roman" w:cs="Times New Roman" w:eastAsia="Times New Roman" w:hAnsi="Times New Roman"/>
          <w:sz w:val="16"/>
          <w:szCs w:val="16"/>
          <w:color w:val="auto"/>
        </w:rPr>
        <w:t>New York, NY 10017</w:t>
      </w:r>
    </w:p>
    <w:p>
      <w:pPr>
        <w:ind w:left="580"/>
        <w:spacing w:after="0" w:line="235" w:lineRule="auto"/>
        <w:rPr>
          <w:sz w:val="20"/>
          <w:szCs w:val="20"/>
          <w:color w:val="auto"/>
        </w:rPr>
      </w:pPr>
      <w:r>
        <w:rPr>
          <w:rFonts w:ascii="Times New Roman" w:cs="Times New Roman" w:eastAsia="Times New Roman" w:hAnsi="Times New Roman"/>
          <w:sz w:val="16"/>
          <w:szCs w:val="16"/>
          <w:color w:val="auto"/>
        </w:rPr>
        <w:t>Attention: Faith L. Charles, Esq.</w:t>
      </w:r>
    </w:p>
    <w:p>
      <w:pPr>
        <w:ind w:left="580"/>
        <w:spacing w:after="0"/>
        <w:rPr>
          <w:sz w:val="20"/>
          <w:szCs w:val="20"/>
          <w:color w:val="auto"/>
        </w:rPr>
      </w:pPr>
      <w:r>
        <w:rPr>
          <w:rFonts w:ascii="Times New Roman" w:cs="Times New Roman" w:eastAsia="Times New Roman" w:hAnsi="Times New Roman"/>
          <w:sz w:val="16"/>
          <w:szCs w:val="16"/>
          <w:color w:val="auto"/>
        </w:rPr>
        <w:t>Email: faith.charles@thompsonhine.com</w:t>
      </w:r>
    </w:p>
    <w:p>
      <w:pPr>
        <w:sectPr>
          <w:pgSz w:w="11900" w:h="16840" w:orient="portrait"/>
          <w:cols w:equalWidth="0" w:num="1">
            <w:col w:w="10600"/>
          </w:cols>
          <w:pgMar w:left="660" w:top="557" w:right="640" w:bottom="152"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Reed’s, Inc.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501 Merritt 7 Corporate Park</w:t>
      </w:r>
    </w:p>
    <w:p>
      <w:pPr>
        <w:ind w:left="580"/>
        <w:spacing w:after="0" w:line="234" w:lineRule="auto"/>
        <w:rPr>
          <w:sz w:val="20"/>
          <w:szCs w:val="20"/>
          <w:color w:val="auto"/>
        </w:rPr>
      </w:pPr>
      <w:r>
        <w:rPr>
          <w:rFonts w:ascii="Times New Roman" w:cs="Times New Roman" w:eastAsia="Times New Roman" w:hAnsi="Times New Roman"/>
          <w:sz w:val="16"/>
          <w:szCs w:val="16"/>
          <w:color w:val="auto"/>
        </w:rPr>
        <w:t>Norwalk, CT 06851</w:t>
      </w:r>
    </w:p>
    <w:p>
      <w:pPr>
        <w:ind w:left="580"/>
        <w:spacing w:after="0" w:line="235" w:lineRule="auto"/>
        <w:rPr>
          <w:sz w:val="20"/>
          <w:szCs w:val="20"/>
          <w:color w:val="auto"/>
        </w:rPr>
      </w:pPr>
      <w:r>
        <w:rPr>
          <w:rFonts w:ascii="Times New Roman" w:cs="Times New Roman" w:eastAsia="Times New Roman" w:hAnsi="Times New Roman"/>
          <w:sz w:val="16"/>
          <w:szCs w:val="16"/>
          <w:color w:val="auto"/>
        </w:rPr>
        <w:t>Attention: Cyril Wallace, CEO</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Email: cwallace@reedsinc.com</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with copies to (which shall not constitute notice):</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Cooley LLP</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110 North Wacker Drive, Suite 4200</w:t>
      </w:r>
    </w:p>
    <w:p>
      <w:pPr>
        <w:ind w:left="580"/>
        <w:spacing w:after="0" w:line="234" w:lineRule="auto"/>
        <w:rPr>
          <w:sz w:val="20"/>
          <w:szCs w:val="20"/>
          <w:color w:val="auto"/>
        </w:rPr>
      </w:pPr>
      <w:r>
        <w:rPr>
          <w:rFonts w:ascii="Times New Roman" w:cs="Times New Roman" w:eastAsia="Times New Roman" w:hAnsi="Times New Roman"/>
          <w:sz w:val="16"/>
          <w:szCs w:val="16"/>
          <w:color w:val="auto"/>
        </w:rPr>
        <w:t>Chicago, IL 60606</w:t>
      </w:r>
    </w:p>
    <w:p>
      <w:pPr>
        <w:ind w:left="580"/>
        <w:spacing w:after="0" w:line="235" w:lineRule="auto"/>
        <w:rPr>
          <w:sz w:val="20"/>
          <w:szCs w:val="20"/>
          <w:color w:val="auto"/>
        </w:rPr>
      </w:pPr>
      <w:r>
        <w:rPr>
          <w:rFonts w:ascii="Times New Roman" w:cs="Times New Roman" w:eastAsia="Times New Roman" w:hAnsi="Times New Roman"/>
          <w:sz w:val="16"/>
          <w:szCs w:val="16"/>
          <w:color w:val="auto"/>
        </w:rPr>
        <w:t>Attn: Yvan-Claude Pierre, Esq.</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Email: ypierre@cooley.com</w:t>
      </w:r>
    </w:p>
    <w:p>
      <w:pPr>
        <w:spacing w:after="0" w:line="158" w:lineRule="exact"/>
        <w:rPr>
          <w:sz w:val="20"/>
          <w:szCs w:val="20"/>
          <w:color w:val="auto"/>
        </w:rPr>
      </w:pPr>
    </w:p>
    <w:p>
      <w:pPr>
        <w:ind w:right="20" w:firstLine="582"/>
        <w:spacing w:after="0" w:line="259" w:lineRule="auto"/>
        <w:tabs>
          <w:tab w:leader="none" w:pos="80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contained herein are for the sole purpose of convenience of reference, and shall not in any way limit or affect the meaning or interpretation of any of the terms or provisions of this Agreement.</w:t>
      </w:r>
    </w:p>
    <w:p>
      <w:pPr>
        <w:spacing w:after="0" w:line="143" w:lineRule="exact"/>
        <w:rPr>
          <w:rFonts w:ascii="Times New Roman" w:cs="Times New Roman" w:eastAsia="Times New Roman" w:hAnsi="Times New Roman"/>
          <w:sz w:val="16"/>
          <w:szCs w:val="16"/>
          <w:color w:val="auto"/>
        </w:rPr>
      </w:pPr>
    </w:p>
    <w:p>
      <w:pPr>
        <w:ind w:left="780" w:hanging="198"/>
        <w:spacing w:after="0"/>
        <w:tabs>
          <w:tab w:leader="none" w:pos="7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This Agreement may only be amended by a written instrument executed by each of the parties hereto.</w:t>
      </w:r>
    </w:p>
    <w:p>
      <w:pPr>
        <w:spacing w:after="0" w:line="176" w:lineRule="exact"/>
        <w:rPr>
          <w:rFonts w:ascii="Times New Roman" w:cs="Times New Roman" w:eastAsia="Times New Roman" w:hAnsi="Times New Roman"/>
          <w:sz w:val="16"/>
          <w:szCs w:val="16"/>
          <w:color w:val="auto"/>
        </w:rPr>
      </w:pPr>
    </w:p>
    <w:p>
      <w:pPr>
        <w:jc w:val="both"/>
        <w:ind w:firstLine="582"/>
        <w:spacing w:after="0" w:line="241" w:lineRule="auto"/>
        <w:tabs>
          <w:tab w:leader="none" w:pos="79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(together with the other agreements and documents being delivered pursuant to or in connection with this Agreement) constitutes the entire agreement of the parties hereto with respect to the subject matter hereof and thereof, and supersedes all prior agreements and understandings of the parties, oral and written, with respect to the subject matter hereof. This Agreement shall replace and supersede the engagement letter agreement dated September 16, 2025, by and between the Company and the Representative, as amended, including, without limitation, any terms which survive termination thereof pursuant to Section 16 thereof.</w:t>
      </w:r>
    </w:p>
    <w:p>
      <w:pPr>
        <w:spacing w:after="0" w:line="156" w:lineRule="exact"/>
        <w:rPr>
          <w:rFonts w:ascii="Times New Roman" w:cs="Times New Roman" w:eastAsia="Times New Roman" w:hAnsi="Times New Roman"/>
          <w:sz w:val="16"/>
          <w:szCs w:val="16"/>
          <w:color w:val="auto"/>
        </w:rPr>
      </w:pPr>
    </w:p>
    <w:p>
      <w:pPr>
        <w:jc w:val="both"/>
        <w:ind w:firstLine="582"/>
        <w:spacing w:after="0" w:line="289" w:lineRule="auto"/>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Binding Effect</w:t>
      </w:r>
      <w:r>
        <w:rPr>
          <w:rFonts w:ascii="Times New Roman" w:cs="Times New Roman" w:eastAsia="Times New Roman" w:hAnsi="Times New Roman"/>
          <w:sz w:val="14"/>
          <w:szCs w:val="14"/>
          <w:color w:val="auto"/>
        </w:rPr>
        <w:t>. This Agreement shall inure solely to the benefit of and shall be binding upon the Representative, the Underwriters, each Indemnified Person referred to in Section 5, the Company and the controlling persons, directors and officers referred to in Section 5 hereof, and their respective successors, heirs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any of the Underwriters.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582"/>
        <w:spacing w:after="0" w:line="237" w:lineRule="auto"/>
        <w:tabs>
          <w:tab w:leader="none" w:pos="768"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Consent to Jurisdiction; Trial by Jury</w:t>
      </w:r>
      <w:r>
        <w:rPr>
          <w:rFonts w:ascii="Times New Roman" w:cs="Times New Roman" w:eastAsia="Times New Roman" w:hAnsi="Times New Roman"/>
          <w:sz w:val="16"/>
          <w:szCs w:val="16"/>
          <w:color w:val="auto"/>
        </w:rPr>
        <w:t>. This Agreement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Agreement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9(a)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stockholders and affiliates) and each of the Underwriter hereby irrevocably waives, to the fullest extent permitted by applicable law, any and all right to trial by jury in any legal proceeding arising out of or relating to this Agreement or the transactions contemplated hereby.</w:t>
      </w:r>
    </w:p>
    <w:p>
      <w:pPr>
        <w:spacing w:after="0" w:line="162" w:lineRule="exact"/>
        <w:rPr>
          <w:rFonts w:ascii="Times New Roman" w:cs="Times New Roman" w:eastAsia="Times New Roman" w:hAnsi="Times New Roman"/>
          <w:sz w:val="16"/>
          <w:szCs w:val="16"/>
          <w:color w:val="auto"/>
        </w:rPr>
      </w:pPr>
    </w:p>
    <w:p>
      <w:pPr>
        <w:jc w:val="both"/>
        <w:ind w:firstLine="582"/>
        <w:spacing w:after="0" w:line="243" w:lineRule="auto"/>
        <w:tabs>
          <w:tab w:leader="none" w:pos="79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in Counterparts</w:t>
      </w:r>
      <w:r>
        <w:rPr>
          <w:rFonts w:ascii="Times New Roman" w:cs="Times New Roman" w:eastAsia="Times New Roman" w:hAnsi="Times New Roman"/>
          <w:sz w:val="16"/>
          <w:szCs w:val="16"/>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email/pdf transmission shall constitute valid and sufficient delivery thereof.</w:t>
      </w:r>
    </w:p>
    <w:p>
      <w:pPr>
        <w:spacing w:after="0" w:line="155" w:lineRule="exact"/>
        <w:rPr>
          <w:rFonts w:ascii="Times New Roman" w:cs="Times New Roman" w:eastAsia="Times New Roman" w:hAnsi="Times New Roman"/>
          <w:sz w:val="16"/>
          <w:szCs w:val="16"/>
          <w:color w:val="auto"/>
        </w:rPr>
      </w:pPr>
    </w:p>
    <w:p>
      <w:pPr>
        <w:jc w:val="both"/>
        <w:ind w:right="20" w:firstLine="582"/>
        <w:spacing w:after="0" w:line="284" w:lineRule="auto"/>
        <w:tabs>
          <w:tab w:leader="none" w:pos="79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etc</w:t>
      </w:r>
      <w:r>
        <w:rPr>
          <w:rFonts w:ascii="Times New Roman" w:cs="Times New Roman" w:eastAsia="Times New Roman" w:hAnsi="Times New Roman"/>
          <w:sz w:val="14"/>
          <w:szCs w:val="14"/>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Signature Page Follows</w:t>
      </w:r>
      <w:r>
        <w:rPr>
          <w:rFonts w:ascii="Times New Roman" w:cs="Times New Roman" w:eastAsia="Times New Roman" w:hAnsi="Times New Roman"/>
          <w:sz w:val="16"/>
          <w:szCs w:val="16"/>
          <w:b w:val="1"/>
          <w:bCs w:val="1"/>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the foregoing correctly sets forth the understanding between the Underwriters and the Company, please so indicate in the space provided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REED’S,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Cyril Wallace</w:t>
            </w:r>
          </w:p>
        </w:tc>
      </w:tr>
      <w:tr>
        <w:trPr>
          <w:trHeight w:val="159"/>
        </w:trPr>
        <w:tc>
          <w:tcPr>
            <w:tcW w:w="5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47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Cyril Wallace</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Confirmed as of the date first written above mentioned, on behalf of itself and as Underwriters named on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hereto: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A.G.P./Alliance Global Partners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J. Higgins</w:t>
            </w:r>
          </w:p>
        </w:tc>
      </w:t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Thomas J. Higgins</w:t>
            </w:r>
          </w:p>
        </w:tc>
      </w:tr>
      <w:tr>
        <w:trPr>
          <w:trHeight w:val="251"/>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Managing Director</w:t>
            </w:r>
          </w:p>
        </w:tc>
      </w:tr>
    </w:tbl>
    <w:p>
      <w:pPr>
        <w:sectPr>
          <w:pgSz w:w="11900" w:h="16840" w:orient="portrait"/>
          <w:cols w:equalWidth="0" w:num="1">
            <w:col w:w="10580"/>
          </w:cols>
          <w:pgMar w:left="660" w:top="737" w:right="660" w:bottom="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900" w:type="dxa"/>
            <w:vAlign w:val="bottom"/>
            <w:gridSpan w:val="6"/>
          </w:tcPr>
          <w:p>
            <w:pPr>
              <w:jc w:val="center"/>
              <w:ind w:right="2920"/>
              <w:spacing w:after="0"/>
              <w:rPr>
                <w:sz w:val="20"/>
                <w:szCs w:val="20"/>
                <w:color w:val="auto"/>
              </w:rPr>
            </w:pPr>
            <w:r>
              <w:rPr>
                <w:rFonts w:ascii="Times New Roman" w:cs="Times New Roman" w:eastAsia="Times New Roman" w:hAnsi="Times New Roman"/>
                <w:sz w:val="16"/>
                <w:szCs w:val="16"/>
                <w:b w:val="1"/>
                <w:bCs w:val="1"/>
                <w:color w:val="auto"/>
                <w:w w:val="97"/>
              </w:rPr>
              <w:t>SCHEDULE 1</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8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6"/>
              </w:rPr>
              <w:t>Total Number of Firm</w:t>
            </w:r>
          </w:p>
        </w:tc>
        <w:tc>
          <w:tcPr>
            <w:tcW w:w="100" w:type="dxa"/>
            <w:vAlign w:val="bottom"/>
          </w:tcPr>
          <w:p>
            <w:pPr>
              <w:spacing w:after="0"/>
              <w:rPr>
                <w:sz w:val="24"/>
                <w:szCs w:val="24"/>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Total Number of Firm</w:t>
            </w:r>
          </w:p>
        </w:tc>
        <w:tc>
          <w:tcPr>
            <w:tcW w:w="0" w:type="dxa"/>
            <w:vAlign w:val="bottom"/>
          </w:tcPr>
          <w:p>
            <w:pPr>
              <w:spacing w:after="0"/>
              <w:rPr>
                <w:sz w:val="1"/>
                <w:szCs w:val="1"/>
                <w:color w:val="auto"/>
              </w:rPr>
            </w:pPr>
          </w:p>
        </w:tc>
      </w:tr>
      <w:tr>
        <w:trPr>
          <w:trHeight w:val="19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Underwriter</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Shares to be Purchased</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7"/>
              </w:rPr>
              <w:t>Warrants to be Purchased</w:t>
            </w:r>
          </w:p>
        </w:tc>
        <w:tc>
          <w:tcPr>
            <w:tcW w:w="0" w:type="dxa"/>
            <w:vAlign w:val="bottom"/>
          </w:tcPr>
          <w:p>
            <w:pPr>
              <w:spacing w:after="0"/>
              <w:rPr>
                <w:sz w:val="1"/>
                <w:szCs w:val="1"/>
                <w:color w:val="auto"/>
              </w:rPr>
            </w:pPr>
          </w:p>
        </w:tc>
      </w:tr>
      <w:tr>
        <w:trPr>
          <w:trHeight w:val="172"/>
        </w:trPr>
        <w:tc>
          <w:tcPr>
            <w:tcW w:w="48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A.G.P./Alliance Global Partners</w:t>
            </w:r>
          </w:p>
        </w:tc>
        <w:tc>
          <w:tcPr>
            <w:tcW w:w="9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2,325,000</w:t>
            </w:r>
          </w:p>
        </w:tc>
        <w:tc>
          <w:tcPr>
            <w:tcW w:w="3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2,325,000</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Roberts &amp; Ryans</w:t>
            </w:r>
          </w:p>
        </w:tc>
        <w:tc>
          <w:tcPr>
            <w:tcW w:w="390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color w:val="auto"/>
              </w:rPr>
              <w:t>175,000</w:t>
            </w:r>
          </w:p>
        </w:tc>
        <w:tc>
          <w:tcPr>
            <w:tcW w:w="1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175,000</w:t>
            </w:r>
          </w:p>
        </w:tc>
        <w:tc>
          <w:tcPr>
            <w:tcW w:w="0" w:type="dxa"/>
            <w:vAlign w:val="bottom"/>
          </w:tcPr>
          <w:p>
            <w:pPr>
              <w:spacing w:after="0"/>
              <w:rPr>
                <w:sz w:val="1"/>
                <w:szCs w:val="1"/>
                <w:color w:val="auto"/>
              </w:rPr>
            </w:pPr>
          </w:p>
        </w:tc>
      </w:tr>
      <w:tr>
        <w:trPr>
          <w:trHeight w:val="184"/>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6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color w:val="auto"/>
              </w:rPr>
              <w:t>27</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SCHEDULE 2</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List of Lock-Up Parties</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of Warrant</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attached)</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960" w:type="dxa"/>
            <w:vAlign w:val="bottom"/>
          </w:tcPr>
          <w:p>
            <w:pPr>
              <w:jc w:val="center"/>
              <w:ind w:right="1742"/>
              <w:spacing w:after="0"/>
              <w:rPr>
                <w:sz w:val="20"/>
                <w:szCs w:val="20"/>
                <w:color w:val="auto"/>
              </w:rPr>
            </w:pPr>
            <w:r>
              <w:rPr>
                <w:rFonts w:ascii="Times New Roman" w:cs="Times New Roman" w:eastAsia="Times New Roman" w:hAnsi="Times New Roman"/>
                <w:sz w:val="16"/>
                <w:szCs w:val="16"/>
                <w:b w:val="1"/>
                <w:bCs w:val="1"/>
                <w:color w:val="auto"/>
                <w:w w:val="97"/>
              </w:rPr>
              <w:t>COMMON STOCK PURCHASE WARRANT</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60"/>
        </w:trPr>
        <w:tc>
          <w:tcPr>
            <w:tcW w:w="1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960" w:type="dxa"/>
            <w:vAlign w:val="bottom"/>
          </w:tcPr>
          <w:p>
            <w:pPr>
              <w:jc w:val="center"/>
              <w:ind w:right="1742"/>
              <w:spacing w:after="0"/>
              <w:rPr>
                <w:sz w:val="20"/>
                <w:szCs w:val="20"/>
                <w:color w:val="auto"/>
              </w:rPr>
            </w:pPr>
            <w:r>
              <w:rPr>
                <w:rFonts w:ascii="Times New Roman" w:cs="Times New Roman" w:eastAsia="Times New Roman" w:hAnsi="Times New Roman"/>
                <w:sz w:val="16"/>
                <w:szCs w:val="16"/>
                <w:b w:val="1"/>
                <w:bCs w:val="1"/>
                <w:color w:val="auto"/>
                <w:w w:val="97"/>
              </w:rPr>
              <w:t>REED’S, INC.</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7"/>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Warrant No.:</w:t>
            </w:r>
          </w:p>
        </w:tc>
        <w:tc>
          <w:tcPr>
            <w:tcW w:w="18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Warrant Shares:</w:t>
            </w:r>
          </w:p>
        </w:tc>
        <w:tc>
          <w:tcPr>
            <w:tcW w:w="1800" w:type="dxa"/>
            <w:vAlign w:val="bottom"/>
            <w:tcBorders>
              <w:bottom w:val="single" w:sz="8" w:color="auto"/>
            </w:tcBorders>
          </w:tcPr>
          <w:p>
            <w:pPr>
              <w:spacing w:after="0"/>
              <w:rPr>
                <w:sz w:val="16"/>
                <w:szCs w:val="16"/>
                <w:color w:val="auto"/>
              </w:rPr>
            </w:pPr>
          </w:p>
        </w:tc>
        <w:tc>
          <w:tcPr>
            <w:tcW w:w="496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Original Issuance Date:</w:t>
            </w:r>
          </w:p>
        </w:tc>
        <w:tc>
          <w:tcPr>
            <w:tcW w:w="1260" w:type="dxa"/>
            <w:vAlign w:val="bottom"/>
            <w:tcBorders>
              <w:bottom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2025</w:t>
            </w:r>
          </w:p>
        </w:tc>
      </w:tr>
    </w:tbl>
    <w:p>
      <w:pPr>
        <w:spacing w:after="0" w:line="1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THIS COMMON STOCK PURCHASE WARRANT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certifies that, for value received, [_____] or its assigns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is entitled,</w:t>
      </w:r>
    </w:p>
    <w:p>
      <w:pPr>
        <w:spacing w:after="0" w:line="3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4"/>
          <w:szCs w:val="14"/>
          <w:color w:val="auto"/>
        </w:rPr>
        <w:t>upon the terms and subject to the limitations on exercise and the conditions hereinafter set forth, at any time on or after the date hereof (the “</w:t>
      </w:r>
      <w:r>
        <w:rPr>
          <w:rFonts w:ascii="Times New Roman" w:cs="Times New Roman" w:eastAsia="Times New Roman" w:hAnsi="Times New Roman"/>
          <w:sz w:val="14"/>
          <w:szCs w:val="14"/>
          <w:u w:val="single" w:color="auto"/>
          <w:color w:val="auto"/>
        </w:rPr>
        <w:t>Initial Exercise Date</w:t>
      </w:r>
      <w:r>
        <w:rPr>
          <w:rFonts w:ascii="Times New Roman" w:cs="Times New Roman" w:eastAsia="Times New Roman" w:hAnsi="Times New Roman"/>
          <w:sz w:val="14"/>
          <w:szCs w:val="14"/>
          <w:color w:val="auto"/>
        </w:rPr>
        <w:t>”) and on or prior to 5:00 p.m. (New York City time) on the date which is the five year anniversary of the Initial Exercise Date (the “</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xml:space="preserve">”), but not thereafter, to subscribe for and purchase from </w:t>
      </w:r>
      <w:r>
        <w:rPr>
          <w:rFonts w:ascii="Times New Roman" w:cs="Times New Roman" w:eastAsia="Times New Roman" w:hAnsi="Times New Roman"/>
          <w:sz w:val="14"/>
          <w:szCs w:val="14"/>
          <w:b w:val="1"/>
          <w:bCs w:val="1"/>
          <w:color w:val="auto"/>
        </w:rPr>
        <w:t>Reed’s,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up to [____] shares (as subject to adjustment hereunder, the “</w:t>
      </w:r>
      <w:r>
        <w:rPr>
          <w:rFonts w:ascii="Times New Roman" w:cs="Times New Roman" w:eastAsia="Times New Roman" w:hAnsi="Times New Roman"/>
          <w:sz w:val="14"/>
          <w:szCs w:val="14"/>
          <w:u w:val="single" w:color="auto"/>
          <w:color w:val="auto"/>
        </w:rPr>
        <w:t>Warrant Shares</w:t>
      </w:r>
      <w:r>
        <w:rPr>
          <w:rFonts w:ascii="Times New Roman" w:cs="Times New Roman" w:eastAsia="Times New Roman" w:hAnsi="Times New Roman"/>
          <w:sz w:val="14"/>
          <w:szCs w:val="14"/>
          <w:color w:val="auto"/>
        </w:rPr>
        <w:t xml:space="preserve"> ”)</w:t>
      </w:r>
    </w:p>
    <w:p>
      <w:pPr>
        <w:spacing w:after="0" w:line="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of the Company’s common stock, par value $.0001 per share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The purchase price of one share of Common Stock under this Warrant shall be equal to the Exercise Price, as defined in Section 2(b).</w:t>
      </w:r>
    </w:p>
    <w:p>
      <w:pPr>
        <w:spacing w:after="0" w:line="157" w:lineRule="exact"/>
        <w:rPr>
          <w:sz w:val="20"/>
          <w:szCs w:val="20"/>
          <w:color w:val="auto"/>
        </w:rPr>
      </w:pPr>
    </w:p>
    <w:p>
      <w:pPr>
        <w:jc w:val="both"/>
        <w:ind w:right="60" w:firstLine="1152"/>
        <w:spacing w:after="0" w:line="247" w:lineRule="auto"/>
        <w:rPr>
          <w:sz w:val="20"/>
          <w:szCs w:val="20"/>
          <w:color w:val="auto"/>
        </w:rPr>
      </w:pPr>
      <w:r>
        <w:rPr>
          <w:rFonts w:ascii="Times New Roman" w:cs="Times New Roman" w:eastAsia="Times New Roman" w:hAnsi="Times New Roman"/>
          <w:sz w:val="16"/>
          <w:szCs w:val="16"/>
          <w:color w:val="auto"/>
        </w:rPr>
        <w:t>The Warrant shall initially be issued and maintained in the form of a security held in book -entry form, and the Depository Trust Company, or its nominee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shall initially be the sole registered holder of this Warrant, unless a Holder elects to receive a Warrant in certificated form pursuant to the terms of the Warrant Agency Agreement.</w:t>
      </w:r>
    </w:p>
    <w:p>
      <w:pPr>
        <w:spacing w:after="0" w:line="152" w:lineRule="exact"/>
        <w:rPr>
          <w:sz w:val="20"/>
          <w:szCs w:val="20"/>
          <w:color w:val="auto"/>
        </w:rPr>
      </w:pPr>
    </w:p>
    <w:p>
      <w:pPr>
        <w:jc w:val="both"/>
        <w:ind w:right="40" w:firstLine="576"/>
        <w:spacing w:after="0" w:line="331" w:lineRule="auto"/>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Capitalized terms used and not otherwise defined herein shall have the meanings set forth in that certain Underwriting Agreement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December [●], 2025, between the Company and A.G.P./Alliance Global Partners, as representative of the several underwriters named therein.</w:t>
      </w:r>
    </w:p>
    <w:p>
      <w:pPr>
        <w:spacing w:after="0" w:line="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Exercise</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left="1440" w:right="20" w:hanging="282"/>
        <w:spacing w:after="0" w:line="277" w:lineRule="auto"/>
        <w:tabs>
          <w:tab w:leader="none" w:pos="1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Warrant</w:t>
      </w:r>
      <w:r>
        <w:rPr>
          <w:rFonts w:ascii="Times New Roman" w:cs="Times New Roman" w:eastAsia="Times New Roman" w:hAnsi="Times New Roman"/>
          <w:sz w:val="14"/>
          <w:szCs w:val="14"/>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4"/>
          <w:szCs w:val="14"/>
          <w:u w:val="single" w:color="auto"/>
          <w:color w:val="auto"/>
        </w:rPr>
        <w:t>Notice of Exercise</w:t>
      </w:r>
      <w:r>
        <w:rPr>
          <w:rFonts w:ascii="Times New Roman" w:cs="Times New Roman" w:eastAsia="Times New Roman" w:hAnsi="Times New Roman"/>
          <w:sz w:val="14"/>
          <w:szCs w:val="14"/>
          <w:color w:val="auto"/>
        </w:rPr>
        <w:t>”). Within the earlier of</w:t>
      </w:r>
    </w:p>
    <w:p>
      <w:pPr>
        <w:jc w:val="both"/>
        <w:ind w:left="144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one (1) Trading Day and (ii) the number of Trading Days comprising the Standard Settlement Period (as defined below)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4"/>
          <w:szCs w:val="14"/>
          <w:b w:val="1"/>
          <w:bCs w:val="1"/>
          <w:color w:val="auto"/>
        </w:rPr>
        <w:t>The Holder and any assignee, by acceptance of this</w:t>
      </w:r>
    </w:p>
    <w:p>
      <w:pPr>
        <w:spacing w:after="0" w:line="161" w:lineRule="exact"/>
        <w:rPr>
          <w:rFonts w:ascii="Times New Roman" w:cs="Times New Roman" w:eastAsia="Times New Roman" w:hAnsi="Times New Roman"/>
          <w:sz w:val="14"/>
          <w:szCs w:val="14"/>
          <w:color w:val="auto"/>
        </w:rPr>
      </w:pPr>
    </w:p>
    <w:p>
      <w:pPr>
        <w:jc w:val="both"/>
        <w:ind w:left="1440" w:right="2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 xml:space="preserve">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6"/>
          <w:szCs w:val="16"/>
          <w:color w:val="auto"/>
        </w:rPr>
        <w:t>For purposes of this Warrant, “</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 day on which the Common Stock is traded on any of the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markets or exchanges on which the Common Stock is listed or quoted for trading on the date in question: the NYSE American LLC, The Nasdaq Capital Market, The Nasdaq Global Market, The Nasdaq Global Select Market, or the New York Stock Exchange (or any successors to any of the foregoing) (each, a “</w:t>
      </w:r>
      <w:r>
        <w:rPr>
          <w:rFonts w:ascii="Times New Roman" w:cs="Times New Roman" w:eastAsia="Times New Roman" w:hAnsi="Times New Roman"/>
          <w:sz w:val="16"/>
          <w:szCs w:val="16"/>
          <w:u w:val="single" w:color="auto"/>
          <w:color w:val="auto"/>
        </w:rPr>
        <w:t>Trading Market</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80" w:right="40" w:firstLine="576"/>
        <w:spacing w:after="0" w:line="331" w:lineRule="auto"/>
        <w:rPr>
          <w:sz w:val="20"/>
          <w:szCs w:val="20"/>
          <w:color w:val="auto"/>
        </w:rPr>
      </w:pPr>
      <w:r>
        <w:rPr>
          <w:rFonts w:ascii="Times New Roman" w:cs="Times New Roman" w:eastAsia="Times New Roman" w:hAnsi="Times New Roman"/>
          <w:sz w:val="14"/>
          <w:szCs w:val="14"/>
          <w:color w:val="auto"/>
        </w:rPr>
        <w:t>Notwithstanding the foregoing in this Section 2(a), a Holder, whose interest in this Warrant is a beneficial interest in certificate(s) representing this Warrant held in book-entry form through DTC (or another established clearing corporation performing similar functions), shall effect exercises made pursuant</w:t>
      </w:r>
    </w:p>
    <w:p>
      <w:pPr>
        <w:sectPr>
          <w:pgSz w:w="11900" w:h="16840" w:orient="portrait"/>
          <w:cols w:equalWidth="0" w:num="1">
            <w:col w:w="10600"/>
          </w:cols>
          <w:pgMar w:left="660" w:top="917" w:right="640" w:bottom="0" w:gutter="0" w:footer="0" w:header="0"/>
        </w:sectPr>
      </w:pPr>
    </w:p>
    <w:bookmarkStart w:id="17" w:name="page18"/>
    <w:bookmarkEnd w:id="17"/>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to this Section 2(a) by delivering to DTC (or such other clearing corporation, as applicable) the appropriate instruction form for exercise, complying with the procedures to effect exercise that are required by DTC (or such other clearing corporation, as applicable), subject to a Holder’s right to elect to receive a Warrant in certificated form pursuant to the terms of the Warrant Agency Agreement, in which case this sentence shall not apply.</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xml:space="preserve">. The exercise price per share of Common Stock under this Warrant shall be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subject to adjustment hereunder (the “</w:t>
      </w:r>
      <w:r>
        <w:rPr>
          <w:rFonts w:ascii="Times New Roman" w:cs="Times New Roman" w:eastAsia="Times New Roman" w:hAnsi="Times New Roman"/>
          <w:sz w:val="16"/>
          <w:szCs w:val="16"/>
          <w:u w:val="single" w:color="auto"/>
          <w:color w:val="auto"/>
        </w:rPr>
        <w:t>Exercise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Price</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right="40" w:firstLine="578"/>
        <w:spacing w:after="0" w:line="243" w:lineRule="auto"/>
        <w:tabs>
          <w:tab w:leader="none" w:pos="73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If, and only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55" w:lineRule="exact"/>
        <w:rPr>
          <w:sz w:val="20"/>
          <w:szCs w:val="20"/>
          <w:color w:val="auto"/>
        </w:rPr>
      </w:pPr>
    </w:p>
    <w:p>
      <w:pPr>
        <w:ind w:left="1160" w:hanging="582"/>
        <w:spacing w:after="0" w:line="237" w:lineRule="auto"/>
        <w:tabs>
          <w:tab w:leader="none" w:pos="83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63" w:lineRule="exact"/>
        <w:rPr>
          <w:rFonts w:ascii="Times New Roman" w:cs="Times New Roman" w:eastAsia="Times New Roman" w:hAnsi="Times New Roman"/>
          <w:sz w:val="16"/>
          <w:szCs w:val="16"/>
          <w:color w:val="auto"/>
        </w:rPr>
      </w:pPr>
    </w:p>
    <w:p>
      <w:pPr>
        <w:ind w:left="840" w:hanging="262"/>
        <w:spacing w:after="0"/>
        <w:tabs>
          <w:tab w:leader="none" w:pos="8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Exercise Price of this Warrant, as adjusted hereunder; and</w:t>
      </w:r>
    </w:p>
    <w:p>
      <w:pPr>
        <w:spacing w:after="0" w:line="176" w:lineRule="exact"/>
        <w:rPr>
          <w:sz w:val="20"/>
          <w:szCs w:val="20"/>
          <w:color w:val="auto"/>
        </w:rPr>
      </w:pPr>
    </w:p>
    <w:p>
      <w:pPr>
        <w:ind w:left="1160" w:right="60" w:hanging="582"/>
        <w:spacing w:after="0" w:line="259" w:lineRule="auto"/>
        <w:tabs>
          <w:tab w:leader="none" w:pos="83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number of Warrant Shares that would be issuable upon exercise of this Warrant in accordance with the terms of this Warrant if such exercise were by means of a cash exercise rather than a cashless exercise.</w:t>
      </w:r>
    </w:p>
    <w:p>
      <w:pPr>
        <w:spacing w:after="0" w:line="143" w:lineRule="exact"/>
        <w:rPr>
          <w:sz w:val="20"/>
          <w:szCs w:val="20"/>
          <w:color w:val="auto"/>
        </w:rPr>
      </w:pPr>
    </w:p>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Bid Price</w:t>
      </w:r>
      <w:r>
        <w:rPr>
          <w:rFonts w:ascii="Times New Roman" w:cs="Times New Roman" w:eastAsia="Times New Roman" w:hAnsi="Times New Roman"/>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Company’s Board of Directors and reasonably acceptable to the Holders or the beneficial owners of Warrants representing more than 50% of the Warrant Shares issuable under the Warrants then-outstanding, the fees and expenses of which shall be paid by the Company.</w:t>
      </w:r>
    </w:p>
    <w:p>
      <w:pPr>
        <w:spacing w:after="0" w:line="16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76"/>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VWAP</w:t>
      </w:r>
      <w:r>
        <w:rPr>
          <w:rFonts w:ascii="Times New Roman" w:cs="Times New Roman" w:eastAsia="Times New Roman" w:hAnsi="Times New Roman"/>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Company’s Board of Directors and reasonably acceptable to the Holders or the beneficial owners of Warrants representing more than 50% of the Warrant Shares issuable under the Warrants then-outstanding, the fees and expenses of which shall be paid by the Company.</w:t>
      </w:r>
    </w:p>
    <w:p>
      <w:pPr>
        <w:spacing w:after="0" w:line="164"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If Warrant Shares are issued in such a cashless exercise, the parties acknowledge and agree that in accordance with Section 3(a)(9) of the Securities Act of 1933, as amended, the Warrant Shares shall take on the registered characteristics of the Warrants being exercised. The Company agrees not to take any position contrary to this Section 2(c).</w:t>
      </w:r>
    </w:p>
    <w:p>
      <w:pPr>
        <w:spacing w:after="0" w:line="152" w:lineRule="exact"/>
        <w:rPr>
          <w:sz w:val="20"/>
          <w:szCs w:val="20"/>
          <w:color w:val="auto"/>
        </w:rPr>
      </w:pPr>
    </w:p>
    <w:p>
      <w:pPr>
        <w:ind w:left="740" w:hanging="162"/>
        <w:spacing w:after="0"/>
        <w:tabs>
          <w:tab w:leader="none" w:pos="7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Mechanics of Exercise</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left="1740" w:right="20" w:hanging="585"/>
        <w:spacing w:after="0" w:line="272" w:lineRule="auto"/>
        <w:tabs>
          <w:tab w:leader="none" w:pos="174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Warrant Shares Upon Exercise</w:t>
      </w:r>
      <w:r>
        <w:rPr>
          <w:rFonts w:ascii="Times New Roman" w:cs="Times New Roman" w:eastAsia="Times New Roman" w:hAnsi="Times New Roman"/>
          <w:sz w:val="14"/>
          <w:szCs w:val="14"/>
          <w:color w:val="auto"/>
        </w:rPr>
        <w:t>. The Company shall cause the Warrant Shares purchased hereunder to be transmitted by Transfer Online, Inc. or any successor transfer agent of the Company (the “</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4"/>
          <w:szCs w:val="14"/>
          <w:u w:val="single" w:color="auto"/>
          <w:color w:val="auto"/>
        </w:rPr>
        <w:t>DWAC</w:t>
      </w:r>
      <w:r>
        <w:rPr>
          <w:rFonts w:ascii="Times New Roman" w:cs="Times New Roman" w:eastAsia="Times New Roman" w:hAnsi="Times New Roman"/>
          <w:sz w:val="14"/>
          <w:szCs w:val="14"/>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(T+1) and (ii) the number of Trading Days comprising the Standard Settlement Period following delivery of the Notice of Exercise (such date, the “</w:t>
      </w:r>
      <w:r>
        <w:rPr>
          <w:rFonts w:ascii="Times New Roman" w:cs="Times New Roman" w:eastAsia="Times New Roman" w:hAnsi="Times New Roman"/>
          <w:sz w:val="14"/>
          <w:szCs w:val="14"/>
          <w:u w:val="single" w:color="auto"/>
          <w:color w:val="auto"/>
        </w:rPr>
        <w:t>Warrant Share Delivery Date</w:t>
      </w:r>
      <w:r>
        <w:rPr>
          <w:rFonts w:ascii="Times New Roman" w:cs="Times New Roman" w:eastAsia="Times New Roman" w:hAnsi="Times New Roman"/>
          <w:sz w:val="14"/>
          <w:szCs w:val="14"/>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4"/>
          <w:szCs w:val="14"/>
          <w:u w:val="single" w:color="auto"/>
          <w:color w:val="auto"/>
        </w:rPr>
        <w:t>Standard Settlement Period</w:t>
      </w:r>
      <w:r>
        <w:rPr>
          <w:rFonts w:ascii="Times New Roman" w:cs="Times New Roman" w:eastAsia="Times New Roman" w:hAnsi="Times New Roman"/>
          <w:sz w:val="14"/>
          <w:szCs w:val="14"/>
          <w:color w:val="auto"/>
        </w:rPr>
        <w:t>” means the standard settlement period, expressed in a number of Trading Days, on the Company’s primary Trading Market with respect to the Common Stock as in effect on the date of delivery of the Notice of Exercise.</w:t>
      </w:r>
    </w:p>
    <w:p>
      <w:pPr>
        <w:spacing w:after="0" w:line="32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1740" w:right="20" w:hanging="585"/>
        <w:spacing w:after="0" w:line="243" w:lineRule="auto"/>
        <w:tabs>
          <w:tab w:leader="none" w:pos="17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New Warrants Upon Exercise</w:t>
      </w:r>
      <w:r>
        <w:rPr>
          <w:rFonts w:ascii="Times New Roman" w:cs="Times New Roman" w:eastAsia="Times New Roman" w:hAnsi="Times New Roman"/>
          <w:sz w:val="16"/>
          <w:szCs w:val="16"/>
          <w:color w:val="auto"/>
        </w:rPr>
        <w:t xml:space="preserve"> .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ectPr>
          <w:pgSz w:w="11900" w:h="16840" w:orient="portrait"/>
          <w:cols w:equalWidth="0" w:num="1">
            <w:col w:w="10020"/>
          </w:cols>
          <w:pgMar w:left="1240" w:top="557" w:right="640" w:bottom="437" w:gutter="0" w:footer="0" w:header="0"/>
        </w:sectPr>
      </w:pPr>
    </w:p>
    <w:bookmarkStart w:id="18" w:name="page19"/>
    <w:bookmarkEnd w:id="18"/>
    <w:p>
      <w:pPr>
        <w:ind w:left="1540" w:right="20" w:hanging="585"/>
        <w:spacing w:after="0" w:line="259" w:lineRule="auto"/>
        <w:tabs>
          <w:tab w:leader="none" w:pos="15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Rescission Rights</w:t>
      </w:r>
      <w:r>
        <w:rPr>
          <w:rFonts w:ascii="Times New Roman" w:cs="Times New Roman" w:eastAsia="Times New Roman" w:hAnsi="Times New Roman"/>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227" w:lineRule="exact"/>
        <w:rPr>
          <w:rFonts w:ascii="Times New Roman" w:cs="Times New Roman" w:eastAsia="Times New Roman" w:hAnsi="Times New Roman"/>
          <w:sz w:val="16"/>
          <w:szCs w:val="16"/>
          <w:color w:val="auto"/>
        </w:rPr>
      </w:pPr>
    </w:p>
    <w:p>
      <w:pPr>
        <w:jc w:val="both"/>
        <w:ind w:left="1540" w:hanging="585"/>
        <w:spacing w:after="0" w:line="236" w:lineRule="auto"/>
        <w:tabs>
          <w:tab w:leader="none" w:pos="15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for Buy-In on Failure to Timely Deliver Warrant Shares Upon Exercise</w:t>
      </w:r>
      <w:r>
        <w:rPr>
          <w:rFonts w:ascii="Times New Roman" w:cs="Times New Roman" w:eastAsia="Times New Roman" w:hAnsi="Times New Roman"/>
          <w:sz w:val="16"/>
          <w:szCs w:val="16"/>
          <w:color w:val="auto"/>
        </w:rPr>
        <w:t xml:space="preserve"> .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the Holder has paid any required Exercise Price for the portion of the Warrant being exercised on or prior to such Warrant Share Delivery Date (or utilized cashless exercise, if available),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6"/>
          <w:szCs w:val="16"/>
          <w:u w:val="single" w:color="auto"/>
          <w:color w:val="auto"/>
        </w:rPr>
        <w:t>Buy-In</w:t>
      </w:r>
      <w:r>
        <w:rPr>
          <w:rFonts w:ascii="Times New Roman" w:cs="Times New Roman" w:eastAsia="Times New Roman" w:hAnsi="Times New Roman"/>
          <w:sz w:val="16"/>
          <w:szCs w:val="16"/>
          <w:color w:val="auto"/>
        </w:rPr>
        <w:t>”), then the Company shall (A) pay in cash to the Holder the amount, if any, by which (x) the Holder’s total purchase price (including customary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within three (3)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0" w:lineRule="exact"/>
        <w:rPr>
          <w:rFonts w:ascii="Times New Roman" w:cs="Times New Roman" w:eastAsia="Times New Roman" w:hAnsi="Times New Roman"/>
          <w:sz w:val="16"/>
          <w:szCs w:val="16"/>
          <w:color w:val="auto"/>
        </w:rPr>
      </w:pPr>
    </w:p>
    <w:p>
      <w:pPr>
        <w:jc w:val="both"/>
        <w:ind w:left="1540" w:hanging="585"/>
        <w:spacing w:after="0" w:line="243" w:lineRule="auto"/>
        <w:tabs>
          <w:tab w:leader="none" w:pos="15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Fractional Shares or Scrip</w:t>
      </w:r>
      <w:r>
        <w:rPr>
          <w:rFonts w:ascii="Times New Roman" w:cs="Times New Roman" w:eastAsia="Times New Roman" w:hAnsi="Times New Roman"/>
          <w:sz w:val="16"/>
          <w:szCs w:val="16"/>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5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5715</wp:posOffset>
            </wp:positionV>
            <wp:extent cx="67075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1540" w:hanging="585"/>
        <w:spacing w:after="0" w:line="238" w:lineRule="auto"/>
        <w:tabs>
          <w:tab w:leader="none" w:pos="154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Charges, Taxes and Expenses</w:t>
      </w:r>
      <w:r>
        <w:rPr>
          <w:rFonts w:ascii="Times New Roman" w:cs="Times New Roman" w:eastAsia="Times New Roman" w:hAnsi="Times New Roman"/>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58" w:lineRule="exact"/>
        <w:rPr>
          <w:rFonts w:ascii="Times New Roman" w:cs="Times New Roman" w:eastAsia="Times New Roman" w:hAnsi="Times New Roman"/>
          <w:sz w:val="16"/>
          <w:szCs w:val="16"/>
          <w:color w:val="auto"/>
        </w:rPr>
      </w:pPr>
    </w:p>
    <w:p>
      <w:pPr>
        <w:ind w:left="1540" w:hanging="585"/>
        <w:spacing w:after="0" w:line="259" w:lineRule="auto"/>
        <w:tabs>
          <w:tab w:leader="none" w:pos="154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of Books</w:t>
      </w:r>
      <w:r>
        <w:rPr>
          <w:rFonts w:ascii="Times New Roman" w:cs="Times New Roman" w:eastAsia="Times New Roman" w:hAnsi="Times New Roman"/>
          <w:sz w:val="16"/>
          <w:szCs w:val="16"/>
          <w:color w:val="auto"/>
        </w:rPr>
        <w:t>. The Company will not close its stockholder books or records in any manner which prevents the timely exercise of this Warrant, pursuant to the terms hereof.</w:t>
      </w:r>
    </w:p>
    <w:p>
      <w:pPr>
        <w:spacing w:after="0" w:line="143" w:lineRule="exact"/>
        <w:rPr>
          <w:rFonts w:ascii="Times New Roman" w:cs="Times New Roman" w:eastAsia="Times New Roman" w:hAnsi="Times New Roman"/>
          <w:sz w:val="16"/>
          <w:szCs w:val="16"/>
          <w:color w:val="auto"/>
        </w:rPr>
      </w:pPr>
    </w:p>
    <w:p>
      <w:pPr>
        <w:jc w:val="both"/>
        <w:ind w:left="-200" w:firstLine="578"/>
        <w:spacing w:after="0" w:line="270" w:lineRule="auto"/>
        <w:tabs>
          <w:tab w:leader="none" w:pos="54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Holder’s Exercise Limitations</w:t>
      </w:r>
      <w:r>
        <w:rPr>
          <w:rFonts w:ascii="Times New Roman" w:cs="Times New Roman" w:eastAsia="Times New Roman" w:hAnsi="Times New Roman"/>
          <w:sz w:val="14"/>
          <w:szCs w:val="14"/>
          <w:color w:val="auto"/>
        </w:rPr>
        <w:t xml:space="preserve">.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(as defined below), and any other Persons acting as a group together with the Holder or any of the Holder’s Affiliates (such Persons, “ </w:t>
      </w:r>
      <w:r>
        <w:rPr>
          <w:rFonts w:ascii="Times New Roman" w:cs="Times New Roman" w:eastAsia="Times New Roman" w:hAnsi="Times New Roman"/>
          <w:sz w:val="14"/>
          <w:szCs w:val="14"/>
          <w:u w:val="single" w:color="auto"/>
          <w:color w:val="auto"/>
        </w:rPr>
        <w:t>Attribution Parties</w:t>
      </w:r>
      <w:r>
        <w:rPr>
          <w:rFonts w:ascii="Times New Roman" w:cs="Times New Roman" w:eastAsia="Times New Roman" w:hAnsi="Times New Roman"/>
          <w:sz w:val="14"/>
          <w:szCs w:val="14"/>
          <w:color w:val="auto"/>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(collectively, “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Equivalents</w:t>
      </w:r>
      <w:r>
        <w:rPr>
          <w:rFonts w:ascii="Times New Roman" w:cs="Times New Roman" w:eastAsia="Times New Roman" w:hAnsi="Times New Roman"/>
          <w:sz w:val="14"/>
          <w:szCs w:val="14"/>
          <w:color w:val="auto"/>
        </w:rPr>
        <w:t>”)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Securities and Exchange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4"/>
          <w:szCs w:val="14"/>
          <w:u w:val="single" w:color="auto"/>
          <w:color w:val="auto"/>
        </w:rPr>
        <w:t>Beneficial Ownership Limitation</w:t>
      </w:r>
      <w:r>
        <w:rPr>
          <w:rFonts w:ascii="Times New Roman" w:cs="Times New Roman" w:eastAsia="Times New Roman" w:hAnsi="Times New Roman"/>
          <w:sz w:val="14"/>
          <w:szCs w:val="14"/>
          <w:color w:val="auto"/>
        </w:rPr>
        <w:t>” shall be 4.99% (or, upon election by a Holder prior to the issuance of any Warrants,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w:t>
      </w:r>
    </w:p>
    <w:p>
      <w:pPr>
        <w:sectPr>
          <w:pgSz w:w="11900" w:h="16840" w:orient="portrait"/>
          <w:cols w:equalWidth="0" w:num="1">
            <w:col w:w="9800"/>
          </w:cols>
          <w:pgMar w:left="1440" w:top="557" w:right="660" w:bottom="678" w:gutter="0" w:footer="0" w:header="0"/>
        </w:sectPr>
      </w:pPr>
    </w:p>
    <w:bookmarkStart w:id="19" w:name="page20"/>
    <w:bookmarkEnd w:id="19"/>
    <w:p>
      <w:pPr>
        <w:jc w:val="both"/>
        <w:spacing w:after="0" w:line="239" w:lineRule="auto"/>
        <w:rPr>
          <w:sz w:val="20"/>
          <w:szCs w:val="20"/>
          <w:color w:val="auto"/>
        </w:rPr>
      </w:pPr>
      <w:r>
        <w:rPr>
          <w:rFonts w:ascii="Times New Roman" w:cs="Times New Roman" w:eastAsia="Times New Roman" w:hAnsi="Times New Roman"/>
          <w:sz w:val="16"/>
          <w:szCs w:val="16"/>
          <w:color w:val="auto"/>
        </w:rPr>
        <w:t xml:space="preserve">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As used herein, the term “ </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xml:space="preserve">” means any individual or corporation, partnership, trust, incorporated or unincorporated association, joint venture, limited liability company, joint stock company, government (or an agency or subdivision thereof) or other entity of any kind (each, a “ </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that, directly or indirectly through one or more intermediaries, controls or is controlled by or is under common control with a Person, as such terms are used in and construed under Rule 405 under the Securities Act of 1933, as amended.</w:t>
      </w:r>
    </w:p>
    <w:p>
      <w:pPr>
        <w:spacing w:after="0" w:line="16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Certain Adjustments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 xml:space="preserve">a ) </w:t>
      </w:r>
      <w:r>
        <w:rPr>
          <w:rFonts w:ascii="Times New Roman" w:cs="Times New Roman" w:eastAsia="Times New Roman" w:hAnsi="Times New Roman"/>
          <w:sz w:val="16"/>
          <w:szCs w:val="16"/>
          <w:u w:val="single" w:color="auto"/>
          <w:color w:val="auto"/>
        </w:rPr>
        <w:t>Stock Dividends and Splits</w:t>
      </w:r>
      <w:r>
        <w:rPr>
          <w:rFonts w:ascii="Times New Roman" w:cs="Times New Roman" w:eastAsia="Times New Roman" w:hAnsi="Times New Roman"/>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2" w:lineRule="exact"/>
        <w:rPr>
          <w:sz w:val="20"/>
          <w:szCs w:val="20"/>
          <w:color w:val="auto"/>
        </w:rPr>
      </w:pPr>
    </w:p>
    <w:p>
      <w:pPr>
        <w:jc w:val="both"/>
        <w:ind w:firstLine="578"/>
        <w:spacing w:after="0" w:line="237" w:lineRule="auto"/>
        <w:tabs>
          <w:tab w:leader="none" w:pos="74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Subsequent Rights Offerings</w:t>
      </w:r>
      <w:r>
        <w:rPr>
          <w:rFonts w:ascii="Times New Roman" w:cs="Times New Roman" w:eastAsia="Times New Roman" w:hAnsi="Times New Roman"/>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6"/>
          <w:szCs w:val="16"/>
          <w:u w:val="single" w:color="auto"/>
          <w:color w:val="auto"/>
        </w:rPr>
        <w:t>Purchase Rights</w:t>
      </w:r>
      <w:r>
        <w:rPr>
          <w:rFonts w:ascii="Times New Roman" w:cs="Times New Roman" w:eastAsia="Times New Roman" w:hAnsi="Times New Roman"/>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62" w:lineRule="exact"/>
        <w:rPr>
          <w:rFonts w:ascii="Times New Roman" w:cs="Times New Roman" w:eastAsia="Times New Roman" w:hAnsi="Times New Roman"/>
          <w:sz w:val="16"/>
          <w:szCs w:val="16"/>
          <w:color w:val="auto"/>
        </w:rPr>
      </w:pPr>
    </w:p>
    <w:p>
      <w:pPr>
        <w:jc w:val="both"/>
        <w:ind w:firstLine="578"/>
        <w:spacing w:after="0" w:line="237" w:lineRule="auto"/>
        <w:tabs>
          <w:tab w:leader="none" w:pos="73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 Rata Distributions</w:t>
      </w:r>
      <w:r>
        <w:rPr>
          <w:rFonts w:ascii="Times New Roman" w:cs="Times New Roman" w:eastAsia="Times New Roman" w:hAnsi="Times New Roman"/>
          <w:sz w:val="16"/>
          <w:szCs w:val="16"/>
          <w:color w:val="auto"/>
        </w:rPr>
        <w:t>. During such time as this Warrant is outstanding, if the Company shall declare or make any dividend or other distribution of its assets (or rights to acquire its assets) to holders of shares of Common Stock, other than as in Section 3(a),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6"/>
          <w:szCs w:val="16"/>
          <w:u w:val="single" w:color="auto"/>
          <w:color w:val="auto"/>
        </w:rPr>
        <w:t>Distribution</w:t>
      </w:r>
      <w:r>
        <w:rPr>
          <w:rFonts w:ascii="Times New Roman" w:cs="Times New Roman" w:eastAsia="Times New Roman" w:hAnsi="Times New Roman"/>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576"/>
        <w:spacing w:after="0" w:line="270" w:lineRule="auto"/>
        <w:rPr>
          <w:sz w:val="20"/>
          <w:szCs w:val="20"/>
          <w:color w:val="auto"/>
        </w:rPr>
      </w:pPr>
      <w:r>
        <w:rPr>
          <w:rFonts w:ascii="Times New Roman" w:cs="Times New Roman" w:eastAsia="Times New Roman" w:hAnsi="Times New Roman"/>
          <w:sz w:val="14"/>
          <w:szCs w:val="14"/>
          <w:color w:val="auto"/>
        </w:rPr>
        <w:t xml:space="preserve">d ) </w:t>
      </w: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Common Stock or more than 50% of the voting power of the common equity of the Company (each a “</w:t>
      </w: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4"/>
          <w:szCs w:val="14"/>
          <w:u w:val="single" w:color="auto"/>
          <w:color w:val="auto"/>
        </w:rPr>
        <w:t>Alternate Consideration</w:t>
      </w:r>
      <w:r>
        <w:rPr>
          <w:rFonts w:ascii="Times New Roman" w:cs="Times New Roman" w:eastAsia="Times New Roman" w:hAnsi="Times New Roman"/>
          <w:sz w:val="14"/>
          <w:szCs w:val="14"/>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(other than (x) any stock split or reverse stock split, (y) any transaction effected solely for the purpose of changing the jurisdiction of incorporation of the Company, or (z) any holding company reorganization or parent-subsidiary merger not requiring stockholder approval pursuant to Sections 251(g) or 253 of the General Corporation Law of the State of Delaware (or any successor provisions thereof)),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consideration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as of the date of the consummation of such Fundamental Transaction the same type or form of consideration (and in the same proportion)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w:t>
      </w:r>
    </w:p>
    <w:p>
      <w:pPr>
        <w:sectPr>
          <w:pgSz w:w="11900" w:h="16840" w:orient="portrait"/>
          <w:cols w:equalWidth="0" w:num="1">
            <w:col w:w="10000"/>
          </w:cols>
          <w:pgMar w:left="1240" w:top="557" w:right="660" w:bottom="611" w:gutter="0" w:footer="0" w:header="0"/>
        </w:sectPr>
      </w:pPr>
    </w:p>
    <w:bookmarkStart w:id="20" w:name="page21"/>
    <w:bookmarkEnd w:id="20"/>
    <w:p>
      <w:pPr>
        <w:jc w:val="both"/>
        <w:spacing w:after="0" w:line="270" w:lineRule="auto"/>
        <w:rPr>
          <w:sz w:val="20"/>
          <w:szCs w:val="20"/>
          <w:color w:val="auto"/>
        </w:rPr>
      </w:pPr>
      <w:r>
        <w:rPr>
          <w:rFonts w:ascii="Times New Roman" w:cs="Times New Roman" w:eastAsia="Times New Roman" w:hAnsi="Times New Roman"/>
          <w:sz w:val="14"/>
          <w:szCs w:val="14"/>
          <w:color w:val="auto"/>
        </w:rPr>
        <w:t>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4"/>
          <w:szCs w:val="14"/>
          <w:u w:val="single" w:color="auto"/>
          <w:color w:val="auto"/>
        </w:rPr>
        <w:t>Black Scholes Value</w:t>
      </w:r>
      <w:r>
        <w:rPr>
          <w:rFonts w:ascii="Times New Roman" w:cs="Times New Roman" w:eastAsia="Times New Roman" w:hAnsi="Times New Roman"/>
          <w:sz w:val="14"/>
          <w:szCs w:val="14"/>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 The Company shall cause any successor entity in a Fundamental Transaction in which the Company is not the survivor (the “</w:t>
      </w:r>
      <w:r>
        <w:rPr>
          <w:rFonts w:ascii="Times New Roman" w:cs="Times New Roman" w:eastAsia="Times New Roman" w:hAnsi="Times New Roman"/>
          <w:sz w:val="14"/>
          <w:szCs w:val="14"/>
          <w:u w:val="single" w:color="auto"/>
          <w:color w:val="auto"/>
        </w:rPr>
        <w:t>Successor Entity</w:t>
      </w:r>
      <w:r>
        <w:rPr>
          <w:rFonts w:ascii="Times New Roman" w:cs="Times New Roman" w:eastAsia="Times New Roman" w:hAnsi="Times New Roman"/>
          <w:sz w:val="14"/>
          <w:szCs w:val="14"/>
          <w:color w:val="auto"/>
        </w:rPr>
        <w:t>”) to assume in writing all of the obligations of the Company under this Warrant in accordance with the provisions of this Section 3(d) pursuant to written agreements in form and substance reasonably satisfactory to the Required Holders (as defined below) and approved by the Required Holders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or concurrent with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0" w:lineRule="exact"/>
        <w:rPr>
          <w:sz w:val="20"/>
          <w:szCs w:val="20"/>
          <w:color w:val="auto"/>
        </w:rPr>
      </w:pPr>
    </w:p>
    <w:p>
      <w:pPr>
        <w:spacing w:after="0" w:line="31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40" w:firstLine="578"/>
        <w:spacing w:after="0" w:line="247" w:lineRule="auto"/>
        <w:tabs>
          <w:tab w:leader="none" w:pos="744"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Calculations</w:t>
      </w:r>
      <w:r>
        <w:rPr>
          <w:rFonts w:ascii="Times New Roman" w:cs="Times New Roman" w:eastAsia="Times New Roman" w:hAnsi="Times New Roman"/>
          <w:sz w:val="16"/>
          <w:szCs w:val="16"/>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52" w:lineRule="exact"/>
        <w:rPr>
          <w:rFonts w:ascii="Times New Roman" w:cs="Times New Roman" w:eastAsia="Times New Roman" w:hAnsi="Times New Roman"/>
          <w:sz w:val="16"/>
          <w:szCs w:val="16"/>
          <w:color w:val="auto"/>
        </w:rPr>
      </w:pPr>
    </w:p>
    <w:p>
      <w:pPr>
        <w:ind w:left="720" w:hanging="142"/>
        <w:spacing w:after="0"/>
        <w:tabs>
          <w:tab w:leader="none" w:pos="7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Holder</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left="1740" w:right="40" w:hanging="585"/>
        <w:spacing w:after="0" w:line="247" w:lineRule="auto"/>
        <w:tabs>
          <w:tab w:leader="none" w:pos="1740"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 to Exercise Price</w:t>
      </w:r>
      <w:r>
        <w:rPr>
          <w:rFonts w:ascii="Times New Roman" w:cs="Times New Roman" w:eastAsia="Times New Roman" w:hAnsi="Times New Roman"/>
          <w:sz w:val="16"/>
          <w:szCs w:val="16"/>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52" w:lineRule="exact"/>
        <w:rPr>
          <w:rFonts w:ascii="Times New Roman" w:cs="Times New Roman" w:eastAsia="Times New Roman" w:hAnsi="Times New Roman"/>
          <w:sz w:val="16"/>
          <w:szCs w:val="16"/>
          <w:color w:val="auto"/>
        </w:rPr>
      </w:pPr>
    </w:p>
    <w:p>
      <w:pPr>
        <w:jc w:val="both"/>
        <w:ind w:left="860" w:right="20" w:hanging="282"/>
        <w:spacing w:after="0" w:line="236" w:lineRule="auto"/>
        <w:tabs>
          <w:tab w:leader="none" w:pos="8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Allow Exercise by Holder</w:t>
      </w:r>
      <w:r>
        <w:rPr>
          <w:rFonts w:ascii="Times New Roman" w:cs="Times New Roman" w:eastAsia="Times New Roman" w:hAnsi="Times New Roman"/>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Securities and Exchange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Transfer of Warrant</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40" w:firstLine="578"/>
        <w:spacing w:after="0" w:line="237" w:lineRule="auto"/>
        <w:tabs>
          <w:tab w:leader="none" w:pos="73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6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40" w:firstLine="578"/>
        <w:spacing w:after="0" w:line="239" w:lineRule="auto"/>
        <w:tabs>
          <w:tab w:leader="none" w:pos="75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New Warrants</w:t>
      </w:r>
      <w:r>
        <w:rPr>
          <w:rFonts w:ascii="Times New Roman" w:cs="Times New Roman" w:eastAsia="Times New Roman" w:hAnsi="Times New Roman"/>
          <w:sz w:val="16"/>
          <w:szCs w:val="16"/>
          <w:color w:val="auto"/>
        </w:rPr>
        <w:t xml:space="preserve"> .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ectPr>
          <w:pgSz w:w="11900" w:h="16840" w:orient="portrait"/>
          <w:cols w:equalWidth="0" w:num="1">
            <w:col w:w="10020"/>
          </w:cols>
          <w:pgMar w:left="1240" w:top="557" w:right="640" w:bottom="263" w:gutter="0" w:footer="0" w:header="0"/>
        </w:sectPr>
      </w:pPr>
    </w:p>
    <w:bookmarkStart w:id="21" w:name="page22"/>
    <w:bookmarkEnd w:id="21"/>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 xml:space="preserve">c ) </w:t>
      </w: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The Warrant Agent shall register this Warrant, upon records to be maintained by the Warrant Agent for that purpose (the “</w:t>
      </w: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firstLine="578"/>
        <w:spacing w:after="0" w:line="243" w:lineRule="auto"/>
        <w:tabs>
          <w:tab w:leader="none" w:pos="73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as Stockholder Until Exercise; No Settlement in Cash</w:t>
      </w:r>
      <w:r>
        <w:rPr>
          <w:rFonts w:ascii="Times New Roman" w:cs="Times New Roman" w:eastAsia="Times New Roman" w:hAnsi="Times New Roman"/>
          <w:sz w:val="16"/>
          <w:szCs w:val="16"/>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pursuant to Section 2(c), or to receive the cash payments contemplated pursuant to Sections 2(d)(i) and 2(d)(iv), in no event will the Company be required to net cash settle an exercise of this Warrant.</w:t>
      </w:r>
    </w:p>
    <w:p>
      <w:pPr>
        <w:spacing w:after="0" w:line="155" w:lineRule="exact"/>
        <w:rPr>
          <w:rFonts w:ascii="Times New Roman" w:cs="Times New Roman" w:eastAsia="Times New Roman" w:hAnsi="Times New Roman"/>
          <w:sz w:val="16"/>
          <w:szCs w:val="16"/>
          <w:color w:val="auto"/>
        </w:rPr>
      </w:pPr>
    </w:p>
    <w:p>
      <w:pPr>
        <w:jc w:val="both"/>
        <w:ind w:right="20" w:firstLine="578"/>
        <w:spacing w:after="0" w:line="289" w:lineRule="auto"/>
        <w:tabs>
          <w:tab w:leader="none" w:pos="74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Loss, Theft, Destruction or Mutilation of Warrant</w:t>
      </w:r>
      <w:r>
        <w:rPr>
          <w:rFonts w:ascii="Times New Roman" w:cs="Times New Roman" w:eastAsia="Times New Roman" w:hAnsi="Times New Roman"/>
          <w:sz w:val="14"/>
          <w:szCs w:val="14"/>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24" w:lineRule="exact"/>
        <w:rPr>
          <w:rFonts w:ascii="Times New Roman" w:cs="Times New Roman" w:eastAsia="Times New Roman" w:hAnsi="Times New Roman"/>
          <w:sz w:val="14"/>
          <w:szCs w:val="14"/>
          <w:color w:val="auto"/>
        </w:rPr>
      </w:pPr>
    </w:p>
    <w:p>
      <w:pPr>
        <w:ind w:right="20" w:firstLine="578"/>
        <w:spacing w:after="0" w:line="259" w:lineRule="auto"/>
        <w:tabs>
          <w:tab w:leader="none" w:pos="73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Saturdays, Sundays, Holidays, etc</w:t>
      </w:r>
      <w:r>
        <w:rPr>
          <w:rFonts w:ascii="Times New Roman" w:cs="Times New Roman" w:eastAsia="Times New Roman" w:hAnsi="Times New Roman"/>
          <w:sz w:val="16"/>
          <w:szCs w:val="16"/>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43" w:lineRule="exact"/>
        <w:rPr>
          <w:rFonts w:ascii="Times New Roman" w:cs="Times New Roman" w:eastAsia="Times New Roman" w:hAnsi="Times New Roman"/>
          <w:sz w:val="16"/>
          <w:szCs w:val="16"/>
          <w:color w:val="auto"/>
        </w:rPr>
      </w:pPr>
    </w:p>
    <w:p>
      <w:pPr>
        <w:jc w:val="both"/>
        <w:ind w:right="20" w:firstLine="578"/>
        <w:spacing w:after="0" w:line="238" w:lineRule="auto"/>
        <w:tabs>
          <w:tab w:leader="none" w:pos="744"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Shares</w:t>
      </w:r>
      <w:r>
        <w:rPr>
          <w:rFonts w:ascii="Times New Roman" w:cs="Times New Roman" w:eastAsia="Times New Roman" w:hAnsi="Times New Roman"/>
          <w:sz w:val="16"/>
          <w:szCs w:val="16"/>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5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76"/>
        <w:spacing w:after="0" w:line="238" w:lineRule="auto"/>
        <w:rPr>
          <w:sz w:val="20"/>
          <w:szCs w:val="20"/>
          <w:color w:val="auto"/>
        </w:rPr>
      </w:pPr>
      <w:r>
        <w:rPr>
          <w:rFonts w:ascii="Times New Roman" w:cs="Times New Roman" w:eastAsia="Times New Roman" w:hAnsi="Times New Roman"/>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58"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52" w:lineRule="exact"/>
        <w:rPr>
          <w:sz w:val="20"/>
          <w:szCs w:val="20"/>
          <w:color w:val="auto"/>
        </w:rPr>
      </w:pPr>
    </w:p>
    <w:p>
      <w:pPr>
        <w:jc w:val="both"/>
        <w:ind w:firstLine="578"/>
        <w:spacing w:after="0" w:line="237" w:lineRule="auto"/>
        <w:tabs>
          <w:tab w:leader="none" w:pos="73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57" w:lineRule="exact"/>
        <w:rPr>
          <w:rFonts w:ascii="Times New Roman" w:cs="Times New Roman" w:eastAsia="Times New Roman" w:hAnsi="Times New Roman"/>
          <w:sz w:val="16"/>
          <w:szCs w:val="16"/>
          <w:color w:val="auto"/>
        </w:rPr>
      </w:pPr>
    </w:p>
    <w:p>
      <w:pPr>
        <w:ind w:right="40" w:firstLine="578"/>
        <w:spacing w:after="0" w:line="259" w:lineRule="auto"/>
        <w:tabs>
          <w:tab w:leader="none" w:pos="7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w:t>
      </w:r>
      <w:r>
        <w:rPr>
          <w:rFonts w:ascii="Times New Roman" w:cs="Times New Roman" w:eastAsia="Times New Roman" w:hAnsi="Times New Roman"/>
          <w:sz w:val="16"/>
          <w:szCs w:val="16"/>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3" w:lineRule="exact"/>
        <w:rPr>
          <w:rFonts w:ascii="Times New Roman" w:cs="Times New Roman" w:eastAsia="Times New Roman" w:hAnsi="Times New Roman"/>
          <w:sz w:val="16"/>
          <w:szCs w:val="16"/>
          <w:color w:val="auto"/>
        </w:rPr>
      </w:pPr>
    </w:p>
    <w:p>
      <w:pPr>
        <w:jc w:val="both"/>
        <w:ind w:right="20" w:firstLine="578"/>
        <w:spacing w:after="0" w:line="284" w:lineRule="auto"/>
        <w:tabs>
          <w:tab w:leader="none" w:pos="75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Nonwaiver and Expenses</w:t>
      </w:r>
      <w:r>
        <w:rPr>
          <w:rFonts w:ascii="Times New Roman" w:cs="Times New Roman" w:eastAsia="Times New Roman" w:hAnsi="Times New Roman"/>
          <w:sz w:val="14"/>
          <w:szCs w:val="14"/>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578"/>
        <w:spacing w:after="0" w:line="239" w:lineRule="auto"/>
        <w:tabs>
          <w:tab w:leader="none" w:pos="75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to be provided by the Holders hereunder (including, without limitation, any Notice of Exercise)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u w:val="single" w:color="auto"/>
          <w:color w:val="auto"/>
        </w:rPr>
        <w:t>If to the Company</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Reed’s, Inc.</w:t>
      </w:r>
    </w:p>
    <w:p>
      <w:pPr>
        <w:sectPr>
          <w:pgSz w:w="11900" w:h="16840" w:orient="portrait"/>
          <w:cols w:equalWidth="0" w:num="1">
            <w:col w:w="10000"/>
          </w:cols>
          <w:pgMar w:left="1240" w:top="557" w:right="660" w:bottom="98" w:gutter="0" w:footer="0" w:header="0"/>
        </w:sectPr>
      </w:pPr>
    </w:p>
    <w:bookmarkStart w:id="22" w:name="page23"/>
    <w:bookmarkEnd w:id="22"/>
    <w:p>
      <w:pPr>
        <w:ind w:left="1440"/>
        <w:spacing w:after="0"/>
        <w:rPr>
          <w:sz w:val="20"/>
          <w:szCs w:val="20"/>
          <w:color w:val="auto"/>
        </w:rPr>
      </w:pPr>
      <w:r>
        <w:rPr>
          <w:rFonts w:ascii="Times New Roman" w:cs="Times New Roman" w:eastAsia="Times New Roman" w:hAnsi="Times New Roman"/>
          <w:sz w:val="16"/>
          <w:szCs w:val="16"/>
          <w:color w:val="auto"/>
        </w:rPr>
        <w:t>501 Merritt 7 PH</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Norwalk, Connecticut 06851</w:t>
      </w:r>
    </w:p>
    <w:p>
      <w:pPr>
        <w:ind w:left="1440"/>
        <w:spacing w:after="0" w:line="234" w:lineRule="auto"/>
        <w:rPr>
          <w:sz w:val="20"/>
          <w:szCs w:val="20"/>
          <w:color w:val="auto"/>
        </w:rPr>
      </w:pPr>
      <w:r>
        <w:rPr>
          <w:rFonts w:ascii="Times New Roman" w:cs="Times New Roman" w:eastAsia="Times New Roman" w:hAnsi="Times New Roman"/>
          <w:sz w:val="16"/>
          <w:szCs w:val="16"/>
          <w:color w:val="auto"/>
        </w:rPr>
        <w:t>Attention: Chief Executive Officer</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Email: cwallace@reedsinc.com</w:t>
      </w:r>
    </w:p>
    <w:p>
      <w:pPr>
        <w:spacing w:after="0" w:line="15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i w:val="1"/>
          <w:iCs w:val="1"/>
          <w:color w:val="auto"/>
        </w:rPr>
        <w:t>With a copy to:</w:t>
      </w:r>
    </w:p>
    <w:p>
      <w:pPr>
        <w:spacing w:after="0" w:line="17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Cooley LLP</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55 Hudson Yards</w:t>
      </w:r>
    </w:p>
    <w:p>
      <w:pPr>
        <w:ind w:left="1440"/>
        <w:spacing w:after="0" w:line="234" w:lineRule="auto"/>
        <w:rPr>
          <w:sz w:val="20"/>
          <w:szCs w:val="20"/>
          <w:color w:val="auto"/>
        </w:rPr>
      </w:pPr>
      <w:r>
        <w:rPr>
          <w:rFonts w:ascii="Times New Roman" w:cs="Times New Roman" w:eastAsia="Times New Roman" w:hAnsi="Times New Roman"/>
          <w:sz w:val="16"/>
          <w:szCs w:val="16"/>
          <w:color w:val="auto"/>
        </w:rPr>
        <w:t>New York, New York 10001</w:t>
      </w:r>
    </w:p>
    <w:p>
      <w:pPr>
        <w:ind w:left="1440"/>
        <w:spacing w:after="0" w:line="235" w:lineRule="auto"/>
        <w:rPr>
          <w:sz w:val="20"/>
          <w:szCs w:val="20"/>
          <w:color w:val="auto"/>
        </w:rPr>
      </w:pPr>
      <w:r>
        <w:rPr>
          <w:rFonts w:ascii="Times New Roman" w:cs="Times New Roman" w:eastAsia="Times New Roman" w:hAnsi="Times New Roman"/>
          <w:sz w:val="16"/>
          <w:szCs w:val="16"/>
          <w:color w:val="auto"/>
        </w:rPr>
        <w:t>Attn: Yvan-Claude Pierre, Esq.</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Email: ypierre@cooley.com</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u w:val="single" w:color="auto"/>
          <w:color w:val="auto"/>
        </w:rPr>
        <w:t>If to the Holder</w:t>
      </w:r>
      <w:r>
        <w:rPr>
          <w:rFonts w:ascii="Times New Roman" w:cs="Times New Roman" w:eastAsia="Times New Roman" w:hAnsi="Times New Roman"/>
          <w:sz w:val="16"/>
          <w:szCs w:val="16"/>
          <w:color w:val="auto"/>
        </w:rPr>
        <w:t>, to its address or e-mail address on the books and records of the Company.</w:t>
      </w:r>
    </w:p>
    <w:p>
      <w:pPr>
        <w:spacing w:after="0" w:line="176" w:lineRule="exact"/>
        <w:rPr>
          <w:sz w:val="20"/>
          <w:szCs w:val="20"/>
          <w:color w:val="auto"/>
        </w:rPr>
      </w:pPr>
    </w:p>
    <w:p>
      <w:pPr>
        <w:jc w:val="both"/>
        <w:ind w:left="1160" w:right="20"/>
        <w:spacing w:after="0" w:line="247" w:lineRule="auto"/>
        <w:rPr>
          <w:sz w:val="20"/>
          <w:szCs w:val="20"/>
          <w:color w:val="auto"/>
        </w:rPr>
      </w:pPr>
      <w:r>
        <w:rPr>
          <w:rFonts w:ascii="Times New Roman" w:cs="Times New Roman" w:eastAsia="Times New Roman" w:hAnsi="Times New Roman"/>
          <w:sz w:val="16"/>
          <w:szCs w:val="16"/>
          <w:color w:val="auto"/>
        </w:rPr>
        <w:t>Notwithstanding any other provision of the Warrant, as to any Warrant not held in certificated form, where the Warrant provides for notice of any event to a Holder, such notice shall be sufficiently given if given to DTC (or any successor depository) pursuant to the procedures of DTC (or such successor depository).</w:t>
      </w:r>
    </w:p>
    <w:p>
      <w:pPr>
        <w:spacing w:after="0" w:line="152" w:lineRule="exact"/>
        <w:rPr>
          <w:sz w:val="20"/>
          <w:szCs w:val="20"/>
          <w:color w:val="auto"/>
        </w:rPr>
      </w:pPr>
    </w:p>
    <w:p>
      <w:pPr>
        <w:jc w:val="both"/>
        <w:ind w:left="580" w:right="20" w:firstLine="578"/>
        <w:spacing w:after="0" w:line="247" w:lineRule="auto"/>
        <w:tabs>
          <w:tab w:leader="none" w:pos="128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Liability</w:t>
      </w:r>
      <w:r>
        <w:rPr>
          <w:rFonts w:ascii="Times New Roman" w:cs="Times New Roman" w:eastAsia="Times New Roman" w:hAnsi="Times New Roman"/>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52" w:lineRule="exact"/>
        <w:rPr>
          <w:rFonts w:ascii="Times New Roman" w:cs="Times New Roman" w:eastAsia="Times New Roman" w:hAnsi="Times New Roman"/>
          <w:sz w:val="16"/>
          <w:szCs w:val="16"/>
          <w:color w:val="auto"/>
        </w:rPr>
      </w:pPr>
    </w:p>
    <w:p>
      <w:pPr>
        <w:jc w:val="both"/>
        <w:ind w:left="580" w:right="20" w:firstLine="578"/>
        <w:spacing w:after="0" w:line="243" w:lineRule="auto"/>
        <w:tabs>
          <w:tab w:leader="none" w:pos="128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55" w:lineRule="exact"/>
        <w:rPr>
          <w:rFonts w:ascii="Times New Roman" w:cs="Times New Roman" w:eastAsia="Times New Roman" w:hAnsi="Times New Roman"/>
          <w:sz w:val="16"/>
          <w:szCs w:val="16"/>
          <w:color w:val="auto"/>
        </w:rPr>
      </w:pPr>
    </w:p>
    <w:p>
      <w:pPr>
        <w:jc w:val="both"/>
        <w:ind w:left="580" w:right="20" w:firstLine="578"/>
        <w:spacing w:after="0" w:line="299" w:lineRule="auto"/>
        <w:tabs>
          <w:tab w:leader="none" w:pos="1324"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8" w:lineRule="exact"/>
        <w:rPr>
          <w:rFonts w:ascii="Times New Roman" w:cs="Times New Roman" w:eastAsia="Times New Roman" w:hAnsi="Times New Roman"/>
          <w:sz w:val="14"/>
          <w:szCs w:val="14"/>
          <w:color w:val="auto"/>
        </w:rPr>
      </w:pPr>
    </w:p>
    <w:p>
      <w:pPr>
        <w:jc w:val="both"/>
        <w:ind w:left="580" w:right="20" w:firstLine="578"/>
        <w:spacing w:after="0" w:line="239" w:lineRule="auto"/>
        <w:tabs>
          <w:tab w:leader="none" w:pos="128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This Warrant may be modified or amended or the provisions hereof waived with the written consent of the Company, on the one hand, and the Holders or the beneficial owners of Warrants representing more than 50% of the Warrant Shares issuable under the Warrants then-outstanding (the “</w:t>
      </w:r>
      <w:r>
        <w:rPr>
          <w:rFonts w:ascii="Times New Roman" w:cs="Times New Roman" w:eastAsia="Times New Roman" w:hAnsi="Times New Roman"/>
          <w:sz w:val="16"/>
          <w:szCs w:val="16"/>
          <w:u w:val="single" w:color="auto"/>
          <w:color w:val="auto"/>
        </w:rPr>
        <w:t>Required Holders</w:t>
      </w:r>
      <w:r>
        <w:rPr>
          <w:rFonts w:ascii="Times New Roman" w:cs="Times New Roman" w:eastAsia="Times New Roman" w:hAnsi="Times New Roman"/>
          <w:sz w:val="16"/>
          <w:szCs w:val="16"/>
          <w:color w:val="auto"/>
        </w:rPr>
        <w:t>”) as of the date such consent is sought, on the other hand; provided, that if any amendment or modification disproportionately and adversely impacts a Holder (or group of Holders), the consent of such disproportionately impacted Holder (or group of Holders) shall also be required; provided further, that if any such amendment or modification shall affect the rights, immunities, liabilities, duties or obligations of the Warrant Agent, the Warrant Agent’s written consent to modify or amend the provisions hereof will be required.</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580" w:right="20" w:firstLine="578"/>
        <w:spacing w:after="0" w:line="247" w:lineRule="auto"/>
        <w:tabs>
          <w:tab w:leader="none" w:pos="13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2" w:lineRule="exact"/>
        <w:rPr>
          <w:rFonts w:ascii="Times New Roman" w:cs="Times New Roman" w:eastAsia="Times New Roman" w:hAnsi="Times New Roman"/>
          <w:sz w:val="16"/>
          <w:szCs w:val="16"/>
          <w:color w:val="auto"/>
        </w:rPr>
      </w:pPr>
    </w:p>
    <w:p>
      <w:pPr>
        <w:ind w:left="1340" w:hanging="182"/>
        <w:spacing w:after="0"/>
        <w:tabs>
          <w:tab w:leader="none" w:pos="1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used in this Warrant are for the convenience of reference only and shall not, for any purpose, be deemed a part of this</w:t>
      </w:r>
    </w:p>
    <w:p>
      <w:pPr>
        <w:spacing w:after="0" w:line="14"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w:t>
      </w:r>
    </w:p>
    <w:p>
      <w:pPr>
        <w:spacing w:after="0" w:line="158" w:lineRule="exact"/>
        <w:rPr>
          <w:rFonts w:ascii="Times New Roman" w:cs="Times New Roman" w:eastAsia="Times New Roman" w:hAnsi="Times New Roman"/>
          <w:sz w:val="16"/>
          <w:szCs w:val="16"/>
          <w:color w:val="auto"/>
        </w:rPr>
      </w:pPr>
    </w:p>
    <w:p>
      <w:pPr>
        <w:ind w:left="580" w:right="40" w:firstLine="578"/>
        <w:spacing w:after="0" w:line="243" w:lineRule="auto"/>
        <w:tabs>
          <w:tab w:leader="none" w:pos="132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Agency Agreement</w:t>
      </w:r>
      <w:r>
        <w:rPr>
          <w:rFonts w:ascii="Times New Roman" w:cs="Times New Roman" w:eastAsia="Times New Roman" w:hAnsi="Times New Roman"/>
          <w:sz w:val="16"/>
          <w:szCs w:val="16"/>
          <w:color w:val="auto"/>
        </w:rPr>
        <w:t>. If this Warrant is held in global form through DTC (or any successor depositary), this Warrant is issued subject to the Warrant Agency Agreement. To the extent any provision of this Warrant conflicts with the express provisions of the Warrant Agency Agreement, the provisions of this Warrant shall govern and be controlling; provided, however, that the express terms of the Warrant Agency Agreement shall control and supersede any provision in this Warrant concerning the rights, duties, obligations, protections, immunities and liability of the Warrant Agent.</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WITNESS WHEREOF, the Company has caused this Warrant to be executed by its officer thereunto duly authorized as of the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indicated.</w:t>
      </w:r>
    </w:p>
    <w:p>
      <w:pPr>
        <w:spacing w:after="0" w:line="15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b w:val="1"/>
          <w:bCs w:val="1"/>
          <w:color w:val="auto"/>
        </w:rPr>
        <w:t>REED’S, INC.</w:t>
      </w:r>
    </w:p>
    <w:p>
      <w:pPr>
        <w:spacing w:after="0" w:line="17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5715</wp:posOffset>
            </wp:positionV>
            <wp:extent cx="301815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6"/>
          <w:szCs w:val="16"/>
          <w:color w:val="auto"/>
        </w:rPr>
        <w:t>Name:</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Title:</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EXERCISE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TO: </w:t>
      </w:r>
      <w:r>
        <w:rPr>
          <w:rFonts w:ascii="Times New Roman" w:cs="Times New Roman" w:eastAsia="Times New Roman" w:hAnsi="Times New Roman"/>
          <w:sz w:val="16"/>
          <w:szCs w:val="16"/>
          <w:b w:val="1"/>
          <w:bCs w:val="1"/>
          <w:color w:val="auto"/>
        </w:rPr>
        <w:t>REED’S, INC.</w:t>
      </w:r>
    </w:p>
    <w:p>
      <w:pPr>
        <w:spacing w:after="0" w:line="178" w:lineRule="exact"/>
        <w:rPr>
          <w:sz w:val="20"/>
          <w:szCs w:val="20"/>
          <w:color w:val="auto"/>
        </w:rPr>
      </w:pPr>
    </w:p>
    <w:p>
      <w:pPr>
        <w:ind w:firstLine="6"/>
        <w:spacing w:after="0" w:line="259" w:lineRule="auto"/>
        <w:tabs>
          <w:tab w:leader="none" w:pos="22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elects to purchase ________ Warrant Shares of the Company pursuant to the terms of the attached Warrant, and tenders herewith payment of the exercise price in the sum of $________, together with all applicable transfer taxes, if any.</w:t>
      </w:r>
    </w:p>
    <w:p>
      <w:pPr>
        <w:spacing w:after="0" w:line="143" w:lineRule="exact"/>
        <w:rPr>
          <w:rFonts w:ascii="Times New Roman" w:cs="Times New Roman" w:eastAsia="Times New Roman" w:hAnsi="Times New Roman"/>
          <w:sz w:val="16"/>
          <w:szCs w:val="16"/>
          <w:color w:val="auto"/>
        </w:rPr>
      </w:pPr>
    </w:p>
    <w:p>
      <w:pPr>
        <w:ind w:left="220" w:hanging="214"/>
        <w:spacing w:after="0"/>
        <w:tabs>
          <w:tab w:leader="none" w:pos="2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shall take the form of (check applicable box):</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7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lawful money of the United States; or</w:t>
      </w:r>
    </w:p>
    <w:p>
      <w:pPr>
        <w:sectPr>
          <w:pgSz w:w="11900" w:h="16840" w:orient="portrait"/>
          <w:cols w:equalWidth="0" w:num="1">
            <w:col w:w="10580"/>
          </w:cols>
          <w:pgMar w:left="660" w:top="557" w:right="660" w:bottom="110" w:gutter="0" w:footer="0" w:header="0"/>
        </w:sectPr>
      </w:pPr>
    </w:p>
    <w:bookmarkStart w:id="23" w:name="page24"/>
    <w:bookmarkEnd w:id="23"/>
    <w:p>
      <w:pPr>
        <w:ind w:left="580" w:hanging="286"/>
        <w:spacing w:after="0" w:line="259" w:lineRule="auto"/>
        <w:tabs>
          <w:tab w:leader="none" w:pos="580" w:val="left"/>
        </w:tabs>
        <w:numPr>
          <w:ilvl w:val="1"/>
          <w:numId w:val="7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43" w:lineRule="exact"/>
        <w:rPr>
          <w:rFonts w:ascii="MS PGothic" w:cs="MS PGothic" w:eastAsia="MS PGothic" w:hAnsi="MS PGothic"/>
          <w:sz w:val="16"/>
          <w:szCs w:val="16"/>
          <w:color w:val="auto"/>
        </w:rPr>
      </w:pPr>
    </w:p>
    <w:p>
      <w:pPr>
        <w:ind w:left="220" w:hanging="214"/>
        <w:spacing w:after="0"/>
        <w:tabs>
          <w:tab w:leader="none" w:pos="2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34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470535</wp:posOffset>
            </wp:positionV>
            <wp:extent cx="335343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ASSIGNMENT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To assign the foregoing Warrant, execute this form and supply required information. Do not use this form to purchase shares.</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5715</wp:posOffset>
            </wp:positionV>
            <wp:extent cx="268287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6"/>
          <w:szCs w:val="16"/>
          <w:color w:val="auto"/>
        </w:rPr>
        <w:t>(Please Print)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13335</wp:posOffset>
            </wp:positionV>
            <wp:extent cx="268287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9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-115570</wp:posOffset>
            </wp:positionV>
            <wp:extent cx="268287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5715</wp:posOffset>
            </wp:positionV>
            <wp:extent cx="268287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5715</wp:posOffset>
            </wp:positionV>
            <wp:extent cx="26828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5715</wp:posOffset>
            </wp:positionV>
            <wp:extent cx="268287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5715</wp:posOffset>
            </wp:positionV>
            <wp:extent cx="247713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77135"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13335</wp:posOffset>
            </wp:positionV>
            <wp:extent cx="247713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77135" cy="762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135255</wp:posOffset>
            </wp:positionV>
            <wp:extent cx="24771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77135" cy="762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B</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Lock- Up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A.G.P./Alliance Global Partners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590 Madison Avenue</w:t>
      </w:r>
    </w:p>
    <w:p>
      <w:pPr>
        <w:spacing w:after="0" w:line="234" w:lineRule="auto"/>
        <w:rPr>
          <w:sz w:val="20"/>
          <w:szCs w:val="20"/>
          <w:color w:val="auto"/>
        </w:rPr>
      </w:pPr>
      <w:r>
        <w:rPr>
          <w:rFonts w:ascii="Times New Roman" w:cs="Times New Roman" w:eastAsia="Times New Roman" w:hAnsi="Times New Roman"/>
          <w:sz w:val="16"/>
          <w:szCs w:val="16"/>
          <w:color w:val="auto"/>
        </w:rPr>
        <w:t>28th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74"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The undersigned understands that A.G.P./Alliance Global Partners (the “</w:t>
      </w:r>
      <w:r>
        <w:rPr>
          <w:rFonts w:ascii="Times New Roman" w:cs="Times New Roman" w:eastAsia="Times New Roman" w:hAnsi="Times New Roman"/>
          <w:sz w:val="16"/>
          <w:szCs w:val="16"/>
          <w:b w:val="1"/>
          <w:bCs w:val="1"/>
          <w:color w:val="auto"/>
        </w:rPr>
        <w:t>Representative</w:t>
      </w:r>
      <w:r>
        <w:rPr>
          <w:rFonts w:ascii="Times New Roman" w:cs="Times New Roman" w:eastAsia="Times New Roman" w:hAnsi="Times New Roman"/>
          <w:sz w:val="16"/>
          <w:szCs w:val="16"/>
          <w:color w:val="auto"/>
        </w:rPr>
        <w:t xml:space="preserve"> ”) proposes to enter into an Underwriting Agreement (the “</w:t>
      </w:r>
      <w:r>
        <w:rPr>
          <w:rFonts w:ascii="Times New Roman" w:cs="Times New Roman" w:eastAsia="Times New Roman" w:hAnsi="Times New Roman"/>
          <w:sz w:val="16"/>
          <w:szCs w:val="16"/>
          <w:b w:val="1"/>
          <w:bCs w:val="1"/>
          <w:color w:val="auto"/>
        </w:rPr>
        <w:t>Underwriting Agreement</w:t>
      </w:r>
      <w:r>
        <w:rPr>
          <w:rFonts w:ascii="Times New Roman" w:cs="Times New Roman" w:eastAsia="Times New Roman" w:hAnsi="Times New Roman"/>
          <w:sz w:val="16"/>
          <w:szCs w:val="16"/>
          <w:color w:val="auto"/>
        </w:rPr>
        <w:t>”) with Reed’s, Inc., a corporation incorporated under the law of the State of Delaware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providing for the initial public offering in the United States (the “</w:t>
      </w:r>
      <w:r>
        <w:rPr>
          <w:rFonts w:ascii="Times New Roman" w:cs="Times New Roman" w:eastAsia="Times New Roman" w:hAnsi="Times New Roman"/>
          <w:sz w:val="16"/>
          <w:szCs w:val="16"/>
          <w:b w:val="1"/>
          <w:bCs w:val="1"/>
          <w:color w:val="auto"/>
        </w:rPr>
        <w:t>Initial Public Offering</w:t>
      </w:r>
      <w:r>
        <w:rPr>
          <w:rFonts w:ascii="Times New Roman" w:cs="Times New Roman" w:eastAsia="Times New Roman" w:hAnsi="Times New Roman"/>
          <w:sz w:val="16"/>
          <w:szCs w:val="16"/>
          <w:color w:val="auto"/>
        </w:rPr>
        <w:t>”) of a certain number of the Company’s common stock, par value $0.0001 per share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and warrants to purchase shares of the Company’s common stock (the “Common Warrants”). For purposes of this letter agreement, “Securities” shall mean the Company’s Shares.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order to induce the Underwriters (as defined in the Underwriting Agreement) to continue their efforts in connection with the Offering, and in light of the</w:t>
      </w:r>
    </w:p>
    <w:p>
      <w:pPr>
        <w:sectPr>
          <w:pgSz w:w="11900" w:h="16840" w:orient="portrait"/>
          <w:cols w:equalWidth="0" w:num="1">
            <w:col w:w="10560"/>
          </w:cols>
          <w:pgMar w:left="660" w:top="737" w:right="680" w:bottom="50" w:gutter="0" w:footer="0" w:header="0"/>
        </w:sectPr>
      </w:pPr>
    </w:p>
    <w:bookmarkStart w:id="24" w:name="page25"/>
    <w:bookmarkEnd w:id="24"/>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benefits that the Offering will confer upon the undersigned in its capacity as a shareholder and/or an officer, director or employee of the Company, and for good and valuable consideration, the receipt and sufficiency of which are hereby acknowledged, the undersigned agrees with the Representative that, during the period beginning on and including the date of this Agreement through and including the date that is ninety (90) days from the date of the Underwriting Agreement (the “ </w:t>
      </w:r>
      <w:r>
        <w:rPr>
          <w:rFonts w:ascii="Times New Roman" w:cs="Times New Roman" w:eastAsia="Times New Roman" w:hAnsi="Times New Roman"/>
          <w:sz w:val="14"/>
          <w:szCs w:val="14"/>
          <w:b w:val="1"/>
          <w:bCs w:val="1"/>
          <w:color w:val="auto"/>
        </w:rPr>
        <w:t>Lock-Up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14"/>
          <w:szCs w:val="14"/>
          <w:color w:val="auto"/>
        </w:rPr>
        <w:t>”), the undersigned will not, without the prior written consent of the Representative, directly or indirectly, (i) offer, sell, assign, transfer, pledge, contract to sell,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otherwise dispose of, or announce the intention to otherwise dispose of, any Securities owned or hereafter acquired by the undersigned or with respect to which the undersigned has or hereafter acquires the power of disposition (including, without limitation, Securities which may be deemed to be beneficially owned by the undersigned in accordance with the rules and regulations promulgated under the Securities Act of 1933, as amended, and as the same may be amended or supplemented on or after the date hereof from time to time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(such shares, the “</w:t>
      </w:r>
      <w:r>
        <w:rPr>
          <w:rFonts w:ascii="Times New Roman" w:cs="Times New Roman" w:eastAsia="Times New Roman" w:hAnsi="Times New Roman"/>
          <w:sz w:val="14"/>
          <w:szCs w:val="14"/>
          <w:b w:val="1"/>
          <w:bCs w:val="1"/>
          <w:color w:val="auto"/>
        </w:rPr>
        <w:t>Beneficially Owned Shares</w:t>
      </w:r>
      <w:r>
        <w:rPr>
          <w:rFonts w:ascii="Times New Roman" w:cs="Times New Roman" w:eastAsia="Times New Roman" w:hAnsi="Times New Roman"/>
          <w:sz w:val="14"/>
          <w:szCs w:val="14"/>
          <w:color w:val="auto"/>
        </w:rPr>
        <w:t>”) or securities convertible into or exercisable or exchangeable for Securities, (ii) enter into any swap, hedge or similar agreement or arrangement that transfers in whole or in part, the economic risk of ownership of the Beneficially Owned Shares or securities convertible into or exercisable or exchangeable for Securities, whether now owned or hereafter acquired by the undersigned or with respect to which the undersigned has or hereafter acquires the power of disposition, or (iii) engage in any short selling of the Company’s common stock.</w:t>
      </w:r>
    </w:p>
    <w:p>
      <w:pPr>
        <w:spacing w:after="0" w:line="3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restrictions set forth in the immediately preceding paragraph shall not apply to:</w:t>
      </w:r>
    </w:p>
    <w:p>
      <w:pPr>
        <w:spacing w:after="0" w:line="176" w:lineRule="exact"/>
        <w:rPr>
          <w:sz w:val="20"/>
          <w:szCs w:val="20"/>
          <w:color w:val="auto"/>
        </w:rPr>
      </w:pPr>
    </w:p>
    <w:p>
      <w:pPr>
        <w:jc w:val="both"/>
        <w:ind w:firstLine="582"/>
        <w:spacing w:after="0" w:line="239" w:lineRule="auto"/>
        <w:tabs>
          <w:tab w:leader="none" w:pos="81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undersigned is a natural person, any transfers made by the undersigned (a) as a bona fide gift to any member of the immediate family (as defined below) of the undersigned or to a trust the beneficiaries of which are exclusively the undersigned or members of the undersigned’s immediate family, (b) by will, other testamentary document or intestate succession to the legal representative, heir, beneficiary or an immediate family member of the undersigned, (c) as a bona fide gift to a charity or educational institution, (d) any transfer pursuant to a qualified domestic relations order or in connection with a divorce; (e) to any corporation, partnership, limited liability company, investment fund, trust or other entity controlled or managed, or under common control or management by, the undersigned or (f) if the undersigned is or was an officer, director or employee of the Company, to the Company pursuant to the Company’s right of repurchase upon termination of the undersigned’s service with the Company;</w:t>
      </w:r>
    </w:p>
    <w:p>
      <w:pPr>
        <w:spacing w:after="0" w:line="157" w:lineRule="exact"/>
        <w:rPr>
          <w:rFonts w:ascii="Times New Roman" w:cs="Times New Roman" w:eastAsia="Times New Roman" w:hAnsi="Times New Roman"/>
          <w:sz w:val="16"/>
          <w:szCs w:val="16"/>
          <w:color w:val="auto"/>
        </w:rPr>
      </w:pPr>
    </w:p>
    <w:p>
      <w:pPr>
        <w:jc w:val="both"/>
        <w:ind w:right="40" w:firstLine="582"/>
        <w:spacing w:after="0" w:line="247" w:lineRule="auto"/>
        <w:tabs>
          <w:tab w:leader="none" w:pos="80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undersigned is a corporation, partnership, limited liability company or other business entity, any transfers or distributions to any shareholder, other equityholder, direct or indirect affiliate (as defined below), general or limited partner, manager or member of, or owner of a similar equity interest in, the undersigned, as the case may be, if, in any such case, such transfer is not for value;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8" w:lineRule="exact"/>
        <w:rPr>
          <w:rFonts w:ascii="Times New Roman" w:cs="Times New Roman" w:eastAsia="Times New Roman" w:hAnsi="Times New Roman"/>
          <w:sz w:val="16"/>
          <w:szCs w:val="16"/>
          <w:color w:val="auto"/>
        </w:rPr>
      </w:pPr>
    </w:p>
    <w:p>
      <w:pPr>
        <w:jc w:val="both"/>
        <w:ind w:right="20" w:firstLine="582"/>
        <w:spacing w:after="0" w:line="241" w:lineRule="auto"/>
        <w:tabs>
          <w:tab w:leader="none" w:pos="805"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undersigned is a corporation, partnership, limited liability company or other business entity, any transfer made by the undersigned (a) in connection with the sale or other bona fide transfer in a single transaction of all or substantially all of the undersigned’s share capital, partnership interests, membership interests or other similar equity interests, as the case may be, or all or substantially all of the undersigned’s assets, in any such case not undertaken for the purpose of avoiding the restrictions imposed by this Agreement or (b) to another corporation, partnership, limited liability company or other business entity so long as the transferee is an affiliate (as defined below) of the undersigned and such transfer is not for value;</w:t>
      </w:r>
    </w:p>
    <w:p>
      <w:pPr>
        <w:spacing w:after="0" w:line="156" w:lineRule="exact"/>
        <w:rPr>
          <w:rFonts w:ascii="Times New Roman" w:cs="Times New Roman" w:eastAsia="Times New Roman" w:hAnsi="Times New Roman"/>
          <w:sz w:val="16"/>
          <w:szCs w:val="16"/>
          <w:color w:val="auto"/>
        </w:rPr>
      </w:pPr>
    </w:p>
    <w:p>
      <w:pPr>
        <w:jc w:val="both"/>
        <w:ind w:firstLine="582"/>
        <w:spacing w:after="0" w:line="239" w:lineRule="auto"/>
        <w:tabs>
          <w:tab w:leader="none" w:pos="81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exercises of stock options or equity awards granted pursuant to an equity incentive or other plan or warrants to purchase Common Stock or other securities (including by cashless exercise to the extent permitted by the instruments representing such stock options or warrants so long as such cashless exercise is effected solely by the surrender of outstanding stock options or warrants to the Company and the Company’s cancellation of all or a portion thereof to pay the exercise price), provided that in any such case the securities issued upon exercise shall remain subject to the provisions of this Agreement (as defined below); or (b) transfers of Company’s common stock or other securities to the Company in connection with the vesting or exercise of any equity awards granted pursuant to an equity incentive or other plan and held by the undersigned to the extent, but only to the extent, as may be necessary to satisfy tax withholding obligations pursuant to the Company’s equity incentive or other plans;</w:t>
      </w:r>
    </w:p>
    <w:p>
      <w:pPr>
        <w:spacing w:after="0" w:line="157" w:lineRule="exact"/>
        <w:rPr>
          <w:rFonts w:ascii="Times New Roman" w:cs="Times New Roman" w:eastAsia="Times New Roman" w:hAnsi="Times New Roman"/>
          <w:sz w:val="16"/>
          <w:szCs w:val="16"/>
          <w:color w:val="auto"/>
        </w:rPr>
      </w:pPr>
    </w:p>
    <w:p>
      <w:pPr>
        <w:jc w:val="both"/>
        <w:ind w:firstLine="582"/>
        <w:spacing w:after="0" w:line="247" w:lineRule="auto"/>
        <w:tabs>
          <w:tab w:leader="none" w:pos="797"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by the undersigned of any warrant(s) issued by the Company prior to the date of this Agreement, including any exercise effected by the delivery of shares of Securities of the Company held by the undersigned; provided, that, the Shares received upon such exercise shall remain subject to the restrictions provided for in this Agreement;</w:t>
      </w:r>
    </w:p>
    <w:p>
      <w:pPr>
        <w:spacing w:after="0" w:line="152" w:lineRule="exact"/>
        <w:rPr>
          <w:rFonts w:ascii="Times New Roman" w:cs="Times New Roman" w:eastAsia="Times New Roman" w:hAnsi="Times New Roman"/>
          <w:sz w:val="16"/>
          <w:szCs w:val="16"/>
          <w:color w:val="auto"/>
        </w:rPr>
      </w:pPr>
    </w:p>
    <w:p>
      <w:pPr>
        <w:jc w:val="both"/>
        <w:ind w:firstLine="582"/>
        <w:spacing w:after="0" w:line="284" w:lineRule="auto"/>
        <w:tabs>
          <w:tab w:leader="none" w:pos="806"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after the date hereof of any of (a) an acquisition by an individual or legal entity or “group” (as described in Rule 13d-5(b)(1) promulgated under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of effective control (whether through legal or beneficial ownership of share capital of the Company, by contract or otherwise) of 50% of the voting securities of the Company, (b) the Company merges into or consolidates with any other entity, or any entity merges into or consolidates with the Company, (c) the Company sells or transfers all or substantially all of its assets to another person, or (d) provided, that, the Securities received upon any of the events set forth in clauses (a) through (c) above shall remain subject to the restrictions provided for in this Agreement;</w:t>
      </w:r>
    </w:p>
    <w:p>
      <w:pPr>
        <w:spacing w:after="0" w:line="127" w:lineRule="exact"/>
        <w:rPr>
          <w:rFonts w:ascii="Times New Roman" w:cs="Times New Roman" w:eastAsia="Times New Roman" w:hAnsi="Times New Roman"/>
          <w:sz w:val="14"/>
          <w:szCs w:val="14"/>
          <w:color w:val="auto"/>
        </w:rPr>
      </w:pPr>
    </w:p>
    <w:p>
      <w:pPr>
        <w:ind w:left="800" w:hanging="218"/>
        <w:spacing w:after="0"/>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w:t>
      </w:r>
    </w:p>
    <w:p>
      <w:pPr>
        <w:spacing w:after="0" w:line="176" w:lineRule="exact"/>
        <w:rPr>
          <w:rFonts w:ascii="Times New Roman" w:cs="Times New Roman" w:eastAsia="Times New Roman" w:hAnsi="Times New Roman"/>
          <w:sz w:val="16"/>
          <w:szCs w:val="16"/>
          <w:color w:val="auto"/>
        </w:rPr>
      </w:pPr>
    </w:p>
    <w:p>
      <w:pPr>
        <w:ind w:left="800" w:hanging="218"/>
        <w:spacing w:after="0"/>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consented to, in writing by the Representative;</w:t>
      </w:r>
    </w:p>
    <w:p>
      <w:pPr>
        <w:spacing w:after="0" w:line="176" w:lineRule="exact"/>
        <w:rPr>
          <w:rFonts w:ascii="Times New Roman" w:cs="Times New Roman" w:eastAsia="Times New Roman" w:hAnsi="Times New Roman"/>
          <w:sz w:val="16"/>
          <w:szCs w:val="16"/>
          <w:color w:val="auto"/>
        </w:rPr>
      </w:pPr>
    </w:p>
    <w:p>
      <w:pPr>
        <w:ind w:right="20" w:firstLine="582"/>
        <w:spacing w:after="0" w:line="259" w:lineRule="auto"/>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relating to shares of the Company’s common stock acquired in open market transactions after the completion of the Offering; provided that, no filing by any party under the Exchange Act or other public announcement shall be required or shall be voluntarily made in connection with such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-3772535</wp:posOffset>
            </wp:positionV>
            <wp:extent cx="670750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23"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provided however, that in the case of any transfer described in clauses (1), (2) or (3) above, it shall be a condition to the transfer that the transferee executes and delivers to the Representative, acting on behalf of the Underwriters, not later than one business day prior to such transfer, a written agreement, in substantially the form of this Agreement (it being understood that any references to “immediate family” in the agreement executed by such transferee shall expressly refer only to the immediate family of the undersigned and not to the immediate family of the transferee) and otherwise satisfactory in form and substance to the Representative. For purposes of this paragraph, “immediate family” shall mean a spouse, child, grandchild or other lineal descendant (including by adoption), father, mother, brother or sister of the undersigned; and “affiliate” shall have the meaning set forth in Rule 405 under the Securities Act.</w:t>
      </w:r>
    </w:p>
    <w:p>
      <w:pPr>
        <w:spacing w:after="0" w:line="161"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In addition, the restrictions set forth herein shall not prevent the undersigned from entering into a sales plan pursuant to Rule 10b5-1 under the Exchange Act after the date hereof, provided that (i) no sales or transfers may be made under such plan until the Lock-Up Period ends or this Agreement is terminated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670750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4"/>
          <w:szCs w:val="14"/>
          <w:color w:val="auto"/>
        </w:rPr>
        <w:t>If the undersigned is an officer or director of the Company, (i) the Representative agrees that at least three business days before the effective date of any release or waiver of the foregoing restrictions in connection with a Transfer of Securities, the Representative will notify the Company of the impending release or waiver and (ii) the Company has agreed in the Underwriting Agreement to announce the impending release or waiver by press release substantially in the form of Annex I hereto through a major news service at least two business days before the effective date of the release or waiver. Any release or waiver granted by the Representative hereunder to any such officer or director shall only be effective two business days after the publication date of such press release. The provisions of this paragraph will not apply if</w:t>
      </w:r>
    </w:p>
    <w:p>
      <w:pPr>
        <w:spacing w:after="0" w:line="3" w:lineRule="exact"/>
        <w:rPr>
          <w:sz w:val="20"/>
          <w:szCs w:val="20"/>
          <w:color w:val="auto"/>
        </w:rPr>
      </w:pPr>
    </w:p>
    <w:p>
      <w:pPr>
        <w:ind w:firstLine="6"/>
        <w:spacing w:after="0" w:line="238" w:lineRule="auto"/>
        <w:tabs>
          <w:tab w:leader="none" w:pos="21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57"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4"/>
          <w:szCs w:val="14"/>
          <w:color w:val="auto"/>
        </w:rPr>
        <w:t>In furtherance of the foregoing, (1) the undersigned also agrees and consents to the entry of stop transfer instructions with any duly appointed transfer agent for the registration or transfer of the securities described herein against the transfer of any such securities except in compliance with the foregoing restrictions, and (2) the Company, and any duly appointed transfer agent for the registration or transfer of the securities described herein, are hereby authorized to decline to make any transfer of</w:t>
      </w:r>
    </w:p>
    <w:p>
      <w:pPr>
        <w:sectPr>
          <w:pgSz w:w="11900" w:h="16840" w:orient="portrait"/>
          <w:cols w:equalWidth="0" w:num="1">
            <w:col w:w="10580"/>
          </w:cols>
          <w:pgMar w:left="660" w:top="557" w:right="660" w:bottom="41"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securities if such transfer would constitute a violation or breach of this Agreement.</w:t>
      </w:r>
    </w:p>
    <w:p>
      <w:pPr>
        <w:spacing w:after="0" w:line="176"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The undersigned hereby represents and warrants that the undersigned has full power and authority to enter into this Agreement and that this Agreement has been duly authorized (if the undersigned is not a natural person), executed and delivered by the undersigned and is a valid and binding agreement of the undersigned. This Agreement and all authority herein conferred are irrevocable and shall survive the death or incapacity of the undersigned (if a natural person) and shall be binding upon the heirs, personal representatives, successors and assigns of the undersigned for the term of the Lock-Up Period.</w:t>
      </w:r>
    </w:p>
    <w:p>
      <w:pPr>
        <w:spacing w:after="0" w:line="155" w:lineRule="exact"/>
        <w:rPr>
          <w:sz w:val="20"/>
          <w:szCs w:val="20"/>
          <w:color w:val="auto"/>
        </w:rPr>
      </w:pPr>
    </w:p>
    <w:p>
      <w:pPr>
        <w:jc w:val="both"/>
        <w:ind w:right="20" w:firstLine="576"/>
        <w:spacing w:after="0" w:line="299" w:lineRule="auto"/>
        <w:rPr>
          <w:sz w:val="20"/>
          <w:szCs w:val="20"/>
          <w:color w:val="auto"/>
        </w:rPr>
      </w:pPr>
      <w:r>
        <w:rPr>
          <w:rFonts w:ascii="Times New Roman" w:cs="Times New Roman" w:eastAsia="Times New Roman" w:hAnsi="Times New Roman"/>
          <w:sz w:val="14"/>
          <w:szCs w:val="14"/>
          <w:color w:val="auto"/>
        </w:rPr>
        <w:t>This Agreement shall automatically terminate upon the earliest to occur, if any, of (1) either the Representative, on the one hand, or the Company, on the other hand, advising the other that they have determined not to proceed with the Offering, (2) termination of the Underwriting Agreement before the sale of Securities, (3) the withdrawal of the Registration Statement or (4) if the transactions contemplated by the Underwriting Agreement are not consummated by December 31, 2025.</w:t>
      </w:r>
    </w:p>
    <w:p>
      <w:pPr>
        <w:spacing w:after="0" w:line="119" w:lineRule="exact"/>
        <w:rPr>
          <w:sz w:val="20"/>
          <w:szCs w:val="20"/>
          <w:color w:val="auto"/>
        </w:rPr>
      </w:pPr>
    </w:p>
    <w:p>
      <w:pPr>
        <w:jc w:val="both"/>
        <w:ind w:right="40" w:firstLine="576"/>
        <w:spacing w:after="0" w:line="259" w:lineRule="auto"/>
        <w:rPr>
          <w:sz w:val="20"/>
          <w:szCs w:val="20"/>
          <w:color w:val="auto"/>
        </w:rPr>
      </w:pPr>
      <w:r>
        <w:rPr>
          <w:rFonts w:ascii="Times New Roman" w:cs="Times New Roman" w:eastAsia="Times New Roman" w:hAnsi="Times New Roman"/>
          <w:sz w:val="16"/>
          <w:szCs w:val="16"/>
          <w:color w:val="auto"/>
        </w:rPr>
        <w:t>This Agreement shall be governed by and construed in accordance with the internal laws of the State of New York, without regard to the conflict of laws principles thereof.</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 Signature Page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670750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36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-115570</wp:posOffset>
            </wp:positionV>
            <wp:extent cx="335343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3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-115570</wp:posOffset>
            </wp:positionV>
            <wp:extent cx="335343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3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-115570</wp:posOffset>
            </wp:positionV>
            <wp:extent cx="335343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3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(Title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-115570</wp:posOffset>
            </wp:positionV>
            <wp:extent cx="335343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5715</wp:posOffset>
            </wp:positionV>
            <wp:extent cx="268287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82875" cy="7620"/>
                    </a:xfrm>
                    <a:prstGeom prst="rect">
                      <a:avLst/>
                    </a:prstGeom>
                    <a:noFill/>
                  </pic:spPr>
                </pic:pic>
              </a:graphicData>
            </a:graphic>
          </wp:anchor>
        </w:drawing>
        <w:drawing>
          <wp:anchor simplePos="0" relativeHeight="251657728" behindDoc="1" locked="0" layoutInCell="0" allowOverlap="1">
            <wp:simplePos x="0" y="0"/>
            <wp:positionH relativeFrom="column">
              <wp:posOffset>4028440</wp:posOffset>
            </wp:positionH>
            <wp:positionV relativeFrom="paragraph">
              <wp:posOffset>127635</wp:posOffset>
            </wp:positionV>
            <wp:extent cx="268287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36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 of Shares by</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-5080</wp:posOffset>
            </wp:positionV>
            <wp:extent cx="268287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8287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230505</wp:posOffset>
            </wp:positionV>
            <wp:extent cx="670750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Annex I</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PRESS RELEASE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REED’S,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 202_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Reed’s, Inc. (the “Company”) announced today that A.G.P./Alliance Global Partners, the representative of the underwriters in the Company’s recent public sale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 shares of its common stock, are [waiving][releasing] a lock-up restriction with respect to ____ shares of its common stock held by [certain officers or directors]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officer or director] of the Company. The [waiver][release] will take effect on ____, 202_ and the shares of its common stock may be sold on or after such date.</w:t>
      </w:r>
    </w:p>
    <w:p>
      <w:pPr>
        <w:spacing w:after="0" w:line="15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670750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 w:name="page27"/>
    <w:bookmarkEnd w:id="26"/>
    <w:p>
      <w:pPr>
        <w:ind w:left="9840"/>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SECOND AMENDED AND RESTATED BYLAWS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REED’S,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121285</wp:posOffset>
            </wp:positionV>
            <wp:extent cx="167703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 DELAWARE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OFFICES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Section 1.1 Registered Office. </w:t>
      </w:r>
      <w:r>
        <w:rPr>
          <w:rFonts w:ascii="Times New Roman" w:cs="Times New Roman" w:eastAsia="Times New Roman" w:hAnsi="Times New Roman"/>
          <w:sz w:val="16"/>
          <w:szCs w:val="16"/>
          <w:color w:val="auto"/>
        </w:rPr>
        <w:t>The registered office of Reed’s, Inc. (the “</w:t>
      </w:r>
      <w:r>
        <w:rPr>
          <w:rFonts w:ascii="Times New Roman" w:cs="Times New Roman" w:eastAsia="Times New Roman" w:hAnsi="Times New Roman"/>
          <w:sz w:val="16"/>
          <w:szCs w:val="16"/>
          <w:b w:val="1"/>
          <w:bCs w:val="1"/>
          <w:color w:val="auto"/>
        </w:rPr>
        <w:t>Corporation</w:t>
      </w:r>
      <w:r>
        <w:rPr>
          <w:rFonts w:ascii="Times New Roman" w:cs="Times New Roman" w:eastAsia="Times New Roman" w:hAnsi="Times New Roman"/>
          <w:sz w:val="16"/>
          <w:szCs w:val="16"/>
          <w:color w:val="auto"/>
        </w:rPr>
        <w:t>”) in the State of Delaware and the name of the Corporation’s registered agent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address shall be as set forth in the certificate of incorporation of the Corporation (as the same may be amended and/or restated from time to time, the “</w:t>
      </w:r>
      <w:r>
        <w:rPr>
          <w:rFonts w:ascii="Times New Roman" w:cs="Times New Roman" w:eastAsia="Times New Roman" w:hAnsi="Times New Roman"/>
          <w:sz w:val="16"/>
          <w:szCs w:val="16"/>
          <w:b w:val="1"/>
          <w:bCs w:val="1"/>
          <w:color w:val="auto"/>
        </w:rPr>
        <w:t>Certificate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Incorporation</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1.2 Other Offices. </w:t>
      </w:r>
      <w:r>
        <w:rPr>
          <w:rFonts w:ascii="Times New Roman" w:cs="Times New Roman" w:eastAsia="Times New Roman" w:hAnsi="Times New Roman"/>
          <w:sz w:val="16"/>
          <w:szCs w:val="16"/>
          <w:color w:val="auto"/>
        </w:rPr>
        <w:t>The Corporation may at any time establish other offices both within and without the State of Delaware.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2.</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CORPORATE SEAL</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2.1 Corporate Seal. </w:t>
      </w:r>
      <w:r>
        <w:rPr>
          <w:rFonts w:ascii="Times New Roman" w:cs="Times New Roman" w:eastAsia="Times New Roman" w:hAnsi="Times New Roman"/>
          <w:sz w:val="16"/>
          <w:szCs w:val="16"/>
          <w:color w:val="auto"/>
        </w:rPr>
        <w:t>The Board of Directors of the Corporation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may adopt a corporate seal. Said seal may be used by causing it or a facsimile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to be impressed or affixed or reproduced or otherwise.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STOCKHOLDERS’ MEETINGS</w:t>
      </w:r>
    </w:p>
    <w:p>
      <w:pPr>
        <w:spacing w:after="0" w:line="17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Section 3.1 Place of Meetings. </w:t>
      </w:r>
      <w:r>
        <w:rPr>
          <w:rFonts w:ascii="Times New Roman" w:cs="Times New Roman" w:eastAsia="Times New Roman" w:hAnsi="Times New Roman"/>
          <w:sz w:val="14"/>
          <w:szCs w:val="14"/>
          <w:color w:val="auto"/>
        </w:rPr>
        <w:t>Meetings of the stockholders of the Corporation may be held at such place, if any, either within or without the State of Delaware, as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determined from time to time by the Board (or its designee). The Board may, in its sole discretion, determine that the meeting shall not be held at any place, but may instead be held solely by means of remote communication as provided under the General Corporation Law of the State of Delaware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and Section 3.9 below.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3.2 Annual Meetings.</w:t>
      </w:r>
    </w:p>
    <w:p>
      <w:pPr>
        <w:spacing w:after="0" w:line="178" w:lineRule="exact"/>
        <w:rPr>
          <w:sz w:val="20"/>
          <w:szCs w:val="20"/>
          <w:color w:val="auto"/>
        </w:rPr>
      </w:pPr>
    </w:p>
    <w:p>
      <w:pPr>
        <w:jc w:val="both"/>
        <w:ind w:firstLine="6"/>
        <w:spacing w:after="0" w:line="241" w:lineRule="auto"/>
        <w:tabs>
          <w:tab w:leader="none" w:pos="216"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annual meeting of the stockholders of the Corporation, for the purpose of election of directors and for such other business as may properly come before it, shall be held on such date and time as may be determined from time to time by the Board (or its designee). Any annual meeting of stockholders may be postponed, rescheduled or cancelled by the Board, or any director or officer of the Corporation to whom the Board delegates such authority, at any time before or after notice of such meeting has been given to stockholders. Nominations of persons for election to the Board and proposals of other business to be considered by the stockholders may be made at an annual meeting of stockholders:</w:t>
      </w:r>
    </w:p>
    <w:p>
      <w:pPr>
        <w:spacing w:after="0" w:line="156" w:lineRule="exact"/>
        <w:rPr>
          <w:rFonts w:ascii="Times New Roman" w:cs="Times New Roman" w:eastAsia="Times New Roman" w:hAnsi="Times New Roman"/>
          <w:sz w:val="16"/>
          <w:szCs w:val="16"/>
          <w:b w:val="1"/>
          <w:bCs w:val="1"/>
          <w:color w:val="auto"/>
        </w:rPr>
      </w:pPr>
    </w:p>
    <w:p>
      <w:pPr>
        <w:ind w:left="760" w:hanging="178"/>
        <w:spacing w:after="0"/>
        <w:tabs>
          <w:tab w:leader="none" w:pos="76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Corporation’s notice of meeting of stockholders (or any supplement thereto);</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72"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or at the direction of the Board (or a duly authorized committee thereof); or</w:t>
      </w:r>
    </w:p>
    <w:p>
      <w:pPr>
        <w:spacing w:after="0" w:line="176" w:lineRule="exact"/>
        <w:rPr>
          <w:rFonts w:ascii="Times New Roman" w:cs="Times New Roman" w:eastAsia="Times New Roman" w:hAnsi="Times New Roman"/>
          <w:sz w:val="16"/>
          <w:szCs w:val="16"/>
          <w:color w:val="auto"/>
        </w:rPr>
      </w:pPr>
    </w:p>
    <w:p>
      <w:pPr>
        <w:jc w:val="both"/>
        <w:ind w:firstLine="582"/>
        <w:spacing w:after="0" w:line="247" w:lineRule="auto"/>
        <w:tabs>
          <w:tab w:leader="none" w:pos="849"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stockholder of the Corporation who was a stockholder of record at the time of giving the stockholder’s notice provided for in Section 3.2(b) of these bylaws (as may be amended and/or restated from time to time, the “</w:t>
      </w:r>
      <w:r>
        <w:rPr>
          <w:rFonts w:ascii="Times New Roman" w:cs="Times New Roman" w:eastAsia="Times New Roman" w:hAnsi="Times New Roman"/>
          <w:sz w:val="16"/>
          <w:szCs w:val="16"/>
          <w:b w:val="1"/>
          <w:bCs w:val="1"/>
          <w:color w:val="auto"/>
        </w:rPr>
        <w:t>Bylaws</w:t>
      </w:r>
      <w:r>
        <w:rPr>
          <w:rFonts w:ascii="Times New Roman" w:cs="Times New Roman" w:eastAsia="Times New Roman" w:hAnsi="Times New Roman"/>
          <w:sz w:val="16"/>
          <w:szCs w:val="16"/>
          <w:color w:val="auto"/>
        </w:rPr>
        <w:t>”) and who is a stockholder of record at the time of the annual meeting of stockholders, who is entitled to vote at the meeting and who complied with the procedures and requirements set forth in this 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-908050</wp:posOffset>
            </wp:positionV>
            <wp:extent cx="670750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32"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For the avoidance of doubt, clause (iii) above shall be the exclusive means for a stockholder to make nominations and submit other business before an annual meeting of stockholders.</w:t>
      </w:r>
    </w:p>
    <w:p>
      <w:pPr>
        <w:spacing w:after="0" w:line="143" w:lineRule="exact"/>
        <w:rPr>
          <w:sz w:val="20"/>
          <w:szCs w:val="20"/>
          <w:color w:val="auto"/>
        </w:rPr>
      </w:pPr>
    </w:p>
    <w:p>
      <w:pPr>
        <w:jc w:val="both"/>
        <w:ind w:firstLine="6"/>
        <w:spacing w:after="0" w:line="247" w:lineRule="auto"/>
        <w:tabs>
          <w:tab w:leader="none" w:pos="24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At an annual meeting of the stockholders, only such business shall be conducted as is a proper matter for stockholder action under the DGCL, the Certificate of Incorporation and the Bylaws, and only such nominations shall be made and such other business shall be conducted as shall have been properly brought before the meeting in accordance with the procedures below.</w:t>
      </w:r>
    </w:p>
    <w:p>
      <w:pPr>
        <w:spacing w:after="0" w:line="152" w:lineRule="exact"/>
        <w:rPr>
          <w:rFonts w:ascii="Times New Roman" w:cs="Times New Roman" w:eastAsia="Times New Roman" w:hAnsi="Times New Roman"/>
          <w:sz w:val="16"/>
          <w:szCs w:val="16"/>
          <w:b w:val="1"/>
          <w:bCs w:val="1"/>
          <w:color w:val="auto"/>
        </w:rPr>
      </w:pPr>
    </w:p>
    <w:p>
      <w:pPr>
        <w:jc w:val="both"/>
        <w:ind w:left="880" w:hanging="298"/>
        <w:spacing w:after="0" w:line="241" w:lineRule="auto"/>
        <w:tabs>
          <w:tab w:leader="none" w:pos="880" w:val="left"/>
        </w:tabs>
        <w:numPr>
          <w:ilvl w:val="1"/>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nominations for the election to the Board to be properly brought before an annual meeting by a stockholder pursuant to clause (iii) of Section 3.2(a), the stockholder must deliver written notice to the Secretary at the principal executive offices of the Corporation on a timely basis as set forth in Section 3.2(b)(3) and must update and supplement the information contained in such written notice on a timely basis as set forth in Section 3.2(c). In addition to all of the information required by Section 3.2(b)(4), such stockholder’s notice shall include as to each nominee such stockholder proposes to nominate at the meeting:</w:t>
      </w:r>
    </w:p>
    <w:p>
      <w:pPr>
        <w:spacing w:after="0" w:line="157" w:lineRule="exact"/>
        <w:rPr>
          <w:sz w:val="20"/>
          <w:szCs w:val="20"/>
          <w:color w:val="auto"/>
        </w:rPr>
      </w:pPr>
    </w:p>
    <w:p>
      <w:pPr>
        <w:ind w:left="840" w:hanging="258"/>
        <w:spacing w:after="0"/>
        <w:tabs>
          <w:tab w:leader="none" w:pos="8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age, business address and residence address of such nominee,</w:t>
      </w:r>
    </w:p>
    <w:p>
      <w:pPr>
        <w:spacing w:after="0" w:line="176"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occupation or employment of such nominee,</w:t>
      </w:r>
    </w:p>
    <w:p>
      <w:pPr>
        <w:spacing w:after="0" w:line="176" w:lineRule="exact"/>
        <w:rPr>
          <w:rFonts w:ascii="Times New Roman" w:cs="Times New Roman" w:eastAsia="Times New Roman" w:hAnsi="Times New Roman"/>
          <w:sz w:val="16"/>
          <w:szCs w:val="16"/>
          <w:color w:val="auto"/>
        </w:rPr>
      </w:pPr>
    </w:p>
    <w:p>
      <w:pPr>
        <w:ind w:left="580" w:firstLine="2"/>
        <w:spacing w:after="0" w:line="259" w:lineRule="auto"/>
        <w:tabs>
          <w:tab w:leader="none" w:pos="82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or series and number of shares of each class or series of capital stock of the Corporation that are owned of record and beneficially by such nominee and list of any pledge of or encumbrances on such shares,</w:t>
      </w:r>
    </w:p>
    <w:p>
      <w:pPr>
        <w:spacing w:after="0" w:line="143" w:lineRule="exact"/>
        <w:rPr>
          <w:rFonts w:ascii="Times New Roman" w:cs="Times New Roman" w:eastAsia="Times New Roman" w:hAnsi="Times New Roman"/>
          <w:sz w:val="16"/>
          <w:szCs w:val="16"/>
          <w:color w:val="auto"/>
        </w:rPr>
      </w:pPr>
    </w:p>
    <w:p>
      <w:pPr>
        <w:ind w:left="840" w:hanging="258"/>
        <w:spacing w:after="0"/>
        <w:tabs>
          <w:tab w:leader="none" w:pos="8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or dates on which such shares were acquired and the investment intent of such acquisition,</w:t>
      </w:r>
    </w:p>
    <w:p>
      <w:pPr>
        <w:spacing w:after="0" w:line="176"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questionnaire, representation and agreement required by Section 3.2(e), completed and signed by such nominee, and</w:t>
      </w:r>
    </w:p>
    <w:p>
      <w:pPr>
        <w:spacing w:after="0" w:line="176" w:lineRule="exact"/>
        <w:rPr>
          <w:rFonts w:ascii="Times New Roman" w:cs="Times New Roman" w:eastAsia="Times New Roman" w:hAnsi="Times New Roman"/>
          <w:sz w:val="16"/>
          <w:szCs w:val="16"/>
          <w:color w:val="auto"/>
        </w:rPr>
      </w:pPr>
    </w:p>
    <w:p>
      <w:pPr>
        <w:jc w:val="both"/>
        <w:ind w:left="580" w:firstLine="2"/>
        <w:spacing w:after="0" w:line="289" w:lineRule="auto"/>
        <w:tabs>
          <w:tab w:leader="none" w:pos="811"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or provided to the Corporation pursuant to Section 14 of the Securities Exchange Act of 1934, as amended (the “</w:t>
      </w:r>
      <w:r>
        <w:rPr>
          <w:rFonts w:ascii="Times New Roman" w:cs="Times New Roman" w:eastAsia="Times New Roman" w:hAnsi="Times New Roman"/>
          <w:sz w:val="14"/>
          <w:szCs w:val="14"/>
          <w:b w:val="1"/>
          <w:bCs w:val="1"/>
          <w:color w:val="auto"/>
        </w:rPr>
        <w:t>1934 Act</w:t>
      </w:r>
      <w:r>
        <w:rPr>
          <w:rFonts w:ascii="Times New Roman" w:cs="Times New Roman" w:eastAsia="Times New Roman" w:hAnsi="Times New Roman"/>
          <w:sz w:val="14"/>
          <w:szCs w:val="14"/>
          <w:color w:val="auto"/>
        </w:rPr>
        <w:t>”) (including such person’s written consent to being named in a proxy statement, associated proxy card and other filings as a nominee and to serving as a director if elected).</w:t>
      </w:r>
    </w:p>
    <w:p>
      <w:pPr>
        <w:spacing w:after="0" w:line="125" w:lineRule="exact"/>
        <w:rPr>
          <w:sz w:val="20"/>
          <w:szCs w:val="20"/>
          <w:color w:val="auto"/>
        </w:rPr>
      </w:pPr>
    </w:p>
    <w:p>
      <w:pPr>
        <w:ind w:left="580" w:right="20"/>
        <w:spacing w:after="0" w:line="331" w:lineRule="auto"/>
        <w:rPr>
          <w:sz w:val="20"/>
          <w:szCs w:val="20"/>
          <w:color w:val="auto"/>
        </w:rPr>
      </w:pPr>
      <w:r>
        <w:rPr>
          <w:rFonts w:ascii="Times New Roman" w:cs="Times New Roman" w:eastAsia="Times New Roman" w:hAnsi="Times New Roman"/>
          <w:sz w:val="14"/>
          <w:szCs w:val="14"/>
          <w:color w:val="auto"/>
        </w:rPr>
        <w:t>The Corporation may require any proposed nominee to furnish such other information as it may reasonably require to determine the eligibility of such proposed nominee to serve as an independent director of the Corporation or to serve on any committee or sub-committee of the Board, in either case under any</w:t>
      </w:r>
    </w:p>
    <w:p>
      <w:pPr>
        <w:sectPr>
          <w:pgSz w:w="11900" w:h="16840" w:orient="portrait"/>
          <w:cols w:equalWidth="0" w:num="1">
            <w:col w:w="10580"/>
          </w:cols>
          <w:pgMar w:left="660" w:top="735" w:right="660" w:bottom="0" w:gutter="0" w:footer="0" w:header="0"/>
        </w:sectPr>
      </w:pPr>
    </w:p>
    <w:bookmarkStart w:id="27" w:name="page28"/>
    <w:bookmarkEnd w:id="27"/>
    <w:p>
      <w:pPr>
        <w:jc w:val="both"/>
        <w:spacing w:after="0" w:line="239" w:lineRule="auto"/>
        <w:rPr>
          <w:sz w:val="20"/>
          <w:szCs w:val="20"/>
          <w:color w:val="auto"/>
        </w:rPr>
      </w:pPr>
      <w:r>
        <w:rPr>
          <w:rFonts w:ascii="Times New Roman" w:cs="Times New Roman" w:eastAsia="Times New Roman" w:hAnsi="Times New Roman"/>
          <w:sz w:val="16"/>
          <w:szCs w:val="16"/>
          <w:color w:val="auto"/>
        </w:rPr>
        <w:t>applicable stock exchange listing requirements, applicable law or the Policies (as defined below) . The number of nominees a stockholder may nominate for election at an annual meeting on its own behalf (or in the case of a stockholder giving the notice on behalf of a beneficial owner, the number of nominees a stockholder may nominate for election at an annual meeting on behalf of such beneficial owner) shall not exceed the number of directors to be elected at such annual meeting. A stockholder may not designate any substitute or alternate nominees unless the stockholder provides timely notice of such substitute or alternate nominee(s) in accordance with this Section 3.2, in the case of an annual meeting, or Section 3.3, in the case of a special meeting (and such notice contains all of the information, representations, questionnaires and certifications with respect to such substitute or alternate nominee(s) that are required by the Bylaws with respect to nominees for director).</w:t>
      </w:r>
    </w:p>
    <w:p>
      <w:pPr>
        <w:spacing w:after="0" w:line="158" w:lineRule="exact"/>
        <w:rPr>
          <w:sz w:val="20"/>
          <w:szCs w:val="20"/>
          <w:color w:val="auto"/>
        </w:rPr>
      </w:pPr>
    </w:p>
    <w:p>
      <w:pPr>
        <w:jc w:val="both"/>
        <w:ind w:left="300" w:hanging="298"/>
        <w:spacing w:after="0" w:line="241" w:lineRule="auto"/>
        <w:tabs>
          <w:tab w:leader="none" w:pos="300"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business other than nominations for the election to the Board to be properly brought before an annual meeting by a stockholder pursuant to clause (ii) of Section 3.2(a), the stockholder must deliver written notice to the Secretary at the principal executive offices of the Corporation on a timely basis as set forth in Section 3.2(b)(3), and must update and supplement the information contained in such written notice on a timely basis as set forth in Section 3.2(c). In addition to all of the information required by Section 3.2(b)(4), such stockholder’s notice shall include as to each matter such stockholder proposes to bring before the meeting:</w:t>
      </w:r>
    </w:p>
    <w:p>
      <w:pPr>
        <w:spacing w:after="0" w:line="157" w:lineRule="exact"/>
        <w:rPr>
          <w:sz w:val="20"/>
          <w:szCs w:val="20"/>
          <w:color w:val="auto"/>
        </w:rPr>
      </w:pPr>
    </w:p>
    <w:p>
      <w:pPr>
        <w:ind w:left="260" w:hanging="258"/>
        <w:spacing w:after="0"/>
        <w:tabs>
          <w:tab w:leader="none" w:pos="2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brief description of the business desired to be brought before the meeting,</w:t>
      </w:r>
    </w:p>
    <w:p>
      <w:pPr>
        <w:spacing w:after="0" w:line="176" w:lineRule="exact"/>
        <w:rPr>
          <w:rFonts w:ascii="Times New Roman" w:cs="Times New Roman" w:eastAsia="Times New Roman" w:hAnsi="Times New Roman"/>
          <w:sz w:val="16"/>
          <w:szCs w:val="16"/>
          <w:color w:val="auto"/>
        </w:rPr>
      </w:pPr>
    </w:p>
    <w:p>
      <w:pPr>
        <w:ind w:right="20" w:firstLine="2"/>
        <w:spacing w:after="0" w:line="259" w:lineRule="auto"/>
        <w:tabs>
          <w:tab w:leader="none" w:pos="24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text of the proposal or business (including the text of any resolutions proposed for consideration and in the event that such business includes a proposal to amend the Bylaws, the language of the proposed amendment),</w:t>
      </w:r>
    </w:p>
    <w:p>
      <w:pPr>
        <w:spacing w:after="0" w:line="143" w:lineRule="exact"/>
        <w:rPr>
          <w:rFonts w:ascii="Times New Roman" w:cs="Times New Roman" w:eastAsia="Times New Roman" w:hAnsi="Times New Roman"/>
          <w:sz w:val="16"/>
          <w:szCs w:val="16"/>
          <w:color w:val="auto"/>
        </w:rPr>
      </w:pPr>
    </w:p>
    <w:p>
      <w:pPr>
        <w:ind w:left="240" w:hanging="238"/>
        <w:spacing w:after="0"/>
        <w:tabs>
          <w:tab w:leader="none" w:pos="2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reasons for conducting such business at the meeting, and</w:t>
      </w:r>
    </w:p>
    <w:p>
      <w:pPr>
        <w:spacing w:after="0" w:line="176" w:lineRule="exact"/>
        <w:rPr>
          <w:rFonts w:ascii="Times New Roman" w:cs="Times New Roman" w:eastAsia="Times New Roman" w:hAnsi="Times New Roman"/>
          <w:sz w:val="16"/>
          <w:szCs w:val="16"/>
          <w:color w:val="auto"/>
        </w:rPr>
      </w:pPr>
    </w:p>
    <w:p>
      <w:pPr>
        <w:ind w:left="-580" w:right="20" w:firstLine="582"/>
        <w:spacing w:after="0" w:line="331" w:lineRule="auto"/>
        <w:tabs>
          <w:tab w:leader="none" w:pos="25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w:t>
      </w:r>
    </w:p>
    <w:p>
      <w:pPr>
        <w:spacing w:after="0" w:line="96" w:lineRule="exact"/>
        <w:rPr>
          <w:sz w:val="20"/>
          <w:szCs w:val="20"/>
          <w:color w:val="auto"/>
        </w:rPr>
      </w:pPr>
    </w:p>
    <w:p>
      <w:pPr>
        <w:jc w:val="both"/>
        <w:ind w:left="300" w:hanging="298"/>
        <w:spacing w:after="0" w:line="204" w:lineRule="auto"/>
        <w:tabs>
          <w:tab w:leader="none" w:pos="30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be timely, the written notice required by Section 3.2(b)(1) or 3.2(b)(2) must be received by the Secretary at the principal executive offices of the Corporation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nor earlier than the 120th day, prior to the first anniversary of the immediately preceding year’s annual meeting; provided, however, that, subject to the last sentence of this Section 3.2(b)(3), in the event that the date of the annual meeting is advanced more than 30 days prior to or delayed by more than 70 days after the anniversary of the preceding year’s annual meeting, or if no annual meeting was held (or deemed to have been held), notice by the stockholder to be timely must be so received not earlier than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prior to such annual meeting and not later than the later of the close of business on (i)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prior to such annual meeting or (ii) the tenth day following the day on which public announcement of the date of such meeting is first made by the Corporation.</w:t>
      </w:r>
    </w:p>
    <w:p>
      <w:pPr>
        <w:spacing w:after="0" w:line="16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 no event shall an adjournment or postponement (or the public announcement thereof) of an annual meeting for which notice has been given, or for which a public announcement of the date of the meeting has been made by the Corporation, commence a new time period (or extend any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219075</wp:posOffset>
            </wp:positionV>
            <wp:extent cx="670750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00" w:hanging="298"/>
        <w:spacing w:after="0" w:line="243" w:lineRule="auto"/>
        <w:tabs>
          <w:tab w:leader="none" w:pos="300"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written notice required by Sections 3.2(b)(1) or 3.2(b)(2) shall also include, as of the date of the notice and as to the stockholder giving the notice, the beneficial owner, if any, on whose behalf the nomination or proposal is made and any affiliate who controls (as such term is defined in Rule 405 under the Securities Act of 1933, as amended (the “</w:t>
      </w:r>
      <w:r>
        <w:rPr>
          <w:rFonts w:ascii="Times New Roman" w:cs="Times New Roman" w:eastAsia="Times New Roman" w:hAnsi="Times New Roman"/>
          <w:sz w:val="16"/>
          <w:szCs w:val="16"/>
          <w:b w:val="1"/>
          <w:bCs w:val="1"/>
          <w:color w:val="auto"/>
        </w:rPr>
        <w:t>1933 Act</w:t>
      </w:r>
      <w:r>
        <w:rPr>
          <w:rFonts w:ascii="Times New Roman" w:cs="Times New Roman" w:eastAsia="Times New Roman" w:hAnsi="Times New Roman"/>
          <w:sz w:val="16"/>
          <w:szCs w:val="16"/>
          <w:color w:val="auto"/>
        </w:rPr>
        <w:t>”) either of the foregoing stockholder or beneficial owner, directly or indirectly (each, a “</w:t>
      </w:r>
      <w:r>
        <w:rPr>
          <w:rFonts w:ascii="Times New Roman" w:cs="Times New Roman" w:eastAsia="Times New Roman" w:hAnsi="Times New Roman"/>
          <w:sz w:val="16"/>
          <w:szCs w:val="16"/>
          <w:b w:val="1"/>
          <w:bCs w:val="1"/>
          <w:color w:val="auto"/>
        </w:rPr>
        <w:t>Proponent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Proponents</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260" w:hanging="258"/>
        <w:spacing w:after="0"/>
        <w:tabs>
          <w:tab w:leader="none" w:pos="2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each Proponent, including, if applicable, such name and address as they appear on the Corporation’s books and records;</w:t>
      </w:r>
    </w:p>
    <w:p>
      <w:pPr>
        <w:spacing w:after="0" w:line="176" w:lineRule="exact"/>
        <w:rPr>
          <w:rFonts w:ascii="Times New Roman" w:cs="Times New Roman" w:eastAsia="Times New Roman" w:hAnsi="Times New Roman"/>
          <w:sz w:val="16"/>
          <w:szCs w:val="16"/>
          <w:color w:val="auto"/>
        </w:rPr>
      </w:pPr>
    </w:p>
    <w:p>
      <w:pPr>
        <w:jc w:val="both"/>
        <w:ind w:firstLine="2"/>
        <w:spacing w:after="0" w:line="243" w:lineRule="auto"/>
        <w:tabs>
          <w:tab w:leader="none" w:pos="26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series and number of shares of each class or series of the capital stock of the Corporation that are, directly or indirectly, owned of record or beneficially (within the meaning of Rule 13d-3 under the 1934 Act) by each Proponent (provided, that for purposes of this Section 3.2(b)(4), such Proponent shall in all events be deemed to beneficially own all shares of any class or series of capital stock of the Corporation as to which such Proponent or any of its affiliates or associates has a right to acquire beneficial ownership whether immediately or at any time in the future);</w:t>
      </w:r>
    </w:p>
    <w:p>
      <w:pPr>
        <w:spacing w:after="0" w:line="155" w:lineRule="exact"/>
        <w:rPr>
          <w:rFonts w:ascii="Times New Roman" w:cs="Times New Roman" w:eastAsia="Times New Roman" w:hAnsi="Times New Roman"/>
          <w:sz w:val="16"/>
          <w:szCs w:val="16"/>
          <w:color w:val="auto"/>
        </w:rPr>
      </w:pPr>
    </w:p>
    <w:p>
      <w:pPr>
        <w:jc w:val="both"/>
        <w:ind w:firstLine="2"/>
        <w:spacing w:after="0" w:line="241" w:lineRule="auto"/>
        <w:tabs>
          <w:tab w:leader="none" w:pos="24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any agreement, arrangement or understanding (whether oral or in writing) with respect to such nomination or proposal (and/or the voting of shares of any class or series of capital stock of the Corporation, other than a revocable proxy given in response to a proxy solicitation made to 10 or more persons) between or among any Proponent and any of its affiliates or associates, and/or any other persons (including their names) including without limitation, any agreements, arrangements or understandings required to be disclosed pursuant to Item 5 or Item 6 of 1934 Act Schedule 13D, regardless of whether the requirement to file a Schedule 13D is applicable;</w:t>
      </w:r>
    </w:p>
    <w:p>
      <w:pPr>
        <w:spacing w:after="0" w:line="156" w:lineRule="exact"/>
        <w:rPr>
          <w:rFonts w:ascii="Times New Roman" w:cs="Times New Roman" w:eastAsia="Times New Roman" w:hAnsi="Times New Roman"/>
          <w:sz w:val="16"/>
          <w:szCs w:val="16"/>
          <w:color w:val="auto"/>
        </w:rPr>
      </w:pPr>
    </w:p>
    <w:p>
      <w:pPr>
        <w:jc w:val="both"/>
        <w:ind w:right="20" w:firstLine="2"/>
        <w:spacing w:after="0" w:line="299" w:lineRule="auto"/>
        <w:tabs>
          <w:tab w:leader="none" w:pos="263"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the stockholder is a holder of record of shares of the Corporation at the time of giving notice, will be entitled to vote at the meeting, and that such stockholder (or a qualified representative thereof) intends to appear at the meeting to nominate the person or persons specified in the notice (with respect to a notice under Section 3.2(b)(1)) or to propose the business that is specified in the notice (with respect to a notice under Section 3.2(b)(2));</w:t>
      </w:r>
    </w:p>
    <w:p>
      <w:pPr>
        <w:spacing w:after="0" w:line="118" w:lineRule="exact"/>
        <w:rPr>
          <w:rFonts w:ascii="Times New Roman" w:cs="Times New Roman" w:eastAsia="Times New Roman" w:hAnsi="Times New Roman"/>
          <w:sz w:val="14"/>
          <w:szCs w:val="14"/>
          <w:color w:val="auto"/>
        </w:rPr>
      </w:pPr>
    </w:p>
    <w:p>
      <w:pPr>
        <w:jc w:val="both"/>
        <w:ind w:firstLine="2"/>
        <w:spacing w:after="0" w:line="243" w:lineRule="auto"/>
        <w:tabs>
          <w:tab w:leader="none" w:pos="23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representation whether any Proponent or any other participant (as defined in Item 4 of Schedule 14A under the 1934 Act) will engage in a solicitation with respect to such nomination or proposal and, if so, the name of each participant in such solicitation and the amount of the cost of solicitation that has been and will be borne, directly or indirectly, by each participant in such solicitation, and a representation as to whether the Proponents intend or are part of a group which intends to:</w:t>
      </w:r>
    </w:p>
    <w:p>
      <w:pPr>
        <w:spacing w:after="0" w:line="155" w:lineRule="exact"/>
        <w:rPr>
          <w:rFonts w:ascii="Times New Roman" w:cs="Times New Roman" w:eastAsia="Times New Roman" w:hAnsi="Times New Roman"/>
          <w:sz w:val="16"/>
          <w:szCs w:val="16"/>
          <w:color w:val="auto"/>
        </w:rPr>
      </w:pPr>
    </w:p>
    <w:p>
      <w:pPr>
        <w:ind w:right="40" w:firstLine="578"/>
        <w:spacing w:after="0" w:line="259" w:lineRule="auto"/>
        <w:tabs>
          <w:tab w:leader="none" w:pos="80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or make available, a proxy statement and/or form of proxy to holders of at least the percentage of the Corporation’s voting shares required to approve or adopt the proposal or elect the nominee,</w:t>
      </w:r>
    </w:p>
    <w:p>
      <w:pPr>
        <w:spacing w:after="0" w:line="143" w:lineRule="exact"/>
        <w:rPr>
          <w:rFonts w:ascii="Times New Roman" w:cs="Times New Roman" w:eastAsia="Times New Roman" w:hAnsi="Times New Roman"/>
          <w:sz w:val="16"/>
          <w:szCs w:val="16"/>
          <w:color w:val="auto"/>
        </w:rPr>
      </w:pPr>
    </w:p>
    <w:p>
      <w:pPr>
        <w:ind w:left="800" w:hanging="222"/>
        <w:spacing w:after="0"/>
        <w:tabs>
          <w:tab w:leader="none" w:pos="80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solicit proxies or votes from stockholders in support of such proposal or nomination and/or</w:t>
      </w:r>
    </w:p>
    <w:p>
      <w:pPr>
        <w:spacing w:after="0" w:line="176" w:lineRule="exact"/>
        <w:rPr>
          <w:rFonts w:ascii="Times New Roman" w:cs="Times New Roman" w:eastAsia="Times New Roman" w:hAnsi="Times New Roman"/>
          <w:sz w:val="16"/>
          <w:szCs w:val="16"/>
          <w:color w:val="auto"/>
        </w:rPr>
      </w:pPr>
    </w:p>
    <w:p>
      <w:pPr>
        <w:ind w:left="800" w:hanging="222"/>
        <w:spacing w:after="0"/>
        <w:tabs>
          <w:tab w:leader="none" w:pos="80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proxies in support of any proposed nominee in accordance with Rule 14a-19 promulgated under the 1934 Act;</w:t>
      </w:r>
    </w:p>
    <w:p>
      <w:pPr>
        <w:spacing w:after="0" w:line="176" w:lineRule="exact"/>
        <w:rPr>
          <w:rFonts w:ascii="Times New Roman" w:cs="Times New Roman" w:eastAsia="Times New Roman" w:hAnsi="Times New Roman"/>
          <w:sz w:val="16"/>
          <w:szCs w:val="16"/>
          <w:color w:val="auto"/>
        </w:rPr>
      </w:pPr>
    </w:p>
    <w:p>
      <w:pPr>
        <w:ind w:firstLine="2"/>
        <w:spacing w:after="0" w:line="259" w:lineRule="auto"/>
        <w:tabs>
          <w:tab w:leader="none" w:pos="26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all Derivative Transactions (as defined below) by each Proponent during the previous 12-month period, including the date of the transactions and the class, series and number of securities involved in, and the material economic or voting terms of, such Derivative Transactions;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9" w:lineRule="exact"/>
        <w:rPr>
          <w:rFonts w:ascii="Times New Roman" w:cs="Times New Roman" w:eastAsia="Times New Roman" w:hAnsi="Times New Roman"/>
          <w:sz w:val="16"/>
          <w:szCs w:val="16"/>
          <w:color w:val="auto"/>
        </w:rPr>
      </w:pPr>
    </w:p>
    <w:p>
      <w:pPr>
        <w:jc w:val="both"/>
        <w:ind w:firstLine="2"/>
        <w:spacing w:after="0" w:line="247" w:lineRule="auto"/>
        <w:tabs>
          <w:tab w:leader="none" w:pos="264"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certification regarding whether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w:t>
      </w:r>
    </w:p>
    <w:p>
      <w:pPr>
        <w:spacing w:after="0" w:line="152" w:lineRule="exact"/>
        <w:rPr>
          <w:rFonts w:ascii="Times New Roman" w:cs="Times New Roman" w:eastAsia="Times New Roman" w:hAnsi="Times New Roman"/>
          <w:sz w:val="16"/>
          <w:szCs w:val="16"/>
          <w:color w:val="auto"/>
        </w:rPr>
      </w:pPr>
    </w:p>
    <w:p>
      <w:pPr>
        <w:ind w:left="280" w:hanging="278"/>
        <w:spacing w:after="0"/>
        <w:tabs>
          <w:tab w:leader="none" w:pos="2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information relating to each Proponent required to be disclosed in a proxy statement or other filings required to be made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-892810</wp:posOffset>
            </wp:positionV>
            <wp:extent cx="670750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000"/>
          </w:cols>
          <w:pgMar w:left="1240" w:top="557" w:right="660" w:bottom="170" w:gutter="0" w:footer="0" w:header="0"/>
        </w:sectPr>
      </w:pPr>
    </w:p>
    <w:bookmarkStart w:id="28" w:name="page29"/>
    <w:bookmarkEnd w:id="28"/>
    <w:p>
      <w:pPr>
        <w:ind w:left="580"/>
        <w:spacing w:after="0" w:line="259" w:lineRule="auto"/>
        <w:rPr>
          <w:sz w:val="20"/>
          <w:szCs w:val="20"/>
          <w:color w:val="auto"/>
        </w:rPr>
      </w:pPr>
      <w:r>
        <w:rPr>
          <w:rFonts w:ascii="Times New Roman" w:cs="Times New Roman" w:eastAsia="Times New Roman" w:hAnsi="Times New Roman"/>
          <w:sz w:val="16"/>
          <w:szCs w:val="16"/>
          <w:color w:val="auto"/>
        </w:rPr>
        <w:t>solicitations of proxies for, as applicable, the proposal and/or for the election of directors in an election contest pursuant to and in accordance with Section 14 of the 1934 Act and the rules and regulations promulgated thereunder.</w:t>
      </w:r>
    </w:p>
    <w:p>
      <w:pPr>
        <w:spacing w:after="0" w:line="143" w:lineRule="exact"/>
        <w:rPr>
          <w:sz w:val="20"/>
          <w:szCs w:val="20"/>
          <w:color w:val="auto"/>
        </w:rPr>
      </w:pPr>
    </w:p>
    <w:p>
      <w:pPr>
        <w:jc w:val="both"/>
        <w:ind w:firstLine="6"/>
        <w:spacing w:after="0" w:line="280" w:lineRule="auto"/>
        <w:tabs>
          <w:tab w:leader="none" w:pos="228"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stockholder providing the written notice required by Section 3.2(b)(1) or (2) shall update and supplement such notice in writing, if necessary, so that the information (other than the representations required by Section 3.2(b)(4)(E))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3.2 or is rendered invalid as a result of any inaccuracy therein.</w:t>
      </w:r>
    </w:p>
    <w:p>
      <w:pPr>
        <w:spacing w:after="0" w:line="133"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In the case of an update and supplement pursuant to clause (i) of this Section 3.2(c), such update and supplement must be received by the Secretary at the principal executive offices of the Corporation not later than five Business Days after the later of the record date for the determination of stockholders entitled to notice of the meeting or the public announcement of such record date. In the case of an update and supplement pursuant to clause (ii) of this Section 3.2(c),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 (or if there are fewer than two Business Days between the date for the meeting, or the date of the immediately preceding adjournment or postponement thereof, and the date for the adjourned or postponed meeting, not later than the day prior to such adjourned or postponed meeting).</w:t>
      </w:r>
    </w:p>
    <w:p>
      <w:pPr>
        <w:spacing w:after="0" w:line="158" w:lineRule="exact"/>
        <w:rPr>
          <w:sz w:val="20"/>
          <w:szCs w:val="20"/>
          <w:color w:val="auto"/>
        </w:rPr>
      </w:pPr>
    </w:p>
    <w:p>
      <w:pPr>
        <w:jc w:val="both"/>
        <w:ind w:firstLine="6"/>
        <w:spacing w:after="0" w:line="239" w:lineRule="auto"/>
        <w:tabs>
          <w:tab w:leader="none" w:pos="228"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Notwithstanding anything in Section 3.2(b)(3) to the contrary, in the event that the number of directors to be elected to the Board at an annual meeting is increased and there is no public announcement by the Corporation naming all of the nominees for director or specifying the size of the increased Board at least 10 days before the last day a stockholder may deliver a notice of nomination in accordance with Section 3.2(b)(3), a stockholder’s notice required by this Section 3.2 and that complies with the requirements in Section 3.2(b)(1), other than the timing requirements in Section 3.2(b)(3), shall also be considered timely, but only with respect to nominees for the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61" w:lineRule="exact"/>
        <w:rPr>
          <w:rFonts w:ascii="Times New Roman" w:cs="Times New Roman" w:eastAsia="Times New Roman" w:hAnsi="Times New Roman"/>
          <w:sz w:val="16"/>
          <w:szCs w:val="16"/>
          <w:b w:val="1"/>
          <w:bCs w:val="1"/>
          <w:color w:val="auto"/>
        </w:rPr>
      </w:pPr>
    </w:p>
    <w:p>
      <w:pPr>
        <w:jc w:val="both"/>
        <w:ind w:firstLine="6"/>
        <w:spacing w:after="0" w:line="239" w:lineRule="auto"/>
        <w:tabs>
          <w:tab w:leader="none" w:pos="204"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be eligible to be a nominee for election or re-election as a director of the Corporation pursuant to a nomination under clause (iii) of Section 3.2(a) or clause (ii) of Section 3.3(c), each Proponent must deliver (in accordance with the time periods prescribed for delivery of notice under Sections 3.2(b)(3), 3.2(d) or 3.3(c), as applicable) to the Secretary at the principal executive offices of the Corporation a completed written questionnaire with respect to the background, qualifications, stock ownership and independence of such proposed nominee (in the form provided by the Secretary within 10 days following a written request therefor by a stockholder of record) and a written representation and agreement (in the form provided by the Secretary within 10 days following written request therefor by a stockholder of record) that such person:</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57" w:lineRule="exact"/>
        <w:rPr>
          <w:rFonts w:ascii="Times New Roman" w:cs="Times New Roman" w:eastAsia="Times New Roman" w:hAnsi="Times New Roman"/>
          <w:sz w:val="16"/>
          <w:szCs w:val="16"/>
          <w:b w:val="1"/>
          <w:bCs w:val="1"/>
          <w:color w:val="auto"/>
        </w:rPr>
      </w:pPr>
    </w:p>
    <w:p>
      <w:pPr>
        <w:jc w:val="both"/>
        <w:ind w:firstLine="582"/>
        <w:spacing w:after="0" w:line="247" w:lineRule="auto"/>
        <w:tabs>
          <w:tab w:leader="none" w:pos="76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and will not become a party to any agreement, arrangement or understanding (whether oral or in writing) with, and has not given any commitment or assurance to, any person or entity as to how such person, if elected as a director of the Corporation, will act or vote on any issue or question that (x) has not been disclosed in the questionnaire or (y) could limit or interfere with such person’s ability to comply with such person’s fiduciary duties under applicable law;</w:t>
      </w:r>
    </w:p>
    <w:p>
      <w:pPr>
        <w:spacing w:after="0" w:line="152"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81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a nominee that has not been disclosed in such questionnaire;</w:t>
      </w:r>
    </w:p>
    <w:p>
      <w:pPr>
        <w:spacing w:after="0" w:line="152" w:lineRule="exact"/>
        <w:rPr>
          <w:rFonts w:ascii="Times New Roman" w:cs="Times New Roman" w:eastAsia="Times New Roman" w:hAnsi="Times New Roman"/>
          <w:sz w:val="16"/>
          <w:szCs w:val="16"/>
          <w:color w:val="auto"/>
        </w:rPr>
      </w:pPr>
    </w:p>
    <w:p>
      <w:pPr>
        <w:jc w:val="both"/>
        <w:ind w:firstLine="582"/>
        <w:spacing w:after="0" w:line="247" w:lineRule="auto"/>
        <w:tabs>
          <w:tab w:leader="none" w:pos="864"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would be in compliance, if elected as a director of the Corporation (and a statement as to whether such person, if elected, intends to comply with), all applicable corporate governance, conflict of interest, confidentiality and stock ownership and trading policies and guidelines of the Corporation that are publicly disclosed or which were provided by the Secretary with the written representation and agreement required by this Section 3.2(e) (together, the “</w:t>
      </w:r>
      <w:r>
        <w:rPr>
          <w:rFonts w:ascii="Times New Roman" w:cs="Times New Roman" w:eastAsia="Times New Roman" w:hAnsi="Times New Roman"/>
          <w:sz w:val="16"/>
          <w:szCs w:val="16"/>
          <w:b w:val="1"/>
          <w:bCs w:val="1"/>
          <w:color w:val="auto"/>
        </w:rPr>
        <w:t>Policies</w:t>
      </w:r>
      <w:r>
        <w:rPr>
          <w:rFonts w:ascii="Times New Roman" w:cs="Times New Roman" w:eastAsia="Times New Roman" w:hAnsi="Times New Roman"/>
          <w:sz w:val="16"/>
          <w:szCs w:val="16"/>
          <w:color w:val="auto"/>
        </w:rPr>
        <w:t>”); and</w:t>
      </w:r>
    </w:p>
    <w:p>
      <w:pPr>
        <w:spacing w:after="0" w:line="152" w:lineRule="exact"/>
        <w:rPr>
          <w:rFonts w:ascii="Times New Roman" w:cs="Times New Roman" w:eastAsia="Times New Roman" w:hAnsi="Times New Roman"/>
          <w:sz w:val="16"/>
          <w:szCs w:val="16"/>
          <w:color w:val="auto"/>
        </w:rPr>
      </w:pPr>
    </w:p>
    <w:p>
      <w:pPr>
        <w:ind w:left="840" w:hanging="258"/>
        <w:spacing w:after="0"/>
        <w:tabs>
          <w:tab w:leader="none" w:pos="84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elected as a director of the Corporation, intends to serve the entire term until the next meeting at which such candidate would face re-election.</w:t>
      </w:r>
    </w:p>
    <w:p>
      <w:pPr>
        <w:spacing w:after="0" w:line="176" w:lineRule="exact"/>
        <w:rPr>
          <w:rFonts w:ascii="Times New Roman" w:cs="Times New Roman" w:eastAsia="Times New Roman" w:hAnsi="Times New Roman"/>
          <w:sz w:val="16"/>
          <w:szCs w:val="16"/>
          <w:color w:val="auto"/>
        </w:rPr>
      </w:pPr>
    </w:p>
    <w:p>
      <w:pPr>
        <w:ind w:right="20" w:firstLine="6"/>
        <w:spacing w:after="0" w:line="259" w:lineRule="auto"/>
        <w:tabs>
          <w:tab w:leader="none" w:pos="192"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Notwithstanding anything to the contrary in the Bylaws, unless otherwise required by applicable law, in the event that any Proponent (i) provides notice pursuant to Rule 14a-19(b) promulgated under the 1934 Act with respect to one or more proposed nominees and (ii) subsequently fails to</w:t>
      </w:r>
    </w:p>
    <w:p>
      <w:pPr>
        <w:spacing w:after="0" w:line="143" w:lineRule="exact"/>
        <w:rPr>
          <w:rFonts w:ascii="Times New Roman" w:cs="Times New Roman" w:eastAsia="Times New Roman" w:hAnsi="Times New Roman"/>
          <w:sz w:val="16"/>
          <w:szCs w:val="16"/>
          <w:b w:val="1"/>
          <w:bCs w:val="1"/>
          <w:color w:val="auto"/>
        </w:rPr>
      </w:pPr>
    </w:p>
    <w:p>
      <w:pPr>
        <w:ind w:left="580" w:right="20" w:firstLine="578"/>
        <w:spacing w:after="0" w:line="331" w:lineRule="auto"/>
        <w:tabs>
          <w:tab w:leader="none" w:pos="1382" w:val="left"/>
        </w:tabs>
        <w:numPr>
          <w:ilvl w:val="2"/>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w:t>
      </w:r>
    </w:p>
    <w:p>
      <w:pPr>
        <w:spacing w:after="0" w:line="96" w:lineRule="exact"/>
        <w:rPr>
          <w:rFonts w:ascii="Times New Roman" w:cs="Times New Roman" w:eastAsia="Times New Roman" w:hAnsi="Times New Roman"/>
          <w:sz w:val="14"/>
          <w:szCs w:val="14"/>
          <w:color w:val="auto"/>
        </w:rPr>
      </w:pPr>
    </w:p>
    <w:p>
      <w:pPr>
        <w:jc w:val="both"/>
        <w:ind w:left="580" w:right="20" w:firstLine="578"/>
        <w:spacing w:after="0" w:line="247" w:lineRule="auto"/>
        <w:tabs>
          <w:tab w:leader="none" w:pos="1395"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-2966085</wp:posOffset>
            </wp:positionV>
            <wp:extent cx="670750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If any Proponent provides notice pursuant to Rule 14a-19(b) promulgated under the 1934 Act, such Proponent shall deliver to the Corporation, no later than five</w:t>
      </w:r>
    </w:p>
    <w:p>
      <w:pPr>
        <w:spacing w:after="0" w:line="37" w:lineRule="exact"/>
        <w:rPr>
          <w:sz w:val="20"/>
          <w:szCs w:val="20"/>
          <w:color w:val="auto"/>
        </w:rPr>
      </w:pPr>
    </w:p>
    <w:p>
      <w:pPr>
        <w:ind w:firstLine="6"/>
        <w:spacing w:after="0" w:line="238" w:lineRule="auto"/>
        <w:tabs>
          <w:tab w:leader="none" w:pos="221"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prior to the applicable meeting, reasonable evidence sufficient to demonstrate that it has met the requirements of Rule 14a-19(a)(3) promulgated under the 1934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670750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1934 Act with respect to such proposed nominee and whose nomination is not made by or at the direction of the Board or any authorized committee thereof shall not be deemed (for purposes of clause (i) of Section 3.2(a) or otherwise) to have been made pursuant to the Corporation’s notice of meeting (or any supplement thereto) and any such nominee may only be nominated by a Proponent pursuant to clause (iii) of Section 3.2(a) and, in the case of a special meeting of stockholders, pursuant to and to the extent permitted under Section 3.3(c).</w:t>
      </w:r>
    </w:p>
    <w:p>
      <w:pPr>
        <w:spacing w:after="0" w:line="161" w:lineRule="exact"/>
        <w:rPr>
          <w:sz w:val="20"/>
          <w:szCs w:val="20"/>
          <w:color w:val="auto"/>
        </w:rPr>
      </w:pPr>
    </w:p>
    <w:p>
      <w:pPr>
        <w:jc w:val="both"/>
        <w:ind w:firstLine="576"/>
        <w:spacing w:after="0" w:line="278" w:lineRule="auto"/>
        <w:rPr>
          <w:sz w:val="20"/>
          <w:szCs w:val="20"/>
          <w:color w:val="auto"/>
        </w:rPr>
      </w:pPr>
      <w:r>
        <w:rPr>
          <w:rFonts w:ascii="Times New Roman" w:cs="Times New Roman" w:eastAsia="Times New Roman" w:hAnsi="Times New Roman"/>
          <w:sz w:val="14"/>
          <w:szCs w:val="14"/>
          <w:color w:val="auto"/>
        </w:rPr>
        <w:t>A person shall not be eligible for election or re -election as a director at an annual meeting unless the person is nominated in accordance with clause (ii) or (iii) of Section 3.2(a) and in accordance with the procedures and requirements set forth in Section 3.2(b), Section 3.2(c), Section 3.2(d), Section 3.2(e) and Section 3.2(f), as applicable. Only such business shall be conducted at any annual meeting of the stockholders of the Corporation as shall have been brought before the meeting in accordance with Section 3.2(a) and in accordance with the procedures and requirements set forth in Section 3.2(b), Section 3.2(c) and Section 3.2(f), as applicable. Except as otherwise required by applicable law, and subject to the supervision, direction and control of the Board of Directors, the chairperson of the meeting shall have the power and duty to determine whether a nomination or any business proposed to be brought before the meeting was made, or proposed, as the case may be, in accordance with the procedures and requirements set forth in the Bylaws (including, without limitation, compliance with Rule 14a-19 promulgated under the 1934 Act)</w:t>
      </w:r>
    </w:p>
    <w:p>
      <w:pPr>
        <w:sectPr>
          <w:pgSz w:w="11900" w:h="16840" w:orient="portrait"/>
          <w:cols w:equalWidth="0" w:num="1">
            <w:col w:w="10580"/>
          </w:cols>
          <w:pgMar w:left="660" w:top="557" w:right="660" w:bottom="57" w:gutter="0" w:footer="0" w:header="0"/>
        </w:sectPr>
      </w:pPr>
    </w:p>
    <w:bookmarkStart w:id="29" w:name="page30"/>
    <w:bookmarkEnd w:id="29"/>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and, if any proposed nomination or business is not in compliance with the Bylaws, or the Proponent does not act in accordance with the representations required in this Section 3.2, to declare that such proposal or nomination shall not be presented for stockholder action at the meeting and shall be disregarded (and such nominee disqualified from standing for election or re-election), or that such business shall not be transacted, notwithstanding that such proposal or nomination is set forth in (as applicable) the Corporation’s proxy statement, notice of meeting or other proxy materials and notwithstanding that proxies or votes in respect of such nomination or such business may have been solicited or received.</w:t>
      </w:r>
    </w:p>
    <w:p>
      <w:pPr>
        <w:spacing w:after="0" w:line="157"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Notwithstanding the foregoing provisions of this Section 3.2,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 materials and notwithstanding that proxies or votes in respect of such vote may have been solicited or received by the Corporation.</w:t>
      </w:r>
    </w:p>
    <w:p>
      <w:pPr>
        <w:spacing w:after="0" w:line="157" w:lineRule="exact"/>
        <w:rPr>
          <w:sz w:val="20"/>
          <w:szCs w:val="20"/>
          <w:color w:val="auto"/>
        </w:rPr>
      </w:pPr>
    </w:p>
    <w:p>
      <w:pPr>
        <w:ind w:left="220" w:hanging="214"/>
        <w:spacing w:after="0"/>
        <w:tabs>
          <w:tab w:leader="none" w:pos="22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purposes of Sections 3.2 and 3.3,</w:t>
      </w:r>
    </w:p>
    <w:p>
      <w:pPr>
        <w:spacing w:after="0" w:line="174" w:lineRule="exact"/>
        <w:rPr>
          <w:rFonts w:ascii="Times New Roman" w:cs="Times New Roman" w:eastAsia="Times New Roman" w:hAnsi="Times New Roman"/>
          <w:sz w:val="16"/>
          <w:szCs w:val="16"/>
          <w:b w:val="1"/>
          <w:bCs w:val="1"/>
          <w:color w:val="auto"/>
        </w:rPr>
      </w:pPr>
    </w:p>
    <w:p>
      <w:pPr>
        <w:ind w:left="880" w:hanging="298"/>
        <w:spacing w:after="0"/>
        <w:tabs>
          <w:tab w:leader="none" w:pos="880" w:val="left"/>
        </w:tabs>
        <w:numPr>
          <w:ilvl w:val="1"/>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associates</w:t>
      </w:r>
      <w:r>
        <w:rPr>
          <w:rFonts w:ascii="Times New Roman" w:cs="Times New Roman" w:eastAsia="Times New Roman" w:hAnsi="Times New Roman"/>
          <w:sz w:val="16"/>
          <w:szCs w:val="16"/>
          <w:color w:val="auto"/>
        </w:rPr>
        <w:t>” shall have the meanings set forth in Rule 405 under the 1933 Act;</w:t>
      </w:r>
    </w:p>
    <w:p>
      <w:pPr>
        <w:spacing w:after="0" w:line="176" w:lineRule="exact"/>
        <w:rPr>
          <w:rFonts w:ascii="Times New Roman" w:cs="Times New Roman" w:eastAsia="Times New Roman" w:hAnsi="Times New Roman"/>
          <w:sz w:val="16"/>
          <w:szCs w:val="16"/>
          <w:b w:val="1"/>
          <w:bCs w:val="1"/>
          <w:color w:val="auto"/>
        </w:rPr>
      </w:pPr>
    </w:p>
    <w:p>
      <w:pPr>
        <w:ind w:left="880" w:hanging="298"/>
        <w:spacing w:after="0"/>
        <w:tabs>
          <w:tab w:leader="none" w:pos="880" w:val="left"/>
        </w:tabs>
        <w:numPr>
          <w:ilvl w:val="1"/>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Saturday, Sunday or a day on which banks are closed in New York City, New York;</w:t>
      </w:r>
    </w:p>
    <w:p>
      <w:pPr>
        <w:spacing w:after="0" w:line="176" w:lineRule="exact"/>
        <w:rPr>
          <w:rFonts w:ascii="Times New Roman" w:cs="Times New Roman" w:eastAsia="Times New Roman" w:hAnsi="Times New Roman"/>
          <w:sz w:val="16"/>
          <w:szCs w:val="16"/>
          <w:b w:val="1"/>
          <w:bCs w:val="1"/>
          <w:color w:val="auto"/>
        </w:rPr>
      </w:pPr>
    </w:p>
    <w:p>
      <w:pPr>
        <w:ind w:left="880" w:right="20" w:hanging="298"/>
        <w:spacing w:after="0" w:line="262" w:lineRule="auto"/>
        <w:tabs>
          <w:tab w:leader="none" w:pos="880" w:val="left"/>
        </w:tabs>
        <w:numPr>
          <w:ilvl w:val="1"/>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close of business</w:t>
      </w:r>
      <w:r>
        <w:rPr>
          <w:rFonts w:ascii="Times New Roman" w:cs="Times New Roman" w:eastAsia="Times New Roman" w:hAnsi="Times New Roman"/>
          <w:sz w:val="16"/>
          <w:szCs w:val="16"/>
          <w:color w:val="auto"/>
        </w:rPr>
        <w:t>” means 6:00 p.m. local time at the principal executive offices of the Corporation on any calendar day, whether or not the day is a Business Day;</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330" w:lineRule="exact"/>
        <w:rPr>
          <w:rFonts w:ascii="Times New Roman" w:cs="Times New Roman" w:eastAsia="Times New Roman" w:hAnsi="Times New Roman"/>
          <w:sz w:val="16"/>
          <w:szCs w:val="16"/>
          <w:b w:val="1"/>
          <w:bCs w:val="1"/>
          <w:color w:val="auto"/>
        </w:rPr>
      </w:pPr>
    </w:p>
    <w:p>
      <w:pPr>
        <w:ind w:left="880" w:right="20" w:hanging="298"/>
        <w:spacing w:after="0" w:line="262" w:lineRule="auto"/>
        <w:tabs>
          <w:tab w:leader="none" w:pos="880" w:val="left"/>
        </w:tabs>
        <w:numPr>
          <w:ilvl w:val="1"/>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Derivative Transaction</w:t>
      </w:r>
      <w:r>
        <w:rPr>
          <w:rFonts w:ascii="Times New Roman" w:cs="Times New Roman" w:eastAsia="Times New Roman" w:hAnsi="Times New Roman"/>
          <w:sz w:val="16"/>
          <w:szCs w:val="16"/>
          <w:color w:val="auto"/>
        </w:rPr>
        <w:t>” means any agreement, arrangement, interest or understanding entered into by, or on behalf or for the benefit of, any Proponent or any of its affiliates or associates, whether record or beneficial:</w:t>
      </w:r>
    </w:p>
    <w:p>
      <w:pPr>
        <w:spacing w:after="0" w:line="140" w:lineRule="exact"/>
        <w:rPr>
          <w:rFonts w:ascii="Times New Roman" w:cs="Times New Roman" w:eastAsia="Times New Roman" w:hAnsi="Times New Roman"/>
          <w:sz w:val="16"/>
          <w:szCs w:val="16"/>
          <w:b w:val="1"/>
          <w:bCs w:val="1"/>
          <w:color w:val="auto"/>
        </w:rPr>
      </w:pPr>
    </w:p>
    <w:p>
      <w:pPr>
        <w:ind w:left="1420" w:hanging="262"/>
        <w:spacing w:after="0"/>
        <w:tabs>
          <w:tab w:leader="none" w:pos="142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which is derived in whole or in part from the value of any class or series of shares or other securities of the Corporation;</w:t>
      </w:r>
    </w:p>
    <w:p>
      <w:pPr>
        <w:spacing w:after="0" w:line="176" w:lineRule="exact"/>
        <w:rPr>
          <w:rFonts w:ascii="Times New Roman" w:cs="Times New Roman" w:eastAsia="Times New Roman" w:hAnsi="Times New Roman"/>
          <w:sz w:val="16"/>
          <w:szCs w:val="16"/>
          <w:color w:val="auto"/>
        </w:rPr>
      </w:pPr>
    </w:p>
    <w:p>
      <w:pPr>
        <w:ind w:left="1420" w:hanging="262"/>
        <w:spacing w:after="0"/>
        <w:tabs>
          <w:tab w:leader="none" w:pos="142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otherwise provides any direct or indirect opportunity to gain or share in any gain derived from a change in the value of securities of the</w:t>
      </w:r>
    </w:p>
    <w:p>
      <w:pPr>
        <w:spacing w:after="0" w:line="14"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Corporation;</w:t>
      </w:r>
    </w:p>
    <w:p>
      <w:pPr>
        <w:spacing w:after="0" w:line="158" w:lineRule="exact"/>
        <w:rPr>
          <w:rFonts w:ascii="Times New Roman" w:cs="Times New Roman" w:eastAsia="Times New Roman" w:hAnsi="Times New Roman"/>
          <w:sz w:val="16"/>
          <w:szCs w:val="16"/>
          <w:color w:val="auto"/>
        </w:rPr>
      </w:pPr>
    </w:p>
    <w:p>
      <w:pPr>
        <w:ind w:left="580" w:right="20" w:firstLine="578"/>
        <w:spacing w:after="0" w:line="259" w:lineRule="auto"/>
        <w:tabs>
          <w:tab w:leader="none" w:pos="1426"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or intent of which is to mitigate loss, manage risk or benefit from changes in value or price with respect to any securities of the Corporation; or</w:t>
      </w:r>
    </w:p>
    <w:p>
      <w:pPr>
        <w:spacing w:after="0" w:line="143" w:lineRule="exact"/>
        <w:rPr>
          <w:rFonts w:ascii="Times New Roman" w:cs="Times New Roman" w:eastAsia="Times New Roman" w:hAnsi="Times New Roman"/>
          <w:sz w:val="16"/>
          <w:szCs w:val="16"/>
          <w:color w:val="auto"/>
        </w:rPr>
      </w:pPr>
    </w:p>
    <w:p>
      <w:pPr>
        <w:ind w:left="580" w:firstLine="578"/>
        <w:spacing w:after="0" w:line="259" w:lineRule="auto"/>
        <w:tabs>
          <w:tab w:leader="none" w:pos="1419"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provides the right to vote (other than a revocable proxy given in response to a proxy solicitation made to 10 or more persons) or increase or decrease the voting power of, such Proponent, or any of its affiliates or associates, directly or indirectly, with respect to any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-1859280</wp:posOffset>
            </wp:positionV>
            <wp:extent cx="670750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23" w:lineRule="exact"/>
        <w:rPr>
          <w:sz w:val="20"/>
          <w:szCs w:val="20"/>
          <w:color w:val="auto"/>
        </w:rPr>
      </w:pPr>
    </w:p>
    <w:p>
      <w:pPr>
        <w:jc w:val="both"/>
        <w:ind w:left="580"/>
        <w:spacing w:after="0" w:line="241" w:lineRule="auto"/>
        <w:rPr>
          <w:sz w:val="20"/>
          <w:szCs w:val="20"/>
          <w:color w:val="auto"/>
        </w:rPr>
      </w:pPr>
      <w:r>
        <w:rPr>
          <w:rFonts w:ascii="Times New Roman" w:cs="Times New Roman" w:eastAsia="Times New Roman" w:hAnsi="Times New Roman"/>
          <w:sz w:val="16"/>
          <w:szCs w:val="16"/>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 -related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55" w:lineRule="exact"/>
        <w:rPr>
          <w:sz w:val="20"/>
          <w:szCs w:val="20"/>
          <w:color w:val="auto"/>
        </w:rPr>
      </w:pPr>
    </w:p>
    <w:p>
      <w:pPr>
        <w:jc w:val="both"/>
        <w:ind w:left="880" w:hanging="298"/>
        <w:spacing w:after="0" w:line="244" w:lineRule="auto"/>
        <w:tabs>
          <w:tab w:leader="none" w:pos="88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public announcement</w:t>
      </w:r>
      <w:r>
        <w:rPr>
          <w:rFonts w:ascii="Times New Roman" w:cs="Times New Roman" w:eastAsia="Times New Roman" w:hAnsi="Times New Roman"/>
          <w:sz w:val="16"/>
          <w:szCs w:val="16"/>
          <w:color w:val="auto"/>
        </w:rPr>
        <w:t>” means disclosure in a press release reported by the Dow Jones News Service, Associated Press, Business Wire, GlobeNewswire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52" w:lineRule="exact"/>
        <w:rPr>
          <w:rFonts w:ascii="Times New Roman" w:cs="Times New Roman" w:eastAsia="Times New Roman" w:hAnsi="Times New Roman"/>
          <w:sz w:val="16"/>
          <w:szCs w:val="16"/>
          <w:b w:val="1"/>
          <w:bCs w:val="1"/>
          <w:color w:val="auto"/>
        </w:rPr>
      </w:pPr>
    </w:p>
    <w:p>
      <w:pPr>
        <w:jc w:val="both"/>
        <w:ind w:left="880" w:hanging="298"/>
        <w:spacing w:after="0" w:line="244" w:lineRule="auto"/>
        <w:tabs>
          <w:tab w:leader="none" w:pos="88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b w:val="1"/>
          <w:bCs w:val="1"/>
          <w:color w:val="auto"/>
        </w:rPr>
        <w:t>qualified representative</w:t>
      </w:r>
      <w:r>
        <w:rPr>
          <w:rFonts w:ascii="Times New Roman" w:cs="Times New Roman" w:eastAsia="Times New Roman" w:hAnsi="Times New Roman"/>
          <w:sz w:val="16"/>
          <w:szCs w:val="16"/>
          <w:color w:val="auto"/>
        </w:rPr>
        <w:t>” of a stockholder shall mean (A) a duly authorized officer, manager, trustee or partner of such stockholder or (B) a person authorized by a writing executed by such stockholder or an electronic transmission delivered by such stockholder to act for such stockholder as proxy at the meeting of stockholders, and such writing or electronic transmission, or a reliable reproduction of the writing or electronic transmission, shall be provided to the Secretary of the Corporation at least five Business Days prior to the meeting of stockholders.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3.3 Special Meetings.</w:t>
      </w:r>
    </w:p>
    <w:p>
      <w:pPr>
        <w:spacing w:after="0" w:line="178" w:lineRule="exact"/>
        <w:rPr>
          <w:sz w:val="20"/>
          <w:szCs w:val="20"/>
          <w:color w:val="auto"/>
        </w:rPr>
      </w:pPr>
    </w:p>
    <w:p>
      <w:pPr>
        <w:jc w:val="both"/>
        <w:ind w:firstLine="6"/>
        <w:spacing w:after="0" w:line="247" w:lineRule="auto"/>
        <w:tabs>
          <w:tab w:leader="none" w:pos="228"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Special meetings of the stockholders of the Corporation may only be called in the manner provided in the Certificate of Incorporation. Any special meeting of stockholders previously scheduled by the Board may be postponed, rescheduled or cancelled by the Board, or any director or officer to whom the Board has delegated such authority, at any time before or after notice of such meeting has been given to stockholders.</w:t>
      </w:r>
    </w:p>
    <w:p>
      <w:pPr>
        <w:spacing w:after="0" w:line="152" w:lineRule="exact"/>
        <w:rPr>
          <w:rFonts w:ascii="Times New Roman" w:cs="Times New Roman" w:eastAsia="Times New Roman" w:hAnsi="Times New Roman"/>
          <w:sz w:val="16"/>
          <w:szCs w:val="16"/>
          <w:b w:val="1"/>
          <w:bCs w:val="1"/>
          <w:color w:val="auto"/>
        </w:rPr>
      </w:pPr>
    </w:p>
    <w:p>
      <w:pPr>
        <w:ind w:right="20" w:firstLine="6"/>
        <w:spacing w:after="0" w:line="259" w:lineRule="auto"/>
        <w:tabs>
          <w:tab w:leader="none" w:pos="228"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Board (or its designee) shall determine the date and time of such special meeting. Upon determination of the date, time and place, if any, of the meeting, the Secretary shall cause a notice of meeting to be given to the stockholders entitled to vote, in accordance with the provisions of Section 3.4.</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39" w:lineRule="exact"/>
        <w:rPr>
          <w:rFonts w:ascii="Times New Roman" w:cs="Times New Roman" w:eastAsia="Times New Roman" w:hAnsi="Times New Roman"/>
          <w:sz w:val="16"/>
          <w:szCs w:val="16"/>
          <w:b w:val="1"/>
          <w:bCs w:val="1"/>
          <w:color w:val="auto"/>
        </w:rPr>
      </w:pPr>
    </w:p>
    <w:p>
      <w:pPr>
        <w:ind w:right="20" w:firstLine="6"/>
        <w:spacing w:after="0" w:line="259" w:lineRule="auto"/>
        <w:tabs>
          <w:tab w:leader="none" w:pos="216"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w:t>
      </w:r>
    </w:p>
    <w:p>
      <w:pPr>
        <w:spacing w:after="0" w:line="143" w:lineRule="exact"/>
        <w:rPr>
          <w:rFonts w:ascii="Times New Roman" w:cs="Times New Roman" w:eastAsia="Times New Roman" w:hAnsi="Times New Roman"/>
          <w:sz w:val="16"/>
          <w:szCs w:val="16"/>
          <w:b w:val="1"/>
          <w:bCs w:val="1"/>
          <w:color w:val="auto"/>
        </w:rPr>
      </w:pPr>
    </w:p>
    <w:p>
      <w:pPr>
        <w:ind w:left="760" w:hanging="178"/>
        <w:spacing w:after="0"/>
        <w:tabs>
          <w:tab w:leader="none" w:pos="76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or at the direction of the Board or a duly authorized committee thereof or</w:t>
      </w:r>
    </w:p>
    <w:p>
      <w:pPr>
        <w:spacing w:after="0" w:line="176" w:lineRule="exact"/>
        <w:rPr>
          <w:rFonts w:ascii="Times New Roman" w:cs="Times New Roman" w:eastAsia="Times New Roman" w:hAnsi="Times New Roman"/>
          <w:sz w:val="16"/>
          <w:szCs w:val="16"/>
          <w:color w:val="auto"/>
        </w:rPr>
      </w:pPr>
    </w:p>
    <w:p>
      <w:pPr>
        <w:ind w:right="20" w:firstLine="582"/>
        <w:spacing w:after="0" w:line="331" w:lineRule="auto"/>
        <w:tabs>
          <w:tab w:leader="none" w:pos="808"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any stockholder of the Corporation who is a stockholder of record at the time of giving notice provided for in this paragraph and who is a stockholder of record at the time of the special meeting, who is entitled to vote at the meeting and who complies with Sections 3.2(b)(1), 3.2(b)(4), 3.2(c), 3.2(e) and 3.2(f).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-1172210</wp:posOffset>
            </wp:positionV>
            <wp:extent cx="670750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76"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4"/>
          <w:szCs w:val="14"/>
          <w:color w:val="auto"/>
        </w:rPr>
        <w:t>The number of nominees a stockholder may nominate for election at a special meeting on its own behalf (or in the case of a stockholder giving the notice on behalf of a beneficial owner, the number of nominees a stockholder may nominate for election at a special meeting on behalf of such beneficial owner) shall not exceed the number of directors to be elected at such special meeting. In the event the Corporation calls a special meeting of stockholders for the purpose of submitting a proposal to stockholders for the election of one or more directors, any such stockholder of record entitled to vote in such election of directors may nominate a person or persons (as the case may be), for election to such position(s) as specified in the Corporation’s notice of meeting, if written notice setting forth the information required</w:t>
      </w:r>
    </w:p>
    <w:p>
      <w:pPr>
        <w:spacing w:after="0" w:line="180" w:lineRule="auto"/>
        <w:rPr>
          <w:sz w:val="20"/>
          <w:szCs w:val="20"/>
          <w:color w:val="auto"/>
        </w:rPr>
      </w:pPr>
      <w:r>
        <w:rPr>
          <w:rFonts w:ascii="Times New Roman" w:cs="Times New Roman" w:eastAsia="Times New Roman" w:hAnsi="Times New Roman"/>
          <w:sz w:val="15"/>
          <w:szCs w:val="15"/>
          <w:color w:val="auto"/>
        </w:rPr>
        <w:t>by Sections 3.2(b)(1) and 3.2(b)(4) shall be received by the Secretary at the principal executive offices of the Corporation not earlier than the close of business on 120</w:t>
      </w:r>
      <w:r>
        <w:rPr>
          <w:rFonts w:ascii="Times New Roman" w:cs="Times New Roman" w:eastAsia="Times New Roman" w:hAnsi="Times New Roman"/>
          <w:sz w:val="25"/>
          <w:szCs w:val="25"/>
          <w:color w:val="auto"/>
          <w:vertAlign w:val="superscript"/>
        </w:rPr>
        <w:t>th</w:t>
      </w:r>
    </w:p>
    <w:p>
      <w:pPr>
        <w:jc w:val="both"/>
        <w:ind w:right="20"/>
        <w:spacing w:after="0" w:line="210" w:lineRule="auto"/>
        <w:rPr>
          <w:sz w:val="20"/>
          <w:szCs w:val="20"/>
          <w:color w:val="auto"/>
        </w:rPr>
      </w:pPr>
      <w:r>
        <w:rPr>
          <w:rFonts w:ascii="Times New Roman" w:cs="Times New Roman" w:eastAsia="Times New Roman" w:hAnsi="Times New Roman"/>
          <w:sz w:val="16"/>
          <w:szCs w:val="16"/>
          <w:color w:val="auto"/>
        </w:rPr>
        <w:t>day prior to such special meeting and not later than the close of business on the later of (i)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prior to such meeting or (ii) the tenth day following the day on which the Corporation first makes a public announcement of the date of the special meeting at which directors are to be elected. The stockholder shall also update and supplement such information as required under Section 3.2(c).</w:t>
      </w:r>
    </w:p>
    <w:p>
      <w:pPr>
        <w:sectPr>
          <w:pgSz w:w="11900" w:h="16840" w:orient="portrait"/>
          <w:cols w:equalWidth="0" w:num="1">
            <w:col w:w="10580"/>
          </w:cols>
          <w:pgMar w:left="660" w:top="557" w:right="660" w:bottom="271" w:gutter="0" w:footer="0" w:header="0"/>
        </w:sectPr>
      </w:pPr>
    </w:p>
    <w:bookmarkStart w:id="30" w:name="page31"/>
    <w:bookmarkEnd w:id="30"/>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In no event shall an adjournment or a postponement (or the public announcement thereof) of a special meeting for which notice has been given, or for which a public announcement of the date of the meeting has been made by the Corporation, commence a new time period (or extend any time period) for the giving of a stockholder’s notice as described above.</w:t>
      </w:r>
    </w:p>
    <w:p>
      <w:pPr>
        <w:spacing w:after="0" w:line="152" w:lineRule="exact"/>
        <w:rPr>
          <w:sz w:val="20"/>
          <w:szCs w:val="20"/>
          <w:color w:val="auto"/>
        </w:rPr>
      </w:pPr>
    </w:p>
    <w:p>
      <w:pPr>
        <w:jc w:val="both"/>
        <w:ind w:right="20" w:firstLine="6"/>
        <w:spacing w:after="0" w:line="238" w:lineRule="auto"/>
        <w:tabs>
          <w:tab w:leader="none" w:pos="228"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person shall not be eligible for election or re-election as a director at the special meeting unless the person is nominated either in accordance with clause (i) or clause (ii) of Section 3.3(c). Except as otherwise required by applicable law, and subject to the supervision, direction and control of the Board of Directors, the chairperson of the meeting shall have the power and duty to determine whether a nomination was made in accordance with the procedures and requirements set forth in the Bylaws and, if any proposed nomination is not in compliance with the Bylaws (including, without limitation, compliance with Rule 14a-19 under the 1934 Act), or if the Proponent does not act in accordance with the representations required in Section 3.2, to declare that such nomination shall not be presented for stockholder action at the meeting and shall be disregarded (and such nominee disqualified from standing for election or re-election), notwithstanding that such nomination is set forth in (as applicable) the Corporation’s proxy statement, notice of meeting or other proxy materials and notwithstanding that proxies or votes in respect of such nomination may have been solicited or received.</w:t>
      </w:r>
    </w:p>
    <w:p>
      <w:pPr>
        <w:spacing w:after="0" w:line="161" w:lineRule="exact"/>
        <w:rPr>
          <w:sz w:val="20"/>
          <w:szCs w:val="20"/>
          <w:color w:val="auto"/>
        </w:rPr>
      </w:pPr>
    </w:p>
    <w:p>
      <w:pPr>
        <w:jc w:val="both"/>
        <w:ind w:right="20" w:firstLine="576"/>
        <w:spacing w:after="0" w:line="289" w:lineRule="auto"/>
        <w:rPr>
          <w:sz w:val="20"/>
          <w:szCs w:val="20"/>
          <w:color w:val="auto"/>
        </w:rPr>
      </w:pPr>
      <w:r>
        <w:rPr>
          <w:rFonts w:ascii="Times New Roman" w:cs="Times New Roman" w:eastAsia="Times New Roman" w:hAnsi="Times New Roman"/>
          <w:sz w:val="14"/>
          <w:szCs w:val="14"/>
          <w:color w:val="auto"/>
        </w:rPr>
        <w:t>Notwithstanding the foregoing provisions of this Section 3.3, unless otherwise required by applicable law, if the stockholder (or a qualified representative of the stockholder) does not appear at the special meeting of stockholders of the Corporation to present a nomination, such nomination shall be disregarded (and such nominee disqualified from standing for election or re-election), notwithstanding that the nomination is set forth (as applicable) in the Corporation’s proxy statement, notice of meeting or other proxy materials and notwithstanding that proxies or votes in respect of such nomination may have been solicited or received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201930</wp:posOffset>
            </wp:positionV>
            <wp:extent cx="670750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firstLine="6"/>
        <w:spacing w:after="0" w:line="239" w:lineRule="auto"/>
        <w:tabs>
          <w:tab w:leader="none" w:pos="204"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Notwithstanding the foregoing provisions of Sections 3.2 and 3.3, a stockholder must also comply with all applicable requirements of the 1934 Act and the rules and regulations promulgated thereunder with respect to the matters set forth in Sections 3.2 and 3.3, and any failure to comply with such requirements shall be deemed a failure to comply with Sections 3.2 or 3.3, as applicable; provided, however, that, to the fullest extent not prohibited by applicable law, any references in the Bylaws to the 1934 Act or the rules and regulations promulgated thereunder are not intended to and shall not limit the requirements applicable to proposals and/or nominations to be considered pursuant to Sections 3.2(a)(iii) and 3.3(c). Nothing in the Bylaws shall be deemed to affect any rights of holders of any class or series of preferred stock to nominate and elect directors pursuant to and to the extent provided in any applicable provision of the Certificate of Incorporation.</w:t>
      </w:r>
    </w:p>
    <w:p>
      <w:pPr>
        <w:spacing w:after="0" w:line="159"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16"/>
          <w:szCs w:val="16"/>
          <w:b w:val="1"/>
          <w:bCs w:val="1"/>
          <w:color w:val="auto"/>
        </w:rPr>
        <w:t xml:space="preserve">Section 3.4 Notice of Meetings. </w:t>
      </w:r>
      <w:r>
        <w:rPr>
          <w:rFonts w:ascii="Times New Roman" w:cs="Times New Roman" w:eastAsia="Times New Roman" w:hAnsi="Times New Roman"/>
          <w:sz w:val="16"/>
          <w:szCs w:val="16"/>
          <w:color w:val="auto"/>
        </w:rPr>
        <w:t>Except as otherwise provided by applicable law, the Certificate of Incorporation or the Bylaws, notice of each meeting of stockholders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given not less than ten nor more than 60 days before the date of the meeting to each stockholder entitled to vote at such meeting as of the record date for determining the stockholders entitled to notice of such meeting. Such notice shall specify the date, time and place, if any,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and, in the case of special meetings, the purpose or purposes of the meeting. Notice shall be deemed given as provided in Section 232 of the DGCL.</w:t>
      </w:r>
    </w:p>
    <w:p>
      <w:pPr>
        <w:spacing w:after="0" w:line="156" w:lineRule="exact"/>
        <w:rPr>
          <w:sz w:val="20"/>
          <w:szCs w:val="20"/>
          <w:color w:val="auto"/>
        </w:rPr>
      </w:pPr>
    </w:p>
    <w:p>
      <w:pPr>
        <w:jc w:val="both"/>
        <w:ind w:right="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Section 3.5 Quorum and Vote Required. </w:t>
      </w:r>
      <w:r>
        <w:rPr>
          <w:rFonts w:ascii="Times New Roman" w:cs="Times New Roman" w:eastAsia="Times New Roman" w:hAnsi="Times New Roman"/>
          <w:sz w:val="14"/>
          <w:szCs w:val="14"/>
          <w:color w:val="auto"/>
        </w:rPr>
        <w:t>At all meetings of stockholders, except where otherwise required by law or by the Certificate of Incorporation, or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Bylaws, the presence, in person, by remote communication, if applicable, or by proxy, of the holders of a majority of the voting power of the outstanding shares of stock entitled to vote at the meeting shall constitute a quorum for the transaction of business. The stockholders present at a duly called or convened meeting, at which a quorum is present, may continue to transact business until adjournment, notwithstanding the withdrawal of enough stockholders to leave less than a quorum.</w:t>
      </w:r>
    </w:p>
    <w:p>
      <w:pPr>
        <w:spacing w:after="0" w:line="124" w:lineRule="exact"/>
        <w:rPr>
          <w:sz w:val="20"/>
          <w:szCs w:val="20"/>
          <w:color w:val="auto"/>
        </w:rPr>
      </w:pPr>
    </w:p>
    <w:p>
      <w:pPr>
        <w:jc w:val="both"/>
        <w:ind w:right="40" w:firstLine="576"/>
        <w:spacing w:after="0" w:line="238" w:lineRule="auto"/>
        <w:rPr>
          <w:sz w:val="20"/>
          <w:szCs w:val="20"/>
          <w:color w:val="auto"/>
        </w:rPr>
      </w:pPr>
      <w:r>
        <w:rPr>
          <w:rFonts w:ascii="Times New Roman" w:cs="Times New Roman" w:eastAsia="Times New Roman" w:hAnsi="Times New Roman"/>
          <w:sz w:val="16"/>
          <w:szCs w:val="16"/>
          <w:color w:val="auto"/>
        </w:rPr>
        <w:t>Unless a different or minimum vote is provided by law or by applicable stock exchange rules, or by the Certificate of Incorporation or the Bylaws, in which case such different or minimum vote shall be the applicable vote on the matter, in all matters other than the election of directors, the affirmative vote of a majority of the votes cast on such matter, voting affirmatively or negatively (excluding abstentions and broker non-votes) shall be the act of the stockholders. Except as otherwise required by law, the Certificate of Incorporation or the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as required by law or by the Certificate of Incorporation or the Bylaws, the holders of a majority of the voting power of the outstanding shares of such class or classes or series, present in person, by remote communication, if applicable, or represented by proxy, shall constitute a quorum entitled to take action with respect to that vote on that matter.</w:t>
      </w:r>
    </w:p>
    <w:p>
      <w:pPr>
        <w:spacing w:after="0" w:line="161"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Unless a different or minimum vote is provided by law or by the Certificate of Incorporation or the Bylaws or any applicable stock exchange rules, in which case such different or minimum vote shall be the applicable vote on the matter, the affirmative vote of the holders of a majority (or plurality, in the case of the election of directors) of the votes cast on such matter, voting affirmatively or negatively (excluding abstentions and broker non-votes) shall be the act of such class or classes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70750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b w:val="1"/>
          <w:bCs w:val="1"/>
          <w:color w:val="auto"/>
        </w:rPr>
        <w:t xml:space="preserve">Section 3.6 Adjournment and Notice of Adjourned Meetings. </w:t>
      </w:r>
      <w:r>
        <w:rPr>
          <w:rFonts w:ascii="Times New Roman" w:cs="Times New Roman" w:eastAsia="Times New Roman" w:hAnsi="Times New Roman"/>
          <w:sz w:val="16"/>
          <w:szCs w:val="16"/>
          <w:color w:val="auto"/>
        </w:rPr>
        <w:t>Any meeting of stockholders, whether annual or special, may be adjourned from time to time either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chairperson of the meeting or by the stockholders by the affirmative vote of a majority of the votes cast, voting affirmatively or negatively (excluding abstentions and broker non-votes).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or are</w:t>
      </w:r>
    </w:p>
    <w:p>
      <w:pPr>
        <w:spacing w:after="0" w:line="158" w:lineRule="exact"/>
        <w:rPr>
          <w:sz w:val="20"/>
          <w:szCs w:val="20"/>
          <w:color w:val="auto"/>
        </w:rPr>
      </w:pPr>
    </w:p>
    <w:p>
      <w:pPr>
        <w:ind w:left="580" w:right="20" w:firstLine="2"/>
        <w:spacing w:after="0" w:line="259" w:lineRule="auto"/>
        <w:tabs>
          <w:tab w:leader="none" w:pos="7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displayed, during the time scheduled for the meeting, on the same electronic network used to enable stockholders and proxy holders to participate in the meeting by means of remote communication or</w:t>
      </w:r>
    </w:p>
    <w:p>
      <w:pPr>
        <w:spacing w:after="0" w:line="143"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 forth in the notice of meeting given in accordance with Section 3.4.</w:t>
      </w:r>
    </w:p>
    <w:p>
      <w:pPr>
        <w:spacing w:after="0" w:line="176" w:lineRule="exact"/>
        <w:rPr>
          <w:sz w:val="20"/>
          <w:szCs w:val="20"/>
          <w:color w:val="auto"/>
        </w:rPr>
      </w:pPr>
    </w:p>
    <w:p>
      <w:pPr>
        <w:jc w:val="both"/>
        <w:ind w:right="20" w:firstLine="576"/>
        <w:spacing w:after="0" w:line="284" w:lineRule="auto"/>
        <w:rPr>
          <w:sz w:val="20"/>
          <w:szCs w:val="20"/>
          <w:color w:val="auto"/>
        </w:rPr>
      </w:pPr>
      <w:r>
        <w:rPr>
          <w:rFonts w:ascii="Times New Roman" w:cs="Times New Roman" w:eastAsia="Times New Roman" w:hAnsi="Times New Roman"/>
          <w:sz w:val="14"/>
          <w:szCs w:val="14"/>
          <w:color w:val="auto"/>
        </w:rPr>
        <w:t>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126"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6"/>
          <w:szCs w:val="16"/>
          <w:b w:val="1"/>
          <w:bCs w:val="1"/>
          <w:color w:val="auto"/>
        </w:rPr>
        <w:t xml:space="preserve">Section 3.7 Voting Rights. </w:t>
      </w:r>
      <w:r>
        <w:rPr>
          <w:rFonts w:ascii="Times New Roman" w:cs="Times New Roman" w:eastAsia="Times New Roman" w:hAnsi="Times New Roman"/>
          <w:sz w:val="16"/>
          <w:szCs w:val="16"/>
          <w:color w:val="auto"/>
        </w:rPr>
        <w:t>For the purpose of determining those stockholders entitled to vote at any meeting of the stockholders or adjournment thereof, except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provided by applicable law, only persons in whose names shares stand on the stock records of the Corporation on the record date shall be entitled to vote at any meeting of stockholders. Each stockholder entitled to vote at a meeting of stockholders may authorize another person or persons to act for such stockholder by proxy. No proxy shall be voted after three years from its date of creation unless the proxy provides for a longer period. Voting at meetings of stockholders need not be by written ballot. Any stockholder directly or indirectly soliciting proxies from other stockholders must use a proxy card color other than white, which shall be reserved for the exclusive use by the Board.</w:t>
      </w:r>
    </w:p>
    <w:p>
      <w:pPr>
        <w:spacing w:after="0" w:line="1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Section 3.8 List of Stockholders. </w:t>
      </w:r>
      <w:r>
        <w:rPr>
          <w:rFonts w:ascii="Times New Roman" w:cs="Times New Roman" w:eastAsia="Times New Roman" w:hAnsi="Times New Roman"/>
          <w:sz w:val="14"/>
          <w:szCs w:val="14"/>
          <w:color w:val="auto"/>
        </w:rPr>
        <w:t>The corporation shall prepare, no later than the tenth day before each meeting of stockholders, a complete list of the stockholders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entitled to vote at said meeting, arranged in alphabetical order, showing the address of each stockholder and the number of shares registered in the name of each stockholder; provided, however, if the record date for determining the stockholders entitled to vote is less than ten days before the meeting date, the list shall reflect all of</w:t>
      </w:r>
    </w:p>
    <w:p>
      <w:pPr>
        <w:sectPr>
          <w:pgSz w:w="11900" w:h="16840" w:orient="portrait"/>
          <w:cols w:equalWidth="0" w:num="1">
            <w:col w:w="10600"/>
          </w:cols>
          <w:pgMar w:left="660" w:top="557" w:right="640" w:bottom="39" w:gutter="0" w:footer="0" w:header="0"/>
        </w:sectPr>
      </w:pPr>
    </w:p>
    <w:bookmarkStart w:id="31" w:name="page32"/>
    <w:bookmarkEnd w:id="31"/>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stockholders entitled to vote as of the tenth day before the meeting date. Nothing in this Section 3.8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w:t>
      </w:r>
    </w:p>
    <w:p>
      <w:pPr>
        <w:spacing w:after="0" w:line="152" w:lineRule="exact"/>
        <w:rPr>
          <w:sz w:val="20"/>
          <w:szCs w:val="20"/>
          <w:color w:val="auto"/>
        </w:rPr>
      </w:pPr>
    </w:p>
    <w:p>
      <w:pPr>
        <w:ind w:left="800" w:hanging="218"/>
        <w:spacing w:after="0"/>
        <w:tabs>
          <w:tab w:leader="none" w:pos="8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reasonably accessible electronic network, provided that the information required to gain access to such list is provided with the notice of the meeting, or</w:t>
      </w:r>
    </w:p>
    <w:p>
      <w:pPr>
        <w:spacing w:after="0" w:line="199" w:lineRule="exact"/>
        <w:rPr>
          <w:rFonts w:ascii="Times New Roman" w:cs="Times New Roman" w:eastAsia="Times New Roman" w:hAnsi="Times New Roman"/>
          <w:sz w:val="14"/>
          <w:szCs w:val="14"/>
          <w:color w:val="auto"/>
        </w:rPr>
      </w:pPr>
    </w:p>
    <w:p>
      <w:pPr>
        <w:ind w:left="800" w:hanging="218"/>
        <w:spacing w:after="0"/>
        <w:tabs>
          <w:tab w:leader="none" w:pos="8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ordinary business hours, at the principal place of business of the Corporation.</w:t>
      </w:r>
    </w:p>
    <w:p>
      <w:pPr>
        <w:spacing w:after="0" w:line="14" w:lineRule="exact"/>
        <w:rPr>
          <w:sz w:val="20"/>
          <w:szCs w:val="20"/>
          <w:color w:val="auto"/>
        </w:rPr>
      </w:pPr>
    </w:p>
    <w:p>
      <w:pPr>
        <w:ind w:right="40" w:firstLine="576"/>
        <w:spacing w:after="0" w:line="238" w:lineRule="auto"/>
        <w:rPr>
          <w:sz w:val="20"/>
          <w:szCs w:val="20"/>
          <w:color w:val="auto"/>
        </w:rPr>
      </w:pPr>
      <w:r>
        <w:rPr>
          <w:rFonts w:ascii="Times New Roman" w:cs="Times New Roman" w:eastAsia="Times New Roman" w:hAnsi="Times New Roman"/>
          <w:sz w:val="16"/>
          <w:szCs w:val="16"/>
          <w:color w:val="auto"/>
        </w:rPr>
        <w:t>In the event that the Corporation determines to make the list available on an electronic network, the Corporation may take reasonable steps to ensure that such information is available only to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670750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3.9 Remote Communication; Delivery to the Corporation.</w:t>
      </w:r>
    </w:p>
    <w:p>
      <w:pPr>
        <w:spacing w:after="0" w:line="176" w:lineRule="exact"/>
        <w:rPr>
          <w:sz w:val="20"/>
          <w:szCs w:val="20"/>
          <w:color w:val="auto"/>
        </w:rPr>
      </w:pPr>
    </w:p>
    <w:p>
      <w:pPr>
        <w:ind w:right="20" w:firstLine="6"/>
        <w:spacing w:after="0" w:line="262" w:lineRule="auto"/>
        <w:tabs>
          <w:tab w:leader="none" w:pos="224"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If authorized by the Board in its sole discretion, and subject to such guidelines and procedures as the Board may adopt, stockholders and proxyholders not physically present at a stockholder meeting may, by means of remote communication:</w:t>
      </w:r>
    </w:p>
    <w:p>
      <w:pPr>
        <w:spacing w:after="0" w:line="140" w:lineRule="exact"/>
        <w:rPr>
          <w:rFonts w:ascii="Times New Roman" w:cs="Times New Roman" w:eastAsia="Times New Roman" w:hAnsi="Times New Roman"/>
          <w:sz w:val="16"/>
          <w:szCs w:val="16"/>
          <w:b w:val="1"/>
          <w:bCs w:val="1"/>
          <w:color w:val="auto"/>
        </w:rPr>
      </w:pPr>
    </w:p>
    <w:p>
      <w:pPr>
        <w:ind w:left="880" w:hanging="298"/>
        <w:spacing w:after="0"/>
        <w:tabs>
          <w:tab w:leader="none" w:pos="880" w:val="left"/>
        </w:tabs>
        <w:numPr>
          <w:ilvl w:val="1"/>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participate in a meeting of stockholders; and</w:t>
      </w:r>
    </w:p>
    <w:p>
      <w:pPr>
        <w:spacing w:after="0" w:line="176" w:lineRule="exact"/>
        <w:rPr>
          <w:rFonts w:ascii="Times New Roman" w:cs="Times New Roman" w:eastAsia="Times New Roman" w:hAnsi="Times New Roman"/>
          <w:sz w:val="16"/>
          <w:szCs w:val="16"/>
          <w:b w:val="1"/>
          <w:bCs w:val="1"/>
          <w:color w:val="auto"/>
        </w:rPr>
      </w:pPr>
    </w:p>
    <w:p>
      <w:pPr>
        <w:jc w:val="both"/>
        <w:ind w:left="880" w:right="20" w:hanging="298"/>
        <w:spacing w:after="0" w:line="280" w:lineRule="auto"/>
        <w:tabs>
          <w:tab w:leader="none" w:pos="880" w:val="left"/>
        </w:tabs>
        <w:numPr>
          <w:ilvl w:val="1"/>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33" w:lineRule="exact"/>
        <w:rPr>
          <w:rFonts w:ascii="Times New Roman" w:cs="Times New Roman" w:eastAsia="Times New Roman" w:hAnsi="Times New Roman"/>
          <w:sz w:val="14"/>
          <w:szCs w:val="14"/>
          <w:b w:val="1"/>
          <w:bCs w:val="1"/>
          <w:color w:val="auto"/>
        </w:rPr>
      </w:pPr>
    </w:p>
    <w:p>
      <w:pPr>
        <w:jc w:val="both"/>
        <w:ind w:right="20" w:firstLine="6"/>
        <w:spacing w:after="0" w:line="241" w:lineRule="auto"/>
        <w:tabs>
          <w:tab w:leader="none" w:pos="24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Whenever Section 3.2 or 3.3 requires one or more persons (including a record or beneficial owner of capital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3.10 Organization.</w:t>
      </w:r>
    </w:p>
    <w:p>
      <w:pPr>
        <w:spacing w:after="0" w:line="178" w:lineRule="exact"/>
        <w:rPr>
          <w:sz w:val="20"/>
          <w:szCs w:val="20"/>
          <w:color w:val="auto"/>
        </w:rPr>
      </w:pPr>
    </w:p>
    <w:p>
      <w:pPr>
        <w:jc w:val="both"/>
        <w:ind w:right="40" w:firstLine="6"/>
        <w:spacing w:after="0" w:line="239" w:lineRule="auto"/>
        <w:tabs>
          <w:tab w:leader="none" w:pos="228"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At every meeting of stockholders, a person designated by the Board shall act as chairperson of the meeting of stockholders. If no chairperson of the meeting of stockholders is so designated, then the Chairperson of the Board, or if no Chairperson has been appointed, is absent or refuses to act, the Chief Executive Officer, or if no Chief Executive Officer is then serving or the Chief Executive Officer is absent or refuses to act, the President, or, if the President is absent or refuses to act, a chairperson of the meeting chosen by the stockholders by the affirmative vote of a majority of the votes cast, voting affirmatively or negatively (excluding abstentions and broker non-votes), shall act as chairperson of the meeting of stockholders. A person designated by the Board shall act as secretary of the meeting. If no secretary of the meeting is designated, then the Secretary, or, in the Secretary’s absence, an Assistant Secretary or other officer or other person directed to do so by the chairperson of the meeting, shall act as secretary of the meeting.</w:t>
      </w:r>
    </w:p>
    <w:p>
      <w:pPr>
        <w:spacing w:after="0" w:line="157" w:lineRule="exact"/>
        <w:rPr>
          <w:rFonts w:ascii="Times New Roman" w:cs="Times New Roman" w:eastAsia="Times New Roman" w:hAnsi="Times New Roman"/>
          <w:sz w:val="16"/>
          <w:szCs w:val="16"/>
          <w:b w:val="1"/>
          <w:bCs w:val="1"/>
          <w:color w:val="auto"/>
        </w:rPr>
      </w:pPr>
    </w:p>
    <w:p>
      <w:pPr>
        <w:jc w:val="both"/>
        <w:ind w:right="20" w:firstLine="6"/>
        <w:spacing w:after="0" w:line="237" w:lineRule="auto"/>
        <w:tabs>
          <w:tab w:leader="none" w:pos="240"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Board shall be entitled to make such rules or regulations for the conduct of meetings of stockholders as it shall deem necessary, appropriate or convenient. Subject to such rules and regulations of the Board,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or the chairperson of the meeting, meetings of stockholders shall not be required to be held in accordance with rules of parliamentary procedure.</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59" w:lineRule="exact"/>
        <w:rPr>
          <w:rFonts w:ascii="Times New Roman" w:cs="Times New Roman" w:eastAsia="Times New Roman" w:hAnsi="Times New Roman"/>
          <w:sz w:val="16"/>
          <w:szCs w:val="16"/>
          <w:b w:val="1"/>
          <w:bCs w:val="1"/>
          <w:color w:val="auto"/>
        </w:rPr>
      </w:pPr>
    </w:p>
    <w:p>
      <w:pPr>
        <w:jc w:val="both"/>
        <w:ind w:right="40" w:firstLine="6"/>
        <w:spacing w:after="0" w:line="241" w:lineRule="auto"/>
        <w:tabs>
          <w:tab w:leader="none" w:pos="204"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Corporation may and shall, if required by applicable law,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-905510</wp:posOffset>
            </wp:positionV>
            <wp:extent cx="670750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37" w:lineRule="exact"/>
        <w:rPr>
          <w:sz w:val="20"/>
          <w:szCs w:val="20"/>
          <w:color w:val="auto"/>
        </w:rPr>
      </w:pPr>
    </w:p>
    <w:p>
      <w:pPr>
        <w:ind w:left="220" w:hanging="214"/>
        <w:spacing w:after="0"/>
        <w:tabs>
          <w:tab w:leader="none" w:pos="2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ascertain the number of shares outstanding and the voting power of each;</w:t>
      </w:r>
    </w:p>
    <w:p>
      <w:pPr>
        <w:spacing w:after="0" w:line="176" w:lineRule="exact"/>
        <w:rPr>
          <w:rFonts w:ascii="Times New Roman" w:cs="Times New Roman" w:eastAsia="Times New Roman" w:hAnsi="Times New Roman"/>
          <w:sz w:val="16"/>
          <w:szCs w:val="16"/>
          <w:color w:val="auto"/>
        </w:rPr>
      </w:pPr>
    </w:p>
    <w:p>
      <w:pPr>
        <w:ind w:left="220" w:hanging="214"/>
        <w:spacing w:after="0"/>
        <w:tabs>
          <w:tab w:leader="none" w:pos="2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shares represented at a meeting and the validity of proxies and ballots;</w:t>
      </w:r>
    </w:p>
    <w:p>
      <w:pPr>
        <w:spacing w:after="0" w:line="176" w:lineRule="exact"/>
        <w:rPr>
          <w:rFonts w:ascii="Times New Roman" w:cs="Times New Roman" w:eastAsia="Times New Roman" w:hAnsi="Times New Roman"/>
          <w:sz w:val="16"/>
          <w:szCs w:val="16"/>
          <w:color w:val="auto"/>
        </w:rPr>
      </w:pPr>
    </w:p>
    <w:p>
      <w:pPr>
        <w:ind w:left="220" w:hanging="214"/>
        <w:spacing w:after="0"/>
        <w:tabs>
          <w:tab w:leader="none" w:pos="2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 all votes and ballots;</w:t>
      </w:r>
    </w:p>
    <w:p>
      <w:pPr>
        <w:spacing w:after="0" w:line="176" w:lineRule="exact"/>
        <w:rPr>
          <w:rFonts w:ascii="Times New Roman" w:cs="Times New Roman" w:eastAsia="Times New Roman" w:hAnsi="Times New Roman"/>
          <w:sz w:val="16"/>
          <w:szCs w:val="16"/>
          <w:color w:val="auto"/>
        </w:rPr>
      </w:pPr>
    </w:p>
    <w:p>
      <w:pPr>
        <w:ind w:left="220" w:hanging="214"/>
        <w:spacing w:after="0"/>
        <w:tabs>
          <w:tab w:leader="none" w:pos="2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and retain for a reasonable period a record of the disposition of any challenges made to any determination by the inspectors; and</w:t>
      </w:r>
    </w:p>
    <w:p>
      <w:pPr>
        <w:spacing w:after="0" w:line="176" w:lineRule="exact"/>
        <w:rPr>
          <w:rFonts w:ascii="Times New Roman" w:cs="Times New Roman" w:eastAsia="Times New Roman" w:hAnsi="Times New Roman"/>
          <w:sz w:val="16"/>
          <w:szCs w:val="16"/>
          <w:color w:val="auto"/>
        </w:rPr>
      </w:pPr>
    </w:p>
    <w:p>
      <w:pPr>
        <w:ind w:left="220" w:hanging="214"/>
        <w:spacing w:after="0"/>
        <w:tabs>
          <w:tab w:leader="none" w:pos="2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certify their determination of the number of shares represented at the meeting, and their count of all votes and ballots.</w:t>
      </w:r>
    </w:p>
    <w:p>
      <w:pPr>
        <w:spacing w:after="0" w:line="176"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provided in accordance with Sections 211(e) or 212(c)(2) of the DGCL, or any information provided pursuant to Sections 211(a)(2)b.(i) or (iii)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4.</w:t>
      </w:r>
    </w:p>
    <w:p>
      <w:pPr>
        <w:sectPr>
          <w:pgSz w:w="11900" w:h="16840" w:orient="portrait"/>
          <w:cols w:equalWidth="0" w:num="1">
            <w:col w:w="10600"/>
          </w:cols>
          <w:pgMar w:left="660" w:top="557" w:right="640" w:bottom="28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4.1 Number. </w:t>
      </w:r>
      <w:r>
        <w:rPr>
          <w:rFonts w:ascii="Times New Roman" w:cs="Times New Roman" w:eastAsia="Times New Roman" w:hAnsi="Times New Roman"/>
          <w:sz w:val="16"/>
          <w:szCs w:val="16"/>
          <w:color w:val="auto"/>
        </w:rPr>
        <w:t>The authorized number of directors of the Corporation shall be fixed in accordance with the Certificate of Incorporation.</w:t>
      </w:r>
    </w:p>
    <w:p>
      <w:pPr>
        <w:spacing w:after="0" w:line="17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4.2 Powers. </w:t>
      </w:r>
      <w:r>
        <w:rPr>
          <w:rFonts w:ascii="Times New Roman" w:cs="Times New Roman" w:eastAsia="Times New Roman" w:hAnsi="Times New Roman"/>
          <w:sz w:val="16"/>
          <w:szCs w:val="16"/>
          <w:color w:val="auto"/>
        </w:rPr>
        <w:t>The business and affairs of the Corporation shall be managed by or under the direction of the Board, except as may be otherwise provided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Certificate of Incorporation or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670750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4.3 Terms. </w:t>
      </w:r>
      <w:r>
        <w:rPr>
          <w:rFonts w:ascii="Times New Roman" w:cs="Times New Roman" w:eastAsia="Times New Roman" w:hAnsi="Times New Roman"/>
          <w:sz w:val="16"/>
          <w:szCs w:val="16"/>
          <w:color w:val="auto"/>
        </w:rPr>
        <w:t>The terms of directors shall be as set forth in the Certificate of Incorporation.</w:t>
      </w:r>
    </w:p>
    <w:p>
      <w:pPr>
        <w:spacing w:after="0" w:line="17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4.4 Vacancies; Newly Created Directorships. </w:t>
      </w:r>
      <w:r>
        <w:rPr>
          <w:rFonts w:ascii="Times New Roman" w:cs="Times New Roman" w:eastAsia="Times New Roman" w:hAnsi="Times New Roman"/>
          <w:sz w:val="16"/>
          <w:szCs w:val="16"/>
          <w:color w:val="auto"/>
        </w:rPr>
        <w:t>Vacancies and newly created directorships on the Board shall be filled as set forth in the Certificate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Incorporation, except as otherwise required by applicable law.</w:t>
      </w:r>
    </w:p>
    <w:p>
      <w:pPr>
        <w:spacing w:after="0" w:line="1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b w:val="1"/>
          <w:bCs w:val="1"/>
          <w:color w:val="auto"/>
        </w:rPr>
        <w:t xml:space="preserve">Section 4.5 Resignation. </w:t>
      </w:r>
      <w:r>
        <w:rPr>
          <w:rFonts w:ascii="Times New Roman" w:cs="Times New Roman" w:eastAsia="Times New Roman" w:hAnsi="Times New Roman"/>
          <w:sz w:val="16"/>
          <w:szCs w:val="16"/>
          <w:color w:val="auto"/>
        </w:rPr>
        <w:t>Any director may resign at any time by delivering such director’s notice in writing or by electronic transmission to the Board or the Secretary.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resignation shall take effect at the time of delivery of the notice or at any later time specified therein. Acceptance of such resignation shall not be necessary to make it effective.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such director’s successor shall have been duly elected and qualified or until such director’s earlier death, resignation or removal.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4.6 Removal. </w:t>
      </w:r>
      <w:r>
        <w:rPr>
          <w:rFonts w:ascii="Times New Roman" w:cs="Times New Roman" w:eastAsia="Times New Roman" w:hAnsi="Times New Roman"/>
          <w:sz w:val="16"/>
          <w:szCs w:val="16"/>
          <w:color w:val="auto"/>
        </w:rPr>
        <w:t>Directors shall be removed as set forth in the Certificate of Incorporation.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4.7 Meetings.</w:t>
      </w:r>
    </w:p>
    <w:p>
      <w:pPr>
        <w:spacing w:after="0" w:line="176" w:lineRule="exact"/>
        <w:rPr>
          <w:sz w:val="20"/>
          <w:szCs w:val="20"/>
          <w:color w:val="auto"/>
        </w:rPr>
      </w:pPr>
    </w:p>
    <w:p>
      <w:pPr>
        <w:jc w:val="both"/>
        <w:ind w:firstLine="6"/>
        <w:spacing w:after="0" w:line="244" w:lineRule="auto"/>
        <w:tabs>
          <w:tab w:leader="none" w:pos="221"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Regular Meetings. </w:t>
      </w:r>
      <w:r>
        <w:rPr>
          <w:rFonts w:ascii="Times New Roman" w:cs="Times New Roman" w:eastAsia="Times New Roman" w:hAnsi="Times New Roman"/>
          <w:sz w:val="16"/>
          <w:szCs w:val="16"/>
          <w:color w:val="auto"/>
        </w:rPr>
        <w:t>Unless otherwise restricted by the Certificate of Incorporation, regular meetings of the Board may be held at any time or date and at any place,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within or outside of the State of Delaware that has been designated by the Board and publicized among all directors, either orally or in writing, by telephone, including a voice-messaging system or other system designed to record and communicate messages, facsimile or by electronic mail or other electronic means. No further notice shall be required for regular meetings of the Board.</w:t>
      </w:r>
    </w:p>
    <w:p>
      <w:pPr>
        <w:spacing w:after="0" w:line="152" w:lineRule="exact"/>
        <w:rPr>
          <w:rFonts w:ascii="Times New Roman" w:cs="Times New Roman" w:eastAsia="Times New Roman" w:hAnsi="Times New Roman"/>
          <w:sz w:val="16"/>
          <w:szCs w:val="16"/>
          <w:b w:val="1"/>
          <w:bCs w:val="1"/>
          <w:color w:val="auto"/>
        </w:rPr>
      </w:pPr>
    </w:p>
    <w:p>
      <w:pPr>
        <w:ind w:right="20" w:firstLine="6"/>
        <w:spacing w:after="0" w:line="262" w:lineRule="auto"/>
        <w:tabs>
          <w:tab w:leader="none" w:pos="23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Special Meetings. </w:t>
      </w:r>
      <w:r>
        <w:rPr>
          <w:rFonts w:ascii="Times New Roman" w:cs="Times New Roman" w:eastAsia="Times New Roman" w:hAnsi="Times New Roman"/>
          <w:sz w:val="16"/>
          <w:szCs w:val="16"/>
          <w:color w:val="auto"/>
        </w:rPr>
        <w:t>Unless otherwise restricted by the Certificate of Incorporation, special meetings of the Board may be held at any time and place, if any, within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the State of Delaware as designated and called by the Chairperson of the Board, the Chief Executive Officer or by any two directors.</w:t>
      </w:r>
    </w:p>
    <w:p>
      <w:pPr>
        <w:spacing w:after="0" w:line="138" w:lineRule="exact"/>
        <w:rPr>
          <w:rFonts w:ascii="Times New Roman" w:cs="Times New Roman" w:eastAsia="Times New Roman" w:hAnsi="Times New Roman"/>
          <w:sz w:val="16"/>
          <w:szCs w:val="16"/>
          <w:b w:val="1"/>
          <w:bCs w:val="1"/>
          <w:color w:val="auto"/>
        </w:rPr>
      </w:pPr>
    </w:p>
    <w:p>
      <w:pPr>
        <w:jc w:val="both"/>
        <w:ind w:firstLine="6"/>
        <w:spacing w:after="0" w:line="248" w:lineRule="auto"/>
        <w:tabs>
          <w:tab w:leader="none" w:pos="246"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Meetings by Electronic Communications Equipment. </w:t>
      </w:r>
      <w:r>
        <w:rPr>
          <w:rFonts w:ascii="Times New Roman" w:cs="Times New Roman" w:eastAsia="Times New Roman" w:hAnsi="Times New Roman"/>
          <w:sz w:val="16"/>
          <w:szCs w:val="16"/>
          <w:color w:val="auto"/>
        </w:rPr>
        <w:t>Any member of the Board, or of any committee thereof, may participate in a meeting by means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conference telephone or other communications equipment by means of which all persons participating in the meeting can hear each other, and participation in a meeting by such means shall constitute presence in person at such meeting.</w:t>
      </w:r>
    </w:p>
    <w:p>
      <w:pPr>
        <w:spacing w:after="0" w:line="149" w:lineRule="exact"/>
        <w:rPr>
          <w:rFonts w:ascii="Times New Roman" w:cs="Times New Roman" w:eastAsia="Times New Roman" w:hAnsi="Times New Roman"/>
          <w:sz w:val="16"/>
          <w:szCs w:val="16"/>
          <w:b w:val="1"/>
          <w:bCs w:val="1"/>
          <w:color w:val="auto"/>
        </w:rPr>
      </w:pPr>
    </w:p>
    <w:p>
      <w:pPr>
        <w:jc w:val="both"/>
        <w:ind w:right="20" w:firstLine="6"/>
        <w:spacing w:after="0" w:line="290" w:lineRule="auto"/>
        <w:tabs>
          <w:tab w:leader="none" w:pos="239"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 of Special Meetings. </w:t>
      </w:r>
      <w:r>
        <w:rPr>
          <w:rFonts w:ascii="Times New Roman" w:cs="Times New Roman" w:eastAsia="Times New Roman" w:hAnsi="Times New Roman"/>
          <w:sz w:val="14"/>
          <w:szCs w:val="14"/>
          <w:color w:val="auto"/>
        </w:rPr>
        <w:t>Notice of the time and place, if any, of all special meetings of the Board shall be given orally or in writing, by telephone, including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voice messaging system or other system or technology designed to record and communicate messages, or by electronic mail or other means of electronic transmission at least 24 hours before the date and time of the meeting. If notice is sent by U.S. mail, it shall be sent by first class mail, postage prepaid, at least three days before the date of the meeting. Neither the business to be transacted at, nor the purpose of, any special meeting of the Board need be specified in any such notice.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4.8 Quorum and Voting.</w:t>
      </w:r>
    </w:p>
    <w:p>
      <w:pPr>
        <w:spacing w:after="0" w:line="178" w:lineRule="exact"/>
        <w:rPr>
          <w:sz w:val="20"/>
          <w:szCs w:val="20"/>
          <w:color w:val="auto"/>
        </w:rPr>
      </w:pPr>
    </w:p>
    <w:p>
      <w:pPr>
        <w:jc w:val="both"/>
        <w:ind w:firstLine="6"/>
        <w:spacing w:after="0" w:line="247" w:lineRule="auto"/>
        <w:tabs>
          <w:tab w:leader="none" w:pos="228"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Except as otherwise required by the DGCL, the Certificate of Incorporation or the Bylaws, a quorum of the Board shall consist of a majority of the authorized number of directors fixed from time to time by the Board in accordance with the Certificate of Incorporation; provided, however, at any meeting whether a quorum be present or otherwise, a majority of the directors present may adjourn the meeting to another time, without notice other than by announcement at the meeting.</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48" w:lineRule="exact"/>
        <w:rPr>
          <w:rFonts w:ascii="Times New Roman" w:cs="Times New Roman" w:eastAsia="Times New Roman" w:hAnsi="Times New Roman"/>
          <w:sz w:val="16"/>
          <w:szCs w:val="16"/>
          <w:b w:val="1"/>
          <w:bCs w:val="1"/>
          <w:color w:val="auto"/>
        </w:rPr>
      </w:pPr>
    </w:p>
    <w:p>
      <w:pPr>
        <w:ind w:right="20" w:firstLine="6"/>
        <w:spacing w:after="0" w:line="259" w:lineRule="auto"/>
        <w:tabs>
          <w:tab w:leader="none" w:pos="24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At each meeting of the Board at which a quorum is present, all questions and business shall be determined by the affirmative vote of a majority of the directors present, unless a different vote be required by applicable law, the Certificate of Incorporation or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-570865</wp:posOffset>
            </wp:positionV>
            <wp:extent cx="670750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2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Section 4.9 Action without Meeting. </w:t>
      </w:r>
      <w:r>
        <w:rPr>
          <w:rFonts w:ascii="Times New Roman" w:cs="Times New Roman" w:eastAsia="Times New Roman" w:hAnsi="Times New Roman"/>
          <w:sz w:val="14"/>
          <w:szCs w:val="14"/>
          <w:color w:val="auto"/>
        </w:rPr>
        <w:t>Unless otherwise restricted by the Certificate of Incorporation or the Bylaws, any action required or permitted to be taken at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of the Board or of any committee thereof may be taken without a meeting, if all members of the Board or committee, as the case may be, consent thereto in writing or by electronic transmission. After an action is taken, such consent or consents shall be filed with the minutes of proceedings of the Board or committee. Such filing shall be in paper form if the minutes are maintained in paper form and shall be in electronic form if the minutes are maintained in electronic form.</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Section 4.10 Fees and Compensation</w:t>
      </w:r>
      <w:r>
        <w:rPr>
          <w:rFonts w:ascii="Times New Roman" w:cs="Times New Roman" w:eastAsia="Times New Roman" w:hAnsi="Times New Roman"/>
          <w:sz w:val="16"/>
          <w:szCs w:val="16"/>
          <w:color w:val="auto"/>
        </w:rPr>
        <w:t>. Unless otherwise restricted by the Certificate of Incorporation or the Bylaws, the Board, or any duly authorized committee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shall have the authority to fix the compensation, including fees and reimbursement of expenses, of directors for services to the Corporation in any capacity.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4.11 Committees.</w:t>
      </w:r>
    </w:p>
    <w:p>
      <w:pPr>
        <w:spacing w:after="0" w:line="176" w:lineRule="exact"/>
        <w:rPr>
          <w:sz w:val="20"/>
          <w:szCs w:val="20"/>
          <w:color w:val="auto"/>
        </w:rPr>
      </w:pPr>
    </w:p>
    <w:p>
      <w:pPr>
        <w:jc w:val="both"/>
        <w:ind w:firstLine="6"/>
        <w:spacing w:after="0"/>
        <w:tabs>
          <w:tab w:leader="none" w:pos="221"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Committees. </w:t>
      </w:r>
      <w:r>
        <w:rPr>
          <w:rFonts w:ascii="Times New Roman" w:cs="Times New Roman" w:eastAsia="Times New Roman" w:hAnsi="Times New Roman"/>
          <w:sz w:val="16"/>
          <w:szCs w:val="16"/>
          <w:color w:val="auto"/>
        </w:rPr>
        <w:t>The Board may, from time to time, appoint such committees as may be permitted by applicable law. Such committees appointed by the Board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consist of one or more members of the Board and to the extent permitted by applicable law and provided in the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56" w:lineRule="exact"/>
        <w:rPr>
          <w:rFonts w:ascii="Times New Roman" w:cs="Times New Roman" w:eastAsia="Times New Roman" w:hAnsi="Times New Roman"/>
          <w:sz w:val="16"/>
          <w:szCs w:val="16"/>
          <w:b w:val="1"/>
          <w:bCs w:val="1"/>
          <w:color w:val="auto"/>
        </w:rPr>
      </w:pPr>
    </w:p>
    <w:p>
      <w:pPr>
        <w:jc w:val="both"/>
        <w:ind w:firstLine="6"/>
        <w:spacing w:after="0" w:line="238" w:lineRule="auto"/>
        <w:tabs>
          <w:tab w:leader="none" w:pos="23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Term. </w:t>
      </w:r>
      <w:r>
        <w:rPr>
          <w:rFonts w:ascii="Times New Roman" w:cs="Times New Roman" w:eastAsia="Times New Roman" w:hAnsi="Times New Roman"/>
          <w:sz w:val="16"/>
          <w:szCs w:val="16"/>
          <w:color w:val="auto"/>
        </w:rPr>
        <w:t>The Board, subject to any requirements of any outstanding series of preferred stock and the provisions of subsection (a) of this Section 4.11, may at any time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increase or decrease the number of members of a committee or terminate the existence of a committee. The membership of a committee member shall terminate on the date of such committee member’s death, such person’s resignation from the committee or on such date that the committee member, for any reason, is no longer a member of the Board. The Board may at any time for any reason remove any individual committee member and the Board may fill any committee vacancy created by death, resignation, removal or increase in the number of members of the committee. The Board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w:t>
      </w:r>
    </w:p>
    <w:p>
      <w:pPr>
        <w:spacing w:after="0" w:line="160" w:lineRule="exact"/>
        <w:rPr>
          <w:rFonts w:ascii="Times New Roman" w:cs="Times New Roman" w:eastAsia="Times New Roman" w:hAnsi="Times New Roman"/>
          <w:sz w:val="16"/>
          <w:szCs w:val="16"/>
          <w:b w:val="1"/>
          <w:bCs w:val="1"/>
          <w:color w:val="auto"/>
        </w:rPr>
      </w:pPr>
    </w:p>
    <w:p>
      <w:pPr>
        <w:jc w:val="both"/>
        <w:ind w:right="20" w:firstLine="6"/>
        <w:spacing w:after="0" w:line="290" w:lineRule="auto"/>
        <w:tabs>
          <w:tab w:leader="none" w:pos="224"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Meetings. </w:t>
      </w:r>
      <w:r>
        <w:rPr>
          <w:rFonts w:ascii="Times New Roman" w:cs="Times New Roman" w:eastAsia="Times New Roman" w:hAnsi="Times New Roman"/>
          <w:sz w:val="14"/>
          <w:szCs w:val="14"/>
          <w:color w:val="auto"/>
        </w:rPr>
        <w:t>Unless the Board shall otherwise provide, regular meetings of any committee appointed pursuant to this Section 4.11 shall be held at such times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places, if any, as are determined by the Board,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w:t>
      </w:r>
    </w:p>
    <w:p>
      <w:pPr>
        <w:sectPr>
          <w:pgSz w:w="11900" w:h="16840" w:orient="portrait"/>
          <w:cols w:equalWidth="0" w:num="1">
            <w:col w:w="10580"/>
          </w:cols>
          <w:pgMar w:left="660" w:top="555" w:right="660" w:bottom="46" w:gutter="0" w:footer="0" w:header="0"/>
        </w:sectPr>
      </w:pPr>
    </w:p>
    <w:bookmarkStart w:id="33" w:name="page34"/>
    <w:bookmarkEnd w:id="33"/>
    <w:p>
      <w:pPr>
        <w:jc w:val="both"/>
        <w:spacing w:after="0" w:line="289" w:lineRule="auto"/>
        <w:rPr>
          <w:sz w:val="20"/>
          <w:szCs w:val="20"/>
          <w:color w:val="auto"/>
        </w:rPr>
      </w:pPr>
      <w:r>
        <w:rPr>
          <w:rFonts w:ascii="Times New Roman" w:cs="Times New Roman" w:eastAsia="Times New Roman" w:hAnsi="Times New Roman"/>
          <w:sz w:val="14"/>
          <w:szCs w:val="14"/>
          <w:color w:val="auto"/>
        </w:rPr>
        <w:t>of such special meeting given in the manner provided for the giving of notice to members of the Board of the time and place, if any, of special meetings of the Board. Unless otherwise provided by the Board in the resolutions authorizing the creation of the committee, the presence of at least a majority of the members of the committee then serving shall be necessary to constitute a quorum unless the committee shall consist of one or two members, in which event one member shall constitute a quorum; and all matters shall be determined by the affirmative vote of a majority of the members present at a meeting of the committee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201930</wp:posOffset>
            </wp:positionV>
            <wp:extent cx="670750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Section 4.12 Duties of Chairperson of the Board. </w:t>
      </w:r>
      <w:r>
        <w:rPr>
          <w:rFonts w:ascii="Times New Roman" w:cs="Times New Roman" w:eastAsia="Times New Roman" w:hAnsi="Times New Roman"/>
          <w:sz w:val="16"/>
          <w:szCs w:val="16"/>
          <w:color w:val="auto"/>
        </w:rPr>
        <w:t>The Board shall elect from its ranks a Chairperson of the Board. The Chairperson of the Board shall perform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duties customarily associated with the office and shall also perform such other duties and have such other powers, as the Board shall designate from time to time. The Chairperson of the Board, when present, shall preside at all meetings of the Board in accordance with Section 4.13 of the Bylaws.</w:t>
      </w:r>
    </w:p>
    <w:p>
      <w:pPr>
        <w:spacing w:after="0" w:line="15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Section 4.13 Organization. </w:t>
      </w:r>
      <w:r>
        <w:rPr>
          <w:rFonts w:ascii="Times New Roman" w:cs="Times New Roman" w:eastAsia="Times New Roman" w:hAnsi="Times New Roman"/>
          <w:sz w:val="16"/>
          <w:szCs w:val="16"/>
          <w:color w:val="auto"/>
        </w:rPr>
        <w:t>At every meeting of the directors, the Chairperson of the Board shall act as chairperson of the meeting. If a Chairperson has not been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appointed or is absent, the Chief Executive Officer (if a director), or, if no Chief Executive Officer is then serving or the Chief Executive Officer is absent, the President (if a director), or, in the absence of any such person, a chairperson of the meeting chosen by a majority of the directors present, shall preside over the meeting. The Secretary, or in the Secretary’s absence, any Assistant Secretary or other officer, director or other person directed to do so by the person presiding over the meeting, shall act as secretary of the meeting.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5.</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OFFICERS</w:t>
      </w:r>
    </w:p>
    <w:p>
      <w:pPr>
        <w:spacing w:after="0" w:line="17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Section 5.1 Officers Designated. </w:t>
      </w:r>
      <w:r>
        <w:rPr>
          <w:rFonts w:ascii="Times New Roman" w:cs="Times New Roman" w:eastAsia="Times New Roman" w:hAnsi="Times New Roman"/>
          <w:sz w:val="16"/>
          <w:szCs w:val="16"/>
          <w:color w:val="auto"/>
        </w:rPr>
        <w:t>The officers of the Corporation shall include, if and when designated by the Board, the Chief Executive Officer, the President,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Secretary and the Treasurer. The Board may also appoint one or more Assistant Secretaries and Assistant Treasurers and such other officers and agents with such powers and duties as it shall deem appropriate or necessary. The Board may assign such additional titles to one or more of the officers as it shall deem appropriate. Any one person may hold any number of offices of the Corporation at any one time unless specifically prohibited therefrom by applicable law, the Certificate of Incorporation or the Bylaws.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5.2 Tenure and Duties of Officers.</w:t>
      </w:r>
    </w:p>
    <w:p>
      <w:pPr>
        <w:spacing w:after="0" w:line="176" w:lineRule="exact"/>
        <w:rPr>
          <w:sz w:val="20"/>
          <w:szCs w:val="20"/>
          <w:color w:val="auto"/>
        </w:rPr>
      </w:pPr>
    </w:p>
    <w:p>
      <w:pPr>
        <w:jc w:val="both"/>
        <w:ind w:firstLine="6"/>
        <w:spacing w:after="0" w:line="248" w:lineRule="auto"/>
        <w:tabs>
          <w:tab w:leader="none" w:pos="233"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All officers shall hold office at the pleasure of the Board and until their successors shall have been duly elected and qualified, subject to such officer’s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earlier death, resignation or removal. If the office of any officer becomes vacant for any reason, the vacancy may be filled by the Board or by a committee thereof to which the Board has delegated such responsibility.</w:t>
      </w:r>
    </w:p>
    <w:p>
      <w:pPr>
        <w:spacing w:after="0" w:line="149" w:lineRule="exact"/>
        <w:rPr>
          <w:rFonts w:ascii="Times New Roman" w:cs="Times New Roman" w:eastAsia="Times New Roman" w:hAnsi="Times New Roman"/>
          <w:sz w:val="16"/>
          <w:szCs w:val="16"/>
          <w:b w:val="1"/>
          <w:bCs w:val="1"/>
          <w:color w:val="auto"/>
        </w:rPr>
      </w:pPr>
    </w:p>
    <w:p>
      <w:pPr>
        <w:jc w:val="both"/>
        <w:ind w:firstLine="6"/>
        <w:spacing w:after="0" w:line="281" w:lineRule="auto"/>
        <w:tabs>
          <w:tab w:leader="none" w:pos="232" w:val="left"/>
        </w:tabs>
        <w:numPr>
          <w:ilvl w:val="0"/>
          <w:numId w:val="1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Duties of Chief Executive Officer. </w:t>
      </w:r>
      <w:r>
        <w:rPr>
          <w:rFonts w:ascii="Times New Roman" w:cs="Times New Roman" w:eastAsia="Times New Roman" w:hAnsi="Times New Roman"/>
          <w:sz w:val="14"/>
          <w:szCs w:val="14"/>
          <w:color w:val="auto"/>
        </w:rPr>
        <w:t>The Chief Executive Officer shall preside, if a director, at all meetings of the Board, unless a Chairperson of the Board has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appointed and is present thereat. The Chief Executive Officer shall be the chief executive officer of the Corporation and, subject to the supervision, direction and control of the Board,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 Bylaws to the President shall be deemed references to the Chief Executive Officer. The Chief Executive Officer shall perform other duties customarily associated with the office and shall also perform such other duties and have such other powers, as the Board shall designate from time to time.</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25" w:lineRule="exact"/>
        <w:rPr>
          <w:rFonts w:ascii="Times New Roman" w:cs="Times New Roman" w:eastAsia="Times New Roman" w:hAnsi="Times New Roman"/>
          <w:sz w:val="14"/>
          <w:szCs w:val="14"/>
          <w:b w:val="1"/>
          <w:bCs w:val="1"/>
          <w:color w:val="auto"/>
        </w:rPr>
      </w:pPr>
    </w:p>
    <w:p>
      <w:pPr>
        <w:jc w:val="both"/>
        <w:ind w:firstLine="6"/>
        <w:spacing w:after="0" w:line="239" w:lineRule="auto"/>
        <w:tabs>
          <w:tab w:leader="none" w:pos="22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Duties of President. </w:t>
      </w:r>
      <w:r>
        <w:rPr>
          <w:rFonts w:ascii="Times New Roman" w:cs="Times New Roman" w:eastAsia="Times New Roman" w:hAnsi="Times New Roman"/>
          <w:sz w:val="16"/>
          <w:szCs w:val="16"/>
          <w:color w:val="auto"/>
        </w:rPr>
        <w:t>The President shall preside, if a director, at all meetings of the Board, unless a Chairperson of the Board or Chief Executive Officer has been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appointed and is present and willing to act. Unless another officer has been appointed Chief Executive Officer of the Corporation, the President shall be the chief executive officer of the Corporation and, subject to the supervision, direction and control of the Board, shall have the general powers and duties of supervision, direction, management and control of the business and officers of the Corporation as are customarily associated with the position of chief executive officer. The President shall perform other duties customarily associated with the office and shall also perform such other duties and have such other powers, as the Board (or the Chief Executive Officer, if the Chief Executive Officer and President are not the same person and the Board has delegated the designation of the President’s duties to the Chief Executive Officer) shall designate from time to time.</w:t>
      </w:r>
    </w:p>
    <w:p>
      <w:pPr>
        <w:spacing w:after="0" w:line="157" w:lineRule="exact"/>
        <w:rPr>
          <w:rFonts w:ascii="Times New Roman" w:cs="Times New Roman" w:eastAsia="Times New Roman" w:hAnsi="Times New Roman"/>
          <w:sz w:val="16"/>
          <w:szCs w:val="16"/>
          <w:b w:val="1"/>
          <w:bCs w:val="1"/>
          <w:color w:val="auto"/>
        </w:rPr>
      </w:pPr>
    </w:p>
    <w:p>
      <w:pPr>
        <w:jc w:val="both"/>
        <w:ind w:firstLine="6"/>
        <w:spacing w:after="0" w:line="277" w:lineRule="auto"/>
        <w:tabs>
          <w:tab w:leader="none" w:pos="230" w:val="left"/>
        </w:tabs>
        <w:numPr>
          <w:ilvl w:val="0"/>
          <w:numId w:val="1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Duties of Secretary and Assistant Secretary. </w:t>
      </w:r>
      <w:r>
        <w:rPr>
          <w:rFonts w:ascii="Times New Roman" w:cs="Times New Roman" w:eastAsia="Times New Roman" w:hAnsi="Times New Roman"/>
          <w:sz w:val="14"/>
          <w:szCs w:val="14"/>
          <w:color w:val="auto"/>
        </w:rPr>
        <w:t>The Secretary shall attend all meetings of the stockholders and of the Board and shall record, or cause to be recorded,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 acts, votes and proceedings thereof in the minute books of the Corporation. The Secretary shall give, or cause to be given, notice in conformity with the Bylaws of all meetings of the stockholders and of all meetings of the Board and any committee thereof requiring notice. The Secretary shall perform all other duties provided for in the Bylaws and other duties customarily associated with the office and shall also perform such other duties and have such other powers, as the Board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or the Chief Executive Officer, or if no Chief Executive Officer is then serving, the President shall designate from time to time.</w:t>
      </w:r>
    </w:p>
    <w:p>
      <w:pPr>
        <w:spacing w:after="0" w:line="134" w:lineRule="exact"/>
        <w:rPr>
          <w:rFonts w:ascii="Times New Roman" w:cs="Times New Roman" w:eastAsia="Times New Roman" w:hAnsi="Times New Roman"/>
          <w:sz w:val="14"/>
          <w:szCs w:val="14"/>
          <w:b w:val="1"/>
          <w:bCs w:val="1"/>
          <w:color w:val="auto"/>
        </w:rPr>
      </w:pPr>
    </w:p>
    <w:p>
      <w:pPr>
        <w:jc w:val="both"/>
        <w:ind w:firstLine="6"/>
        <w:spacing w:after="0" w:line="238" w:lineRule="auto"/>
        <w:tabs>
          <w:tab w:leader="none" w:pos="228"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Duties of Treasurer and Assistant Treasurer. </w:t>
      </w:r>
      <w:r>
        <w:rPr>
          <w:rFonts w:ascii="Times New Roman" w:cs="Times New Roman" w:eastAsia="Times New Roman" w:hAnsi="Times New Roman"/>
          <w:sz w:val="16"/>
          <w:szCs w:val="16"/>
          <w:color w:val="auto"/>
        </w:rPr>
        <w:t>The Treasurer shall keep or cause to be kept the books of account of the Corporation in a thorough and proper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manner and shall render statements of the financial affairs of the Corporation in such form and as often as required by the Board, the Chief Executive Officer or the President. The Treasurer, subject to the order of the Board, shall have the custody of all funds and securities of the Corporation. The Treasurer shall perform other duties customarily associated with the office and shall also perform such other duties and have such other powers as the Board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or the Chief Executive Officer, or if no Chief Executive Officer is then serving, the President shall designate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-3188335</wp:posOffset>
            </wp:positionV>
            <wp:extent cx="670750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5.3 Delegation of Authority. </w:t>
      </w:r>
      <w:r>
        <w:rPr>
          <w:rFonts w:ascii="Times New Roman" w:cs="Times New Roman" w:eastAsia="Times New Roman" w:hAnsi="Times New Roman"/>
          <w:sz w:val="16"/>
          <w:szCs w:val="16"/>
          <w:color w:val="auto"/>
        </w:rPr>
        <w:t>The Board may from time to time delegate the powers or duties of any officer to any other officer or agent, notwithstanding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provision hereof.</w:t>
      </w:r>
    </w:p>
    <w:p>
      <w:pPr>
        <w:spacing w:after="0" w:line="13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Section 5.4 Resignations. </w:t>
      </w:r>
      <w:r>
        <w:rPr>
          <w:rFonts w:ascii="Times New Roman" w:cs="Times New Roman" w:eastAsia="Times New Roman" w:hAnsi="Times New Roman"/>
          <w:sz w:val="16"/>
          <w:szCs w:val="16"/>
          <w:color w:val="auto"/>
        </w:rPr>
        <w:t>Any officer may resign at any time by giving notice in writing or by electronic transmission to the Board, the Chairperson of the Board,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70750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557" w:right="66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334" w:lineRule="auto"/>
        <w:rPr>
          <w:sz w:val="20"/>
          <w:szCs w:val="20"/>
          <w:color w:val="auto"/>
        </w:rPr>
      </w:pPr>
      <w:r>
        <w:rPr>
          <w:rFonts w:ascii="Times New Roman" w:cs="Times New Roman" w:eastAsia="Times New Roman" w:hAnsi="Times New Roman"/>
          <w:sz w:val="14"/>
          <w:szCs w:val="14"/>
          <w:b w:val="1"/>
          <w:bCs w:val="1"/>
          <w:color w:val="auto"/>
        </w:rPr>
        <w:t xml:space="preserve">Section 5.5 Contracts and Other Documents. </w:t>
      </w:r>
      <w:r>
        <w:rPr>
          <w:rFonts w:ascii="Times New Roman" w:cs="Times New Roman" w:eastAsia="Times New Roman" w:hAnsi="Times New Roman"/>
          <w:sz w:val="14"/>
          <w:szCs w:val="14"/>
          <w:color w:val="auto"/>
        </w:rPr>
        <w:t>The Chief Executive Officer, the Secretary and any Executive or Senior Vice President, or such other officer or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may from time to time be authorized by the Board or any other committee given specific authority in the premises by the Board of Directors during the intervals</w:t>
      </w:r>
    </w:p>
    <w:p>
      <w:pPr>
        <w:sectPr>
          <w:pgSz w:w="11900" w:h="16840" w:orient="portrait"/>
          <w:cols w:equalWidth="0" w:num="1">
            <w:col w:w="10580"/>
          </w:cols>
          <w:pgMar w:left="660" w:top="557" w:right="660" w:bottom="40" w:gutter="0" w:footer="0" w:header="0"/>
          <w:type w:val="continuous"/>
        </w:sectPr>
      </w:pPr>
    </w:p>
    <w:bookmarkStart w:id="34" w:name="page35"/>
    <w:bookmarkEnd w:id="34"/>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between the meetings of the Board, shall have power to sign and execute on behalf of the Corporation deeds, conveyances and contracts, and any and all other documents requiring execution by the Corporation.</w:t>
      </w:r>
    </w:p>
    <w:p>
      <w:pPr>
        <w:spacing w:after="0" w:line="14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5.6 Removal. </w:t>
      </w:r>
      <w:r>
        <w:rPr>
          <w:rFonts w:ascii="Times New Roman" w:cs="Times New Roman" w:eastAsia="Times New Roman" w:hAnsi="Times New Roman"/>
          <w:sz w:val="16"/>
          <w:szCs w:val="16"/>
          <w:color w:val="auto"/>
        </w:rPr>
        <w:t>Any officer may be removed from office at any time, either with or without cause, by the Board, or by any duly authorized committee thereof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officer upon whom such power of removal may have been conferred by the Board.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EXECUTION OF CORPORATE INSTRUMENTS AND VOTING OF SECURITIES OWNED BY THE CORPORATION</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Section 6.1 Execution of Corporate Instruments. </w:t>
      </w:r>
      <w:r>
        <w:rPr>
          <w:rFonts w:ascii="Times New Roman" w:cs="Times New Roman" w:eastAsia="Times New Roman" w:hAnsi="Times New Roman"/>
          <w:sz w:val="16"/>
          <w:szCs w:val="16"/>
          <w:color w:val="auto"/>
        </w:rPr>
        <w:t>The Board may, in its discretion, determine the method and designate the signatory officer or officers, or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 Bylaws, and such execution or signature shall be binding upon the Corporation.</w:t>
      </w:r>
    </w:p>
    <w:p>
      <w:pPr>
        <w:spacing w:after="0" w:line="154" w:lineRule="exact"/>
        <w:rPr>
          <w:sz w:val="20"/>
          <w:szCs w:val="20"/>
          <w:color w:val="auto"/>
        </w:rPr>
      </w:pPr>
    </w:p>
    <w:p>
      <w:pPr>
        <w:ind w:firstLine="6"/>
        <w:spacing w:after="0" w:line="259" w:lineRule="auto"/>
        <w:tabs>
          <w:tab w:leader="none" w:pos="216"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All checks and drafts drawn on banks or other depositaries on funds to the credit of the Corporation or in special accounts of the Corporation shall be signed by such person or persons as the Board shall from time to time authorize so to do.</w:t>
      </w:r>
    </w:p>
    <w:p>
      <w:pPr>
        <w:spacing w:after="0" w:line="143" w:lineRule="exact"/>
        <w:rPr>
          <w:rFonts w:ascii="Times New Roman" w:cs="Times New Roman" w:eastAsia="Times New Roman" w:hAnsi="Times New Roman"/>
          <w:sz w:val="16"/>
          <w:szCs w:val="16"/>
          <w:b w:val="1"/>
          <w:bCs w:val="1"/>
          <w:color w:val="auto"/>
        </w:rPr>
      </w:pPr>
    </w:p>
    <w:p>
      <w:pPr>
        <w:jc w:val="both"/>
        <w:ind w:right="20" w:firstLine="6"/>
        <w:spacing w:after="0" w:line="247" w:lineRule="auto"/>
        <w:tabs>
          <w:tab w:leader="none" w:pos="228"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Unless otherwise specifically determined by the Board or otherwise required by applicable law, the execution, signing or endorsement of any corporate instrument or document by or on behalf of the Corporation may be effected manually, by facsimile or (to the extent not prohibited by applicable law and subject to such policies and procedures as the Corporation may have in effect from time to time) by electronic signature.</w:t>
      </w:r>
    </w:p>
    <w:p>
      <w:pPr>
        <w:spacing w:after="0" w:line="152" w:lineRule="exact"/>
        <w:rPr>
          <w:rFonts w:ascii="Times New Roman" w:cs="Times New Roman" w:eastAsia="Times New Roman" w:hAnsi="Times New Roman"/>
          <w:sz w:val="16"/>
          <w:szCs w:val="16"/>
          <w:b w:val="1"/>
          <w:bCs w:val="1"/>
          <w:color w:val="auto"/>
        </w:rPr>
      </w:pPr>
    </w:p>
    <w:p>
      <w:pPr>
        <w:ind w:right="40" w:firstLine="6"/>
        <w:spacing w:after="0" w:line="259" w:lineRule="auto"/>
        <w:tabs>
          <w:tab w:leader="none" w:pos="216"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Unless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1"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Section 6.2 Voting of Securities Owned by the Corporation. </w:t>
      </w:r>
      <w:r>
        <w:rPr>
          <w:rFonts w:ascii="Times New Roman" w:cs="Times New Roman" w:eastAsia="Times New Roman" w:hAnsi="Times New Roman"/>
          <w:sz w:val="14"/>
          <w:szCs w:val="14"/>
          <w:color w:val="auto"/>
        </w:rPr>
        <w:t>All stock and other securities of or interests in other corporations or entities owned or held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for itself, or for other parties in any capacity, shall be voted, and all proxies and consents with respect thereto shall be executed, by the person authorized so to do by resolution of the Board, or, in the absence of such authorization, by the Chairperson of the Board, the Chief Executive Officer, or the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196850</wp:posOffset>
            </wp:positionV>
            <wp:extent cx="670750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7.</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SHARES OF STOCK</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Section 7.1 Form and Execution of Certificates. </w:t>
      </w:r>
      <w:r>
        <w:rPr>
          <w:rFonts w:ascii="Times New Roman" w:cs="Times New Roman" w:eastAsia="Times New Roman" w:hAnsi="Times New Roman"/>
          <w:sz w:val="16"/>
          <w:szCs w:val="16"/>
          <w:color w:val="auto"/>
        </w:rPr>
        <w:t>The shares of the Corporation shall be represented by certificates, or shall be uncertificated if so provided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resolution or resolutions of the Board. Certificates for the shares of stock of the Corporation,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(including, without limitation, the Chairperson of the Board, the Chief Executive Officer, the President, the Treasurer, any Assistant Treasurer, the Secretary and any Assistant Secretary), certifying the number, and the class or series, of shares owned by such holder in the Corporation in certificated form.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b w:val="1"/>
          <w:bCs w:val="1"/>
          <w:color w:val="auto"/>
        </w:rPr>
        <w:t xml:space="preserve">Section 7.2 Lost Certificates. </w:t>
      </w:r>
      <w:r>
        <w:rPr>
          <w:rFonts w:ascii="Times New Roman" w:cs="Times New Roman" w:eastAsia="Times New Roman" w:hAnsi="Times New Roman"/>
          <w:sz w:val="16"/>
          <w:szCs w:val="16"/>
          <w:color w:val="auto"/>
        </w:rPr>
        <w:t>The Corporation may issue a new certificate or certificates or uncertificated shares in place of any certificate or certificates theretofore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give the Corporation a bond (or other adequate security) sufficient to indemnify the Corporation against any claim that may be made against the Corporation with respect to the certificate alleged to have been lost, stolen, or destroyed or the issuance of such new certificate(s) or uncertificated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7.3 Transfers.</w:t>
      </w:r>
    </w:p>
    <w:p>
      <w:pPr>
        <w:spacing w:after="0" w:line="16" w:lineRule="exact"/>
        <w:rPr>
          <w:sz w:val="20"/>
          <w:szCs w:val="20"/>
          <w:color w:val="auto"/>
        </w:rPr>
      </w:pPr>
    </w:p>
    <w:p>
      <w:pPr>
        <w:ind w:firstLine="6"/>
        <w:spacing w:after="0" w:line="238" w:lineRule="auto"/>
        <w:tabs>
          <w:tab w:leader="none" w:pos="216"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57" w:lineRule="exact"/>
        <w:rPr>
          <w:rFonts w:ascii="Times New Roman" w:cs="Times New Roman" w:eastAsia="Times New Roman" w:hAnsi="Times New Roman"/>
          <w:sz w:val="16"/>
          <w:szCs w:val="16"/>
          <w:b w:val="1"/>
          <w:bCs w:val="1"/>
          <w:color w:val="auto"/>
        </w:rPr>
      </w:pPr>
    </w:p>
    <w:p>
      <w:pPr>
        <w:jc w:val="both"/>
        <w:ind w:right="20" w:firstLine="6"/>
        <w:spacing w:after="0" w:line="247" w:lineRule="auto"/>
        <w:tabs>
          <w:tab w:leader="none" w:pos="24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7.4 Fixing Record Dates.</w:t>
      </w:r>
    </w:p>
    <w:p>
      <w:pPr>
        <w:spacing w:after="0" w:line="178" w:lineRule="exact"/>
        <w:rPr>
          <w:sz w:val="20"/>
          <w:szCs w:val="20"/>
          <w:color w:val="auto"/>
        </w:rPr>
      </w:pPr>
    </w:p>
    <w:p>
      <w:pPr>
        <w:jc w:val="both"/>
        <w:ind w:firstLine="6"/>
        <w:spacing w:after="0" w:line="275" w:lineRule="auto"/>
        <w:tabs>
          <w:tab w:leader="none" w:pos="228"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subject to applicable law, not be more than 60 nor less than ten days before the date of such meeting. If the Board so fixes a record date for determining the stockholders entitled to notice of any meeting of stockholders, such date shall also be the record date for determining the stockholders entitled to vote at such meeting, unless the Board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determining the stockholders entitled to vote at the adjourned meeting, and in such case shall also fix as the record date for stockholders entitled to notice of such adjourned meeting the same or an earlier date as that fixed for determining the stockholders entitled to vote in accordance with the provisions of this Section 7.4(a).</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12" w:lineRule="exact"/>
        <w:rPr>
          <w:rFonts w:ascii="Times New Roman" w:cs="Times New Roman" w:eastAsia="Times New Roman" w:hAnsi="Times New Roman"/>
          <w:sz w:val="14"/>
          <w:szCs w:val="14"/>
          <w:b w:val="1"/>
          <w:bCs w:val="1"/>
          <w:color w:val="auto"/>
        </w:rPr>
      </w:pPr>
    </w:p>
    <w:p>
      <w:pPr>
        <w:jc w:val="both"/>
        <w:ind w:firstLine="6"/>
        <w:spacing w:after="0" w:line="241" w:lineRule="auto"/>
        <w:tabs>
          <w:tab w:leader="none" w:pos="240"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-905510</wp:posOffset>
            </wp:positionV>
            <wp:extent cx="670750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3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7.5 Registered Stockholders. </w:t>
      </w:r>
      <w:r>
        <w:rPr>
          <w:rFonts w:ascii="Times New Roman" w:cs="Times New Roman" w:eastAsia="Times New Roman" w:hAnsi="Times New Roman"/>
          <w:sz w:val="16"/>
          <w:szCs w:val="16"/>
          <w:color w:val="auto"/>
        </w:rPr>
        <w:t>The Corporation shall be entitled to recognize the exclusive right of a person registered on its books as the owner of shares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receive dividends, and to vote as such owner, and shall not be bound to recognize any equitable or other claim to or interest in such share or shares on the part of any</w:t>
      </w:r>
    </w:p>
    <w:p>
      <w:pPr>
        <w:sectPr>
          <w:pgSz w:w="11900" w:h="16840" w:orient="portrait"/>
          <w:cols w:equalWidth="0" w:num="1">
            <w:col w:w="10580"/>
          </w:cols>
          <w:pgMar w:left="660" w:top="557" w:right="660" w:bottom="63"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other person whether or not it shall have express or other notice thereof, except as otherwise provided by the laws of Delaware.</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Section 7.6 Additional Powers of the Board. </w:t>
      </w:r>
      <w:r>
        <w:rPr>
          <w:rFonts w:ascii="Times New Roman" w:cs="Times New Roman" w:eastAsia="Times New Roman" w:hAnsi="Times New Roman"/>
          <w:sz w:val="16"/>
          <w:szCs w:val="16"/>
          <w:color w:val="auto"/>
        </w:rPr>
        <w:t>In addition to, and without limiting, the powers set forth in the Bylaws, the Board shall have power and authority to make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 Bylaws. The Board may appoint and remove transfer agents and registrars of transfers, and may require all stock certificates to bear the signature of any such transfer agent and/or any such registrar of transfers.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SECURITIES OF THE CORPORATION</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Section 8.1 Execution of Other Securities. </w:t>
      </w:r>
      <w:r>
        <w:rPr>
          <w:rFonts w:ascii="Times New Roman" w:cs="Times New Roman" w:eastAsia="Times New Roman" w:hAnsi="Times New Roman"/>
          <w:sz w:val="16"/>
          <w:szCs w:val="16"/>
          <w:color w:val="auto"/>
        </w:rPr>
        <w:t>All bonds, debentures and other corporate securities of the Corporation, other than stock certificates (covered in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7.1), may be signed by the Chairperson of the Board, the Chief Executive Officer, or the President, or such other person as may be authorized by the Board;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7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Section 9.1 Declaration of Dividends. </w:t>
      </w:r>
      <w:r>
        <w:rPr>
          <w:rFonts w:ascii="Times New Roman" w:cs="Times New Roman" w:eastAsia="Times New Roman" w:hAnsi="Times New Roman"/>
          <w:sz w:val="16"/>
          <w:szCs w:val="16"/>
          <w:color w:val="auto"/>
        </w:rPr>
        <w:t>Dividends upon the capital stock of the Corporation, subject to the provisions of the Certificate of Incorporation and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law, if any, may be declared by the Board. Dividends may be paid in cash, in property, or in shares of capital stock or other securities of the Corporation, subject to the provisions of the Certificate of Incorporation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670750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Section 9.2 Dividend Reserve. </w:t>
      </w:r>
      <w:r>
        <w:rPr>
          <w:rFonts w:ascii="Times New Roman" w:cs="Times New Roman" w:eastAsia="Times New Roman" w:hAnsi="Times New Roman"/>
          <w:sz w:val="16"/>
          <w:szCs w:val="16"/>
          <w:color w:val="auto"/>
        </w:rPr>
        <w:t>Before payment of any dividend, there may be set aside out of any funds of the Corporation available for dividends such sum or sums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Board from time to time, in its absolute discretion, determines proper as a reserve or reserves to meet contingencies, or for equalizing dividends, or for repairing or maintaining any property of the Corporation, or for such other purpose or purposes as the Board shall determine to be conducive to the interests of the Corporation, and the Board may modify or abolish any such reserve in the manner in which it was created.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10.</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10.1 Fiscal Year. </w:t>
      </w:r>
      <w:r>
        <w:rPr>
          <w:rFonts w:ascii="Times New Roman" w:cs="Times New Roman" w:eastAsia="Times New Roman" w:hAnsi="Times New Roman"/>
          <w:sz w:val="16"/>
          <w:szCs w:val="16"/>
          <w:color w:val="auto"/>
        </w:rPr>
        <w:t>The fiscal year of the Corporation shall be fixed by resolution of the Board and may be changed by the Board.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11.</w:t>
      </w:r>
    </w:p>
    <w:p>
      <w:pPr>
        <w:spacing w:after="0" w:line="1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INDEMNIFICATION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11.1 Indemnification of Directors, Officers, Employees and Other Agents.</w:t>
      </w:r>
    </w:p>
    <w:p>
      <w:pPr>
        <w:spacing w:after="0" w:line="176" w:lineRule="exact"/>
        <w:rPr>
          <w:sz w:val="20"/>
          <w:szCs w:val="20"/>
          <w:color w:val="auto"/>
        </w:rPr>
      </w:pPr>
    </w:p>
    <w:p>
      <w:pPr>
        <w:jc w:val="both"/>
        <w:ind w:firstLine="6"/>
        <w:spacing w:after="0" w:line="237" w:lineRule="auto"/>
        <w:tabs>
          <w:tab w:leader="none" w:pos="225"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Directors and Officers. </w:t>
      </w:r>
      <w:r>
        <w:rPr>
          <w:rFonts w:ascii="Times New Roman" w:cs="Times New Roman" w:eastAsia="Times New Roman" w:hAnsi="Times New Roman"/>
          <w:sz w:val="16"/>
          <w:szCs w:val="16"/>
          <w:color w:val="auto"/>
        </w:rPr>
        <w:t>The Corporation shall indemnify to the fullest extent permitted by the DGCL as it presently exists or may hereafter be amended(but,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case of any such amendment, only to the extent that such amendment permits the Corporation to provide broader indemnification rights than such law permitted the Corporation to provide prior to such amendment), any person who was or is made or is threatened to be made a party or is otherwise involved in a Proceeding, by reason of the fact that such person is or was a director or officer of the Corporation, or while serving as a director or officer of the Corporation, is or was serving at the request of the Corporation as a director, officer, employee or agent of another corporation, partnership, joint venture, trust, employee benefit plan or other enterprise, whether the basis of such Proceeding is alleged action in an official capacity as a director or officer or in any other capacity while serving as a director or officer, against all expense, liability and loss (including attorneys’ fees, judgments, fines, ERISA excise taxes or penalties and amounts paid in settlement) reasonably incurred or suffered by such person in connection therewith; provided, however, that the Corporation will not be required to indemnify or advance expenses to any director or officer in connection with any Proceeding (or part thereof) initiated by such person unless (i) the Proceeding (or part thereof) was authorized by the Board or (ii) the Proceeding (or part thereof) is initiated to enforce rights to indemnification or advancement of expenses as provided under subsection (d) of this Section 11.1 or is a compulsory counterclaim brought by such person.</w:t>
      </w:r>
    </w:p>
    <w:p>
      <w:pPr>
        <w:spacing w:after="0" w:line="162" w:lineRule="exact"/>
        <w:rPr>
          <w:rFonts w:ascii="Times New Roman" w:cs="Times New Roman" w:eastAsia="Times New Roman" w:hAnsi="Times New Roman"/>
          <w:sz w:val="16"/>
          <w:szCs w:val="16"/>
          <w:b w:val="1"/>
          <w:bCs w:val="1"/>
          <w:color w:val="auto"/>
        </w:rPr>
      </w:pPr>
    </w:p>
    <w:p>
      <w:pPr>
        <w:ind w:right="20" w:firstLine="6"/>
        <w:spacing w:after="0" w:line="262" w:lineRule="auto"/>
        <w:tabs>
          <w:tab w:leader="none" w:pos="254"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Employees and Other Agents. </w:t>
      </w:r>
      <w:r>
        <w:rPr>
          <w:rFonts w:ascii="Times New Roman" w:cs="Times New Roman" w:eastAsia="Times New Roman" w:hAnsi="Times New Roman"/>
          <w:sz w:val="16"/>
          <w:szCs w:val="16"/>
          <w:color w:val="auto"/>
        </w:rPr>
        <w:t>The Corporation shall have power to indemnify and advance expenses to its employees and other agents to the fullest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by the DGCL.</w:t>
      </w:r>
    </w:p>
    <w:p>
      <w:pPr>
        <w:spacing w:after="0" w:line="138" w:lineRule="exact"/>
        <w:rPr>
          <w:rFonts w:ascii="Times New Roman" w:cs="Times New Roman" w:eastAsia="Times New Roman" w:hAnsi="Times New Roman"/>
          <w:sz w:val="16"/>
          <w:szCs w:val="16"/>
          <w:b w:val="1"/>
          <w:bCs w:val="1"/>
          <w:color w:val="auto"/>
        </w:rPr>
      </w:pPr>
    </w:p>
    <w:p>
      <w:pPr>
        <w:jc w:val="both"/>
        <w:ind w:firstLine="6"/>
        <w:spacing w:after="0" w:line="238" w:lineRule="auto"/>
        <w:tabs>
          <w:tab w:leader="none" w:pos="212"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Expenses. </w:t>
      </w:r>
      <w:r>
        <w:rPr>
          <w:rFonts w:ascii="Times New Roman" w:cs="Times New Roman" w:eastAsia="Times New Roman" w:hAnsi="Times New Roman"/>
          <w:sz w:val="16"/>
          <w:szCs w:val="16"/>
          <w:color w:val="auto"/>
        </w:rPr>
        <w:t>The Corporation shall advance to any current or former director or officer of the Corporation, or to any person, who while serving as a director or officer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Corporation, is or was serving at the request of the Corporation as a director or officer of another corporation, partnership, joint venture, trust, employee benefit plan or other enterprise, prior to the final disposition of the Proceeding, promptly following request therefor, all expenses incurred by such person in defending (or participating as a witness in) any Proceeding referred to in Section 11.1(a), or in connection with a Proceeding (or part thereof) brought to establish or enforce a right to indemnification or advancement of expenses under subsection (d) of this Section 11.1, provided, however, that any advancement of expenses incurred by a current or former director or officer will be made only upon delivery to the Corporation of an undertaking, by or on behalf of such indemnitee, to repay all amounts so advanced if it is ultimately determined by final judicial decision from which there is no further right to appeal that such indemnitee is not entitled to be indemnified or entitled to advancement for such expenses under this Section 11.1 or otherwise.</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57" w:lineRule="exact"/>
        <w:rPr>
          <w:rFonts w:ascii="Times New Roman" w:cs="Times New Roman" w:eastAsia="Times New Roman" w:hAnsi="Times New Roman"/>
          <w:sz w:val="16"/>
          <w:szCs w:val="16"/>
          <w:b w:val="1"/>
          <w:bCs w:val="1"/>
          <w:color w:val="auto"/>
        </w:rPr>
      </w:pPr>
    </w:p>
    <w:p>
      <w:pPr>
        <w:jc w:val="both"/>
        <w:ind w:firstLine="6"/>
        <w:spacing w:after="0" w:line="244" w:lineRule="auto"/>
        <w:tabs>
          <w:tab w:leader="none" w:pos="254"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Enforcement. </w:t>
      </w:r>
      <w:r>
        <w:rPr>
          <w:rFonts w:ascii="Times New Roman" w:cs="Times New Roman" w:eastAsia="Times New Roman" w:hAnsi="Times New Roman"/>
          <w:sz w:val="16"/>
          <w:szCs w:val="16"/>
          <w:color w:val="auto"/>
        </w:rPr>
        <w:t>Without the necessity of entering into an express contract, all rights to indemnification and advances to current and former directors and officers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this Section 11.1 will be deemed to be contractual rights and be effective to the same extent and as if provided for in a contract between the Corporation and such director or officer. Any right to indemnification or advancement of expenses granted by this Section 11.1 to a current or former director or officer will be enforceable by or on behalf of the person holding such right in any court of competent jurisdiction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-792480</wp:posOffset>
            </wp:positionV>
            <wp:extent cx="670750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the claim for indemnification or advancement of expenses is denied, in whole or in part,</w:t>
      </w:r>
    </w:p>
    <w:p>
      <w:pPr>
        <w:sectPr>
          <w:pgSz w:w="11900" w:h="16840" w:orient="portrait"/>
          <w:cols w:equalWidth="0" w:num="1">
            <w:col w:w="10580"/>
          </w:cols>
          <w:pgMar w:left="660" w:top="557" w:right="660" w:bottom="98" w:gutter="0" w:footer="0" w:header="0"/>
        </w:sectPr>
      </w:pPr>
    </w:p>
    <w:bookmarkStart w:id="36" w:name="page37"/>
    <w:bookmarkEnd w:id="36"/>
    <w:p>
      <w:pPr>
        <w:ind w:left="240" w:hanging="234"/>
        <w:spacing w:after="0"/>
        <w:tabs>
          <w:tab w:leader="none" w:pos="2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disposition of a claim for indemnification is made within 60 days of request therefor, or</w:t>
      </w:r>
    </w:p>
    <w:p>
      <w:pPr>
        <w:spacing w:after="0" w:line="176" w:lineRule="exact"/>
        <w:rPr>
          <w:rFonts w:ascii="Times New Roman" w:cs="Times New Roman" w:eastAsia="Times New Roman" w:hAnsi="Times New Roman"/>
          <w:sz w:val="16"/>
          <w:szCs w:val="16"/>
          <w:color w:val="auto"/>
        </w:rPr>
      </w:pPr>
    </w:p>
    <w:p>
      <w:pPr>
        <w:ind w:left="280" w:hanging="274"/>
        <w:spacing w:after="0"/>
        <w:tabs>
          <w:tab w:leader="none" w:pos="2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disposition of a claim for an advance is made within 30 days of request therefor.</w:t>
      </w:r>
    </w:p>
    <w:p>
      <w:pPr>
        <w:spacing w:after="0" w:line="176" w:lineRule="exact"/>
        <w:rPr>
          <w:sz w:val="20"/>
          <w:szCs w:val="20"/>
          <w:color w:val="auto"/>
        </w:rPr>
      </w:pPr>
    </w:p>
    <w:p>
      <w:pPr>
        <w:jc w:val="both"/>
        <w:ind w:firstLine="576"/>
        <w:spacing w:after="0" w:line="331" w:lineRule="auto"/>
        <w:rPr>
          <w:sz w:val="20"/>
          <w:szCs w:val="20"/>
          <w:color w:val="auto"/>
        </w:rPr>
      </w:pPr>
      <w:r>
        <w:rPr>
          <w:rFonts w:ascii="Times New Roman" w:cs="Times New Roman" w:eastAsia="Times New Roman" w:hAnsi="Times New Roman"/>
          <w:sz w:val="14"/>
          <w:szCs w:val="14"/>
          <w:color w:val="auto"/>
        </w:rPr>
        <w:t>The indemnitee in such enforcement action, if successful in whole or in part,or in a suit brought by the Corporation to recover an advancement of expenses pursuant to the terms of an undertaking, will be entitled to be paid also the expense of prosecuting or defending the claim to the fullest extent permitted by the DGCL.</w:t>
      </w:r>
    </w:p>
    <w:p>
      <w:pPr>
        <w:spacing w:after="0" w:line="96"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In (i) any suit brought to enforce a right to indemnification hereunder (but not in a suit brought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w:t>
      </w:r>
    </w:p>
    <w:p>
      <w:pPr>
        <w:spacing w:after="0" w:line="152"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Neither the failure of the Corporation (including its Board, independent legal counsel or its stockholders) to have made a determination prior to the commencement of such action that indemnification of the indemnitee is proper in the circumstances because such person has met the applicable standard of conduct set forth in the DGCL, nor an actual determination by the Corporation (including its Board, independent legal counsel or its stockholders) that the indemnitee has not met such applicable standard of conduct, will be a defense to the action or create a presumption that the indemnitee has not met the applicable standard of conduct. In any suit brought by a current or former director or officer to enforce a right to indemnification or to an advancement of expenses hereunder, or brought by the Corporation to recover an advancement of expenses pursuant to the terms of an undertaking, the burden of proving that the director or officer is not entitled to be indemnified, or to such advancement of expenses, under this Section 11.1 or otherwise is on the Corporation.</w:t>
      </w:r>
    </w:p>
    <w:p>
      <w:pPr>
        <w:spacing w:after="0" w:line="156" w:lineRule="exact"/>
        <w:rPr>
          <w:sz w:val="20"/>
          <w:szCs w:val="20"/>
          <w:color w:val="auto"/>
        </w:rPr>
      </w:pPr>
    </w:p>
    <w:p>
      <w:pPr>
        <w:jc w:val="both"/>
        <w:ind w:firstLine="6"/>
        <w:spacing w:after="0" w:line="290" w:lineRule="auto"/>
        <w:tabs>
          <w:tab w:leader="none" w:pos="232"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Non-Exclusivity of Rights. </w:t>
      </w:r>
      <w:r>
        <w:rPr>
          <w:rFonts w:ascii="Times New Roman" w:cs="Times New Roman" w:eastAsia="Times New Roman" w:hAnsi="Times New Roman"/>
          <w:sz w:val="14"/>
          <w:szCs w:val="14"/>
          <w:color w:val="auto"/>
        </w:rPr>
        <w:t>The rights conferred on any person by this Section 11.1 are not exclusive of any other right that such person may have or hereafter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acquire under any applicable law, provision of the Certificate of Incorporation,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18" w:lineRule="exact"/>
        <w:rPr>
          <w:rFonts w:ascii="Times New Roman" w:cs="Times New Roman" w:eastAsia="Times New Roman" w:hAnsi="Times New Roman"/>
          <w:sz w:val="14"/>
          <w:szCs w:val="14"/>
          <w:b w:val="1"/>
          <w:bCs w:val="1"/>
          <w:color w:val="auto"/>
        </w:rPr>
      </w:pPr>
    </w:p>
    <w:p>
      <w:pPr>
        <w:ind w:right="20" w:firstLine="6"/>
        <w:spacing w:after="0" w:line="262" w:lineRule="auto"/>
        <w:tabs>
          <w:tab w:leader="none" w:pos="203"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Survival of Rights. </w:t>
      </w:r>
      <w:r>
        <w:rPr>
          <w:rFonts w:ascii="Times New Roman" w:cs="Times New Roman" w:eastAsia="Times New Roman" w:hAnsi="Times New Roman"/>
          <w:sz w:val="16"/>
          <w:szCs w:val="16"/>
          <w:color w:val="auto"/>
        </w:rPr>
        <w:t>The rights conferred on any person by this Section 11.1 will continue as to a person who has ceased to be a director or officer and will inure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benefit of the heirs, executors and administrators of such a person.</w:t>
      </w:r>
    </w:p>
    <w:p>
      <w:pPr>
        <w:spacing w:after="0" w:line="138" w:lineRule="exact"/>
        <w:rPr>
          <w:rFonts w:ascii="Times New Roman" w:cs="Times New Roman" w:eastAsia="Times New Roman" w:hAnsi="Times New Roman"/>
          <w:sz w:val="16"/>
          <w:szCs w:val="16"/>
          <w:b w:val="1"/>
          <w:bCs w:val="1"/>
          <w:color w:val="auto"/>
        </w:rPr>
      </w:pPr>
    </w:p>
    <w:p>
      <w:pPr>
        <w:ind w:right="20" w:firstLine="6"/>
        <w:spacing w:after="0" w:line="262" w:lineRule="auto"/>
        <w:tabs>
          <w:tab w:leader="none" w:pos="233"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Insurance. </w:t>
      </w:r>
      <w:r>
        <w:rPr>
          <w:rFonts w:ascii="Times New Roman" w:cs="Times New Roman" w:eastAsia="Times New Roman" w:hAnsi="Times New Roman"/>
          <w:sz w:val="16"/>
          <w:szCs w:val="16"/>
          <w:color w:val="auto"/>
        </w:rPr>
        <w:t>To the fullest extent permitted by the DGCL, the Corporation may purchase insurance on behalf of any person required or permitted to be indemnified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this Section 11.1.</w:t>
      </w:r>
    </w:p>
    <w:p>
      <w:pPr>
        <w:spacing w:after="0" w:line="138" w:lineRule="exact"/>
        <w:rPr>
          <w:rFonts w:ascii="Times New Roman" w:cs="Times New Roman" w:eastAsia="Times New Roman" w:hAnsi="Times New Roman"/>
          <w:sz w:val="16"/>
          <w:szCs w:val="16"/>
          <w:b w:val="1"/>
          <w:bCs w:val="1"/>
          <w:color w:val="auto"/>
        </w:rPr>
      </w:pPr>
    </w:p>
    <w:p>
      <w:pPr>
        <w:ind w:right="20" w:firstLine="6"/>
        <w:spacing w:after="0" w:line="262" w:lineRule="auto"/>
        <w:tabs>
          <w:tab w:leader="none" w:pos="230"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Amendments. </w:t>
      </w:r>
      <w:r>
        <w:rPr>
          <w:rFonts w:ascii="Times New Roman" w:cs="Times New Roman" w:eastAsia="Times New Roman" w:hAnsi="Times New Roman"/>
          <w:sz w:val="16"/>
          <w:szCs w:val="16"/>
          <w:color w:val="auto"/>
        </w:rPr>
        <w:t>Any repeal or modification of this Section 11.1 is only prospective and does not affect the rights under this Bylaw in effect at the time of the alleged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occurrence of any action or omission to act that is the cause of any Proceeding against any current or former director or officer of the Corporation.</w:t>
      </w:r>
    </w:p>
    <w:p>
      <w:pPr>
        <w:spacing w:after="0" w:line="138" w:lineRule="exact"/>
        <w:rPr>
          <w:rFonts w:ascii="Times New Roman" w:cs="Times New Roman" w:eastAsia="Times New Roman" w:hAnsi="Times New Roman"/>
          <w:sz w:val="16"/>
          <w:szCs w:val="16"/>
          <w:b w:val="1"/>
          <w:bCs w:val="1"/>
          <w:color w:val="auto"/>
        </w:rPr>
      </w:pPr>
    </w:p>
    <w:p>
      <w:pPr>
        <w:jc w:val="both"/>
        <w:ind w:firstLine="6"/>
        <w:spacing w:after="0" w:line="244" w:lineRule="auto"/>
        <w:tabs>
          <w:tab w:leader="none" w:pos="198"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Saving Clause. </w:t>
      </w:r>
      <w:r>
        <w:rPr>
          <w:rFonts w:ascii="Times New Roman" w:cs="Times New Roman" w:eastAsia="Times New Roman" w:hAnsi="Times New Roman"/>
          <w:sz w:val="16"/>
          <w:szCs w:val="16"/>
          <w:color w:val="auto"/>
        </w:rPr>
        <w:t>If this Section 11 or any portion hereof is invalidated on any ground by any court of competent jurisdiction, then the Corporation will nevertheless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indemnify and advance expenses to each director and officer to the full extent not prohibited by any applicable portion of this Section 11 that has not been invalidated, or by any applicable law. If this Section 11 is invalid due to the application of the indemnification and advancement provisions of another jurisdiction, then the Corporation will indemnify and advance expenses to each director and officer to the full extent under applicable law.</w:t>
      </w:r>
    </w:p>
    <w:p>
      <w:pPr>
        <w:spacing w:after="0" w:line="152" w:lineRule="exact"/>
        <w:rPr>
          <w:rFonts w:ascii="Times New Roman" w:cs="Times New Roman" w:eastAsia="Times New Roman" w:hAnsi="Times New Roman"/>
          <w:sz w:val="16"/>
          <w:szCs w:val="16"/>
          <w:b w:val="1"/>
          <w:bCs w:val="1"/>
          <w:color w:val="auto"/>
        </w:rPr>
      </w:pPr>
    </w:p>
    <w:p>
      <w:pPr>
        <w:ind w:left="200" w:hanging="194"/>
        <w:spacing w:after="0"/>
        <w:tabs>
          <w:tab w:leader="none" w:pos="200"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Certain Definitions. </w:t>
      </w:r>
      <w:r>
        <w:rPr>
          <w:rFonts w:ascii="Times New Roman" w:cs="Times New Roman" w:eastAsia="Times New Roman" w:hAnsi="Times New Roman"/>
          <w:sz w:val="16"/>
          <w:szCs w:val="16"/>
          <w:color w:val="auto"/>
        </w:rPr>
        <w:t>For the purposes of this Section 11, the following definitions apply:</w:t>
      </w:r>
    </w:p>
    <w:p>
      <w:pPr>
        <w:spacing w:after="0" w:line="176" w:lineRule="exact"/>
        <w:rPr>
          <w:rFonts w:ascii="Times New Roman" w:cs="Times New Roman" w:eastAsia="Times New Roman" w:hAnsi="Times New Roman"/>
          <w:sz w:val="16"/>
          <w:szCs w:val="16"/>
          <w:b w:val="1"/>
          <w:bCs w:val="1"/>
          <w:color w:val="auto"/>
        </w:rPr>
      </w:pPr>
    </w:p>
    <w:p>
      <w:pPr>
        <w:jc w:val="both"/>
        <w:ind w:left="880" w:hanging="298"/>
        <w:spacing w:after="0" w:line="248" w:lineRule="auto"/>
        <w:tabs>
          <w:tab w:leader="none" w:pos="880" w:val="left"/>
        </w:tabs>
        <w:numPr>
          <w:ilvl w:val="1"/>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Proceeding</w:t>
      </w:r>
      <w:r>
        <w:rPr>
          <w:rFonts w:ascii="Times New Roman" w:cs="Times New Roman" w:eastAsia="Times New Roman" w:hAnsi="Times New Roman"/>
          <w:sz w:val="16"/>
          <w:szCs w:val="16"/>
          <w:color w:val="auto"/>
        </w:rPr>
        <w:t>” is to be broadly construed and includes,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49" w:lineRule="exact"/>
        <w:rPr>
          <w:rFonts w:ascii="Times New Roman" w:cs="Times New Roman" w:eastAsia="Times New Roman" w:hAnsi="Times New Roman"/>
          <w:sz w:val="16"/>
          <w:szCs w:val="16"/>
          <w:b w:val="1"/>
          <w:bCs w:val="1"/>
          <w:color w:val="auto"/>
        </w:rPr>
      </w:pPr>
    </w:p>
    <w:p>
      <w:pPr>
        <w:ind w:left="880" w:right="20" w:hanging="298"/>
        <w:spacing w:after="0" w:line="262" w:lineRule="auto"/>
        <w:tabs>
          <w:tab w:leader="none" w:pos="880" w:val="left"/>
        </w:tabs>
        <w:numPr>
          <w:ilvl w:val="1"/>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expenses</w:t>
      </w:r>
      <w:r>
        <w:rPr>
          <w:rFonts w:ascii="Times New Roman" w:cs="Times New Roman" w:eastAsia="Times New Roman" w:hAnsi="Times New Roman"/>
          <w:sz w:val="16"/>
          <w:szCs w:val="16"/>
          <w:color w:val="auto"/>
        </w:rPr>
        <w:t>” is to be broadly construed and includes, without limitation, court costs, attorneys’ fees, witness fees, fines, amounts paid in settlement or judgment and any other costs and expenses of any nature or kind incurred in connection with any proceeding.</w:t>
      </w:r>
    </w:p>
    <w:p>
      <w:pPr>
        <w:spacing w:after="0" w:line="138" w:lineRule="exact"/>
        <w:rPr>
          <w:rFonts w:ascii="Times New Roman" w:cs="Times New Roman" w:eastAsia="Times New Roman" w:hAnsi="Times New Roman"/>
          <w:sz w:val="16"/>
          <w:szCs w:val="16"/>
          <w:b w:val="1"/>
          <w:bCs w:val="1"/>
          <w:color w:val="auto"/>
        </w:rPr>
      </w:pPr>
    </w:p>
    <w:p>
      <w:pPr>
        <w:jc w:val="both"/>
        <w:ind w:left="880" w:hanging="298"/>
        <w:spacing w:after="0"/>
        <w:tabs>
          <w:tab w:leader="none" w:pos="880" w:val="left"/>
        </w:tabs>
        <w:numPr>
          <w:ilvl w:val="1"/>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term the “</w:t>
      </w:r>
      <w:r>
        <w:rPr>
          <w:rFonts w:ascii="Times New Roman" w:cs="Times New Roman" w:eastAsia="Times New Roman" w:hAnsi="Times New Roman"/>
          <w:sz w:val="16"/>
          <w:szCs w:val="16"/>
          <w:b w:val="1"/>
          <w:bCs w:val="1"/>
          <w:color w:val="auto"/>
        </w:rPr>
        <w:t>Corporation</w:t>
      </w:r>
      <w:r>
        <w:rPr>
          <w:rFonts w:ascii="Times New Roman" w:cs="Times New Roman" w:eastAsia="Times New Roman" w:hAnsi="Times New Roman"/>
          <w:sz w:val="16"/>
          <w:szCs w:val="16"/>
          <w:color w:val="auto"/>
        </w:rPr>
        <w:t>” includes,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employee benefit plan or other enterprise, stands in the same position under the provisions of this Section 11 with respect to the resulting or surviving corporation as such person would have with respect to such constituent corporation if its separate existence had continued.</w:t>
      </w:r>
    </w:p>
    <w:p>
      <w:pPr>
        <w:spacing w:after="0" w:line="156" w:lineRule="exact"/>
        <w:rPr>
          <w:rFonts w:ascii="Times New Roman" w:cs="Times New Roman" w:eastAsia="Times New Roman" w:hAnsi="Times New Roman"/>
          <w:sz w:val="16"/>
          <w:szCs w:val="16"/>
          <w:b w:val="1"/>
          <w:bCs w:val="1"/>
          <w:color w:val="auto"/>
        </w:rPr>
      </w:pPr>
    </w:p>
    <w:p>
      <w:pPr>
        <w:ind w:left="880" w:hanging="298"/>
        <w:spacing w:after="0"/>
        <w:tabs>
          <w:tab w:leader="none" w:pos="880" w:val="left"/>
        </w:tabs>
        <w:numPr>
          <w:ilvl w:val="1"/>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References to “</w:t>
      </w:r>
      <w:r>
        <w:rPr>
          <w:rFonts w:ascii="Times New Roman" w:cs="Times New Roman" w:eastAsia="Times New Roman" w:hAnsi="Times New Roman"/>
          <w:sz w:val="16"/>
          <w:szCs w:val="16"/>
          <w:b w:val="1"/>
          <w:bCs w:val="1"/>
          <w:color w:val="auto"/>
        </w:rPr>
        <w:t>fines</w:t>
      </w:r>
      <w:r>
        <w:rPr>
          <w:rFonts w:ascii="Times New Roman" w:cs="Times New Roman" w:eastAsia="Times New Roman" w:hAnsi="Times New Roman"/>
          <w:sz w:val="16"/>
          <w:szCs w:val="16"/>
          <w:color w:val="auto"/>
        </w:rPr>
        <w:t>” include any excise taxes assessed on a person with respect to an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-3864610</wp:posOffset>
            </wp:positionV>
            <wp:extent cx="670750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12.1 Notices.</w:t>
      </w:r>
    </w:p>
    <w:p>
      <w:pPr>
        <w:spacing w:after="0" w:line="176" w:lineRule="exact"/>
        <w:rPr>
          <w:sz w:val="20"/>
          <w:szCs w:val="20"/>
          <w:color w:val="auto"/>
        </w:rPr>
      </w:pPr>
    </w:p>
    <w:p>
      <w:pPr>
        <w:jc w:val="both"/>
        <w:ind w:right="20" w:firstLine="6"/>
        <w:spacing w:after="0" w:line="244" w:lineRule="auto"/>
        <w:tabs>
          <w:tab w:leader="none" w:pos="221"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Notice to Stockholders. </w:t>
      </w:r>
      <w:r>
        <w:rPr>
          <w:rFonts w:ascii="Times New Roman" w:cs="Times New Roman" w:eastAsia="Times New Roman" w:hAnsi="Times New Roman"/>
          <w:sz w:val="16"/>
          <w:szCs w:val="16"/>
          <w:color w:val="auto"/>
        </w:rPr>
        <w:t>Notice to stockholders of stockholder meetings shall be given as provided in Section 3.4. Without limiting the manner by which notice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be given effectively to stockholders under any agreement or contract with such stockholder, and except as otherwise required by applicable law, notice to stockholders for purposes other than stockholder meetings may be sent by U.S. mail or courier service, facsimile or by electronic mail or other means of electronic transmission in accordance with Section 232 of the DGCL.</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48" w:lineRule="exact"/>
        <w:rPr>
          <w:rFonts w:ascii="Times New Roman" w:cs="Times New Roman" w:eastAsia="Times New Roman" w:hAnsi="Times New Roman"/>
          <w:sz w:val="16"/>
          <w:szCs w:val="16"/>
          <w:b w:val="1"/>
          <w:bCs w:val="1"/>
          <w:color w:val="auto"/>
        </w:rPr>
      </w:pPr>
    </w:p>
    <w:p>
      <w:pPr>
        <w:jc w:val="both"/>
        <w:ind w:right="20" w:firstLine="6"/>
        <w:spacing w:after="0" w:line="248" w:lineRule="auto"/>
        <w:tabs>
          <w:tab w:leader="none" w:pos="242"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Notice to Directors. </w:t>
      </w:r>
      <w:r>
        <w:rPr>
          <w:rFonts w:ascii="Times New Roman" w:cs="Times New Roman" w:eastAsia="Times New Roman" w:hAnsi="Times New Roman"/>
          <w:sz w:val="16"/>
          <w:szCs w:val="16"/>
          <w:color w:val="auto"/>
        </w:rPr>
        <w:t>Any notice required to be given to any director may be given by the method stated in subsection (a) or as otherwise provided in the Bylaws,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notice other than one that is delivered personally to be sent to such address or electronic mail address as such director shall have filed in writing with the Secretary, or, in the absence of such filing, to the last known address or electronic mail address of such director.</w:t>
      </w:r>
    </w:p>
    <w:p>
      <w:pPr>
        <w:spacing w:after="0" w:line="149" w:lineRule="exact"/>
        <w:rPr>
          <w:rFonts w:ascii="Times New Roman" w:cs="Times New Roman" w:eastAsia="Times New Roman" w:hAnsi="Times New Roman"/>
          <w:sz w:val="16"/>
          <w:szCs w:val="16"/>
          <w:b w:val="1"/>
          <w:bCs w:val="1"/>
          <w:color w:val="auto"/>
        </w:rPr>
      </w:pPr>
    </w:p>
    <w:p>
      <w:pPr>
        <w:jc w:val="both"/>
        <w:ind w:firstLine="6"/>
        <w:spacing w:after="0" w:line="244" w:lineRule="auto"/>
        <w:tabs>
          <w:tab w:leader="none" w:pos="212"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Affidavit of Mailing. </w:t>
      </w:r>
      <w:r>
        <w:rPr>
          <w:rFonts w:ascii="Times New Roman" w:cs="Times New Roman" w:eastAsia="Times New Roman" w:hAnsi="Times New Roman"/>
          <w:sz w:val="16"/>
          <w:szCs w:val="16"/>
          <w:color w:val="auto"/>
        </w:rPr>
        <w:t>An affidavit of notice, executed by a duly authorized and competent employee of the Corporation or its transfer agent appointed with respect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52" w:lineRule="exact"/>
        <w:rPr>
          <w:rFonts w:ascii="Times New Roman" w:cs="Times New Roman" w:eastAsia="Times New Roman" w:hAnsi="Times New Roman"/>
          <w:sz w:val="16"/>
          <w:szCs w:val="16"/>
          <w:b w:val="1"/>
          <w:bCs w:val="1"/>
          <w:color w:val="auto"/>
        </w:rPr>
      </w:pPr>
    </w:p>
    <w:p>
      <w:pPr>
        <w:ind w:firstLine="6"/>
        <w:spacing w:after="0" w:line="262" w:lineRule="auto"/>
        <w:tabs>
          <w:tab w:leader="none" w:pos="242"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Methods of Notice. </w:t>
      </w:r>
      <w:r>
        <w:rPr>
          <w:rFonts w:ascii="Times New Roman" w:cs="Times New Roman" w:eastAsia="Times New Roman" w:hAnsi="Times New Roman"/>
          <w:sz w:val="16"/>
          <w:szCs w:val="16"/>
          <w:color w:val="auto"/>
        </w:rPr>
        <w:t>It shall not be necessary that the same method of giving notice be employed in respect of all recipients of notice, but one permissible method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may be employed in respect of any one or more, and any other permissible method or methods may be employed in respect of any other 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-1601470</wp:posOffset>
            </wp:positionV>
            <wp:extent cx="670750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737" w:right="660" w:bottom="63" w:gutter="0" w:footer="0" w:header="0"/>
        </w:sectPr>
      </w:pPr>
    </w:p>
    <w:bookmarkStart w:id="37" w:name="page38"/>
    <w:bookmarkEnd w:id="37"/>
    <w:p>
      <w:pPr>
        <w:jc w:val="both"/>
        <w:ind w:firstLine="6"/>
        <w:spacing w:after="0"/>
        <w:tabs>
          <w:tab w:leader="none" w:pos="224"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Notice to Person with Whom Communication is Unlawful. </w:t>
      </w:r>
      <w:r>
        <w:rPr>
          <w:rFonts w:ascii="Times New Roman" w:cs="Times New Roman" w:eastAsia="Times New Roman" w:hAnsi="Times New Roman"/>
          <w:sz w:val="16"/>
          <w:szCs w:val="16"/>
          <w:color w:val="auto"/>
        </w:rPr>
        <w:t>Whenever notice is required to be given, under applicable law or any provision of the Certificate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Incorporation or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56" w:lineRule="exact"/>
        <w:rPr>
          <w:rFonts w:ascii="Times New Roman" w:cs="Times New Roman" w:eastAsia="Times New Roman" w:hAnsi="Times New Roman"/>
          <w:sz w:val="16"/>
          <w:szCs w:val="16"/>
          <w:b w:val="1"/>
          <w:bCs w:val="1"/>
          <w:color w:val="auto"/>
        </w:rPr>
      </w:pPr>
    </w:p>
    <w:p>
      <w:pPr>
        <w:jc w:val="both"/>
        <w:ind w:firstLine="6"/>
        <w:spacing w:after="0" w:line="241" w:lineRule="auto"/>
        <w:tabs>
          <w:tab w:leader="none" w:pos="195"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Notice to Stockholders Sharing an Address. </w:t>
      </w:r>
      <w:r>
        <w:rPr>
          <w:rFonts w:ascii="Times New Roman" w:cs="Times New Roman" w:eastAsia="Times New Roman" w:hAnsi="Times New Roman"/>
          <w:sz w:val="16"/>
          <w:szCs w:val="16"/>
          <w:color w:val="auto"/>
        </w:rPr>
        <w:t>Except as otherwise prohibited under the DGCL, any notice given under the provisions of the DGCL, the Certificate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56" w:lineRule="exact"/>
        <w:rPr>
          <w:rFonts w:ascii="Times New Roman" w:cs="Times New Roman" w:eastAsia="Times New Roman" w:hAnsi="Times New Roman"/>
          <w:sz w:val="16"/>
          <w:szCs w:val="16"/>
          <w:b w:val="1"/>
          <w:bCs w:val="1"/>
          <w:color w:val="auto"/>
        </w:rPr>
      </w:pPr>
    </w:p>
    <w:p>
      <w:pPr>
        <w:jc w:val="both"/>
        <w:ind w:firstLine="6"/>
        <w:spacing w:after="0"/>
        <w:tabs>
          <w:tab w:leader="none" w:pos="221"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Waiver</w:t>
      </w:r>
      <w:r>
        <w:rPr>
          <w:rFonts w:ascii="Times New Roman" w:cs="Times New Roman" w:eastAsia="Times New Roman" w:hAnsi="Times New Roman"/>
          <w:sz w:val="16"/>
          <w:szCs w:val="16"/>
          <w:color w:val="auto"/>
        </w:rPr>
        <w:t>. Whenever notice is required to be given under any provision of the DGCL, the Certificate of Incorporation or the Bylaws, a written waiver, signed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670750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13.</w:t>
      </w:r>
    </w:p>
    <w:p>
      <w:pPr>
        <w:spacing w:after="0" w:line="17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13.1 Internal Corporate Claims. </w:t>
      </w:r>
      <w:r>
        <w:rPr>
          <w:rFonts w:ascii="Times New Roman" w:cs="Times New Roman" w:eastAsia="Times New Roman" w:hAnsi="Times New Roman"/>
          <w:sz w:val="14"/>
          <w:szCs w:val="14"/>
          <w:color w:val="auto"/>
        </w:rPr>
        <w:t>Unless the Corporation consents in writing to the selection of an alternative forum, the Court of Chancery of the State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Delaware and any appellate court therefrom shall be the sole and exclusive forum for: (a) any derivative claim or cause of action brought on behalf of the Corporation;</w:t>
      </w:r>
    </w:p>
    <w:p>
      <w:pPr>
        <w:jc w:val="both"/>
        <w:ind w:firstLine="6"/>
        <w:spacing w:after="0" w:line="235" w:lineRule="auto"/>
        <w:tabs>
          <w:tab w:leader="none" w:pos="24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Delaware General Corporation Law, the Corporation’s Certificate of Incorporation or Bylaws; (d) any claim or cause of action seeking to interpret, apply, enforce or determine the validity of the Corporation’s Certificate of Incorporation or Bylaws (including any right, obligation, or remedy thereunder); (e) any claim or cause of action as to which the Delaware General Corporation Law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w:t>
      </w:r>
    </w:p>
    <w:p>
      <w:pPr>
        <w:spacing w:after="0" w:line="15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b w:val="1"/>
          <w:bCs w:val="1"/>
          <w:color w:val="auto"/>
        </w:rPr>
        <w:t>Section 13.2 Securities Act Claims</w:t>
      </w:r>
      <w:r>
        <w:rPr>
          <w:rFonts w:ascii="Times New Roman" w:cs="Times New Roman" w:eastAsia="Times New Roman" w:hAnsi="Times New Roman"/>
          <w:sz w:val="14"/>
          <w:szCs w:val="14"/>
          <w:color w:val="auto"/>
        </w:rPr>
        <w:t>. Unless the Corporation consents in writing to the selection of an alternative forum, to the fullest extent permitted by applicable 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federal district courts of the United States of America shall be the exclusive forum for the resolution of any complaint asserting a cause of action arising under the 1933 Act,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AMENDMENTS</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b w:val="1"/>
          <w:bCs w:val="1"/>
          <w:color w:val="auto"/>
        </w:rPr>
        <w:t xml:space="preserve">Section 14.1 Amendments. </w:t>
      </w:r>
      <w:r>
        <w:rPr>
          <w:rFonts w:ascii="Times New Roman" w:cs="Times New Roman" w:eastAsia="Times New Roman" w:hAnsi="Times New Roman"/>
          <w:sz w:val="16"/>
          <w:szCs w:val="16"/>
          <w:color w:val="auto"/>
        </w:rPr>
        <w:t>Subject to the limitations set forth in Section 11.1(h) or the Certificate of Incorporation, the Board is expressly empowered to adopt, amend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repeal the Bylaws of the Corporation. The stockholders also shall have power to adopt, amend or repeal the Bylaws of the Corporation; provided, however, that, in addition to any vote of the holders of any class or series of stock of the Corporation required by applicable law or by the Certificate of Incorporation (including any certificate of designation relating to any series of Preferred Stock (as defined in the Certificate of Incorporation)), such action by stockholders shall require the affirmative vote of the holders of a majority of the voting power of all of the then-outstanding shares of the capital stock of the Corporation entitled to vote thereon,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670750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735" w:right="66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5"/>
        </w:trPr>
        <w:tc>
          <w:tcPr>
            <w:tcW w:w="2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w w:val="96"/>
              </w:rPr>
              <w:t>Exhibit 4.1</w:t>
            </w:r>
          </w:p>
        </w:tc>
      </w:tr>
      <w:tr>
        <w:trPr>
          <w:trHeight w:val="360"/>
        </w:trPr>
        <w:tc>
          <w:tcPr>
            <w:tcW w:w="2140" w:type="dxa"/>
            <w:vAlign w:val="bottom"/>
          </w:tcPr>
          <w:p>
            <w:pPr>
              <w:spacing w:after="0"/>
              <w:rPr>
                <w:sz w:val="24"/>
                <w:szCs w:val="24"/>
                <w:color w:val="auto"/>
              </w:rPr>
            </w:pPr>
          </w:p>
        </w:tc>
        <w:tc>
          <w:tcPr>
            <w:tcW w:w="7020" w:type="dxa"/>
            <w:vAlign w:val="bottom"/>
            <w:gridSpan w:val="2"/>
          </w:tcPr>
          <w:p>
            <w:pPr>
              <w:jc w:val="center"/>
              <w:ind w:right="642"/>
              <w:spacing w:after="0"/>
              <w:rPr>
                <w:sz w:val="20"/>
                <w:szCs w:val="20"/>
                <w:color w:val="auto"/>
              </w:rPr>
            </w:pPr>
            <w:r>
              <w:rPr>
                <w:rFonts w:ascii="Times New Roman" w:cs="Times New Roman" w:eastAsia="Times New Roman" w:hAnsi="Times New Roman"/>
                <w:sz w:val="16"/>
                <w:szCs w:val="16"/>
                <w:b w:val="1"/>
                <w:bCs w:val="1"/>
                <w:color w:val="auto"/>
                <w:w w:val="97"/>
              </w:rPr>
              <w:t>COMMON STOCK PURCHASE WARRANT</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0"/>
        </w:trPr>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20" w:type="dxa"/>
            <w:vAlign w:val="bottom"/>
          </w:tcPr>
          <w:p>
            <w:pPr>
              <w:jc w:val="center"/>
              <w:ind w:right="2642"/>
              <w:spacing w:after="0"/>
              <w:rPr>
                <w:sz w:val="20"/>
                <w:szCs w:val="20"/>
                <w:color w:val="auto"/>
              </w:rPr>
            </w:pPr>
            <w:r>
              <w:rPr>
                <w:rFonts w:ascii="Times New Roman" w:cs="Times New Roman" w:eastAsia="Times New Roman" w:hAnsi="Times New Roman"/>
                <w:sz w:val="16"/>
                <w:szCs w:val="16"/>
                <w:b w:val="1"/>
                <w:bCs w:val="1"/>
                <w:color w:val="auto"/>
                <w:w w:val="97"/>
              </w:rPr>
              <w:t>REED’S, INC.</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7"/>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Warrant No.:</w:t>
            </w:r>
          </w:p>
        </w:tc>
        <w:tc>
          <w:tcPr>
            <w:tcW w:w="20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9"/>
        </w:trPr>
        <w:tc>
          <w:tcPr>
            <w:tcW w:w="21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Warrant Shares:</w:t>
            </w:r>
          </w:p>
        </w:tc>
        <w:tc>
          <w:tcPr>
            <w:tcW w:w="2000" w:type="dxa"/>
            <w:vAlign w:val="bottom"/>
          </w:tcPr>
          <w:p>
            <w:pPr>
              <w:spacing w:after="0"/>
              <w:rPr>
                <w:sz w:val="14"/>
                <w:szCs w:val="14"/>
                <w:color w:val="auto"/>
              </w:rPr>
            </w:pPr>
          </w:p>
        </w:tc>
        <w:tc>
          <w:tcPr>
            <w:tcW w:w="5020" w:type="dxa"/>
            <w:vAlign w:val="bottom"/>
          </w:tcPr>
          <w:p>
            <w:pPr>
              <w:ind w:left="3280"/>
              <w:spacing w:after="0" w:line="169" w:lineRule="exact"/>
              <w:rPr>
                <w:sz w:val="20"/>
                <w:szCs w:val="20"/>
                <w:color w:val="auto"/>
              </w:rPr>
            </w:pPr>
            <w:r>
              <w:rPr>
                <w:rFonts w:ascii="Times New Roman" w:cs="Times New Roman" w:eastAsia="Times New Roman" w:hAnsi="Times New Roman"/>
                <w:sz w:val="16"/>
                <w:szCs w:val="16"/>
                <w:color w:val="auto"/>
              </w:rPr>
              <w:t>Original Issuance Date:</w:t>
            </w:r>
          </w:p>
        </w:tc>
        <w:tc>
          <w:tcPr>
            <w:tcW w:w="1420" w:type="dxa"/>
            <w:vAlign w:val="bottom"/>
            <w:gridSpan w:val="3"/>
          </w:tcPr>
          <w:p>
            <w:pPr>
              <w:ind w:left="260"/>
              <w:spacing w:after="0" w:line="169" w:lineRule="exact"/>
              <w:rPr>
                <w:sz w:val="20"/>
                <w:szCs w:val="20"/>
                <w:color w:val="auto"/>
              </w:rPr>
            </w:pPr>
            <w:r>
              <w:rPr>
                <w:rFonts w:ascii="Times New Roman" w:cs="Times New Roman" w:eastAsia="Times New Roman" w:hAnsi="Times New Roman"/>
                <w:sz w:val="16"/>
                <w:szCs w:val="16"/>
                <w:color w:val="auto"/>
                <w:w w:val="96"/>
              </w:rPr>
              <w:t>December 8, 2025</w:t>
            </w:r>
          </w:p>
        </w:tc>
      </w:tr>
      <w:tr>
        <w:trPr>
          <w:trHeight w:val="20"/>
        </w:trPr>
        <w:tc>
          <w:tcPr>
            <w:tcW w:w="2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THIS COMMON STOCK PURCHASE WARRANT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certifies that, for value received, [_____] or its assigns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is entitled,</w:t>
      </w:r>
    </w:p>
    <w:p>
      <w:pPr>
        <w:spacing w:after="0" w:line="3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4"/>
          <w:szCs w:val="14"/>
          <w:color w:val="auto"/>
        </w:rPr>
        <w:t>upon the terms and subject to the limitations on exercise and the conditions hereinafter set forth, at any time on or after the date hereof (the “</w:t>
      </w:r>
      <w:r>
        <w:rPr>
          <w:rFonts w:ascii="Times New Roman" w:cs="Times New Roman" w:eastAsia="Times New Roman" w:hAnsi="Times New Roman"/>
          <w:sz w:val="14"/>
          <w:szCs w:val="14"/>
          <w:u w:val="single" w:color="auto"/>
          <w:color w:val="auto"/>
        </w:rPr>
        <w:t>Initial Exercise Date</w:t>
      </w:r>
      <w:r>
        <w:rPr>
          <w:rFonts w:ascii="Times New Roman" w:cs="Times New Roman" w:eastAsia="Times New Roman" w:hAnsi="Times New Roman"/>
          <w:sz w:val="14"/>
          <w:szCs w:val="14"/>
          <w:color w:val="auto"/>
        </w:rPr>
        <w:t>”) and on or prior to 5:00 p.m. (New York City time) on the date which is the five year anniversary of the Initial Exercise Date (the “</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xml:space="preserve">”), but not thereafter, to subscribe for and purchase from </w:t>
      </w:r>
      <w:r>
        <w:rPr>
          <w:rFonts w:ascii="Times New Roman" w:cs="Times New Roman" w:eastAsia="Times New Roman" w:hAnsi="Times New Roman"/>
          <w:sz w:val="14"/>
          <w:szCs w:val="14"/>
          <w:b w:val="1"/>
          <w:bCs w:val="1"/>
          <w:color w:val="auto"/>
        </w:rPr>
        <w:t>Reed’s,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up to [____] shares (as subject to adjustment hereunder, the “</w:t>
      </w:r>
      <w:r>
        <w:rPr>
          <w:rFonts w:ascii="Times New Roman" w:cs="Times New Roman" w:eastAsia="Times New Roman" w:hAnsi="Times New Roman"/>
          <w:sz w:val="14"/>
          <w:szCs w:val="14"/>
          <w:u w:val="single" w:color="auto"/>
          <w:color w:val="auto"/>
        </w:rPr>
        <w:t>Warrant Shares</w:t>
      </w:r>
      <w:r>
        <w:rPr>
          <w:rFonts w:ascii="Times New Roman" w:cs="Times New Roman" w:eastAsia="Times New Roman" w:hAnsi="Times New Roman"/>
          <w:sz w:val="14"/>
          <w:szCs w:val="14"/>
          <w:color w:val="auto"/>
        </w:rPr>
        <w:t xml:space="preserve"> ”)</w:t>
      </w:r>
    </w:p>
    <w:p>
      <w:pPr>
        <w:spacing w:after="0" w:line="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of the Company’s common stock, par value $.0001 per share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The purchase price of one share of Common Stock under this Warrant shall be equal to the Exercise Price, as defined in Section 2(b).</w:t>
      </w:r>
    </w:p>
    <w:p>
      <w:pPr>
        <w:spacing w:after="0" w:line="157" w:lineRule="exact"/>
        <w:rPr>
          <w:sz w:val="20"/>
          <w:szCs w:val="20"/>
          <w:color w:val="auto"/>
        </w:rPr>
      </w:pPr>
    </w:p>
    <w:p>
      <w:pPr>
        <w:jc w:val="both"/>
        <w:ind w:right="60" w:firstLine="1152"/>
        <w:spacing w:after="0" w:line="247" w:lineRule="auto"/>
        <w:rPr>
          <w:sz w:val="20"/>
          <w:szCs w:val="20"/>
          <w:color w:val="auto"/>
        </w:rPr>
      </w:pPr>
      <w:r>
        <w:rPr>
          <w:rFonts w:ascii="Times New Roman" w:cs="Times New Roman" w:eastAsia="Times New Roman" w:hAnsi="Times New Roman"/>
          <w:sz w:val="16"/>
          <w:szCs w:val="16"/>
          <w:color w:val="auto"/>
        </w:rPr>
        <w:t>The Warrant shall initially be issued and maintained in the form of a security held in book -entry form, and the Depository Trust Company, or its nominee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shall initially be the sole registered holder of this Warrant, unless a Holder elects to receive a Warrant in certificated form pursuant to the terms of the Warrant Agency Agreement.</w:t>
      </w:r>
    </w:p>
    <w:p>
      <w:pPr>
        <w:spacing w:after="0" w:line="152" w:lineRule="exact"/>
        <w:rPr>
          <w:sz w:val="20"/>
          <w:szCs w:val="20"/>
          <w:color w:val="auto"/>
        </w:rPr>
      </w:pPr>
    </w:p>
    <w:p>
      <w:pPr>
        <w:jc w:val="both"/>
        <w:ind w:right="40" w:firstLine="576"/>
        <w:spacing w:after="0" w:line="331" w:lineRule="auto"/>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Capitalized terms used and not otherwise defined herein shall have the meanings set forth in that certain Underwriting Agreement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December 4, 2025, between the Company and A.G.P./Alliance Global Partners, as representative of the several underwriters named therein.</w:t>
      </w:r>
    </w:p>
    <w:p>
      <w:pPr>
        <w:spacing w:after="0" w:line="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Exercise</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left="1440" w:right="20" w:hanging="282"/>
        <w:spacing w:after="0" w:line="277" w:lineRule="auto"/>
        <w:tabs>
          <w:tab w:leader="none" w:pos="14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Warrant</w:t>
      </w:r>
      <w:r>
        <w:rPr>
          <w:rFonts w:ascii="Times New Roman" w:cs="Times New Roman" w:eastAsia="Times New Roman" w:hAnsi="Times New Roman"/>
          <w:sz w:val="14"/>
          <w:szCs w:val="14"/>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4"/>
          <w:szCs w:val="14"/>
          <w:u w:val="single" w:color="auto"/>
          <w:color w:val="auto"/>
        </w:rPr>
        <w:t>Notice of Exercise</w:t>
      </w:r>
      <w:r>
        <w:rPr>
          <w:rFonts w:ascii="Times New Roman" w:cs="Times New Roman" w:eastAsia="Times New Roman" w:hAnsi="Times New Roman"/>
          <w:sz w:val="14"/>
          <w:szCs w:val="14"/>
          <w:color w:val="auto"/>
        </w:rPr>
        <w:t>”). Within the earlier of</w:t>
      </w:r>
    </w:p>
    <w:p>
      <w:pPr>
        <w:jc w:val="both"/>
        <w:ind w:left="144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one (1) Trading Day and (ii) the number of Trading Days comprising the Standard Settlement Period (as defined below)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4"/>
          <w:szCs w:val="14"/>
          <w:b w:val="1"/>
          <w:bCs w:val="1"/>
          <w:color w:val="auto"/>
        </w:rPr>
        <w:t>The Holder and any assignee, by acceptance of this</w:t>
      </w:r>
    </w:p>
    <w:p>
      <w:pPr>
        <w:spacing w:after="0" w:line="161" w:lineRule="exact"/>
        <w:rPr>
          <w:rFonts w:ascii="Times New Roman" w:cs="Times New Roman" w:eastAsia="Times New Roman" w:hAnsi="Times New Roman"/>
          <w:sz w:val="14"/>
          <w:szCs w:val="14"/>
          <w:color w:val="auto"/>
        </w:rPr>
      </w:pPr>
    </w:p>
    <w:p>
      <w:pPr>
        <w:jc w:val="both"/>
        <w:ind w:left="1440" w:right="2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 xml:space="preserve">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6"/>
          <w:szCs w:val="16"/>
          <w:color w:val="auto"/>
        </w:rPr>
        <w:t>For purposes of this Warrant, “</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 day on which the Common Stock is traded on any of the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markets or exchanges on which the Common Stock is listed or quoted for trading on the date in question: the NYSE American LLC, The Nasdaq Capital Market, The Nasdaq Global Market, The Nasdaq Global Select Market, or the New York Stock Exchange (or any successors to any of the foregoing) (each, a “</w:t>
      </w:r>
      <w:r>
        <w:rPr>
          <w:rFonts w:ascii="Times New Roman" w:cs="Times New Roman" w:eastAsia="Times New Roman" w:hAnsi="Times New Roman"/>
          <w:sz w:val="16"/>
          <w:szCs w:val="16"/>
          <w:u w:val="single" w:color="auto"/>
          <w:color w:val="auto"/>
        </w:rPr>
        <w:t>Trading Market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224790</wp:posOffset>
            </wp:positionV>
            <wp:extent cx="670750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80" w:right="40" w:firstLine="576"/>
        <w:spacing w:after="0" w:line="241" w:lineRule="auto"/>
        <w:rPr>
          <w:sz w:val="20"/>
          <w:szCs w:val="20"/>
          <w:color w:val="auto"/>
        </w:rPr>
      </w:pPr>
      <w:r>
        <w:rPr>
          <w:rFonts w:ascii="Times New Roman" w:cs="Times New Roman" w:eastAsia="Times New Roman" w:hAnsi="Times New Roman"/>
          <w:sz w:val="16"/>
          <w:szCs w:val="16"/>
          <w:color w:val="auto"/>
        </w:rPr>
        <w:t>Notwithstanding the foregoing in this Section 2(a), a Holder, whose interest in this Warrant is a beneficial interest in certificate(s) representing this Warrant held in book-entry form through DTC (or another established clearing corporation performing similar functions), shall effect exercises made pursuant to this Section 2(a) by delivering to DTC (or such other clearing corporation, as applicable) the appropriate instruction form for exercise, complying with the procedures to effect exercise that are required by DTC (or such other clearing corporation, as applicable), subject to a Holder’s right to elect to receive a Warrant in certificated form pursuant to the terms of the Warrant Agency Agreement, in which case this sentence shall not apply.</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The exercise price per share of Common Stock under this Warrant shall be $4.50, subject to adjustment hereunder (the “</w:t>
      </w:r>
      <w:r>
        <w:rPr>
          <w:rFonts w:ascii="Times New Roman" w:cs="Times New Roman" w:eastAsia="Times New Roman" w:hAnsi="Times New Roman"/>
          <w:sz w:val="16"/>
          <w:szCs w:val="16"/>
          <w:u w:val="single" w:color="auto"/>
          <w:color w:val="auto"/>
        </w:rPr>
        <w:t>Exercise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Price</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left="580" w:right="40" w:firstLine="578"/>
        <w:spacing w:after="0" w:line="243" w:lineRule="auto"/>
        <w:tabs>
          <w:tab w:leader="none" w:pos="131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If, and only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55" w:lineRule="exact"/>
        <w:rPr>
          <w:sz w:val="20"/>
          <w:szCs w:val="20"/>
          <w:color w:val="auto"/>
        </w:rPr>
      </w:pPr>
    </w:p>
    <w:p>
      <w:pPr>
        <w:ind w:left="1740" w:hanging="582"/>
        <w:spacing w:after="0" w:line="237" w:lineRule="auto"/>
        <w:tabs>
          <w:tab w:leader="none" w:pos="1416"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63" w:lineRule="exact"/>
        <w:rPr>
          <w:rFonts w:ascii="Times New Roman" w:cs="Times New Roman" w:eastAsia="Times New Roman" w:hAnsi="Times New Roman"/>
          <w:sz w:val="16"/>
          <w:szCs w:val="16"/>
          <w:color w:val="auto"/>
        </w:rPr>
      </w:pPr>
    </w:p>
    <w:p>
      <w:pPr>
        <w:ind w:left="1420" w:hanging="262"/>
        <w:spacing w:after="0"/>
        <w:tabs>
          <w:tab w:leader="none" w:pos="14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Exercise Price of this Warrant, as adjusted hereunder; and</w:t>
      </w:r>
    </w:p>
    <w:p>
      <w:pPr>
        <w:spacing w:after="0" w:line="176" w:lineRule="exact"/>
        <w:rPr>
          <w:sz w:val="20"/>
          <w:szCs w:val="20"/>
          <w:color w:val="auto"/>
        </w:rPr>
      </w:pPr>
    </w:p>
    <w:p>
      <w:pPr>
        <w:ind w:left="1740" w:right="60" w:hanging="582"/>
        <w:spacing w:after="0" w:line="259" w:lineRule="auto"/>
        <w:tabs>
          <w:tab w:leader="none" w:pos="141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number of Warrant Shares that would be issuable upon exercise of this Warrant in accordance with the terms of this Warrant if such exercise were by means of a cash exercise rather than a cashless exercise.</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Bid Price</w:t>
      </w:r>
      <w:r>
        <w:rPr>
          <w:rFonts w:ascii="Times New Roman" w:cs="Times New Roman" w:eastAsia="Times New Roman" w:hAnsi="Times New Roman"/>
          <w:sz w:val="16"/>
          <w:szCs w:val="16"/>
          <w:color w:val="auto"/>
        </w:rPr>
        <w:t>” means, for any date, the price determined by the first of the following clauses that applies: (a) if the Common Stock is then listed or</w:t>
      </w:r>
    </w:p>
    <w:p>
      <w:pPr>
        <w:sectPr>
          <w:pgSz w:w="11900" w:h="16840" w:orient="portrait"/>
          <w:cols w:equalWidth="0" w:num="1">
            <w:col w:w="10600"/>
          </w:cols>
          <w:pgMar w:left="660" w:top="735" w:right="640" w:bottom="86" w:gutter="0" w:footer="0" w:header="0"/>
        </w:sectPr>
      </w:pPr>
    </w:p>
    <w:bookmarkStart w:id="39" w:name="page40"/>
    <w:bookmarkEnd w:id="39"/>
    <w:p>
      <w:pPr>
        <w:jc w:val="both"/>
        <w:spacing w:after="0" w:line="238" w:lineRule="auto"/>
        <w:rPr>
          <w:sz w:val="20"/>
          <w:szCs w:val="20"/>
          <w:color w:val="auto"/>
        </w:rPr>
      </w:pPr>
      <w:r>
        <w:rPr>
          <w:rFonts w:ascii="Times New Roman" w:cs="Times New Roman" w:eastAsia="Times New Roman" w:hAnsi="Times New Roman"/>
          <w:sz w:val="16"/>
          <w:szCs w:val="16"/>
          <w:color w:val="auto"/>
        </w:rPr>
        <w:t>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Company’s Board of Directors and reasonably acceptable to the Holders or the beneficial owners of Warrants representing more than 50% of the Warrant Shares issuable under the Warrants then-outstanding, the fees and expenses of which shall be paid by the Company.</w:t>
      </w:r>
    </w:p>
    <w:p>
      <w:pPr>
        <w:spacing w:after="0" w:line="158" w:lineRule="exact"/>
        <w:rPr>
          <w:sz w:val="20"/>
          <w:szCs w:val="20"/>
          <w:color w:val="auto"/>
        </w:rPr>
      </w:pPr>
    </w:p>
    <w:p>
      <w:pPr>
        <w:jc w:val="both"/>
        <w:ind w:right="20" w:firstLine="576"/>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VWAP</w:t>
      </w:r>
      <w:r>
        <w:rPr>
          <w:rFonts w:ascii="Times New Roman" w:cs="Times New Roman" w:eastAsia="Times New Roman" w:hAnsi="Times New Roman"/>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Company’s Board of Directors and reasonably acceptable to the Holders or the beneficial owners of Warrants representing more than 50% of the Warrant Shares issuable under the Warrants then-outstanding, the fees and expenses of which shall be paid by the Company.</w:t>
      </w:r>
    </w:p>
    <w:p>
      <w:pPr>
        <w:spacing w:after="0" w:line="164"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If Warrant Shares are issued in such a cashless exercise, the parties acknowledge and agree that in accordance with Section 3(a)(9) of the Securities Act of 1933, as amended, the Warrant Shares shall take on the registered characteristics of the Warrants being exercised. The Company agrees not to take any position contrary to this Section 2(c).</w:t>
      </w:r>
    </w:p>
    <w:p>
      <w:pPr>
        <w:spacing w:after="0" w:line="1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40" w:hanging="162"/>
        <w:spacing w:after="0"/>
        <w:tabs>
          <w:tab w:leader="none" w:pos="74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Mechanics of Exercise</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left="1740" w:right="20" w:hanging="585"/>
        <w:spacing w:after="0" w:line="272" w:lineRule="auto"/>
        <w:tabs>
          <w:tab w:leader="none" w:pos="17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Warrant Shares Upon Exercise</w:t>
      </w:r>
      <w:r>
        <w:rPr>
          <w:rFonts w:ascii="Times New Roman" w:cs="Times New Roman" w:eastAsia="Times New Roman" w:hAnsi="Times New Roman"/>
          <w:sz w:val="14"/>
          <w:szCs w:val="14"/>
          <w:color w:val="auto"/>
        </w:rPr>
        <w:t>. The Company shall cause the Warrant Shares purchased hereunder to be transmitted by Transfer Online, Inc. or any successor transfer agent of the Company (the “</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4"/>
          <w:szCs w:val="14"/>
          <w:u w:val="single" w:color="auto"/>
          <w:color w:val="auto"/>
        </w:rPr>
        <w:t>DWAC</w:t>
      </w:r>
      <w:r>
        <w:rPr>
          <w:rFonts w:ascii="Times New Roman" w:cs="Times New Roman" w:eastAsia="Times New Roman" w:hAnsi="Times New Roman"/>
          <w:sz w:val="14"/>
          <w:szCs w:val="14"/>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(T+1) and (ii) the number of Trading Days comprising the Standard Settlement Period following delivery of the Notice of Exercise (such date, the “</w:t>
      </w:r>
      <w:r>
        <w:rPr>
          <w:rFonts w:ascii="Times New Roman" w:cs="Times New Roman" w:eastAsia="Times New Roman" w:hAnsi="Times New Roman"/>
          <w:sz w:val="14"/>
          <w:szCs w:val="14"/>
          <w:u w:val="single" w:color="auto"/>
          <w:color w:val="auto"/>
        </w:rPr>
        <w:t>Warrant Share Delivery Date</w:t>
      </w:r>
      <w:r>
        <w:rPr>
          <w:rFonts w:ascii="Times New Roman" w:cs="Times New Roman" w:eastAsia="Times New Roman" w:hAnsi="Times New Roman"/>
          <w:sz w:val="14"/>
          <w:szCs w:val="14"/>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4"/>
          <w:szCs w:val="14"/>
          <w:u w:val="single" w:color="auto"/>
          <w:color w:val="auto"/>
        </w:rPr>
        <w:t>Standard Settlement Period</w:t>
      </w:r>
      <w:r>
        <w:rPr>
          <w:rFonts w:ascii="Times New Roman" w:cs="Times New Roman" w:eastAsia="Times New Roman" w:hAnsi="Times New Roman"/>
          <w:sz w:val="14"/>
          <w:szCs w:val="14"/>
          <w:color w:val="auto"/>
        </w:rPr>
        <w:t>” means the standard settlement period, expressed in a number of Trading Days, on the Company’s primary Trading Market with respect to the Common Stock as in effect on the date of delivery of the Notice of Exercise.</w:t>
      </w:r>
    </w:p>
    <w:p>
      <w:pPr>
        <w:spacing w:after="0" w:line="324" w:lineRule="exact"/>
        <w:rPr>
          <w:rFonts w:ascii="Times New Roman" w:cs="Times New Roman" w:eastAsia="Times New Roman" w:hAnsi="Times New Roman"/>
          <w:sz w:val="14"/>
          <w:szCs w:val="14"/>
          <w:color w:val="auto"/>
        </w:rPr>
      </w:pPr>
    </w:p>
    <w:p>
      <w:pPr>
        <w:jc w:val="both"/>
        <w:ind w:left="1740" w:right="20" w:hanging="585"/>
        <w:spacing w:after="0" w:line="243" w:lineRule="auto"/>
        <w:tabs>
          <w:tab w:leader="none" w:pos="174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New Warrants Upon Exercise</w:t>
      </w:r>
      <w:r>
        <w:rPr>
          <w:rFonts w:ascii="Times New Roman" w:cs="Times New Roman" w:eastAsia="Times New Roman" w:hAnsi="Times New Roman"/>
          <w:sz w:val="16"/>
          <w:szCs w:val="16"/>
          <w:color w:val="auto"/>
        </w:rPr>
        <w:t xml:space="preserve"> .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55" w:lineRule="exact"/>
        <w:rPr>
          <w:rFonts w:ascii="Times New Roman" w:cs="Times New Roman" w:eastAsia="Times New Roman" w:hAnsi="Times New Roman"/>
          <w:sz w:val="16"/>
          <w:szCs w:val="16"/>
          <w:color w:val="auto"/>
        </w:rPr>
      </w:pPr>
    </w:p>
    <w:p>
      <w:pPr>
        <w:ind w:left="1740" w:right="40" w:hanging="585"/>
        <w:spacing w:after="0" w:line="259" w:lineRule="auto"/>
        <w:tabs>
          <w:tab w:leader="none" w:pos="174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Rescission Rights</w:t>
      </w:r>
      <w:r>
        <w:rPr>
          <w:rFonts w:ascii="Times New Roman" w:cs="Times New Roman" w:eastAsia="Times New Roman" w:hAnsi="Times New Roman"/>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1740" w:right="20" w:hanging="585"/>
        <w:spacing w:after="0" w:line="236" w:lineRule="auto"/>
        <w:tabs>
          <w:tab w:leader="none" w:pos="174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for Buy-In on Failure to Timely Deliver Warrant Shares Upon Exercise</w:t>
      </w:r>
      <w:r>
        <w:rPr>
          <w:rFonts w:ascii="Times New Roman" w:cs="Times New Roman" w:eastAsia="Times New Roman" w:hAnsi="Times New Roman"/>
          <w:sz w:val="16"/>
          <w:szCs w:val="16"/>
          <w:color w:val="auto"/>
        </w:rPr>
        <w:t xml:space="preserve"> .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the Holder has paid any required Exercise Price for the portion of the Warrant being exercised on or prior to such Warrant Share Delivery Date (or utilized cashless exercise, if available),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6"/>
          <w:szCs w:val="16"/>
          <w:u w:val="single" w:color="auto"/>
          <w:color w:val="auto"/>
        </w:rPr>
        <w:t>Buy-In</w:t>
      </w:r>
      <w:r>
        <w:rPr>
          <w:rFonts w:ascii="Times New Roman" w:cs="Times New Roman" w:eastAsia="Times New Roman" w:hAnsi="Times New Roman"/>
          <w:sz w:val="16"/>
          <w:szCs w:val="16"/>
          <w:color w:val="auto"/>
        </w:rPr>
        <w:t>”), then the Company shall (A) pay in cash to the Holder the amount, if any, by which (x) the Holder’s total purchase price (including customary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within three (3)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ectPr>
          <w:pgSz w:w="11900" w:h="16840" w:orient="portrait"/>
          <w:cols w:equalWidth="0" w:num="1">
            <w:col w:w="10020"/>
          </w:cols>
          <w:pgMar w:left="1240" w:top="557" w:right="640" w:bottom="802" w:gutter="0" w:footer="0" w:header="0"/>
        </w:sectPr>
      </w:pPr>
    </w:p>
    <w:bookmarkStart w:id="40" w:name="page41"/>
    <w:bookmarkEnd w:id="40"/>
    <w:p>
      <w:pPr>
        <w:jc w:val="both"/>
        <w:ind w:left="1740" w:hanging="585"/>
        <w:spacing w:after="0" w:line="243" w:lineRule="auto"/>
        <w:tabs>
          <w:tab w:leader="none" w:pos="174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Fractional Shares or Scrip</w:t>
      </w:r>
      <w:r>
        <w:rPr>
          <w:rFonts w:ascii="Times New Roman" w:cs="Times New Roman" w:eastAsia="Times New Roman" w:hAnsi="Times New Roman"/>
          <w:sz w:val="16"/>
          <w:szCs w:val="16"/>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39" w:lineRule="exact"/>
        <w:rPr>
          <w:rFonts w:ascii="Times New Roman" w:cs="Times New Roman" w:eastAsia="Times New Roman" w:hAnsi="Times New Roman"/>
          <w:sz w:val="16"/>
          <w:szCs w:val="16"/>
          <w:color w:val="auto"/>
        </w:rPr>
      </w:pPr>
    </w:p>
    <w:p>
      <w:pPr>
        <w:jc w:val="both"/>
        <w:ind w:left="1740" w:hanging="585"/>
        <w:spacing w:after="0" w:line="238" w:lineRule="auto"/>
        <w:tabs>
          <w:tab w:leader="none" w:pos="174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Charges, Taxes and Expenses</w:t>
      </w:r>
      <w:r>
        <w:rPr>
          <w:rFonts w:ascii="Times New Roman" w:cs="Times New Roman" w:eastAsia="Times New Roman" w:hAnsi="Times New Roman"/>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740" w:hanging="585"/>
        <w:spacing w:after="0" w:line="259" w:lineRule="auto"/>
        <w:tabs>
          <w:tab w:leader="none" w:pos="1740"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of Books</w:t>
      </w:r>
      <w:r>
        <w:rPr>
          <w:rFonts w:ascii="Times New Roman" w:cs="Times New Roman" w:eastAsia="Times New Roman" w:hAnsi="Times New Roman"/>
          <w:sz w:val="16"/>
          <w:szCs w:val="16"/>
          <w:color w:val="auto"/>
        </w:rPr>
        <w:t>. The Company will not close its stockholder books or records in any manner which prevents the timely exercise of this Warrant, pursuant to the terms hereof.</w:t>
      </w:r>
    </w:p>
    <w:p>
      <w:pPr>
        <w:spacing w:after="0" w:line="143" w:lineRule="exact"/>
        <w:rPr>
          <w:rFonts w:ascii="Times New Roman" w:cs="Times New Roman" w:eastAsia="Times New Roman" w:hAnsi="Times New Roman"/>
          <w:sz w:val="16"/>
          <w:szCs w:val="16"/>
          <w:color w:val="auto"/>
        </w:rPr>
      </w:pPr>
    </w:p>
    <w:p>
      <w:pPr>
        <w:jc w:val="both"/>
        <w:ind w:firstLine="578"/>
        <w:spacing w:after="0" w:line="269" w:lineRule="auto"/>
        <w:tabs>
          <w:tab w:leader="none" w:pos="744"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Holder’s Exercise Limitations</w:t>
      </w:r>
      <w:r>
        <w:rPr>
          <w:rFonts w:ascii="Times New Roman" w:cs="Times New Roman" w:eastAsia="Times New Roman" w:hAnsi="Times New Roman"/>
          <w:sz w:val="14"/>
          <w:szCs w:val="14"/>
          <w:color w:val="auto"/>
        </w:rPr>
        <w:t xml:space="preserve">.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(as defined below), and any other Persons acting as a group together with the Holder or any of the Holder’s Affiliates (such Persons, “ </w:t>
      </w:r>
      <w:r>
        <w:rPr>
          <w:rFonts w:ascii="Times New Roman" w:cs="Times New Roman" w:eastAsia="Times New Roman" w:hAnsi="Times New Roman"/>
          <w:sz w:val="14"/>
          <w:szCs w:val="14"/>
          <w:u w:val="single" w:color="auto"/>
          <w:color w:val="auto"/>
        </w:rPr>
        <w:t>Attribution Parties</w:t>
      </w:r>
      <w:r>
        <w:rPr>
          <w:rFonts w:ascii="Times New Roman" w:cs="Times New Roman" w:eastAsia="Times New Roman" w:hAnsi="Times New Roman"/>
          <w:sz w:val="14"/>
          <w:szCs w:val="14"/>
          <w:color w:val="auto"/>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(collectively, “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Equivalents</w:t>
      </w:r>
      <w:r>
        <w:rPr>
          <w:rFonts w:ascii="Times New Roman" w:cs="Times New Roman" w:eastAsia="Times New Roman" w:hAnsi="Times New Roman"/>
          <w:sz w:val="14"/>
          <w:szCs w:val="14"/>
          <w:color w:val="auto"/>
        </w:rPr>
        <w:t>”)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Securities and Exchange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4"/>
          <w:szCs w:val="14"/>
          <w:u w:val="single" w:color="auto"/>
          <w:color w:val="auto"/>
        </w:rPr>
        <w:t>Beneficial Ownership Limitation</w:t>
      </w:r>
      <w:r>
        <w:rPr>
          <w:rFonts w:ascii="Times New Roman" w:cs="Times New Roman" w:eastAsia="Times New Roman" w:hAnsi="Times New Roman"/>
          <w:sz w:val="14"/>
          <w:szCs w:val="14"/>
          <w:color w:val="auto"/>
        </w:rPr>
        <w:t xml:space="preserve">” shall be 4.99% (or, upon election by a Holder prior to the issuance of any Warrants,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As used herein, the term “ </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xml:space="preserve">” means any individual or corporation, partnership, trust, incorporated or unincorporated association, joint venture, limited liability company, joint stock company, government (or an agency or subdivision thereof) or other entity of any kind (each, a “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that, directly or indirectly through one or more intermediaries, controls or is controlled by or is under common control with a Person, as such terms are used in and construed under Rule 405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Certain Adjustments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 xml:space="preserve">a ) </w:t>
      </w:r>
      <w:r>
        <w:rPr>
          <w:rFonts w:ascii="Times New Roman" w:cs="Times New Roman" w:eastAsia="Times New Roman" w:hAnsi="Times New Roman"/>
          <w:sz w:val="16"/>
          <w:szCs w:val="16"/>
          <w:u w:val="single" w:color="auto"/>
          <w:color w:val="auto"/>
        </w:rPr>
        <w:t>Stock Dividends and Splits</w:t>
      </w:r>
      <w:r>
        <w:rPr>
          <w:rFonts w:ascii="Times New Roman" w:cs="Times New Roman" w:eastAsia="Times New Roman" w:hAnsi="Times New Roman"/>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2" w:lineRule="exact"/>
        <w:rPr>
          <w:sz w:val="20"/>
          <w:szCs w:val="20"/>
          <w:color w:val="auto"/>
        </w:rPr>
      </w:pPr>
    </w:p>
    <w:p>
      <w:pPr>
        <w:jc w:val="both"/>
        <w:ind w:firstLine="578"/>
        <w:spacing w:after="0" w:line="299" w:lineRule="auto"/>
        <w:tabs>
          <w:tab w:leader="none" w:pos="744"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Subsequent Rights Offerings</w:t>
      </w:r>
      <w:r>
        <w:rPr>
          <w:rFonts w:ascii="Times New Roman" w:cs="Times New Roman" w:eastAsia="Times New Roman" w:hAnsi="Times New Roman"/>
          <w:sz w:val="14"/>
          <w:szCs w:val="14"/>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4"/>
          <w:szCs w:val="14"/>
          <w:u w:val="single" w:color="auto"/>
          <w:color w:val="auto"/>
        </w:rPr>
        <w:t>Purchase Rights</w:t>
      </w:r>
      <w:r>
        <w:rPr>
          <w:rFonts w:ascii="Times New Roman" w:cs="Times New Roman" w:eastAsia="Times New Roman" w:hAnsi="Times New Roman"/>
          <w:sz w:val="14"/>
          <w:szCs w:val="14"/>
          <w:color w:val="auto"/>
        </w:rPr>
        <w:t>”), then the Holder will be entitled to acquire, upon the terms applicable to such Purchase Rights, the aggregate Purchase Rights</w:t>
      </w:r>
    </w:p>
    <w:p>
      <w:pPr>
        <w:sectPr>
          <w:pgSz w:w="11900" w:h="16840" w:orient="portrait"/>
          <w:cols w:equalWidth="0" w:num="1">
            <w:col w:w="10000"/>
          </w:cols>
          <w:pgMar w:left="1240" w:top="557" w:right="660" w:bottom="0" w:gutter="0" w:footer="0" w:header="0"/>
        </w:sectPr>
      </w:pPr>
    </w:p>
    <w:bookmarkStart w:id="41" w:name="page42"/>
    <w:bookmarkEnd w:id="41"/>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61" w:lineRule="exact"/>
        <w:rPr>
          <w:sz w:val="20"/>
          <w:szCs w:val="20"/>
          <w:color w:val="auto"/>
        </w:rPr>
      </w:pPr>
    </w:p>
    <w:p>
      <w:pPr>
        <w:jc w:val="both"/>
        <w:ind w:right="20" w:firstLine="578"/>
        <w:spacing w:after="0" w:line="237" w:lineRule="auto"/>
        <w:tabs>
          <w:tab w:leader="none" w:pos="732"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 Rata Distributions</w:t>
      </w:r>
      <w:r>
        <w:rPr>
          <w:rFonts w:ascii="Times New Roman" w:cs="Times New Roman" w:eastAsia="Times New Roman" w:hAnsi="Times New Roman"/>
          <w:sz w:val="16"/>
          <w:szCs w:val="16"/>
          <w:color w:val="auto"/>
        </w:rPr>
        <w:t>. During such time as this Warrant is outstanding, if the Company shall declare or make any dividend or other distribution of its assets (or rights to acquire its assets) to holders of shares of Common Stock, other than as in Section 3(a),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6"/>
          <w:szCs w:val="16"/>
          <w:u w:val="single" w:color="auto"/>
          <w:color w:val="auto"/>
        </w:rPr>
        <w:t>Distribution</w:t>
      </w:r>
      <w:r>
        <w:rPr>
          <w:rFonts w:ascii="Times New Roman" w:cs="Times New Roman" w:eastAsia="Times New Roman" w:hAnsi="Times New Roman"/>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6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576"/>
        <w:spacing w:after="0" w:line="269" w:lineRule="auto"/>
        <w:rPr>
          <w:sz w:val="20"/>
          <w:szCs w:val="20"/>
          <w:color w:val="auto"/>
        </w:rPr>
      </w:pPr>
      <w:r>
        <w:rPr>
          <w:rFonts w:ascii="Times New Roman" w:cs="Times New Roman" w:eastAsia="Times New Roman" w:hAnsi="Times New Roman"/>
          <w:sz w:val="14"/>
          <w:szCs w:val="14"/>
          <w:color w:val="auto"/>
        </w:rPr>
        <w:t xml:space="preserve">d ) </w:t>
      </w: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Common Stock or more than 50% of the voting power of the common equity of the Company (each a “</w:t>
      </w: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4"/>
          <w:szCs w:val="14"/>
          <w:u w:val="single" w:color="auto"/>
          <w:color w:val="auto"/>
        </w:rPr>
        <w:t>Alternate Consideration</w:t>
      </w:r>
      <w:r>
        <w:rPr>
          <w:rFonts w:ascii="Times New Roman" w:cs="Times New Roman" w:eastAsia="Times New Roman" w:hAnsi="Times New Roman"/>
          <w:sz w:val="14"/>
          <w:szCs w:val="14"/>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(other than (x) any stock split or reverse stock split, (y) any transaction effected solely for the purpose of changing the jurisdiction of incorporation of the Company, or (z) any holding company reorganization or parent-subsidiary merger not requiring stockholder approval pursuant to Sections 251(g) or 253 of the General Corporation Law of the State of Delaware (or any successor provisions thereof)),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consideration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as of the date of the consummation of such Fundamental Transaction the same type or form of consideration (and in the same proportion)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4"/>
          <w:szCs w:val="14"/>
          <w:u w:val="single" w:color="auto"/>
          <w:color w:val="auto"/>
        </w:rPr>
        <w:t>Black Scholes Value</w:t>
      </w:r>
      <w:r>
        <w:rPr>
          <w:rFonts w:ascii="Times New Roman" w:cs="Times New Roman" w:eastAsia="Times New Roman" w:hAnsi="Times New Roman"/>
          <w:sz w:val="14"/>
          <w:szCs w:val="14"/>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 The Company shall cause any successor entity in a Fundamental Transaction in which the Company is not the survivor (the “</w:t>
      </w:r>
      <w:r>
        <w:rPr>
          <w:rFonts w:ascii="Times New Roman" w:cs="Times New Roman" w:eastAsia="Times New Roman" w:hAnsi="Times New Roman"/>
          <w:sz w:val="14"/>
          <w:szCs w:val="14"/>
          <w:u w:val="single" w:color="auto"/>
          <w:color w:val="auto"/>
        </w:rPr>
        <w:t>Successor Entity</w:t>
      </w:r>
      <w:r>
        <w:rPr>
          <w:rFonts w:ascii="Times New Roman" w:cs="Times New Roman" w:eastAsia="Times New Roman" w:hAnsi="Times New Roman"/>
          <w:sz w:val="14"/>
          <w:szCs w:val="14"/>
          <w:color w:val="auto"/>
        </w:rPr>
        <w:t>”) to assume in writing all of the obligations of the Company under this Warrant in accordance with the provisions of this Section 3(d) pursuant to written agreements in form and substance reasonably satisfactory to the Required Holders (as defined below) and approved by the Required Holders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or concurrent with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shall refer instead to the Successor Entity), and may exercise every right and power of the Company and shall assume all of the obligations of the Company under this Warrant with the same effect as if such Successor Entity had been named as the Company herein.</w:t>
      </w:r>
    </w:p>
    <w:p>
      <w:pPr>
        <w:sectPr>
          <w:pgSz w:w="11900" w:h="16840" w:orient="portrait"/>
          <w:cols w:equalWidth="0" w:num="1">
            <w:col w:w="10020"/>
          </w:cols>
          <w:pgMar w:left="1240" w:top="557" w:right="640" w:bottom="1137" w:gutter="0" w:footer="0" w:header="0"/>
        </w:sectPr>
      </w:pPr>
    </w:p>
    <w:bookmarkStart w:id="42" w:name="page43"/>
    <w:bookmarkEnd w:id="42"/>
    <w:p>
      <w:pPr>
        <w:ind w:left="46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43815</wp:posOffset>
            </wp:positionV>
            <wp:extent cx="670750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both"/>
        <w:ind w:right="20" w:firstLine="578"/>
        <w:spacing w:after="0" w:line="247" w:lineRule="auto"/>
        <w:tabs>
          <w:tab w:leader="none" w:pos="74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Calculations</w:t>
      </w:r>
      <w:r>
        <w:rPr>
          <w:rFonts w:ascii="Times New Roman" w:cs="Times New Roman" w:eastAsia="Times New Roman" w:hAnsi="Times New Roman"/>
          <w:sz w:val="16"/>
          <w:szCs w:val="16"/>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52" w:lineRule="exact"/>
        <w:rPr>
          <w:rFonts w:ascii="Times New Roman" w:cs="Times New Roman" w:eastAsia="Times New Roman" w:hAnsi="Times New Roman"/>
          <w:sz w:val="16"/>
          <w:szCs w:val="16"/>
          <w:color w:val="auto"/>
        </w:rPr>
      </w:pPr>
    </w:p>
    <w:p>
      <w:pPr>
        <w:ind w:left="720" w:hanging="142"/>
        <w:spacing w:after="0"/>
        <w:tabs>
          <w:tab w:leader="none" w:pos="7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Holder</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left="1740" w:right="20" w:hanging="585"/>
        <w:spacing w:after="0" w:line="247" w:lineRule="auto"/>
        <w:tabs>
          <w:tab w:leader="none" w:pos="1740"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 to Exercise Price</w:t>
      </w:r>
      <w:r>
        <w:rPr>
          <w:rFonts w:ascii="Times New Roman" w:cs="Times New Roman" w:eastAsia="Times New Roman" w:hAnsi="Times New Roman"/>
          <w:sz w:val="16"/>
          <w:szCs w:val="16"/>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52" w:lineRule="exact"/>
        <w:rPr>
          <w:rFonts w:ascii="Times New Roman" w:cs="Times New Roman" w:eastAsia="Times New Roman" w:hAnsi="Times New Roman"/>
          <w:sz w:val="16"/>
          <w:szCs w:val="16"/>
          <w:color w:val="auto"/>
        </w:rPr>
      </w:pPr>
    </w:p>
    <w:p>
      <w:pPr>
        <w:jc w:val="both"/>
        <w:ind w:left="860" w:hanging="282"/>
        <w:spacing w:after="0" w:line="236" w:lineRule="auto"/>
        <w:tabs>
          <w:tab w:leader="none" w:pos="8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Allow Exercise by Holder</w:t>
      </w:r>
      <w:r>
        <w:rPr>
          <w:rFonts w:ascii="Times New Roman" w:cs="Times New Roman" w:eastAsia="Times New Roman" w:hAnsi="Times New Roman"/>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Securities and Exchange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Transfer of Warrant</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firstLine="578"/>
        <w:spacing w:after="0" w:line="237" w:lineRule="auto"/>
        <w:tabs>
          <w:tab w:leader="none" w:pos="732"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6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78"/>
        <w:spacing w:after="0" w:line="239" w:lineRule="auto"/>
        <w:tabs>
          <w:tab w:leader="none" w:pos="75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New Warrants</w:t>
      </w:r>
      <w:r>
        <w:rPr>
          <w:rFonts w:ascii="Times New Roman" w:cs="Times New Roman" w:eastAsia="Times New Roman" w:hAnsi="Times New Roman"/>
          <w:sz w:val="16"/>
          <w:szCs w:val="16"/>
          <w:color w:val="auto"/>
        </w:rPr>
        <w:t xml:space="preserve"> .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61"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 xml:space="preserve">c ) </w:t>
      </w: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The Warrant Agent shall register this Warrant, upon records to be maintained by the Warrant Agent for that purpose (the “</w:t>
      </w: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firstLine="578"/>
        <w:spacing w:after="0" w:line="243" w:lineRule="auto"/>
        <w:tabs>
          <w:tab w:leader="none" w:pos="732"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as Stockholder Until Exercise; No Settlement in Cash</w:t>
      </w:r>
      <w:r>
        <w:rPr>
          <w:rFonts w:ascii="Times New Roman" w:cs="Times New Roman" w:eastAsia="Times New Roman" w:hAnsi="Times New Roman"/>
          <w:sz w:val="16"/>
          <w:szCs w:val="16"/>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pursuant to Section 2(c), or to receive the cash payments contemplated pursuant to Sections 2(d)(i) and 2(d)(iv), in no event will the Company be required to net cash settle an exercise of this Warrant.</w:t>
      </w:r>
    </w:p>
    <w:p>
      <w:pPr>
        <w:spacing w:after="0" w:line="155" w:lineRule="exact"/>
        <w:rPr>
          <w:rFonts w:ascii="Times New Roman" w:cs="Times New Roman" w:eastAsia="Times New Roman" w:hAnsi="Times New Roman"/>
          <w:sz w:val="16"/>
          <w:szCs w:val="16"/>
          <w:color w:val="auto"/>
        </w:rPr>
      </w:pPr>
    </w:p>
    <w:p>
      <w:pPr>
        <w:jc w:val="both"/>
        <w:ind w:right="20" w:firstLine="578"/>
        <w:spacing w:after="0" w:line="289" w:lineRule="auto"/>
        <w:tabs>
          <w:tab w:leader="none" w:pos="74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Loss, Theft, Destruction or Mutilation of Warrant</w:t>
      </w:r>
      <w:r>
        <w:rPr>
          <w:rFonts w:ascii="Times New Roman" w:cs="Times New Roman" w:eastAsia="Times New Roman" w:hAnsi="Times New Roman"/>
          <w:sz w:val="14"/>
          <w:szCs w:val="14"/>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24" w:lineRule="exact"/>
        <w:rPr>
          <w:rFonts w:ascii="Times New Roman" w:cs="Times New Roman" w:eastAsia="Times New Roman" w:hAnsi="Times New Roman"/>
          <w:sz w:val="14"/>
          <w:szCs w:val="14"/>
          <w:color w:val="auto"/>
        </w:rPr>
      </w:pPr>
    </w:p>
    <w:p>
      <w:pPr>
        <w:ind w:right="20" w:firstLine="578"/>
        <w:spacing w:after="0" w:line="259" w:lineRule="auto"/>
        <w:tabs>
          <w:tab w:leader="none" w:pos="732"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Saturdays, Sundays, Holidays, etc</w:t>
      </w:r>
      <w:r>
        <w:rPr>
          <w:rFonts w:ascii="Times New Roman" w:cs="Times New Roman" w:eastAsia="Times New Roman" w:hAnsi="Times New Roman"/>
          <w:sz w:val="16"/>
          <w:szCs w:val="16"/>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43" w:lineRule="exact"/>
        <w:rPr>
          <w:rFonts w:ascii="Times New Roman" w:cs="Times New Roman" w:eastAsia="Times New Roman" w:hAnsi="Times New Roman"/>
          <w:sz w:val="16"/>
          <w:szCs w:val="16"/>
          <w:color w:val="auto"/>
        </w:rPr>
      </w:pPr>
    </w:p>
    <w:p>
      <w:pPr>
        <w:jc w:val="both"/>
        <w:ind w:right="20" w:firstLine="578"/>
        <w:spacing w:after="0" w:line="277" w:lineRule="auto"/>
        <w:tabs>
          <w:tab w:leader="none" w:pos="74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Authorized Shares</w:t>
      </w:r>
      <w:r>
        <w:rPr>
          <w:rFonts w:ascii="Times New Roman" w:cs="Times New Roman" w:eastAsia="Times New Roman" w:hAnsi="Times New Roman"/>
          <w:sz w:val="14"/>
          <w:szCs w:val="14"/>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w:t>
      </w:r>
    </w:p>
    <w:p>
      <w:pPr>
        <w:sectPr>
          <w:pgSz w:w="11900" w:h="16840" w:orient="portrait"/>
          <w:cols w:equalWidth="0" w:num="1">
            <w:col w:w="10000"/>
          </w:cols>
          <w:pgMar w:left="1240" w:top="557" w:right="660" w:bottom="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respect of the issue thereof (other than taxes in respect of any transfer occurring contemporaneously with such issue).</w:t>
      </w:r>
    </w:p>
    <w:p>
      <w:pPr>
        <w:spacing w:after="0" w:line="17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76"/>
        <w:spacing w:after="0" w:line="238" w:lineRule="auto"/>
        <w:rPr>
          <w:sz w:val="20"/>
          <w:szCs w:val="20"/>
          <w:color w:val="auto"/>
        </w:rPr>
      </w:pPr>
      <w:r>
        <w:rPr>
          <w:rFonts w:ascii="Times New Roman" w:cs="Times New Roman" w:eastAsia="Times New Roman" w:hAnsi="Times New Roman"/>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58"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52" w:lineRule="exact"/>
        <w:rPr>
          <w:sz w:val="20"/>
          <w:szCs w:val="20"/>
          <w:color w:val="auto"/>
        </w:rPr>
      </w:pPr>
    </w:p>
    <w:p>
      <w:pPr>
        <w:jc w:val="both"/>
        <w:ind w:firstLine="578"/>
        <w:spacing w:after="0" w:line="237" w:lineRule="auto"/>
        <w:tabs>
          <w:tab w:leader="none" w:pos="73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57" w:lineRule="exact"/>
        <w:rPr>
          <w:rFonts w:ascii="Times New Roman" w:cs="Times New Roman" w:eastAsia="Times New Roman" w:hAnsi="Times New Roman"/>
          <w:sz w:val="16"/>
          <w:szCs w:val="16"/>
          <w:color w:val="auto"/>
        </w:rPr>
      </w:pPr>
    </w:p>
    <w:p>
      <w:pPr>
        <w:ind w:right="40" w:firstLine="578"/>
        <w:spacing w:after="0" w:line="259" w:lineRule="auto"/>
        <w:tabs>
          <w:tab w:leader="none" w:pos="7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w:t>
      </w:r>
      <w:r>
        <w:rPr>
          <w:rFonts w:ascii="Times New Roman" w:cs="Times New Roman" w:eastAsia="Times New Roman" w:hAnsi="Times New Roman"/>
          <w:sz w:val="16"/>
          <w:szCs w:val="16"/>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right="20" w:firstLine="578"/>
        <w:spacing w:after="0" w:line="284" w:lineRule="auto"/>
        <w:tabs>
          <w:tab w:leader="none" w:pos="756"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Nonwaiver and Expenses</w:t>
      </w:r>
      <w:r>
        <w:rPr>
          <w:rFonts w:ascii="Times New Roman" w:cs="Times New Roman" w:eastAsia="Times New Roman" w:hAnsi="Times New Roman"/>
          <w:sz w:val="14"/>
          <w:szCs w:val="14"/>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7" w:lineRule="exact"/>
        <w:rPr>
          <w:rFonts w:ascii="Times New Roman" w:cs="Times New Roman" w:eastAsia="Times New Roman" w:hAnsi="Times New Roman"/>
          <w:sz w:val="14"/>
          <w:szCs w:val="14"/>
          <w:color w:val="auto"/>
        </w:rPr>
      </w:pPr>
    </w:p>
    <w:p>
      <w:pPr>
        <w:jc w:val="both"/>
        <w:ind w:firstLine="578"/>
        <w:spacing w:after="0" w:line="239" w:lineRule="auto"/>
        <w:tabs>
          <w:tab w:leader="none" w:pos="75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to be provided by the Holders hereunder (including, without limitation, any Notice of Exercise)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u w:val="single" w:color="auto"/>
          <w:color w:val="auto"/>
        </w:rPr>
        <w:t>If to the Company</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Reed’s, Inc.</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501 Merritt 7 PH</w:t>
      </w:r>
    </w:p>
    <w:p>
      <w:pPr>
        <w:ind w:left="860"/>
        <w:spacing w:after="0" w:line="234" w:lineRule="auto"/>
        <w:rPr>
          <w:sz w:val="20"/>
          <w:szCs w:val="20"/>
          <w:color w:val="auto"/>
        </w:rPr>
      </w:pPr>
      <w:r>
        <w:rPr>
          <w:rFonts w:ascii="Times New Roman" w:cs="Times New Roman" w:eastAsia="Times New Roman" w:hAnsi="Times New Roman"/>
          <w:sz w:val="16"/>
          <w:szCs w:val="16"/>
          <w:color w:val="auto"/>
        </w:rPr>
        <w:t>Norwalk, Connecticut 06851</w:t>
      </w:r>
    </w:p>
    <w:p>
      <w:pPr>
        <w:ind w:left="860"/>
        <w:spacing w:after="0" w:line="235" w:lineRule="auto"/>
        <w:rPr>
          <w:sz w:val="20"/>
          <w:szCs w:val="20"/>
          <w:color w:val="auto"/>
        </w:rPr>
      </w:pPr>
      <w:r>
        <w:rPr>
          <w:rFonts w:ascii="Times New Roman" w:cs="Times New Roman" w:eastAsia="Times New Roman" w:hAnsi="Times New Roman"/>
          <w:sz w:val="16"/>
          <w:szCs w:val="16"/>
          <w:color w:val="auto"/>
        </w:rPr>
        <w:t>Attention: Chief Executive Officer</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Email: cwallace@reedsinc.com</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i w:val="1"/>
          <w:iCs w:val="1"/>
          <w:color w:val="auto"/>
        </w:rPr>
        <w:t>With a copy to:</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Cooley LLP</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55 Hudson Yards</w:t>
      </w:r>
    </w:p>
    <w:p>
      <w:pPr>
        <w:ind w:left="860"/>
        <w:spacing w:after="0" w:line="234" w:lineRule="auto"/>
        <w:rPr>
          <w:sz w:val="20"/>
          <w:szCs w:val="20"/>
          <w:color w:val="auto"/>
        </w:rPr>
      </w:pPr>
      <w:r>
        <w:rPr>
          <w:rFonts w:ascii="Times New Roman" w:cs="Times New Roman" w:eastAsia="Times New Roman" w:hAnsi="Times New Roman"/>
          <w:sz w:val="16"/>
          <w:szCs w:val="16"/>
          <w:color w:val="auto"/>
        </w:rPr>
        <w:t>New York, New York 10001</w:t>
      </w:r>
    </w:p>
    <w:p>
      <w:pPr>
        <w:ind w:left="860"/>
        <w:spacing w:after="0" w:line="235" w:lineRule="auto"/>
        <w:rPr>
          <w:sz w:val="20"/>
          <w:szCs w:val="20"/>
          <w:color w:val="auto"/>
        </w:rPr>
      </w:pPr>
      <w:r>
        <w:rPr>
          <w:rFonts w:ascii="Times New Roman" w:cs="Times New Roman" w:eastAsia="Times New Roman" w:hAnsi="Times New Roman"/>
          <w:sz w:val="16"/>
          <w:szCs w:val="16"/>
          <w:color w:val="auto"/>
        </w:rPr>
        <w:t>Attn: Yvan-Claude Pierre, Esq.</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Email: ypierre@cooley.com</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u w:val="single" w:color="auto"/>
          <w:color w:val="auto"/>
        </w:rPr>
        <w:t>If to the Holder</w:t>
      </w:r>
      <w:r>
        <w:rPr>
          <w:rFonts w:ascii="Times New Roman" w:cs="Times New Roman" w:eastAsia="Times New Roman" w:hAnsi="Times New Roman"/>
          <w:sz w:val="16"/>
          <w:szCs w:val="16"/>
          <w:color w:val="auto"/>
        </w:rPr>
        <w:t>, to its address or e-mail address on the books and records of the Company.</w:t>
      </w:r>
    </w:p>
    <w:p>
      <w:pPr>
        <w:spacing w:after="0" w:line="176" w:lineRule="exact"/>
        <w:rPr>
          <w:sz w:val="20"/>
          <w:szCs w:val="20"/>
          <w:color w:val="auto"/>
        </w:rPr>
      </w:pPr>
    </w:p>
    <w:p>
      <w:pPr>
        <w:jc w:val="both"/>
        <w:ind w:left="580" w:right="20"/>
        <w:spacing w:after="0" w:line="247" w:lineRule="auto"/>
        <w:rPr>
          <w:sz w:val="20"/>
          <w:szCs w:val="20"/>
          <w:color w:val="auto"/>
        </w:rPr>
      </w:pPr>
      <w:r>
        <w:rPr>
          <w:rFonts w:ascii="Times New Roman" w:cs="Times New Roman" w:eastAsia="Times New Roman" w:hAnsi="Times New Roman"/>
          <w:sz w:val="16"/>
          <w:szCs w:val="16"/>
          <w:color w:val="auto"/>
        </w:rPr>
        <w:t>Notwithstanding any other provision of the Warrant, as to any Warrant not held in certificated form, where the Warrant provides for notice of any event to a Holder, such notice shall be sufficiently given if given to DTC (or any successor depository) pursuant to the procedures of DTC (or such successor depository).</w:t>
      </w:r>
    </w:p>
    <w:p>
      <w:pPr>
        <w:spacing w:after="0" w:line="152" w:lineRule="exact"/>
        <w:rPr>
          <w:sz w:val="20"/>
          <w:szCs w:val="20"/>
          <w:color w:val="auto"/>
        </w:rPr>
      </w:pPr>
    </w:p>
    <w:p>
      <w:pPr>
        <w:jc w:val="both"/>
        <w:ind w:right="20" w:firstLine="578"/>
        <w:spacing w:after="0" w:line="247" w:lineRule="auto"/>
        <w:tabs>
          <w:tab w:leader="none" w:pos="708"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Liability</w:t>
      </w:r>
      <w:r>
        <w:rPr>
          <w:rFonts w:ascii="Times New Roman" w:cs="Times New Roman" w:eastAsia="Times New Roman" w:hAnsi="Times New Roman"/>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5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000"/>
          </w:cols>
          <w:pgMar w:left="1240" w:top="557" w:right="660" w:bottom="145" w:gutter="0" w:footer="0" w:header="0"/>
        </w:sectPr>
      </w:pP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j) </w:t>
      </w: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The Holder, in addition to being entitled to exercise all rights granted by law, including recovery of damages, will be entitled to specific</w:t>
      </w:r>
    </w:p>
    <w:p>
      <w:pPr>
        <w:sectPr>
          <w:pgSz w:w="11900" w:h="16840" w:orient="portrait"/>
          <w:cols w:equalWidth="0" w:num="1">
            <w:col w:w="10000"/>
          </w:cols>
          <w:pgMar w:left="1240" w:top="557" w:right="660" w:bottom="145" w:gutter="0" w:footer="0" w:header="0"/>
          <w:type w:val="continuous"/>
        </w:sectPr>
      </w:pPr>
    </w:p>
    <w:bookmarkStart w:id="44" w:name="page45"/>
    <w:bookmarkEnd w:id="44"/>
    <w:p>
      <w:pPr>
        <w:jc w:val="both"/>
        <w:ind w:left="580" w:right="20"/>
        <w:spacing w:after="0" w:line="247" w:lineRule="auto"/>
        <w:rPr>
          <w:sz w:val="20"/>
          <w:szCs w:val="20"/>
          <w:color w:val="auto"/>
        </w:rPr>
      </w:pPr>
      <w:r>
        <w:rPr>
          <w:rFonts w:ascii="Times New Roman" w:cs="Times New Roman" w:eastAsia="Times New Roman" w:hAnsi="Times New Roman"/>
          <w:sz w:val="16"/>
          <w:szCs w:val="16"/>
          <w:color w:val="auto"/>
        </w:rPr>
        <w:t>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52" w:lineRule="exact"/>
        <w:rPr>
          <w:sz w:val="20"/>
          <w:szCs w:val="20"/>
          <w:color w:val="auto"/>
        </w:rPr>
      </w:pPr>
    </w:p>
    <w:p>
      <w:pPr>
        <w:jc w:val="both"/>
        <w:ind w:left="580" w:right="20" w:firstLine="578"/>
        <w:spacing w:after="0" w:line="299" w:lineRule="auto"/>
        <w:tabs>
          <w:tab w:leader="none" w:pos="1324"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8" w:lineRule="exact"/>
        <w:rPr>
          <w:rFonts w:ascii="Times New Roman" w:cs="Times New Roman" w:eastAsia="Times New Roman" w:hAnsi="Times New Roman"/>
          <w:sz w:val="14"/>
          <w:szCs w:val="14"/>
          <w:color w:val="auto"/>
        </w:rPr>
      </w:pPr>
    </w:p>
    <w:p>
      <w:pPr>
        <w:jc w:val="both"/>
        <w:ind w:left="580" w:right="20" w:firstLine="578"/>
        <w:spacing w:after="0" w:line="239" w:lineRule="auto"/>
        <w:tabs>
          <w:tab w:leader="none" w:pos="1288"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This Warrant may be modified or amended or the provisions hereof waived with the written consent of the Company, on the one hand, and the Holders or the beneficial owners of Warrants representing more than 50% of the Warrant Shares issuable under the Warrants then-outstanding (the “</w:t>
      </w:r>
      <w:r>
        <w:rPr>
          <w:rFonts w:ascii="Times New Roman" w:cs="Times New Roman" w:eastAsia="Times New Roman" w:hAnsi="Times New Roman"/>
          <w:sz w:val="16"/>
          <w:szCs w:val="16"/>
          <w:u w:val="single" w:color="auto"/>
          <w:color w:val="auto"/>
        </w:rPr>
        <w:t>Required Holders</w:t>
      </w:r>
      <w:r>
        <w:rPr>
          <w:rFonts w:ascii="Times New Roman" w:cs="Times New Roman" w:eastAsia="Times New Roman" w:hAnsi="Times New Roman"/>
          <w:sz w:val="16"/>
          <w:szCs w:val="16"/>
          <w:color w:val="auto"/>
        </w:rPr>
        <w:t>”) as of the date such consent is sought, on the other hand; provided, that if any amendment or modification disproportionately and adversely impacts a Holder (or group of Holders), the consent of such disproportionately impacted Holder (or group of Holders) shall also be required; provided further, that if any such amendment or modification shall affect the rights, immunities, liabilities, duties or obligations of the Warrant Agent, the Warrant Agent’s written consent to modify or amend the provisions hereof will be required.</w:t>
      </w:r>
    </w:p>
    <w:p>
      <w:pPr>
        <w:spacing w:after="0" w:line="161" w:lineRule="exact"/>
        <w:rPr>
          <w:rFonts w:ascii="Times New Roman" w:cs="Times New Roman" w:eastAsia="Times New Roman" w:hAnsi="Times New Roman"/>
          <w:sz w:val="16"/>
          <w:szCs w:val="16"/>
          <w:color w:val="auto"/>
        </w:rPr>
      </w:pPr>
    </w:p>
    <w:p>
      <w:pPr>
        <w:jc w:val="both"/>
        <w:ind w:left="580" w:right="20" w:firstLine="578"/>
        <w:spacing w:after="0" w:line="247" w:lineRule="auto"/>
        <w:tabs>
          <w:tab w:leader="none" w:pos="13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2" w:lineRule="exact"/>
        <w:rPr>
          <w:rFonts w:ascii="Times New Roman" w:cs="Times New Roman" w:eastAsia="Times New Roman" w:hAnsi="Times New Roman"/>
          <w:sz w:val="16"/>
          <w:szCs w:val="16"/>
          <w:color w:val="auto"/>
        </w:rPr>
      </w:pPr>
    </w:p>
    <w:p>
      <w:pPr>
        <w:ind w:left="1340" w:hanging="182"/>
        <w:spacing w:after="0"/>
        <w:tabs>
          <w:tab w:leader="none" w:pos="134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used in this Warrant are for the convenience of reference only and shall not, for any purpose, be deemed a part of this</w:t>
      </w:r>
    </w:p>
    <w:p>
      <w:pPr>
        <w:spacing w:after="0" w:line="14"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w:t>
      </w:r>
    </w:p>
    <w:p>
      <w:pPr>
        <w:spacing w:after="0" w:line="158" w:lineRule="exact"/>
        <w:rPr>
          <w:rFonts w:ascii="Times New Roman" w:cs="Times New Roman" w:eastAsia="Times New Roman" w:hAnsi="Times New Roman"/>
          <w:sz w:val="16"/>
          <w:szCs w:val="16"/>
          <w:color w:val="auto"/>
        </w:rPr>
      </w:pPr>
    </w:p>
    <w:p>
      <w:pPr>
        <w:ind w:left="580" w:right="40" w:firstLine="578"/>
        <w:spacing w:after="0" w:line="243" w:lineRule="auto"/>
        <w:tabs>
          <w:tab w:leader="none" w:pos="132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Agency Agreement</w:t>
      </w:r>
      <w:r>
        <w:rPr>
          <w:rFonts w:ascii="Times New Roman" w:cs="Times New Roman" w:eastAsia="Times New Roman" w:hAnsi="Times New Roman"/>
          <w:sz w:val="16"/>
          <w:szCs w:val="16"/>
          <w:color w:val="auto"/>
        </w:rPr>
        <w:t>. If this Warrant is held in global form through DTC (or any successor depositary), this Warrant is issued subject to the Warrant Agency Agreement. To the extent any provision of this Warrant conflicts with the express provisions of the Warrant Agency Agreement, the provisions of this Warrant shall govern and be controlling; provided, however, that the express terms of the Warrant Agency Agreement shall control and supersede any provision in this Warrant concerning the rights, duties, obligations, protections, immunities and liability of the Warrant Agent.</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WITNESS WHEREOF, the Company has caused this Warrant to be executed by its officer thereunto duly authorized as of the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indicated.</w:t>
      </w:r>
    </w:p>
    <w:p>
      <w:pPr>
        <w:spacing w:after="0" w:line="15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b w:val="1"/>
          <w:bCs w:val="1"/>
          <w:color w:val="auto"/>
        </w:rPr>
        <w:t>REED’S, INC.</w:t>
      </w:r>
    </w:p>
    <w:p>
      <w:pPr>
        <w:spacing w:after="0" w:line="17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5715</wp:posOffset>
            </wp:positionV>
            <wp:extent cx="30181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6"/>
          <w:szCs w:val="16"/>
          <w:color w:val="auto"/>
        </w:rPr>
        <w:t>Name:</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Title:</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TO: </w:t>
      </w:r>
      <w:r>
        <w:rPr>
          <w:rFonts w:ascii="Times New Roman" w:cs="Times New Roman" w:eastAsia="Times New Roman" w:hAnsi="Times New Roman"/>
          <w:sz w:val="16"/>
          <w:szCs w:val="16"/>
          <w:b w:val="1"/>
          <w:bCs w:val="1"/>
          <w:color w:val="auto"/>
        </w:rPr>
        <w:t>REED’S, INC.</w:t>
      </w:r>
    </w:p>
    <w:p>
      <w:pPr>
        <w:spacing w:after="0" w:line="178" w:lineRule="exact"/>
        <w:rPr>
          <w:sz w:val="20"/>
          <w:szCs w:val="20"/>
          <w:color w:val="auto"/>
        </w:rPr>
      </w:pPr>
    </w:p>
    <w:p>
      <w:pPr>
        <w:ind w:firstLine="6"/>
        <w:spacing w:after="0" w:line="259" w:lineRule="auto"/>
        <w:tabs>
          <w:tab w:leader="none" w:pos="221"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elects to purchase ________ Warrant Shares of the Company pursuant to the terms of the attached Warrant, and tenders herewith payment of the exercise price in the sum of $________, together with all applicable transfer taxes, if any.</w:t>
      </w:r>
    </w:p>
    <w:p>
      <w:pPr>
        <w:spacing w:after="0" w:line="143" w:lineRule="exact"/>
        <w:rPr>
          <w:rFonts w:ascii="Times New Roman" w:cs="Times New Roman" w:eastAsia="Times New Roman" w:hAnsi="Times New Roman"/>
          <w:sz w:val="16"/>
          <w:szCs w:val="16"/>
          <w:color w:val="auto"/>
        </w:rPr>
      </w:pPr>
    </w:p>
    <w:p>
      <w:pPr>
        <w:ind w:left="220" w:hanging="214"/>
        <w:spacing w:after="0"/>
        <w:tabs>
          <w:tab w:leader="none" w:pos="2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shall take the form of (check applicable box):</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13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lawful money of the United States; or</w:t>
      </w:r>
    </w:p>
    <w:p>
      <w:pPr>
        <w:spacing w:after="0" w:line="176" w:lineRule="exact"/>
        <w:rPr>
          <w:rFonts w:ascii="MS PGothic" w:cs="MS PGothic" w:eastAsia="MS PGothic" w:hAnsi="MS PGothic"/>
          <w:sz w:val="16"/>
          <w:szCs w:val="16"/>
          <w:color w:val="auto"/>
        </w:rPr>
      </w:pPr>
    </w:p>
    <w:p>
      <w:pPr>
        <w:ind w:left="580" w:right="20" w:hanging="286"/>
        <w:spacing w:after="0" w:line="259" w:lineRule="auto"/>
        <w:tabs>
          <w:tab w:leader="none" w:pos="580" w:val="left"/>
        </w:tabs>
        <w:numPr>
          <w:ilvl w:val="1"/>
          <w:numId w:val="13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43" w:lineRule="exact"/>
        <w:rPr>
          <w:rFonts w:ascii="MS PGothic" w:cs="MS PGothic" w:eastAsia="MS PGothic" w:hAnsi="MS PGothic"/>
          <w:sz w:val="16"/>
          <w:szCs w:val="16"/>
          <w:color w:val="auto"/>
        </w:rPr>
      </w:pPr>
    </w:p>
    <w:p>
      <w:pPr>
        <w:ind w:left="220" w:hanging="214"/>
        <w:spacing w:after="0"/>
        <w:tabs>
          <w:tab w:leader="none" w:pos="2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534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470535</wp:posOffset>
            </wp:positionV>
            <wp:extent cx="335343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ectPr>
          <w:pgSz w:w="11900" w:h="16840" w:orient="portrait"/>
          <w:cols w:equalWidth="0" w:num="1">
            <w:col w:w="10580"/>
          </w:cols>
          <w:pgMar w:left="660" w:top="557" w:right="660" w:bottom="37"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of Authorized Signatory:</w:t>
      </w:r>
    </w:p>
    <w:p>
      <w:pPr>
        <w:sectPr>
          <w:pgSz w:w="11900" w:h="16840" w:orient="portrait"/>
          <w:cols w:equalWidth="0" w:num="1">
            <w:col w:w="10580"/>
          </w:cols>
          <w:pgMar w:left="660" w:top="557" w:right="660" w:bottom="37"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422910</wp:posOffset>
            </wp:positionH>
            <wp:positionV relativeFrom="page">
              <wp:posOffset>590550</wp:posOffset>
            </wp:positionV>
            <wp:extent cx="335343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53435" cy="762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335343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ASSIGNMENT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To assign the foregoing Warrant, execute this form and supply required information. Do not use this form to purchase shares.</w:t>
      </w:r>
      <w:r>
        <w:rPr>
          <w:rFonts w:ascii="Times New Roman" w:cs="Times New Roman" w:eastAsia="Times New Roman" w:hAnsi="Times New Roman"/>
          <w:sz w:val="14"/>
          <w:szCs w:val="14"/>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5715</wp:posOffset>
            </wp:positionV>
            <wp:extent cx="268287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6"/>
          <w:szCs w:val="16"/>
          <w:color w:val="auto"/>
        </w:rPr>
        <w:t>(Please Print)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13335</wp:posOffset>
            </wp:positionV>
            <wp:extent cx="268287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9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-115570</wp:posOffset>
            </wp:positionV>
            <wp:extent cx="268287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5715</wp:posOffset>
            </wp:positionV>
            <wp:extent cx="268287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5715</wp:posOffset>
            </wp:positionV>
            <wp:extent cx="268287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5715</wp:posOffset>
            </wp:positionV>
            <wp:extent cx="268287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5715</wp:posOffset>
            </wp:positionV>
            <wp:extent cx="247713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77135"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13335</wp:posOffset>
            </wp:positionV>
            <wp:extent cx="247713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77135" cy="762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135255</wp:posOffset>
            </wp:positionV>
            <wp:extent cx="247713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77135" cy="7620"/>
                    </a:xfrm>
                    <a:prstGeom prst="rect">
                      <a:avLst/>
                    </a:prstGeom>
                    <a:noFill/>
                  </pic:spPr>
                </pic:pic>
              </a:graphicData>
            </a:graphic>
          </wp:anchor>
        </w:drawing>
      </w: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9800"/>
          </w:cols>
          <w:pgMar w:left="660" w:top="1109"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1143635" cy="3733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43635"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Courtney Tygesson</w:t>
      </w:r>
    </w:p>
    <w:p>
      <w:pPr>
        <w:spacing w:after="0" w:line="14" w:lineRule="exact"/>
        <w:rPr>
          <w:sz w:val="20"/>
          <w:szCs w:val="20"/>
          <w:color w:val="auto"/>
        </w:rPr>
      </w:pPr>
    </w:p>
    <w:p>
      <w:pPr>
        <w:ind w:right="9100" w:firstLine="6"/>
        <w:spacing w:after="0" w:line="304" w:lineRule="auto"/>
        <w:tabs>
          <w:tab w:leader="none" w:pos="17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(312) 881-6680 ctygesson@cooley.com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Reed’s,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501 Merritt 7 Corporate Park</w:t>
      </w:r>
    </w:p>
    <w:p>
      <w:pPr>
        <w:spacing w:after="0"/>
        <w:rPr>
          <w:sz w:val="20"/>
          <w:szCs w:val="20"/>
          <w:color w:val="auto"/>
        </w:rPr>
      </w:pPr>
      <w:r>
        <w:rPr>
          <w:rFonts w:ascii="Times New Roman" w:cs="Times New Roman" w:eastAsia="Times New Roman" w:hAnsi="Times New Roman"/>
          <w:sz w:val="16"/>
          <w:szCs w:val="16"/>
          <w:color w:val="auto"/>
        </w:rPr>
        <w:t>Norwalk, Connecticut 06851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7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We have acted as counsel to Reed’s,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in connection with the filing by the Company of a Registration Statement on Form S-1 (No. 333-291443)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with the Securities and Exchange Commission (the “</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pursuant to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including a related prospectus included in the Registration Statement (the “</w:t>
      </w:r>
      <w:r>
        <w:rPr>
          <w:rFonts w:ascii="Times New Roman" w:cs="Times New Roman" w:eastAsia="Times New Roman" w:hAnsi="Times New Roman"/>
          <w:sz w:val="16"/>
          <w:szCs w:val="16"/>
          <w:b w:val="1"/>
          <w:bCs w:val="1"/>
          <w:i w:val="1"/>
          <w:iCs w:val="1"/>
          <w:color w:val="auto"/>
        </w:rPr>
        <w:t>Prospectus</w:t>
      </w:r>
      <w:r>
        <w:rPr>
          <w:rFonts w:ascii="Times New Roman" w:cs="Times New Roman" w:eastAsia="Times New Roman" w:hAnsi="Times New Roman"/>
          <w:sz w:val="16"/>
          <w:szCs w:val="16"/>
          <w:color w:val="auto"/>
        </w:rPr>
        <w:t>”), covering an underwritten public offering of (i) up to 2,500,000 shares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of the Company’s common stock, par value $0.0001 per share, including up to 375,000 Shares that may be sold pursuant to the exercise of an option to purchase additional Shares granted to the underwriters, and (ii) warrants (the “</w:t>
      </w:r>
      <w:r>
        <w:rPr>
          <w:rFonts w:ascii="Times New Roman" w:cs="Times New Roman" w:eastAsia="Times New Roman" w:hAnsi="Times New Roman"/>
          <w:sz w:val="16"/>
          <w:szCs w:val="16"/>
          <w:b w:val="1"/>
          <w:bCs w:val="1"/>
          <w:i w:val="1"/>
          <w:iCs w:val="1"/>
          <w:color w:val="auto"/>
        </w:rPr>
        <w:t>Warrants</w:t>
      </w:r>
      <w:r>
        <w:rPr>
          <w:rFonts w:ascii="Times New Roman" w:cs="Times New Roman" w:eastAsia="Times New Roman" w:hAnsi="Times New Roman"/>
          <w:sz w:val="16"/>
          <w:szCs w:val="16"/>
          <w:color w:val="auto"/>
        </w:rPr>
        <w:t xml:space="preserve"> ”) to purchase up to 2,500,000 shares of Common Stock (the “</w:t>
      </w:r>
      <w:r>
        <w:rPr>
          <w:rFonts w:ascii="Times New Roman" w:cs="Times New Roman" w:eastAsia="Times New Roman" w:hAnsi="Times New Roman"/>
          <w:sz w:val="16"/>
          <w:szCs w:val="16"/>
          <w:b w:val="1"/>
          <w:bCs w:val="1"/>
          <w:i w:val="1"/>
          <w:iCs w:val="1"/>
          <w:color w:val="auto"/>
        </w:rPr>
        <w:t>Warrant Shares</w:t>
      </w:r>
      <w:r>
        <w:rPr>
          <w:rFonts w:ascii="Times New Roman" w:cs="Times New Roman" w:eastAsia="Times New Roman" w:hAnsi="Times New Roman"/>
          <w:sz w:val="16"/>
          <w:szCs w:val="16"/>
          <w:color w:val="auto"/>
        </w:rPr>
        <w:t>”), including Warrants to purchase up to 375,000 shares of Common Stock that may be sold pursuant to the exercise of an option to purchase additional Warrants granted to the underwriters.</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In connection with this opinion, we have (i) examined and relied upon (a) the Registration Statement and the Prospectus, (b) the form of the Warrants to be filed as an exhibit to the Registration Statement,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33"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We express no opinion with respect to the Warrants and the Warrant Shares to the extent that future issuances of securities of the Company, antidilution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shares of the Common Stock.</w:t>
      </w:r>
    </w:p>
    <w:p>
      <w:pPr>
        <w:spacing w:after="0" w:line="15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Our opinion is expressed only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regard to our opinion concerning the Warrants constituting binding obligations of the Company:</w:t>
      </w:r>
    </w:p>
    <w:p>
      <w:pPr>
        <w:spacing w:after="0" w:line="176" w:lineRule="exact"/>
        <w:rPr>
          <w:sz w:val="20"/>
          <w:szCs w:val="20"/>
          <w:color w:val="auto"/>
        </w:rPr>
      </w:pPr>
    </w:p>
    <w:p>
      <w:pPr>
        <w:jc w:val="both"/>
        <w:ind w:right="40" w:firstLine="582"/>
        <w:spacing w:after="0" w:line="247" w:lineRule="auto"/>
        <w:tabs>
          <w:tab w:leader="none" w:pos="779"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Cooley LLP 110 N. Wacker Drive, Suite 4200 Chicago, IL 60606</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 +1 312 818 6500 f: +1 312 818 6598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253365</wp:posOffset>
            </wp:positionV>
            <wp:extent cx="670750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581025</wp:posOffset>
            </wp:positionV>
            <wp:extent cx="1143635" cy="3733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43635"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Reed’s,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8, 2025</w:t>
      </w:r>
    </w:p>
    <w:p>
      <w:pPr>
        <w:spacing w:after="0"/>
        <w:rPr>
          <w:sz w:val="20"/>
          <w:szCs w:val="20"/>
          <w:color w:val="auto"/>
        </w:rPr>
      </w:pPr>
      <w:r>
        <w:rPr>
          <w:rFonts w:ascii="Times New Roman" w:cs="Times New Roman" w:eastAsia="Times New Roman" w:hAnsi="Times New Roman"/>
          <w:sz w:val="16"/>
          <w:szCs w:val="16"/>
          <w:color w:val="auto"/>
        </w:rPr>
        <w:t>Page Two</w:t>
      </w:r>
    </w:p>
    <w:p>
      <w:pPr>
        <w:spacing w:after="0" w:line="158" w:lineRule="exact"/>
        <w:rPr>
          <w:sz w:val="20"/>
          <w:szCs w:val="20"/>
          <w:color w:val="auto"/>
        </w:rPr>
      </w:pPr>
    </w:p>
    <w:p>
      <w:pPr>
        <w:jc w:val="both"/>
        <w:ind w:firstLine="582"/>
        <w:spacing w:after="0" w:line="247" w:lineRule="auto"/>
        <w:tabs>
          <w:tab w:leader="none" w:pos="835"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w:t>
      </w:r>
    </w:p>
    <w:p>
      <w:pPr>
        <w:spacing w:after="0" w:line="152" w:lineRule="exact"/>
        <w:rPr>
          <w:rFonts w:ascii="Times New Roman" w:cs="Times New Roman" w:eastAsia="Times New Roman" w:hAnsi="Times New Roman"/>
          <w:sz w:val="16"/>
          <w:szCs w:val="16"/>
          <w:color w:val="auto"/>
        </w:rPr>
      </w:pPr>
    </w:p>
    <w:p>
      <w:pPr>
        <w:jc w:val="both"/>
        <w:ind w:firstLine="582"/>
        <w:spacing w:after="0" w:line="238" w:lineRule="auto"/>
        <w:tabs>
          <w:tab w:leader="none" w:pos="859"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express no opinion with respect to any provision of the Warrants that: (a) relates to the subject matter jurisdiction of any federal court of the United States of America or any federal appellate court to adjudicate any controversy related to the Warrants; (b) specifies provisions that may be waived in writing, to the extent that an oral agreement or implied agreement by trade practice or course of conduct has been created that modifies such provision; (c) contains a waiver of an inconvenient forum; (d) provides for liquidated damages, buy-in damages, default interest, late charges, monetary penalties, prepayment or make-whole payments or other economic remedies; (e) relates to advance waivers of claims, defenses, rights granted by law, or notice, opportunity for hearing, evidentiary requirements, statutes of limitations, trial by jury, service of process or procedural rights; (f) restricts non-written modifications and waivers; (g) provides for the payment of legal and other professional fees where such payment is contrary to law or public policy; (h) relates to exclusivity, election or accumulation of rights or remedies; (i) authorizes or validates conclusive or discretionary determinations or (j) provides that provisions of the Warrants are severable to the extent an essential part of the agreed exchange is determined to be invalid and unenforceable; and</w:t>
      </w:r>
    </w:p>
    <w:p>
      <w:pPr>
        <w:spacing w:after="0" w:line="158" w:lineRule="exact"/>
        <w:rPr>
          <w:rFonts w:ascii="Times New Roman" w:cs="Times New Roman" w:eastAsia="Times New Roman" w:hAnsi="Times New Roman"/>
          <w:sz w:val="16"/>
          <w:szCs w:val="16"/>
          <w:color w:val="auto"/>
        </w:rPr>
      </w:pPr>
    </w:p>
    <w:p>
      <w:pPr>
        <w:ind w:right="40" w:firstLine="582"/>
        <w:spacing w:after="0" w:line="259" w:lineRule="auto"/>
        <w:tabs>
          <w:tab w:leader="none" w:pos="841"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express no opinion as to whether a state court outside of the State of New York or a federal court of the United States would give effect to the choice of New York law or jurisdiction provided for in the Warrants.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the basis of the foregoing, and in reliance thereon and subject to the assumptions, exceptions, limitations and qualifications set forth herein, we are of the opinion that</w:t>
      </w:r>
    </w:p>
    <w:p>
      <w:pPr>
        <w:spacing w:after="0" w:line="37" w:lineRule="exact"/>
        <w:rPr>
          <w:sz w:val="20"/>
          <w:szCs w:val="20"/>
          <w:color w:val="auto"/>
        </w:rPr>
      </w:pPr>
    </w:p>
    <w:p>
      <w:pPr>
        <w:jc w:val="both"/>
        <w:ind w:firstLine="6"/>
        <w:spacing w:after="0" w:line="236" w:lineRule="auto"/>
        <w:tabs>
          <w:tab w:leader="none" w:pos="207"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when sold and issued against payment therefor as described in the Registration Statement and the Prospectus, will be validly issued, fully paid and nonassessable, (ii) the Warrants, when duly executed by the Company and delivered to the purchasers thereof against payment therefor in accordance with the Registration Statement and the Prospectus, will be binding obligations of the Company, and (iii) the Warrant Shares, when issued and paid for in accordance with the terms of the Warrants, will be validly issued, fully paid and nonassessable.</w:t>
      </w:r>
    </w:p>
    <w:p>
      <w:pPr>
        <w:sectPr>
          <w:pgSz w:w="11900" w:h="16840" w:orient="portrait"/>
          <w:cols w:equalWidth="0" w:num="1">
            <w:col w:w="10580"/>
          </w:cols>
          <w:pgMar w:left="660" w:top="735" w:right="660" w:bottom="273"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506730</wp:posOffset>
            </wp:positionV>
            <wp:extent cx="670750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834390</wp:posOffset>
            </wp:positionV>
            <wp:extent cx="1143635" cy="3733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733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Reed’s,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8, 2025</w:t>
      </w:r>
    </w:p>
    <w:p>
      <w:pPr>
        <w:spacing w:after="0"/>
        <w:rPr>
          <w:sz w:val="20"/>
          <w:szCs w:val="20"/>
          <w:color w:val="auto"/>
        </w:rPr>
      </w:pPr>
      <w:r>
        <w:rPr>
          <w:rFonts w:ascii="Times New Roman" w:cs="Times New Roman" w:eastAsia="Times New Roman" w:hAnsi="Times New Roman"/>
          <w:sz w:val="16"/>
          <w:szCs w:val="16"/>
          <w:color w:val="auto"/>
        </w:rPr>
        <w:t>Page Three</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consent to the reference to our firm under the heading “Legal Matters” in the Prospectus included in the Registration Statement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Cooley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Courtney Tygesson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5715</wp:posOffset>
            </wp:positionV>
            <wp:extent cx="314769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6"/>
          <w:szCs w:val="16"/>
          <w:color w:val="auto"/>
        </w:rPr>
        <w:t>Courtney Tygesson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257810</wp:posOffset>
            </wp:positionV>
            <wp:extent cx="670750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 w:name="page49"/>
    <w:bookmarkEnd w:id="4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1)"/>
      <w:numFmt w:val="lowerRoman"/>
      <w:start w:val="1"/>
    </w:lvl>
  </w:abstractNum>
  <w:abstractNum w:abstractNumId="4">
    <w:nsid w:val="15014ACB"/>
    <w:multiLevelType w:val="hybridMultilevel"/>
    <w:lvl w:ilvl="0">
      <w:lvlJc w:val="left"/>
      <w:lvlText w:val="%1"/>
      <w:numFmt w:val="decimal"/>
      <w:start w:val="104"/>
    </w:lvl>
  </w:abstractNum>
  <w:abstractNum w:abstractNumId="5">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
    <w:nsid w:val="98A3148"/>
    <w:multiLevelType w:val="hybridMultilevel"/>
    <w:lvl w:ilvl="0">
      <w:lvlJc w:val="left"/>
      <w:lvlText w:val="%1"/>
      <w:numFmt w:val="lowerRoman"/>
      <w:start w:val="1"/>
    </w:lvl>
    <w:lvl w:ilvl="1">
      <w:lvlJc w:val="left"/>
      <w:lvlText w:val="(%2)"/>
      <w:numFmt w:val="upperLetter"/>
      <w:start w:val="2"/>
    </w:lvl>
  </w:abstractNum>
  <w:abstractNum w:abstractNumId="7">
    <w:nsid w:val="799D0247"/>
    <w:multiLevelType w:val="hybridMultilevel"/>
    <w:lvl w:ilvl="0">
      <w:lvlJc w:val="left"/>
      <w:lvlText w:val="(%1)"/>
      <w:numFmt w:val="lowerRoman"/>
      <w:start w:val="3"/>
    </w:lvl>
    <w:lvl w:ilvl="1">
      <w:lvlJc w:val="left"/>
      <w:lvlText w:val="(%2)"/>
      <w:numFmt w:val="upperLetter"/>
      <w:start w:val="1"/>
    </w:lvl>
  </w:abstractNum>
  <w:abstractNum w:abstractNumId="8">
    <w:nsid w:val="6B94764"/>
    <w:multiLevelType w:val="hybridMultilevel"/>
    <w:lvl w:ilvl="0">
      <w:lvlJc w:val="left"/>
      <w:lvlText w:val="(%1)"/>
      <w:numFmt w:val="upperLetter"/>
      <w:start w:val="3"/>
    </w:lvl>
  </w:abstractNum>
  <w:abstractNum w:abstractNumId="9">
    <w:nsid w:val="42C296B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0">
    <w:nsid w:val="168E121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
    <w:nsid w:val="1EBA5D23"/>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2">
    <w:nsid w:val="661E3F1E"/>
    <w:multiLevelType w:val="hybridMultilevel"/>
    <w:lvl w:ilvl="0">
      <w:lvlJc w:val="left"/>
      <w:lvlText w:val="(%1)"/>
      <w:numFmt w:val="upperLetter"/>
      <w:start w:val="3"/>
    </w:lvl>
  </w:abstractNum>
  <w:abstractNum w:abstractNumId="13">
    <w:nsid w:val="5DC79EA8"/>
    <w:multiLevelType w:val="hybridMultilevel"/>
    <w:lvl w:ilvl="0">
      <w:lvlJc w:val="left"/>
      <w:lvlText w:val="%1"/>
      <w:numFmt w:val="lowerLetter"/>
      <w:start w:val="1"/>
    </w:lvl>
    <w:lvl w:ilvl="1">
      <w:lvlJc w:val="left"/>
      <w:lvlText w:val="(%2)"/>
      <w:numFmt w:val="lowerRoman"/>
      <w:start w:val="2"/>
    </w:lvl>
  </w:abstractNum>
  <w:abstractNum w:abstractNumId="14">
    <w:nsid w:val="540A471C"/>
    <w:multiLevelType w:val="hybridMultilevel"/>
    <w:lvl w:ilvl="0">
      <w:lvlJc w:val="left"/>
      <w:lvlText w:val="(%1)"/>
      <w:numFmt w:val="lowerLetter"/>
      <w:start w:val="5"/>
    </w:lvl>
    <w:lvl w:ilvl="1">
      <w:lvlJc w:val="left"/>
      <w:lvlText w:val="(%2)"/>
      <w:numFmt w:val="lowerRoman"/>
      <w:start w:val="1"/>
    </w:lvl>
  </w:abstractNum>
  <w:abstractNum w:abstractNumId="15">
    <w:nsid w:val="7BD3EE7B"/>
    <w:multiLevelType w:val="hybridMultilevel"/>
    <w:lvl w:ilvl="0">
      <w:lvlJc w:val="left"/>
      <w:lvlText w:val="(%1)"/>
      <w:numFmt w:val="lowerLetter"/>
      <w:start w:val="6"/>
    </w:lvl>
  </w:abstractNum>
  <w:abstractNum w:abstractNumId="16">
    <w:nsid w:val="51D9C564"/>
    <w:multiLevelType w:val="hybridMultilevel"/>
    <w:lvl w:ilvl="0">
      <w:lvlJc w:val="left"/>
      <w:lvlText w:val="(%1)"/>
      <w:numFmt w:val="lowerLetter"/>
      <w:start w:val="8"/>
    </w:lvl>
  </w:abstractNum>
  <w:abstractNum w:abstractNumId="17">
    <w:nsid w:val="613EFDC5"/>
    <w:multiLevelType w:val="hybridMultilevel"/>
    <w:lvl w:ilvl="0">
      <w:lvlJc w:val="left"/>
      <w:lvlText w:val="(%1)"/>
      <w:numFmt w:val="lowerRoman"/>
      <w:start w:val="1"/>
    </w:lvl>
    <w:lvl w:ilvl="1">
      <w:lvlJc w:val="left"/>
      <w:lvlText w:val="(%2)"/>
      <w:numFmt w:val="lowerRoman"/>
      <w:start w:val="1"/>
    </w:lvl>
  </w:abstractNum>
  <w:abstractNum w:abstractNumId="18">
    <w:nsid w:val="BF72B14"/>
    <w:multiLevelType w:val="hybridMultilevel"/>
    <w:lvl w:ilvl="0">
      <w:lvlJc w:val="left"/>
      <w:lvlText w:val="(%1)"/>
      <w:numFmt w:val="lowerLetter"/>
      <w:start w:val="10"/>
    </w:lvl>
  </w:abstractNum>
  <w:abstractNum w:abstractNumId="19">
    <w:nsid w:val="11447B73"/>
    <w:multiLevelType w:val="hybridMultilevel"/>
    <w:lvl w:ilvl="0">
      <w:lvlJc w:val="left"/>
      <w:lvlText w:val="(%1)"/>
      <w:numFmt w:val="lowerLetter"/>
      <w:start w:val="14"/>
    </w:lvl>
    <w:lvl w:ilvl="1">
      <w:lvlJc w:val="left"/>
      <w:lvlText w:val="(%2)"/>
      <w:numFmt w:val="lowerLetter"/>
      <w:start w:val="9"/>
    </w:lvl>
  </w:abstractNum>
  <w:abstractNum w:abstractNumId="20">
    <w:nsid w:val="42963E5A"/>
    <w:multiLevelType w:val="hybridMultilevel"/>
    <w:lvl w:ilvl="0">
      <w:lvlJc w:val="left"/>
      <w:lvlText w:val="%1"/>
      <w:numFmt w:val="lowerLetter"/>
      <w:start w:val="1"/>
    </w:lvl>
    <w:lvl w:ilvl="1">
      <w:lvlJc w:val="left"/>
      <w:lvlText w:val="(%2)"/>
      <w:numFmt w:val="lowerLetter"/>
      <w:start w:val="35"/>
    </w:lvl>
  </w:abstractNum>
  <w:abstractNum w:abstractNumId="21">
    <w:nsid w:val="A0382C5"/>
    <w:multiLevelType w:val="hybridMultilevel"/>
    <w:lvl w:ilvl="0">
      <w:lvlJc w:val="left"/>
      <w:lvlText w:val="(%1)"/>
      <w:numFmt w:val="lowerLetter"/>
      <w:start w:val="16"/>
    </w:lvl>
    <w:lvl w:ilvl="1">
      <w:lvlJc w:val="left"/>
      <w:lvlText w:val="%2"/>
      <w:numFmt w:val="lowerLetter"/>
      <w:start w:val="1"/>
    </w:lvl>
  </w:abstractNum>
  <w:abstractNum w:abstractNumId="22">
    <w:nsid w:val="8F2B15E"/>
    <w:multiLevelType w:val="hybridMultilevel"/>
    <w:lvl w:ilvl="0">
      <w:lvlJc w:val="left"/>
      <w:lvlText w:val="(%1)"/>
      <w:numFmt w:val="lowerLetter"/>
      <w:start w:val="18"/>
    </w:lvl>
    <w:lvl w:ilvl="1">
      <w:lvlJc w:val="left"/>
      <w:lvlText w:val="(%2)"/>
      <w:numFmt w:val="lowerRoman"/>
      <w:start w:val="1"/>
    </w:lvl>
  </w:abstractNum>
  <w:abstractNum w:abstractNumId="23">
    <w:nsid w:val="1A32234B"/>
    <w:multiLevelType w:val="hybridMultilevel"/>
    <w:lvl w:ilvl="0">
      <w:lvlJc w:val="left"/>
      <w:lvlText w:val="(%1)"/>
      <w:numFmt w:val="lowerLetter"/>
      <w:start w:val="23"/>
    </w:lvl>
  </w:abstractNum>
  <w:abstractNum w:abstractNumId="24">
    <w:nsid w:val="3B0FD379"/>
    <w:multiLevelType w:val="hybridMultilevel"/>
    <w:lvl w:ilvl="0">
      <w:lvlJc w:val="left"/>
      <w:lvlText w:val="(%1)"/>
      <w:numFmt w:val="lowerLetter"/>
      <w:start w:val="25"/>
    </w:lvl>
  </w:abstractNum>
  <w:abstractNum w:abstractNumId="25">
    <w:nsid w:val="68EB2F63"/>
    <w:multiLevelType w:val="hybridMultilevel"/>
    <w:lvl w:ilvl="0">
      <w:lvlJc w:val="left"/>
      <w:lvlText w:val="(%1)"/>
      <w:numFmt w:val="lowerLetter"/>
      <w:start w:val="27"/>
    </w:lvl>
    <w:lvl w:ilvl="1">
      <w:lvlJc w:val="left"/>
      <w:lvlText w:val="(%2)"/>
      <w:numFmt w:val="lowerRoman"/>
      <w:start w:val="1"/>
    </w:lvl>
  </w:abstractNum>
  <w:abstractNum w:abstractNumId="26">
    <w:nsid w:val="4962813B"/>
    <w:multiLevelType w:val="hybridMultilevel"/>
    <w:lvl w:ilvl="0">
      <w:lvlJc w:val="left"/>
      <w:lvlText w:val="(%1)"/>
      <w:numFmt w:val="lowerLetter"/>
      <w:start w:val="30"/>
    </w:lvl>
  </w:abstractNum>
  <w:abstractNum w:abstractNumId="27">
    <w:nsid w:val="60B6DF70"/>
    <w:multiLevelType w:val="hybridMultilevel"/>
    <w:lvl w:ilvl="0">
      <w:lvlJc w:val="left"/>
      <w:lvlText w:val="(%1)"/>
      <w:numFmt w:val="lowerRoman"/>
      <w:start w:val="2"/>
    </w:lvl>
  </w:abstractNum>
  <w:abstractNum w:abstractNumId="28">
    <w:nsid w:val="6A5EE64"/>
    <w:multiLevelType w:val="hybridMultilevel"/>
    <w:lvl w:ilvl="0">
      <w:lvlJc w:val="left"/>
      <w:lvlText w:val="(%1)"/>
      <w:numFmt w:val="lowerLetter"/>
      <w:start w:val="36"/>
    </w:lvl>
  </w:abstractNum>
  <w:abstractNum w:abstractNumId="29">
    <w:nsid w:val="14330624"/>
    <w:multiLevelType w:val="hybridMultilevel"/>
    <w:lvl w:ilvl="0">
      <w:lvlJc w:val="left"/>
      <w:lvlText w:val="%1"/>
      <w:numFmt w:val="decimal"/>
      <w:start w:val="1"/>
    </w:lvl>
    <w:lvl w:ilvl="1">
      <w:lvlJc w:val="left"/>
      <w:lvlText w:val="(%2)"/>
      <w:numFmt w:val="lowerLetter"/>
      <w:start w:val="43"/>
    </w:lvl>
    <w:lvl w:ilvl="2">
      <w:lvlJc w:val="left"/>
      <w:lvlText w:val="%3"/>
      <w:numFmt w:val="lowerLetter"/>
      <w:start w:val="1"/>
    </w:lvl>
  </w:abstractNum>
  <w:abstractNum w:abstractNumId="30">
    <w:nsid w:val="7FFFCA1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1">
    <w:nsid w:val="1A27709E"/>
    <w:multiLevelType w:val="hybridMultilevel"/>
    <w:lvl w:ilvl="0">
      <w:lvlJc w:val="left"/>
      <w:lvlText w:val="(%1)"/>
      <w:numFmt w:val="lowerRoman"/>
      <w:start w:val="2"/>
    </w:lvl>
  </w:abstractNum>
  <w:abstractNum w:abstractNumId="32">
    <w:nsid w:val="71EA1109"/>
    <w:multiLevelType w:val="hybridMultilevel"/>
    <w:lvl w:ilvl="0">
      <w:lvlJc w:val="left"/>
      <w:lvlText w:val="(%1)"/>
      <w:numFmt w:val="lowerLetter"/>
      <w:start w:val="3"/>
    </w:lvl>
    <w:lvl w:ilvl="1">
      <w:lvlJc w:val="left"/>
      <w:lvlText w:val="(%2)"/>
      <w:numFmt w:val="lowerLetter"/>
      <w:start w:val="9"/>
    </w:lvl>
  </w:abstractNum>
  <w:abstractNum w:abstractNumId="33">
    <w:nsid w:val="100F59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4">
    <w:nsid w:val="7FB7E0AA"/>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9"/>
    </w:lvl>
  </w:abstractNum>
  <w:abstractNum w:abstractNumId="35">
    <w:nsid w:val="6EB5BD4"/>
    <w:multiLevelType w:val="hybridMultilevel"/>
    <w:lvl w:ilvl="0">
      <w:lvlJc w:val="left"/>
      <w:lvlText w:val="(%1)"/>
      <w:numFmt w:val="lowerLetter"/>
      <w:start w:val="12"/>
    </w:lvl>
    <w:lvl w:ilvl="1">
      <w:lvlJc w:val="left"/>
      <w:lvlText w:val="(%2)"/>
      <w:numFmt w:val="lowerLetter"/>
      <w:start w:val="7"/>
    </w:lvl>
    <w:lvl w:ilvl="2">
      <w:lvlJc w:val="left"/>
      <w:lvlText w:val="(%3)"/>
      <w:numFmt w:val="lowerLetter"/>
      <w:start w:val="35"/>
    </w:lvl>
  </w:abstractNum>
  <w:abstractNum w:abstractNumId="36">
    <w:nsid w:val="6F6DD9AC"/>
    <w:multiLevelType w:val="hybridMultilevel"/>
    <w:lvl w:ilvl="0">
      <w:lvlJc w:val="left"/>
      <w:lvlText w:val="(%1)"/>
      <w:numFmt w:val="lowerLetter"/>
      <w:start w:val="10"/>
    </w:lvl>
    <w:lvl w:ilvl="1">
      <w:lvlJc w:val="left"/>
      <w:lvlText w:val="(%2)"/>
      <w:numFmt w:val="lowerRoman"/>
      <w:start w:val="1"/>
    </w:lvl>
  </w:abstractNum>
  <w:abstractNum w:abstractNumId="37">
    <w:nsid w:val="94211F2"/>
    <w:multiLevelType w:val="hybridMultilevel"/>
    <w:lvl w:ilvl="0">
      <w:lvlJc w:val="left"/>
      <w:lvlText w:val="(%1)"/>
      <w:numFmt w:val="lowerLetter"/>
      <w:start w:val="16"/>
    </w:lvl>
  </w:abstractNum>
  <w:abstractNum w:abstractNumId="38">
    <w:nsid w:val="885E1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9">
    <w:nsid w:val="76272110"/>
    <w:multiLevelType w:val="hybridMultilevel"/>
    <w:lvl w:ilvl="0">
      <w:lvlJc w:val="left"/>
      <w:lvlText w:val="(%1)"/>
      <w:numFmt w:val="lowerLetter"/>
      <w:start w:val="3"/>
    </w:lvl>
    <w:lvl w:ilvl="1">
      <w:lvlJc w:val="left"/>
      <w:lvlText w:val="(%2)"/>
      <w:numFmt w:val="lowerRoman"/>
      <w:start w:val="1"/>
    </w:lvl>
  </w:abstractNum>
  <w:abstractNum w:abstractNumId="40">
    <w:nsid w:val="4C04A8AF"/>
    <w:multiLevelType w:val="hybridMultilevel"/>
    <w:lvl w:ilvl="0">
      <w:lvlJc w:val="left"/>
      <w:lvlText w:val="(%1)"/>
      <w:numFmt w:val="lowerLetter"/>
      <w:start w:val="6"/>
    </w:lvl>
  </w:abstractNum>
  <w:abstractNum w:abstractNumId="41">
    <w:nsid w:val="1716703B"/>
    <w:multiLevelType w:val="hybridMultilevel"/>
    <w:lvl w:ilvl="0">
      <w:lvlJc w:val="left"/>
      <w:lvlText w:val="%1"/>
      <w:numFmt w:val="decimal"/>
      <w:start w:val="1"/>
    </w:lvl>
    <w:lvl w:ilvl="1">
      <w:lvlJc w:val="left"/>
      <w:lvlText w:val="(%2)"/>
      <w:numFmt w:val="lowerLetter"/>
      <w:start w:val="7"/>
    </w:lvl>
  </w:abstractNum>
  <w:abstractNum w:abstractNumId="42">
    <w:nsid w:val="14E17E33"/>
    <w:multiLevelType w:val="hybridMultilevel"/>
    <w:lvl w:ilvl="0">
      <w:lvlJc w:val="left"/>
      <w:lvlText w:val="%1."/>
      <w:numFmt w:val="decimal"/>
      <w:start w:val="5"/>
    </w:lvl>
    <w:lvl w:ilvl="1">
      <w:lvlJc w:val="left"/>
      <w:lvlText w:val="(%2)"/>
      <w:numFmt w:val="lowerLetter"/>
      <w:start w:val="1"/>
    </w:lvl>
  </w:abstractNum>
  <w:abstractNum w:abstractNumId="43">
    <w:nsid w:val="3222E7CD"/>
    <w:multiLevelType w:val="hybridMultilevel"/>
    <w:lvl w:ilvl="0">
      <w:lvlJc w:val="left"/>
      <w:lvlText w:val="(%1)"/>
      <w:numFmt w:val="lowerLetter"/>
      <w:start w:val="2"/>
    </w:lvl>
  </w:abstractNum>
  <w:abstractNum w:abstractNumId="44">
    <w:nsid w:val="74DE0EE3"/>
    <w:multiLevelType w:val="hybridMultilevel"/>
    <w:lvl w:ilvl="0">
      <w:lvlJc w:val="left"/>
      <w:lvlText w:val="%1"/>
      <w:numFmt w:val="decimal"/>
      <w:start w:val="1"/>
    </w:lvl>
    <w:lvl w:ilvl="1">
      <w:lvlJc w:val="left"/>
      <w:lvlText w:val="(%2)"/>
      <w:numFmt w:val="lowerLetter"/>
      <w:start w:val="5"/>
    </w:lvl>
  </w:abstractNum>
  <w:abstractNum w:abstractNumId="45">
    <w:nsid w:val="68EBC550"/>
    <w:multiLevelType w:val="hybridMultilevel"/>
    <w:lvl w:ilvl="0">
      <w:lvlJc w:val="left"/>
      <w:lvlText w:val="%1."/>
      <w:numFmt w:val="decimal"/>
      <w:start w:val="6"/>
    </w:lvl>
    <w:lvl w:ilvl="1">
      <w:lvlJc w:val="left"/>
      <w:lvlText w:val="(%2)"/>
      <w:numFmt w:val="lowerLetter"/>
      <w:start w:val="1"/>
    </w:lvl>
  </w:abstractNum>
  <w:abstractNum w:abstractNumId="46">
    <w:nsid w:val="2DF6D648"/>
    <w:multiLevelType w:val="hybridMultilevel"/>
    <w:lvl w:ilvl="0">
      <w:lvlJc w:val="left"/>
      <w:lvlText w:val="%1"/>
      <w:numFmt w:val="decimal"/>
      <w:start w:val="1"/>
    </w:lvl>
    <w:lvl w:ilvl="1">
      <w:lvlJc w:val="left"/>
      <w:lvlText w:val="(%2)"/>
      <w:numFmt w:val="lowerLetter"/>
      <w:start w:val="3"/>
    </w:lvl>
  </w:abstractNum>
  <w:abstractNum w:abstractNumId="47">
    <w:nsid w:val="46B7D447"/>
    <w:multiLevelType w:val="hybridMultilevel"/>
    <w:lvl w:ilvl="0">
      <w:lvlJc w:val="left"/>
      <w:lvlText w:val="%1."/>
      <w:numFmt w:val="decimal"/>
      <w:start w:val="7"/>
    </w:lvl>
    <w:lvl w:ilvl="1">
      <w:lvlJc w:val="left"/>
      <w:lvlText w:val="%2"/>
      <w:numFmt w:val="lowerLetter"/>
      <w:start w:val="1"/>
    </w:lvl>
  </w:abstractNum>
  <w:abstractNum w:abstractNumId="48">
    <w:nsid w:val="4A2AC315"/>
    <w:multiLevelType w:val="hybridMultilevel"/>
    <w:lvl w:ilvl="0">
      <w:lvlJc w:val="left"/>
      <w:lvlText w:val="%1."/>
      <w:numFmt w:val="decimal"/>
      <w:start w:val="8"/>
    </w:lvl>
    <w:lvl w:ilvl="1">
      <w:lvlJc w:val="left"/>
      <w:lvlText w:val="(%2)"/>
      <w:numFmt w:val="lowerLetter"/>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1"/>
      <w:numFmt w:val="decimal"/>
      <w:start w:val="1"/>
    </w:lvl>
    <w:lvl w:ilvl="1">
      <w:lvlJc w:val="left"/>
      <w:lvlText w:val="(%2)"/>
      <w:numFmt w:val="lowerLetter"/>
      <w:start w:val="5"/>
    </w:lvl>
  </w:abstractNum>
  <w:abstractNum w:abstractNumId="51">
    <w:nsid w:val="CC1016F"/>
    <w:multiLevelType w:val="hybridMultilevel"/>
    <w:lvl w:ilvl="0">
      <w:lvlJc w:val="left"/>
      <w:lvlText w:val="%1."/>
      <w:numFmt w:val="decimal"/>
      <w:start w:val="9"/>
    </w:lvl>
    <w:lvl w:ilvl="1">
      <w:lvlJc w:val="left"/>
      <w:lvlText w:val="(%2)"/>
      <w:numFmt w:val="lowerLetter"/>
      <w:start w:val="1"/>
    </w:lvl>
  </w:abstractNum>
  <w:abstractNum w:abstractNumId="52">
    <w:nsid w:val="43F18422"/>
    <w:multiLevelType w:val="hybridMultilevel"/>
    <w:lvl w:ilvl="0">
      <w:lvlJc w:val="left"/>
      <w:lvlText w:val="(%1)"/>
      <w:numFmt w:val="lowerLetter"/>
      <w:start w:val="2"/>
    </w:lvl>
  </w:abstractNum>
  <w:abstractNum w:abstractNumId="53">
    <w:nsid w:val="60EF0119"/>
    <w:multiLevelType w:val="hybridMultilevel"/>
    <w:lvl w:ilvl="0">
      <w:lvlJc w:val="left"/>
      <w:lvlText w:val="(%1)"/>
      <w:numFmt w:val="lowerLetter"/>
      <w:start w:val="6"/>
    </w:lvl>
  </w:abstractNum>
  <w:abstractNum w:abstractNumId="54">
    <w:nsid w:val="26F324BA"/>
    <w:multiLevelType w:val="hybridMultilevel"/>
    <w:lvl w:ilvl="0">
      <w:lvlJc w:val="left"/>
      <w:lvlText w:val="%1)"/>
      <w:numFmt w:val="lowerLetter"/>
      <w:start w:val="1"/>
    </w:lvl>
  </w:abstractNum>
  <w:abstractNum w:abstractNumId="55">
    <w:nsid w:val="7F01579B"/>
    <w:multiLevelType w:val="hybridMultilevel"/>
    <w:lvl w:ilvl="0">
      <w:lvlJc w:val="left"/>
      <w:lvlText w:val="%1)"/>
      <w:numFmt w:val="lowerLetter"/>
      <w:start w:val="3"/>
    </w:lvl>
  </w:abstractNum>
  <w:abstractNum w:abstractNumId="56">
    <w:nsid w:val="49DA307D"/>
    <w:multiLevelType w:val="hybridMultilevel"/>
    <w:lvl w:ilvl="0">
      <w:lvlJc w:val="left"/>
      <w:lvlText w:val="(%1)"/>
      <w:numFmt w:val="upperLetter"/>
      <w:start w:val="1"/>
    </w:lvl>
  </w:abstractNum>
  <w:abstractNum w:abstractNumId="57">
    <w:nsid w:val="7055A5F5"/>
    <w:multiLevelType w:val="hybridMultilevel"/>
    <w:lvl w:ilvl="0">
      <w:lvlJc w:val="left"/>
      <w:lvlText w:val="(%1)"/>
      <w:numFmt w:val="upperLetter"/>
      <w:start w:val="24"/>
    </w:lvl>
  </w:abstractNum>
  <w:abstractNum w:abstractNumId="58">
    <w:nsid w:val="5FB8370B"/>
    <w:multiLevelType w:val="hybridMultilevel"/>
    <w:lvl w:ilvl="0">
      <w:lvlJc w:val="left"/>
      <w:lvlText w:val="%1)"/>
      <w:numFmt w:val="lowerLetter"/>
      <w:start w:val="4"/>
    </w:lvl>
    <w:lvl w:ilvl="1">
      <w:lvlJc w:val="left"/>
      <w:lvlText w:val="%2."/>
      <w:numFmt w:val="lowerRoman"/>
      <w:start w:val="1"/>
    </w:lvl>
  </w:abstractNum>
  <w:abstractNum w:abstractNumId="59">
    <w:nsid w:val="50801EE1"/>
    <w:multiLevelType w:val="hybridMultilevel"/>
    <w:lvl w:ilvl="0">
      <w:lvlJc w:val="left"/>
      <w:lvlText w:val="%1."/>
      <w:numFmt w:val="lowerRoman"/>
      <w:start w:val="2"/>
    </w:lvl>
  </w:abstractNum>
  <w:abstractNum w:abstractNumId="60">
    <w:nsid w:val="488AC1A"/>
    <w:multiLevelType w:val="hybridMultilevel"/>
    <w:lvl w:ilvl="0">
      <w:lvlJc w:val="left"/>
      <w:lvlText w:val="%1."/>
      <w:numFmt w:val="lowerRoman"/>
      <w:start w:val="3"/>
    </w:lvl>
  </w:abstractNum>
  <w:abstractNum w:abstractNumId="61">
    <w:nsid w:val="5FB8011C"/>
    <w:multiLevelType w:val="hybridMultilevel"/>
    <w:lvl w:ilvl="0">
      <w:lvlJc w:val="left"/>
      <w:lvlText w:val="%1"/>
      <w:numFmt w:val="lowerLetter"/>
      <w:start w:val="1"/>
    </w:lvl>
    <w:lvl w:ilvl="1">
      <w:lvlJc w:val="left"/>
      <w:lvlText w:val="%2."/>
      <w:numFmt w:val="lowerRoman"/>
      <w:start w:val="6"/>
    </w:lvl>
  </w:abstractNum>
  <w:abstractNum w:abstractNumId="62">
    <w:nsid w:val="6AA78F7F"/>
    <w:multiLevelType w:val="hybridMultilevel"/>
    <w:lvl w:ilvl="0">
      <w:lvlJc w:val="left"/>
      <w:lvlText w:val="%1)"/>
      <w:numFmt w:val="lowerLetter"/>
      <w:start w:val="5"/>
    </w:lvl>
    <w:lvl w:ilvl="1">
      <w:lvlJc w:val="left"/>
      <w:lvlText w:val="%2"/>
      <w:numFmt w:val="lowerRoman"/>
      <w:start w:val="1"/>
    </w:lvl>
  </w:abstractNum>
  <w:abstractNum w:abstractNumId="63">
    <w:nsid w:val="7672BD23"/>
    <w:multiLevelType w:val="hybridMultilevel"/>
    <w:lvl w:ilvl="0">
      <w:lvlJc w:val="left"/>
      <w:lvlText w:val="%1)"/>
      <w:numFmt w:val="lowerLetter"/>
      <w:start w:val="2"/>
    </w:lvl>
  </w:abstractNum>
  <w:abstractNum w:abstractNumId="64">
    <w:nsid w:val="6FC75AF8"/>
    <w:multiLevelType w:val="hybridMultilevel"/>
    <w:lvl w:ilvl="0">
      <w:lvlJc w:val="left"/>
      <w:lvlText w:val="%1)"/>
      <w:numFmt w:val="lowerLetter"/>
      <w:start w:val="5"/>
    </w:lvl>
    <w:lvl w:ilvl="1">
      <w:lvlJc w:val="left"/>
      <w:lvlText w:val="%2."/>
      <w:numFmt w:val="lowerRoman"/>
      <w:start w:val="1"/>
    </w:lvl>
  </w:abstractNum>
  <w:abstractNum w:abstractNumId="65">
    <w:nsid w:val="6A5F7029"/>
    <w:multiLevelType w:val="hybridMultilevel"/>
    <w:lvl w:ilvl="0">
      <w:lvlJc w:val="left"/>
      <w:lvlText w:val="%1)"/>
      <w:numFmt w:val="lowerLetter"/>
      <w:start w:val="1"/>
    </w:lvl>
  </w:abstractNum>
  <w:abstractNum w:abstractNumId="66">
    <w:nsid w:val="7D5E18F8"/>
    <w:multiLevelType w:val="hybridMultilevel"/>
    <w:lvl w:ilvl="0">
      <w:lvlJc w:val="left"/>
      <w:lvlText w:val="%1)"/>
      <w:numFmt w:val="lowerLetter"/>
      <w:start w:val="2"/>
    </w:lvl>
  </w:abstractNum>
  <w:abstractNum w:abstractNumId="67">
    <w:nsid w:val="5F3534A4"/>
    <w:multiLevelType w:val="hybridMultilevel"/>
    <w:lvl w:ilvl="0">
      <w:lvlJc w:val="left"/>
      <w:lvlText w:val="%1)"/>
      <w:numFmt w:val="lowerLetter"/>
      <w:start w:val="1"/>
    </w:lvl>
  </w:abstractNum>
  <w:abstractNum w:abstractNumId="68">
    <w:nsid w:val="73A1821B"/>
    <w:multiLevelType w:val="hybridMultilevel"/>
    <w:lvl w:ilvl="0">
      <w:lvlJc w:val="left"/>
      <w:lvlText w:val="%1)"/>
      <w:numFmt w:val="lowerLetter"/>
      <w:start w:val="5"/>
    </w:lvl>
  </w:abstractNum>
  <w:abstractNum w:abstractNumId="69">
    <w:nsid w:val="7DE67713"/>
    <w:multiLevelType w:val="hybridMultilevel"/>
    <w:lvl w:ilvl="0">
      <w:lvlJc w:val="left"/>
      <w:lvlText w:val="%1)"/>
      <w:numFmt w:val="lowerLetter"/>
      <w:start w:val="8"/>
    </w:lvl>
  </w:abstractNum>
  <w:abstractNum w:abstractNumId="70">
    <w:nsid w:val="555C55B5"/>
    <w:multiLevelType w:val="hybridMultilevel"/>
    <w:lvl w:ilvl="0">
      <w:lvlJc w:val="left"/>
      <w:lvlText w:val="%1)"/>
      <w:numFmt w:val="lowerLetter"/>
      <w:start w:val="9"/>
    </w:lvl>
  </w:abstractNum>
  <w:abstractNum w:abstractNumId="71">
    <w:nsid w:val="3FA62ACA"/>
    <w:multiLevelType w:val="hybridMultilevel"/>
    <w:lvl w:ilvl="0">
      <w:lvlJc w:val="left"/>
      <w:lvlText w:val="%1)"/>
      <w:numFmt w:val="lowerLetter"/>
      <w:start w:val="13"/>
    </w:lvl>
  </w:abstractNum>
  <w:abstractNum w:abstractNumId="72">
    <w:nsid w:val="14FCE74E"/>
    <w:multiLevelType w:val="hybridMultilevel"/>
    <w:lvl w:ilvl="0">
      <w:lvlJc w:val="left"/>
      <w:lvlText w:val="(%1)"/>
      <w:numFmt w:val="decimal"/>
      <w:start w:val="1"/>
    </w:lvl>
    <w:lvl w:ilvl="1">
      <w:lvlJc w:val="left"/>
      <w:lvlText w:val="☐"/>
      <w:numFmt w:val="bullet"/>
      <w:start w:val="1"/>
    </w:lvl>
  </w:abstractNum>
  <w:abstractNum w:abstractNumId="73">
    <w:nsid w:val="6A3DD3E8"/>
    <w:multiLevelType w:val="hybridMultilevel"/>
    <w:lvl w:ilvl="0">
      <w:lvlJc w:val="left"/>
      <w:lvlText w:val="(%1)"/>
      <w:numFmt w:val="decimal"/>
      <w:start w:val="2"/>
    </w:lvl>
    <w:lvl w:ilvl="1">
      <w:lvlJc w:val="left"/>
      <w:lvlText w:val="☐"/>
      <w:numFmt w:val="bullet"/>
      <w:start w:val="1"/>
    </w:lvl>
  </w:abstractNum>
  <w:abstractNum w:abstractNumId="74">
    <w:nsid w:val="71C91298"/>
    <w:multiLevelType w:val="hybridMultilevel"/>
    <w:lvl w:ilvl="0">
      <w:lvlJc w:val="left"/>
      <w:lvlText w:val="(%1)"/>
      <w:numFmt w:val="decimal"/>
      <w:start w:val="1"/>
    </w:lvl>
  </w:abstractNum>
  <w:abstractNum w:abstractNumId="75">
    <w:nsid w:val="9DAF632"/>
    <w:multiLevelType w:val="hybridMultilevel"/>
    <w:lvl w:ilvl="0">
      <w:lvlJc w:val="left"/>
      <w:lvlText w:val="(%1)"/>
      <w:numFmt w:val="lowerLetter"/>
      <w:start w:val="1"/>
    </w:lvl>
  </w:abstractNum>
  <w:abstractNum w:abstractNumId="76">
    <w:nsid w:val="53299938"/>
    <w:multiLevelType w:val="hybridMultilevel"/>
    <w:lvl w:ilvl="0">
      <w:lvlJc w:val="left"/>
      <w:lvlText w:val="(%1)"/>
      <w:numFmt w:val="lowerLetter"/>
      <w:start w:val="1"/>
    </w:lvl>
    <w:lvl w:ilvl="1">
      <w:lvlJc w:val="left"/>
      <w:lvlText w:val="(%2)"/>
      <w:numFmt w:val="lowerRoman"/>
      <w:start w:val="1"/>
    </w:lvl>
  </w:abstractNum>
  <w:abstractNum w:abstractNumId="77">
    <w:nsid w:val="1FBFE8E0"/>
    <w:multiLevelType w:val="hybridMultilevel"/>
    <w:lvl w:ilvl="0">
      <w:lvlJc w:val="left"/>
      <w:lvlText w:val="(%1)"/>
      <w:numFmt w:val="lowerLetter"/>
      <w:start w:val="2"/>
    </w:lvl>
    <w:lvl w:ilvl="1">
      <w:lvlJc w:val="left"/>
      <w:lvlText w:val="(%2)"/>
      <w:numFmt w:val="decimal"/>
      <w:start w:val="1"/>
    </w:lvl>
  </w:abstractNum>
  <w:abstractNum w:abstractNumId="78">
    <w:nsid w:val="5092CA79"/>
    <w:multiLevelType w:val="hybridMultilevel"/>
    <w:lvl w:ilvl="0">
      <w:lvlJc w:val="left"/>
      <w:lvlText w:val="(%1)"/>
      <w:numFmt w:val="upperLetter"/>
      <w:start w:val="1"/>
    </w:lvl>
  </w:abstractNum>
  <w:abstractNum w:abstractNumId="79">
    <w:nsid w:val="1D545C4D"/>
    <w:multiLevelType w:val="hybridMultilevel"/>
    <w:lvl w:ilvl="0">
      <w:lvlJc w:val="left"/>
      <w:lvlText w:val="(%1)"/>
      <w:numFmt w:val="decimal"/>
      <w:start w:val="2"/>
    </w:lvl>
  </w:abstractNum>
  <w:abstractNum w:abstractNumId="80">
    <w:nsid w:val="59ADEA3D"/>
    <w:multiLevelType w:val="hybridMultilevel"/>
    <w:lvl w:ilvl="0">
      <w:lvlJc w:val="left"/>
      <w:lvlText w:val="(%1)"/>
      <w:numFmt w:val="upperLetter"/>
      <w:start w:val="1"/>
    </w:lvl>
  </w:abstractNum>
  <w:abstractNum w:abstractNumId="81">
    <w:nsid w:val="288F1A34"/>
    <w:multiLevelType w:val="hybridMultilevel"/>
    <w:lvl w:ilvl="0">
      <w:lvlJc w:val="left"/>
      <w:lvlText w:val="(%1)"/>
      <w:numFmt w:val="decimal"/>
      <w:start w:val="3"/>
    </w:lvl>
  </w:abstractNum>
  <w:abstractNum w:abstractNumId="82">
    <w:nsid w:val="2A155DBC"/>
    <w:multiLevelType w:val="hybridMultilevel"/>
    <w:lvl w:ilvl="0">
      <w:lvlJc w:val="left"/>
      <w:lvlText w:val="(%1)"/>
      <w:numFmt w:val="decimal"/>
      <w:start w:val="4"/>
    </w:lvl>
  </w:abstractNum>
  <w:abstractNum w:abstractNumId="83">
    <w:nsid w:val="1D9F6E5F"/>
    <w:multiLevelType w:val="hybridMultilevel"/>
    <w:lvl w:ilvl="0">
      <w:lvlJc w:val="left"/>
      <w:lvlText w:val="(%1)"/>
      <w:numFmt w:val="upperLetter"/>
      <w:start w:val="1"/>
    </w:lvl>
    <w:lvl w:ilvl="1">
      <w:lvlJc w:val="left"/>
      <w:lvlText w:val="(%2)"/>
      <w:numFmt w:val="lowerLetter"/>
      <w:start w:val="24"/>
    </w:lvl>
  </w:abstractNum>
  <w:abstractNum w:abstractNumId="84">
    <w:nsid w:val="97E1B4E"/>
    <w:multiLevelType w:val="hybridMultilevel"/>
    <w:lvl w:ilvl="0">
      <w:lvlJc w:val="left"/>
      <w:lvlText w:val="(%1)"/>
      <w:numFmt w:val="lowerLetter"/>
      <w:start w:val="3"/>
    </w:lvl>
  </w:abstractNum>
  <w:abstractNum w:abstractNumId="85">
    <w:nsid w:val="51088277"/>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24"/>
    </w:lvl>
  </w:abstractNum>
  <w:abstractNum w:abstractNumId="86">
    <w:nsid w:val="1CA0C5FA"/>
    <w:multiLevelType w:val="hybridMultilevel"/>
    <w:lvl w:ilvl="0">
      <w:lvlJc w:val="left"/>
      <w:lvlText w:val="(%1)"/>
      <w:numFmt w:val="decimal"/>
      <w:start w:val="5"/>
    </w:lvl>
  </w:abstractNum>
  <w:abstractNum w:abstractNumId="87">
    <w:nsid w:val="53584BCB"/>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88">
    <w:nsid w:val="415E286C"/>
    <w:multiLevelType w:val="hybridMultilevel"/>
    <w:lvl w:ilvl="0">
      <w:lvlJc w:val="left"/>
      <w:lvlText w:val="(%1)"/>
      <w:numFmt w:val="decimal"/>
      <w:start w:val="5"/>
    </w:lvl>
  </w:abstractNum>
  <w:abstractNum w:abstractNumId="89">
    <w:nsid w:val="7C58FD05"/>
    <w:multiLevelType w:val="hybridMultilevel"/>
    <w:lvl w:ilvl="0">
      <w:lvlJc w:val="left"/>
      <w:lvlText w:val="(%1)"/>
      <w:numFmt w:val="lowerLetter"/>
      <w:start w:val="1"/>
    </w:lvl>
    <w:lvl w:ilvl="1">
      <w:lvlJc w:val="left"/>
      <w:lvlText w:val="(%2)"/>
      <w:numFmt w:val="lowerRoman"/>
      <w:start w:val="1"/>
    </w:lvl>
  </w:abstractNum>
  <w:abstractNum w:abstractNumId="90">
    <w:nsid w:val="23D86AAC"/>
    <w:multiLevelType w:val="hybridMultilevel"/>
    <w:lvl w:ilvl="0">
      <w:lvlJc w:val="left"/>
      <w:lvlText w:val="(%1)"/>
      <w:numFmt w:val="lowerLetter"/>
      <w:start w:val="4"/>
    </w:lvl>
  </w:abstractNum>
  <w:abstractNum w:abstractNumId="91">
    <w:nsid w:val="45E6D486"/>
    <w:multiLevelType w:val="hybridMultilevel"/>
    <w:lvl w:ilvl="0">
      <w:lvlJc w:val="left"/>
      <w:lvlText w:val="(%1)"/>
      <w:numFmt w:val="lowerLetter"/>
      <w:start w:val="5"/>
    </w:lvl>
  </w:abstractNum>
  <w:abstractNum w:abstractNumId="92">
    <w:nsid w:val="5C10FE21"/>
    <w:multiLevelType w:val="hybridMultilevel"/>
    <w:lvl w:ilvl="0">
      <w:lvlJc w:val="left"/>
      <w:lvlText w:val="(%1)"/>
      <w:numFmt w:val="lowerRoman"/>
      <w:start w:val="1"/>
    </w:lvl>
  </w:abstractNum>
  <w:abstractNum w:abstractNumId="93">
    <w:nsid w:val="E7FFA2B"/>
    <w:multiLevelType w:val="hybridMultilevel"/>
    <w:lvl w:ilvl="0">
      <w:lvlJc w:val="left"/>
      <w:lvlText w:val="(%1)"/>
      <w:numFmt w:val="lowerLetter"/>
      <w:start w:val="1"/>
    </w:lvl>
  </w:abstractNum>
  <w:abstractNum w:abstractNumId="94">
    <w:nsid w:val="3C5991AA"/>
    <w:multiLevelType w:val="hybridMultilevel"/>
    <w:lvl w:ilvl="0">
      <w:lvlJc w:val="left"/>
      <w:lvlText w:val="(%1)"/>
      <w:numFmt w:val="lowerLetter"/>
      <w:start w:val="1"/>
    </w:lvl>
    <w:lvl w:ilvl="1">
      <w:lvlJc w:val="left"/>
      <w:lvlText w:val="(%2)"/>
      <w:numFmt w:val="decimal"/>
      <w:start w:val="1"/>
    </w:lvl>
  </w:abstractNum>
  <w:abstractNum w:abstractNumId="95">
    <w:nsid w:val="4BD8591A"/>
    <w:multiLevelType w:val="hybridMultilevel"/>
    <w:lvl w:ilvl="0">
      <w:lvlJc w:val="left"/>
      <w:lvlText w:val="(%1)"/>
      <w:numFmt w:val="lowerLetter"/>
      <w:start w:val="1"/>
    </w:lvl>
  </w:abstractNum>
  <w:abstractNum w:abstractNumId="96">
    <w:nsid w:val="78DF6A55"/>
    <w:multiLevelType w:val="hybridMultilevel"/>
    <w:lvl w:ilvl="0">
      <w:lvlJc w:val="left"/>
      <w:lvlText w:val="(%1)"/>
      <w:numFmt w:val="decimal"/>
      <w:start w:val="1"/>
    </w:lvl>
  </w:abstractNum>
  <w:abstractNum w:abstractNumId="97">
    <w:nsid w:val="39B7AAA2"/>
    <w:multiLevelType w:val="hybridMultilevel"/>
    <w:lvl w:ilvl="0">
      <w:lvlJc w:val="left"/>
      <w:lvlText w:val="(%1)"/>
      <w:numFmt w:val="lowerLetter"/>
      <w:start w:val="1"/>
    </w:lvl>
  </w:abstractNum>
  <w:abstractNum w:abstractNumId="98">
    <w:nsid w:val="2B0D8DBE"/>
    <w:multiLevelType w:val="hybridMultilevel"/>
    <w:lvl w:ilvl="0">
      <w:lvlJc w:val="left"/>
      <w:lvlText w:val="(%1)"/>
      <w:numFmt w:val="lowerLetter"/>
      <w:start w:val="1"/>
    </w:lvl>
  </w:abstractNum>
  <w:abstractNum w:abstractNumId="99">
    <w:nsid w:val="6C80EC70"/>
    <w:multiLevelType w:val="hybridMultilevel"/>
    <w:lvl w:ilvl="0">
      <w:lvlJc w:val="left"/>
      <w:lvlText w:val="(%1)"/>
      <w:numFmt w:val="lowerLetter"/>
      <w:start w:val="1"/>
    </w:lvl>
  </w:abstractNum>
  <w:abstractNum w:abstractNumId="100">
    <w:nsid w:val="379E21B5"/>
    <w:multiLevelType w:val="hybridMultilevel"/>
    <w:lvl w:ilvl="0">
      <w:lvlJc w:val="left"/>
      <w:lvlText w:val="(%1)"/>
      <w:numFmt w:val="lowerLetter"/>
      <w:start w:val="1"/>
    </w:lvl>
  </w:abstractNum>
  <w:abstractNum w:abstractNumId="101">
    <w:nsid w:val="69E373"/>
    <w:multiLevelType w:val="hybridMultilevel"/>
    <w:lvl w:ilvl="0">
      <w:lvlJc w:val="left"/>
      <w:lvlText w:val="(%1)"/>
      <w:numFmt w:val="lowerLetter"/>
      <w:start w:val="1"/>
    </w:lvl>
  </w:abstractNum>
  <w:abstractNum w:abstractNumId="102">
    <w:nsid w:val="2C27173B"/>
    <w:multiLevelType w:val="hybridMultilevel"/>
    <w:lvl w:ilvl="0">
      <w:lvlJc w:val="left"/>
      <w:lvlText w:val="(%1)"/>
      <w:numFmt w:val="lowerLetter"/>
      <w:start w:val="1"/>
    </w:lvl>
  </w:abstractNum>
  <w:abstractNum w:abstractNumId="103">
    <w:nsid w:val="4C9B0904"/>
    <w:multiLevelType w:val="hybridMultilevel"/>
    <w:lvl w:ilvl="0">
      <w:lvlJc w:val="left"/>
      <w:lvlText w:val="(%1)"/>
      <w:numFmt w:val="lowerLetter"/>
      <w:start w:val="1"/>
    </w:lvl>
  </w:abstractNum>
  <w:abstractNum w:abstractNumId="104">
    <w:nsid w:val="6AA7B75C"/>
    <w:multiLevelType w:val="hybridMultilevel"/>
    <w:lvl w:ilvl="0">
      <w:lvlJc w:val="left"/>
      <w:lvlText w:val="(%1)"/>
      <w:numFmt w:val="lowerLetter"/>
      <w:start w:val="1"/>
    </w:lvl>
  </w:abstractNum>
  <w:abstractNum w:abstractNumId="105">
    <w:nsid w:val="1DF029D3"/>
    <w:multiLevelType w:val="hybridMultilevel"/>
    <w:lvl w:ilvl="0">
      <w:lvlJc w:val="left"/>
      <w:lvlText w:val="(%1)"/>
      <w:numFmt w:val="lowerRoman"/>
      <w:start w:val="2"/>
    </w:lvl>
  </w:abstractNum>
  <w:abstractNum w:abstractNumId="106">
    <w:nsid w:val="5675FF36"/>
    <w:multiLevelType w:val="hybridMultilevel"/>
    <w:lvl w:ilvl="0">
      <w:lvlJc w:val="left"/>
      <w:lvlText w:val="(%1)"/>
      <w:numFmt w:val="lowerLetter"/>
      <w:start w:val="5"/>
    </w:lvl>
    <w:lvl w:ilvl="1">
      <w:lvlJc w:val="left"/>
      <w:lvlText w:val="(%2)"/>
      <w:numFmt w:val="decimal"/>
      <w:start w:val="1"/>
    </w:lvl>
  </w:abstractNum>
  <w:abstractNum w:abstractNumId="107">
    <w:nsid w:val="3DD15094"/>
    <w:multiLevelType w:val="hybridMultilevel"/>
    <w:lvl w:ilvl="0">
      <w:lvlJc w:val="left"/>
      <w:lvlText w:val="(%1)"/>
      <w:numFmt w:val="lowerLetter"/>
      <w:start w:val="1"/>
    </w:lvl>
  </w:abstractNum>
  <w:abstractNum w:abstractNumId="108">
    <w:nsid w:val="3DB012B3"/>
    <w:multiLevelType w:val="hybridMultilevel"/>
    <w:lvl w:ilvl="0">
      <w:lvlJc w:val="left"/>
      <w:lvlText w:val="(%1)"/>
      <w:numFmt w:val="lowerLetter"/>
      <w:start w:val="5"/>
    </w:lvl>
  </w:abstractNum>
  <w:abstractNum w:abstractNumId="109">
    <w:nsid w:val="2708C9AF"/>
    <w:multiLevelType w:val="hybridMultilevel"/>
    <w:lvl w:ilvl="0">
      <w:lvlJc w:val="left"/>
      <w:lvlText w:val="(%1)"/>
      <w:numFmt w:val="lowerLetter"/>
      <w:start w:val="2"/>
    </w:lvl>
  </w:abstractNum>
  <w:abstractNum w:abstractNumId="110">
    <w:nsid w:val="5B25ACE2"/>
    <w:multiLevelType w:val="hybridMultilevel"/>
    <w:lvl w:ilvl="0">
      <w:lvlJc w:val="left"/>
      <w:lvlText w:val="%1)"/>
      <w:numFmt w:val="lowerLetter"/>
      <w:start w:val="1"/>
    </w:lvl>
  </w:abstractNum>
  <w:abstractNum w:abstractNumId="111">
    <w:nsid w:val="175DFCF0"/>
    <w:multiLevelType w:val="hybridMultilevel"/>
    <w:lvl w:ilvl="0">
      <w:lvlJc w:val="left"/>
      <w:lvlText w:val="%1)"/>
      <w:numFmt w:val="lowerLetter"/>
      <w:start w:val="3"/>
    </w:lvl>
  </w:abstractNum>
  <w:abstractNum w:abstractNumId="112">
    <w:nsid w:val="4F97E3E4"/>
    <w:multiLevelType w:val="hybridMultilevel"/>
    <w:lvl w:ilvl="0">
      <w:lvlJc w:val="left"/>
      <w:lvlText w:val="(%1)"/>
      <w:numFmt w:val="upperLetter"/>
      <w:start w:val="1"/>
    </w:lvl>
  </w:abstractNum>
  <w:abstractNum w:abstractNumId="113">
    <w:nsid w:val="53B0A9E"/>
    <w:multiLevelType w:val="hybridMultilevel"/>
    <w:lvl w:ilvl="0">
      <w:lvlJc w:val="left"/>
      <w:lvlText w:val="(%1)"/>
      <w:numFmt w:val="upperLetter"/>
      <w:start w:val="24"/>
    </w:lvl>
  </w:abstractNum>
  <w:abstractNum w:abstractNumId="114">
    <w:nsid w:val="34FD6B4F"/>
    <w:multiLevelType w:val="hybridMultilevel"/>
    <w:lvl w:ilvl="0">
      <w:lvlJc w:val="left"/>
      <w:lvlText w:val="%1)"/>
      <w:numFmt w:val="lowerLetter"/>
      <w:start w:val="4"/>
    </w:lvl>
    <w:lvl w:ilvl="1">
      <w:lvlJc w:val="left"/>
      <w:lvlText w:val="%2."/>
      <w:numFmt w:val="lowerRoman"/>
      <w:start w:val="1"/>
    </w:lvl>
  </w:abstractNum>
  <w:abstractNum w:abstractNumId="115">
    <w:nsid w:val="5915FF32"/>
    <w:multiLevelType w:val="hybridMultilevel"/>
    <w:lvl w:ilvl="0">
      <w:lvlJc w:val="left"/>
      <w:lvlText w:val="%1."/>
      <w:numFmt w:val="lowerRoman"/>
      <w:start w:val="4"/>
    </w:lvl>
  </w:abstractNum>
  <w:abstractNum w:abstractNumId="116">
    <w:nsid w:val="56438D15"/>
    <w:multiLevelType w:val="hybridMultilevel"/>
    <w:lvl w:ilvl="0">
      <w:lvlJc w:val="left"/>
      <w:lvlText w:val="%1."/>
      <w:numFmt w:val="lowerRoman"/>
      <w:start w:val="5"/>
    </w:lvl>
  </w:abstractNum>
  <w:abstractNum w:abstractNumId="117">
    <w:nsid w:val="519E3149"/>
    <w:multiLevelType w:val="hybridMultilevel"/>
    <w:lvl w:ilvl="0">
      <w:lvlJc w:val="left"/>
      <w:lvlText w:val="%1"/>
      <w:numFmt w:val="lowerLetter"/>
      <w:start w:val="1"/>
    </w:lvl>
    <w:lvl w:ilvl="1">
      <w:lvlJc w:val="left"/>
      <w:lvlText w:val="%2."/>
      <w:numFmt w:val="lowerRoman"/>
      <w:start w:val="7"/>
    </w:lvl>
  </w:abstractNum>
  <w:abstractNum w:abstractNumId="118">
    <w:nsid w:val="2C6E4AFD"/>
    <w:multiLevelType w:val="hybridMultilevel"/>
    <w:lvl w:ilvl="0">
      <w:lvlJc w:val="left"/>
      <w:lvlText w:val="%1)"/>
      <w:numFmt w:val="lowerLetter"/>
      <w:start w:val="5"/>
    </w:lvl>
    <w:lvl w:ilvl="1">
      <w:lvlJc w:val="left"/>
      <w:lvlText w:val="%2"/>
      <w:numFmt w:val="lowerRoman"/>
      <w:start w:val="1"/>
    </w:lvl>
  </w:abstractNum>
  <w:abstractNum w:abstractNumId="119">
    <w:nsid w:val="17A1B582"/>
    <w:multiLevelType w:val="hybridMultilevel"/>
    <w:lvl w:ilvl="0">
      <w:lvlJc w:val="left"/>
      <w:lvlText w:val="%1)"/>
      <w:numFmt w:val="lowerLetter"/>
      <w:start w:val="2"/>
    </w:lvl>
  </w:abstractNum>
  <w:abstractNum w:abstractNumId="120">
    <w:nsid w:val="4DF72E4E"/>
    <w:multiLevelType w:val="hybridMultilevel"/>
    <w:lvl w:ilvl="0">
      <w:lvlJc w:val="left"/>
      <w:lvlText w:val="%1)"/>
      <w:numFmt w:val="lowerLetter"/>
      <w:start w:val="3"/>
    </w:lvl>
  </w:abstractNum>
  <w:abstractNum w:abstractNumId="121">
    <w:nsid w:val="5046B5A9"/>
    <w:multiLevelType w:val="hybridMultilevel"/>
    <w:lvl w:ilvl="0">
      <w:lvlJc w:val="left"/>
      <w:lvlText w:val="%1)"/>
      <w:numFmt w:val="lowerLetter"/>
      <w:start w:val="5"/>
    </w:lvl>
    <w:lvl w:ilvl="1">
      <w:lvlJc w:val="left"/>
      <w:lvlText w:val="%2."/>
      <w:numFmt w:val="lowerRoman"/>
      <w:start w:val="1"/>
    </w:lvl>
  </w:abstractNum>
  <w:abstractNum w:abstractNumId="122">
    <w:nsid w:val="5D888A08"/>
    <w:multiLevelType w:val="hybridMultilevel"/>
    <w:lvl w:ilvl="0">
      <w:lvlJc w:val="left"/>
      <w:lvlText w:val="%1)"/>
      <w:numFmt w:val="lowerLetter"/>
      <w:start w:val="1"/>
    </w:lvl>
  </w:abstractNum>
  <w:abstractNum w:abstractNumId="123">
    <w:nsid w:val="2A082C70"/>
    <w:multiLevelType w:val="hybridMultilevel"/>
    <w:lvl w:ilvl="0">
      <w:lvlJc w:val="left"/>
      <w:lvlText w:val="%1)"/>
      <w:numFmt w:val="lowerLetter"/>
      <w:start w:val="2"/>
    </w:lvl>
  </w:abstractNum>
  <w:abstractNum w:abstractNumId="124">
    <w:nsid w:val="5EC6AFD4"/>
    <w:multiLevelType w:val="hybridMultilevel"/>
    <w:lvl w:ilvl="0">
      <w:lvlJc w:val="left"/>
      <w:lvlText w:val="%1)"/>
      <w:numFmt w:val="lowerLetter"/>
      <w:start w:val="1"/>
    </w:lvl>
  </w:abstractNum>
  <w:abstractNum w:abstractNumId="125">
    <w:nsid w:val="19E21BB2"/>
    <w:multiLevelType w:val="hybridMultilevel"/>
    <w:lvl w:ilvl="0">
      <w:lvlJc w:val="left"/>
      <w:lvlText w:val="%1)"/>
      <w:numFmt w:val="lowerLetter"/>
      <w:start w:val="5"/>
    </w:lvl>
  </w:abstractNum>
  <w:abstractNum w:abstractNumId="126">
    <w:nsid w:val="75E0858A"/>
    <w:multiLevelType w:val="hybridMultilevel"/>
    <w:lvl w:ilvl="0">
      <w:lvlJc w:val="left"/>
      <w:lvlText w:val="%1)"/>
      <w:numFmt w:val="lowerLetter"/>
      <w:start w:val="7"/>
    </w:lvl>
  </w:abstractNum>
  <w:abstractNum w:abstractNumId="127">
    <w:nsid w:val="57A61A29"/>
    <w:multiLevelType w:val="hybridMultilevel"/>
    <w:lvl w:ilvl="0">
      <w:lvlJc w:val="left"/>
      <w:lvlText w:val="%1)"/>
      <w:numFmt w:val="lowerRoman"/>
      <w:start w:val="1"/>
    </w:lvl>
  </w:abstractNum>
  <w:abstractNum w:abstractNumId="128">
    <w:nsid w:val="5399C654"/>
    <w:multiLevelType w:val="hybridMultilevel"/>
    <w:lvl w:ilvl="0">
      <w:lvlJc w:val="left"/>
      <w:lvlText w:val="%1)"/>
      <w:numFmt w:val="lowerLetter"/>
      <w:start w:val="11"/>
    </w:lvl>
  </w:abstractNum>
  <w:abstractNum w:abstractNumId="129">
    <w:nsid w:val="20EE1348"/>
    <w:multiLevelType w:val="hybridMultilevel"/>
    <w:lvl w:ilvl="0">
      <w:lvlJc w:val="left"/>
      <w:lvlText w:val="(%1)"/>
      <w:numFmt w:val="decimal"/>
      <w:start w:val="1"/>
    </w:lvl>
    <w:lvl w:ilvl="1">
      <w:lvlJc w:val="left"/>
      <w:lvlText w:val="☐"/>
      <w:numFmt w:val="bullet"/>
      <w:start w:val="1"/>
    </w:lvl>
  </w:abstractNum>
  <w:abstractNum w:abstractNumId="130">
    <w:nsid w:val="4427069A"/>
    <w:multiLevelType w:val="hybridMultilevel"/>
    <w:lvl w:ilvl="0">
      <w:lvlJc w:val="left"/>
      <w:lvlText w:val="%1:"/>
      <w:numFmt w:val="upperLetter"/>
      <w:start w:val="20"/>
    </w:lvl>
  </w:abstractNum>
  <w:abstractNum w:abstractNumId="131">
    <w:nsid w:val="B37E80A"/>
    <w:multiLevelType w:val="hybridMultilevel"/>
    <w:lvl w:ilvl="0">
      <w:lvlJc w:val="left"/>
      <w:lvlText w:val="(%1)"/>
      <w:numFmt w:val="lowerRoman"/>
      <w:start w:val="1"/>
    </w:lvl>
  </w:abstractNum>
  <w:abstractNum w:abstractNumId="132">
    <w:nsid w:val="2157F6BC"/>
    <w:multiLevelType w:val="hybridMultilevel"/>
    <w:lvl w:ilvl="0">
      <w:lvlJc w:val="left"/>
      <w:lvlText w:val="(%1)"/>
      <w:numFmt w:val="lowerRoman"/>
      <w:start w:val="2"/>
    </w:lvl>
  </w:abstractNum>
  <w:abstractNum w:abstractNumId="133">
    <w:nsid w:val="704E1DD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2025-12-08T16:59:43Z</dcterms:created>
  <dcterms:modified xsi:type="dcterms:W3CDTF">2025-12-08T16:59:43Z</dcterms:modified>
</cp:coreProperties>
</file>