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3940" w:right="1440" w:hanging="2494"/>
        <w:spacing w:after="0" w:line="500" w:lineRule="auto"/>
        <w:tabs>
          <w:tab w:leader="none" w:pos="1745"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UNDER SECTION 13 OR 15(d) OF THE SECURITIES EXCHANGE ACT OF 1934 For the quarterly period ended March 31, 2020</w:t>
      </w:r>
    </w:p>
    <w:p>
      <w:pPr>
        <w:spacing w:after="0" w:line="2" w:lineRule="exact"/>
        <w:rPr>
          <w:sz w:val="24"/>
          <w:szCs w:val="24"/>
          <w:color w:val="auto"/>
        </w:rPr>
      </w:pPr>
    </w:p>
    <w:p>
      <w:pPr>
        <w:jc w:val="center"/>
        <w:ind w:left="3780" w:right="1980" w:hanging="1790"/>
        <w:spacing w:after="0" w:line="500" w:lineRule="auto"/>
        <w:tabs>
          <w:tab w:leader="none" w:pos="213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UNDER SECTION 13 OR 15(d) OF THE EXCHANGE ACT OF 1934 For the transition period from _______ to _______</w:t>
      </w:r>
    </w:p>
    <w:p>
      <w:pPr>
        <w:spacing w:after="0" w:line="1" w:lineRule="exact"/>
        <w:rPr>
          <w:rFonts w:ascii="Arial" w:cs="Arial" w:eastAsia="Arial" w:hAnsi="Arial"/>
          <w:sz w:val="18"/>
          <w:szCs w:val="18"/>
          <w:color w:val="auto"/>
        </w:rPr>
      </w:pPr>
    </w:p>
    <w:p>
      <w:pPr>
        <w:ind w:left="4300"/>
        <w:spacing w:after="0"/>
        <w:rPr>
          <w:rFonts w:ascii="Arial" w:cs="Arial" w:eastAsia="Arial" w:hAnsi="Arial"/>
          <w:sz w:val="18"/>
          <w:szCs w:val="18"/>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REED’S,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9" w:lineRule="exact"/>
        <w:rPr>
          <w:sz w:val="24"/>
          <w:szCs w:val="24"/>
          <w:color w:val="auto"/>
        </w:rPr>
      </w:pPr>
    </w:p>
    <w:p>
      <w:pPr>
        <w:jc w:val="center"/>
        <w:ind w:right="158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158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jc w:val="center"/>
        <w:ind w:right="1580"/>
        <w:spacing w:after="0"/>
        <w:rPr>
          <w:sz w:val="20"/>
          <w:szCs w:val="20"/>
          <w:color w:val="auto"/>
        </w:rPr>
      </w:pPr>
      <w:r>
        <w:rPr>
          <w:rFonts w:ascii="Arial" w:cs="Arial" w:eastAsia="Arial" w:hAnsi="Arial"/>
          <w:sz w:val="17"/>
          <w:szCs w:val="17"/>
          <w:color w:val="auto"/>
        </w:rPr>
        <w:t>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2080"/>
        <w:spacing w:after="0"/>
        <w:rPr>
          <w:sz w:val="20"/>
          <w:szCs w:val="20"/>
          <w:color w:val="auto"/>
        </w:rPr>
      </w:pPr>
      <w:r>
        <w:rPr>
          <w:rFonts w:ascii="Arial" w:cs="Arial" w:eastAsia="Arial" w:hAnsi="Arial"/>
          <w:sz w:val="18"/>
          <w:szCs w:val="18"/>
          <w:color w:val="auto"/>
        </w:rPr>
        <w:t>35-2177773</w:t>
      </w:r>
    </w:p>
    <w:p>
      <w:pPr>
        <w:spacing w:after="0" w:line="23" w:lineRule="exact"/>
        <w:rPr>
          <w:sz w:val="24"/>
          <w:szCs w:val="24"/>
          <w:color w:val="auto"/>
        </w:rPr>
      </w:pPr>
    </w:p>
    <w:p>
      <w:pPr>
        <w:jc w:val="center"/>
        <w:ind w:right="20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746" w:right="339" w:bottom="1440" w:gutter="0" w:footer="0" w:header="0"/>
          <w:type w:val="continuous"/>
        </w:sectPr>
      </w:pP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201 Merritt 7, Norwalk, CT. 06851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 (Zip Code)</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(800) 997-3337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746" w:right="339" w:bottom="1440" w:gutter="0" w:footer="0" w:header="0"/>
          <w:type w:val="continuous"/>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Large Accelerated Filer [ ]</w:t>
            </w:r>
          </w:p>
        </w:tc>
        <w:tc>
          <w:tcPr>
            <w:tcW w:w="3680" w:type="dxa"/>
            <w:vAlign w:val="bottom"/>
          </w:tcPr>
          <w:p>
            <w:pPr>
              <w:ind w:left="680"/>
              <w:spacing w:after="0"/>
              <w:rPr>
                <w:sz w:val="20"/>
                <w:szCs w:val="20"/>
                <w:color w:val="auto"/>
              </w:rPr>
            </w:pPr>
            <w:r>
              <w:rPr>
                <w:rFonts w:ascii="Arial" w:cs="Arial" w:eastAsia="Arial" w:hAnsi="Arial"/>
                <w:sz w:val="18"/>
                <w:szCs w:val="18"/>
                <w:color w:val="auto"/>
              </w:rPr>
              <w:t>Accelerated Filer [X]</w:t>
            </w:r>
          </w:p>
        </w:tc>
        <w:tc>
          <w:tcPr>
            <w:tcW w:w="3360" w:type="dxa"/>
            <w:vAlign w:val="bottom"/>
          </w:tcPr>
          <w:p>
            <w:pPr>
              <w:ind w:left="720"/>
              <w:spacing w:after="0"/>
              <w:rPr>
                <w:sz w:val="20"/>
                <w:szCs w:val="20"/>
                <w:color w:val="auto"/>
              </w:rPr>
            </w:pPr>
            <w:r>
              <w:rPr>
                <w:rFonts w:ascii="Arial" w:cs="Arial" w:eastAsia="Arial" w:hAnsi="Arial"/>
                <w:sz w:val="18"/>
                <w:szCs w:val="18"/>
                <w:color w:val="auto"/>
                <w:w w:val="91"/>
              </w:rPr>
              <w:t>Non-Accelerated Filer (do not check</w:t>
            </w:r>
          </w:p>
        </w:tc>
        <w:tc>
          <w:tcPr>
            <w:tcW w:w="0" w:type="dxa"/>
            <w:vAlign w:val="bottom"/>
          </w:tcPr>
          <w:p>
            <w:pPr>
              <w:spacing w:after="0"/>
              <w:rPr>
                <w:sz w:val="1"/>
                <w:szCs w:val="1"/>
                <w:color w:val="auto"/>
              </w:rPr>
            </w:pPr>
          </w:p>
        </w:tc>
      </w:tr>
      <w:tr>
        <w:trPr>
          <w:trHeight w:val="230"/>
        </w:trPr>
        <w:tc>
          <w:tcPr>
            <w:tcW w:w="3040" w:type="dxa"/>
            <w:vAlign w:val="bottom"/>
            <w:vMerge w:val="restart"/>
          </w:tcPr>
          <w:p>
            <w:pPr>
              <w:spacing w:after="0"/>
              <w:rPr>
                <w:sz w:val="20"/>
                <w:szCs w:val="20"/>
                <w:color w:val="auto"/>
              </w:rPr>
            </w:pPr>
            <w:r>
              <w:rPr>
                <w:rFonts w:ascii="Arial" w:cs="Arial" w:eastAsia="Arial" w:hAnsi="Arial"/>
                <w:sz w:val="18"/>
                <w:szCs w:val="18"/>
                <w:color w:val="auto"/>
              </w:rPr>
              <w:t>Smaller Reporting Company [X]</w:t>
            </w:r>
          </w:p>
        </w:tc>
        <w:tc>
          <w:tcPr>
            <w:tcW w:w="3680" w:type="dxa"/>
            <w:vAlign w:val="bottom"/>
            <w:vMerge w:val="restart"/>
          </w:tcPr>
          <w:p>
            <w:pPr>
              <w:ind w:left="680"/>
              <w:spacing w:after="0"/>
              <w:rPr>
                <w:sz w:val="20"/>
                <w:szCs w:val="20"/>
                <w:color w:val="auto"/>
              </w:rPr>
            </w:pPr>
            <w:r>
              <w:rPr>
                <w:rFonts w:ascii="Arial" w:cs="Arial" w:eastAsia="Arial" w:hAnsi="Arial"/>
                <w:sz w:val="18"/>
                <w:szCs w:val="18"/>
                <w:color w:val="auto"/>
              </w:rPr>
              <w:t>Emerging Growth Company [ ]</w:t>
            </w:r>
          </w:p>
        </w:tc>
        <w:tc>
          <w:tcPr>
            <w:tcW w:w="3360" w:type="dxa"/>
            <w:vAlign w:val="bottom"/>
          </w:tcPr>
          <w:p>
            <w:pPr>
              <w:ind w:left="720"/>
              <w:spacing w:after="0"/>
              <w:rPr>
                <w:sz w:val="20"/>
                <w:szCs w:val="20"/>
                <w:color w:val="auto"/>
              </w:rPr>
            </w:pPr>
            <w:r>
              <w:rPr>
                <w:rFonts w:ascii="Arial" w:cs="Arial" w:eastAsia="Arial" w:hAnsi="Arial"/>
                <w:sz w:val="18"/>
                <w:szCs w:val="18"/>
                <w:color w:val="auto"/>
                <w:w w:val="98"/>
              </w:rPr>
              <w:t>if Smaller Reporting Company) [ ]</w:t>
            </w:r>
          </w:p>
        </w:tc>
        <w:tc>
          <w:tcPr>
            <w:tcW w:w="0" w:type="dxa"/>
            <w:vAlign w:val="bottom"/>
          </w:tcPr>
          <w:p>
            <w:pPr>
              <w:spacing w:after="0"/>
              <w:rPr>
                <w:sz w:val="1"/>
                <w:szCs w:val="1"/>
                <w:color w:val="auto"/>
              </w:rPr>
            </w:pPr>
          </w:p>
        </w:tc>
      </w:tr>
      <w:tr>
        <w:trPr>
          <w:trHeight w:val="216"/>
        </w:trPr>
        <w:tc>
          <w:tcPr>
            <w:tcW w:w="3040" w:type="dxa"/>
            <w:vAlign w:val="bottom"/>
            <w:vMerge w:val="continue"/>
          </w:tcPr>
          <w:p>
            <w:pPr>
              <w:spacing w:after="0"/>
              <w:rPr>
                <w:sz w:val="18"/>
                <w:szCs w:val="18"/>
                <w:color w:val="auto"/>
              </w:rPr>
            </w:pPr>
          </w:p>
        </w:tc>
        <w:tc>
          <w:tcPr>
            <w:tcW w:w="3680" w:type="dxa"/>
            <w:vAlign w:val="bottom"/>
            <w:vMerge w:val="continue"/>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issuer is a shell company (as defined in Rule 12b-2 of the Exchange Act). Yes [ ] No [X]</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240" w:type="dxa"/>
            <w:vAlign w:val="bottom"/>
            <w:gridSpan w:val="3"/>
          </w:tcPr>
          <w:p>
            <w:pPr>
              <w:jc w:val="center"/>
              <w:ind w:right="1080"/>
              <w:spacing w:after="0"/>
              <w:rPr>
                <w:sz w:val="20"/>
                <w:szCs w:val="20"/>
                <w:color w:val="auto"/>
              </w:rPr>
            </w:pPr>
            <w:r>
              <w:rPr>
                <w:rFonts w:ascii="Arial" w:cs="Arial" w:eastAsia="Arial" w:hAnsi="Arial"/>
                <w:sz w:val="18"/>
                <w:szCs w:val="18"/>
                <w:b w:val="1"/>
                <w:bCs w:val="1"/>
                <w:color w:val="auto"/>
                <w:w w:val="89"/>
              </w:rPr>
              <w:t>Title of Each Class</w:t>
            </w:r>
          </w:p>
        </w:tc>
        <w:tc>
          <w:tcPr>
            <w:tcW w:w="25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Names of each exchange on which registered</w:t>
            </w:r>
          </w:p>
        </w:tc>
      </w:tr>
      <w:tr>
        <w:trPr>
          <w:trHeight w:val="230"/>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2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REED</w:t>
            </w:r>
          </w:p>
        </w:tc>
        <w:tc>
          <w:tcPr>
            <w:tcW w:w="24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were a total of 62,928,540 shares of Common Stock outstanding as of April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Quarterly Report on Form 10-Q, including “Management’s Discussion and Analysis of Financial Condition and Results of Operations” in Item 2 of Part I of this report includes forward-looking statements.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forward-looking statements.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In some cases, you can identify forward-looking statements by terminology such as “may,” “should,” “expects,” “plans,” “anticipates,” “believes,” “estimates,” “predicts,” “potential,” “proposed,” “intended,” or “continue” or the negative of these terms or other comparable terminology. You should read statements that contain these words carefully, because they discuss our expectations about our future operating results or our future financial condition or state other “forward-looking” information. There may be events in the future that we are not able to accurately predict or control. Before you invest in our securities, you should be aware that the occurrence of any of the events described in this Quarterly Report could substantially harm our business, results of operations and financial condition, and that upon the occurrence of any of these events, the trading price of our securities could decline and you could lose all or part of your investment. Although we believe that the expectations reflected in the forward-looking statements are reasonable, we cannot guarantee future results, growth rates, levels of activity, performance or achievements. We are under no duty to update any of the forward-looking statements after the date of this Quarterly Report to conform these statements to actual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3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0"/>
                <w:szCs w:val="20"/>
                <w:color w:val="auto"/>
              </w:rPr>
            </w:pP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 FINANCIAL INFORMATION</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F-1</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Condensed Financial Statements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F-1</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Balance Sheets - March 31, 2020 (unaudited) and December 31, 2019</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F-1</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Operations for the three months ended March 31, 2020 and 2019 (unaudited)</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F-2</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ind w:left="180"/>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Condensed Statements of Changes in Stockholders’ Equity (Deficit) for the three months ended March 31, 2020 and 2019 (unaudited)</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F-3</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Cash Flows for the three months ended March 31, 2020 and 2019 (unaudited)</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F-4</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Financial Statements (unaudited)</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8"/>
              </w:rPr>
              <w:t>F-5</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1</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3. Quantitative and Qualitative Disclosures About Market Risk</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7</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4. Controls and Procedures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7</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PART II - OTHER INFORMATION</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7</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 Legal Proceedings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7</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1A. Risk Factors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8</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 Unregistered Sales of Equity Securities and Use of Proceeds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9</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 Defaults Upon Senior Securities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9</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4. Mine Safety Disclosures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9</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5. Other Information</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9</w:t>
            </w:r>
          </w:p>
        </w:tc>
      </w:tr>
      <w:tr>
        <w:trPr>
          <w:trHeight w:val="216"/>
        </w:trPr>
        <w:tc>
          <w:tcPr>
            <w:tcW w:w="10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6. Exhibits</w:t>
              </w:r>
            </w:hyperlink>
          </w:p>
        </w:tc>
        <w:tc>
          <w:tcPr>
            <w:tcW w:w="92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79"/>
              </w:rPr>
              <w:t>9</w:t>
            </w:r>
          </w:p>
        </w:tc>
      </w:tr>
      <w:tr>
        <w:trPr>
          <w:trHeight w:val="439"/>
        </w:trPr>
        <w:tc>
          <w:tcPr>
            <w:tcW w:w="103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ii</w:t>
            </w: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840" w:type="dxa"/>
            <w:vAlign w:val="bottom"/>
          </w:tcPr>
          <w:p>
            <w:pPr>
              <w:jc w:val="center"/>
              <w:ind w:left="4310"/>
              <w:spacing w:after="0"/>
              <w:rPr>
                <w:sz w:val="20"/>
                <w:szCs w:val="20"/>
                <w:color w:val="auto"/>
              </w:rPr>
            </w:pPr>
            <w:r>
              <w:rPr>
                <w:rFonts w:ascii="Arial" w:cs="Arial" w:eastAsia="Arial" w:hAnsi="Arial"/>
                <w:sz w:val="18"/>
                <w:szCs w:val="18"/>
                <w:b w:val="1"/>
                <w:bCs w:val="1"/>
                <w:color w:val="auto"/>
                <w:w w:val="99"/>
              </w:rPr>
              <w:t>REED’S INC.</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20" w:type="dxa"/>
            <w:vAlign w:val="bottom"/>
            <w:gridSpan w:val="3"/>
          </w:tcPr>
          <w:p>
            <w:pPr>
              <w:jc w:val="center"/>
              <w:ind w:left="3930"/>
              <w:spacing w:after="0"/>
              <w:rPr>
                <w:sz w:val="20"/>
                <w:szCs w:val="20"/>
                <w:color w:val="auto"/>
              </w:rPr>
            </w:pPr>
            <w:r>
              <w:rPr>
                <w:rFonts w:ascii="Arial" w:cs="Arial" w:eastAsia="Arial" w:hAnsi="Arial"/>
                <w:sz w:val="18"/>
                <w:szCs w:val="18"/>
                <w:b w:val="1"/>
                <w:bCs w:val="1"/>
                <w:color w:val="auto"/>
                <w:w w:val="98"/>
              </w:rPr>
              <w:t>CONDENSED BALANCE SHEETS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100" w:type="dxa"/>
            <w:vAlign w:val="bottom"/>
            <w:gridSpan w:val="5"/>
          </w:tcPr>
          <w:p>
            <w:pPr>
              <w:jc w:val="center"/>
              <w:ind w:left="2070"/>
              <w:spacing w:after="0"/>
              <w:rPr>
                <w:sz w:val="20"/>
                <w:szCs w:val="20"/>
                <w:color w:val="auto"/>
              </w:rPr>
            </w:pPr>
            <w:r>
              <w:rPr>
                <w:rFonts w:ascii="Arial" w:cs="Arial" w:eastAsia="Arial" w:hAnsi="Arial"/>
                <w:sz w:val="18"/>
                <w:szCs w:val="18"/>
                <w:b w:val="1"/>
                <w:bCs w:val="1"/>
                <w:color w:val="auto"/>
                <w:w w:val="87"/>
              </w:rPr>
              <w:t>(Amounts in thousands, except share amounts)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w w:val="96"/>
              </w:rPr>
              <w:t>Accounts receivable, net of allowance for doubtful accounts and returns and discounts of</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$282 and $375, respectively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related party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Inventory, net of reserve for obsolescence of $262 and $646, respectively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7,990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10,508</w:t>
            </w: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r>
      <w:tr>
        <w:trPr>
          <w:trHeight w:val="203"/>
        </w:trPr>
        <w:tc>
          <w:tcPr>
            <w:tcW w:w="68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13,177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14,296</w:t>
            </w:r>
          </w:p>
        </w:tc>
        <w:tc>
          <w:tcPr>
            <w:tcW w:w="10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w w:val="96"/>
              </w:rPr>
              <w:t>Property and equipment, net of accumulated depreciation of $520 and $482, respectively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 net of impairment reserves of $96 and $96, respectively</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r>
      <w:tr>
        <w:trPr>
          <w:trHeight w:val="229"/>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4,785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w:t>
            </w: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Current portion of leases payable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Leases payable, less current portion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Convertible note to a related party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4,689</w:t>
            </w: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0"/>
        </w:trPr>
        <w:tc>
          <w:tcPr>
            <w:tcW w:w="6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15,499</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14,845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A Convertible Preferred stock, $10 par value, 500,000 shares authorized, 9,411 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02"/>
        </w:trPr>
        <w:tc>
          <w:tcPr>
            <w:tcW w:w="6840" w:type="dxa"/>
            <w:vAlign w:val="bottom"/>
          </w:tcPr>
          <w:p>
            <w:pPr>
              <w:spacing w:after="0" w:line="201" w:lineRule="exact"/>
              <w:rPr>
                <w:sz w:val="20"/>
                <w:szCs w:val="20"/>
                <w:color w:val="auto"/>
              </w:rPr>
            </w:pPr>
            <w:r>
              <w:rPr>
                <w:rFonts w:ascii="Arial" w:cs="Arial" w:eastAsia="Arial" w:hAnsi="Arial"/>
                <w:sz w:val="18"/>
                <w:szCs w:val="18"/>
                <w:color w:val="auto"/>
              </w:rPr>
              <w:t>Common stock, $.0001 par value, 100,000,000 and 100,000,000 shares authorized,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respectively; 47,595,206 and 47,595,206 shares issued and outstanding, respectively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issuable, 350,000 shares at March 31, 2020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78,091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77,596</w:t>
            </w:r>
          </w:p>
        </w:tc>
      </w:tr>
      <w:tr>
        <w:trPr>
          <w:trHeight w:val="25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(79,128)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(76,548)</w:t>
            </w:r>
          </w:p>
        </w:tc>
      </w:tr>
      <w:tr>
        <w:trPr>
          <w:trHeight w:val="210"/>
        </w:trPr>
        <w:tc>
          <w:tcPr>
            <w:tcW w:w="6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1,147</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18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100" w:type="dxa"/>
            <w:vAlign w:val="bottom"/>
            <w:shd w:val="clear" w:color="auto" w:fill="CCEEFF"/>
          </w:tcPr>
          <w:p>
            <w:pPr>
              <w:spacing w:after="0"/>
              <w:rPr>
                <w:sz w:val="18"/>
                <w:szCs w:val="18"/>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8"/>
                <w:szCs w:val="18"/>
                <w:color w:val="auto"/>
              </w:rPr>
              <w:t>Cost of goods sold</w:t>
            </w:r>
          </w:p>
        </w:tc>
        <w:tc>
          <w:tcPr>
            <w:tcW w:w="1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6,653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5,945</w:t>
            </w:r>
          </w:p>
        </w:tc>
      </w:tr>
      <w:tr>
        <w:trPr>
          <w:trHeight w:val="223"/>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1,030</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1,932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2,371</w:t>
            </w:r>
          </w:p>
        </w:tc>
      </w:tr>
      <w:tr>
        <w:trPr>
          <w:trHeight w:val="24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8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0"/>
        </w:trPr>
        <w:tc>
          <w:tcPr>
            <w:tcW w:w="5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80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(2,882)</w:t>
            </w:r>
          </w:p>
        </w:tc>
      </w:tr>
      <w:tr>
        <w:trPr>
          <w:trHeight w:val="216"/>
        </w:trPr>
        <w:tc>
          <w:tcPr>
            <w:tcW w:w="5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 expense</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r>
      <w:tr>
        <w:trPr>
          <w:trHeight w:val="23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51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w:t>
            </w:r>
          </w:p>
        </w:tc>
        <w:tc>
          <w:tcPr>
            <w:tcW w:w="8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22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84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shares outstanding – basic and diluted</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47,595,206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29,103,645</w:t>
            </w:r>
          </w:p>
        </w:tc>
      </w:tr>
      <w:tr>
        <w:trPr>
          <w:trHeight w:val="432"/>
        </w:trPr>
        <w:tc>
          <w:tcPr>
            <w:tcW w:w="9100" w:type="dxa"/>
            <w:vAlign w:val="bottom"/>
            <w:gridSpan w:val="5"/>
          </w:tcPr>
          <w:p>
            <w:pPr>
              <w:ind w:left="2560"/>
              <w:spacing w:after="0"/>
              <w:rPr>
                <w:sz w:val="20"/>
                <w:szCs w:val="20"/>
                <w:color w:val="auto"/>
              </w:rPr>
            </w:pPr>
            <w:r>
              <w:rPr>
                <w:rFonts w:ascii="Arial" w:cs="Arial" w:eastAsia="Arial" w:hAnsi="Arial"/>
                <w:sz w:val="18"/>
                <w:szCs w:val="18"/>
                <w:color w:val="auto"/>
                <w:w w:val="94"/>
              </w:rPr>
              <w:t>The accompanying notes are an integral part of these condensed financial statements.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570"/>
              <w:spacing w:after="0"/>
              <w:rPr>
                <w:sz w:val="20"/>
                <w:szCs w:val="20"/>
                <w:color w:val="auto"/>
              </w:rPr>
            </w:pPr>
            <w:r>
              <w:rPr>
                <w:rFonts w:ascii="Arial" w:cs="Arial" w:eastAsia="Arial" w:hAnsi="Arial"/>
                <w:sz w:val="18"/>
                <w:szCs w:val="18"/>
                <w:color w:val="auto"/>
              </w:rPr>
              <w:t>F-2</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Total</w:t>
            </w:r>
          </w:p>
        </w:tc>
      </w:tr>
      <w:tr>
        <w:trPr>
          <w:trHeight w:val="148"/>
        </w:trPr>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Stockholders’</w:t>
            </w:r>
          </w:p>
        </w:tc>
      </w:tr>
      <w:tr>
        <w:trPr>
          <w:trHeight w:val="188"/>
        </w:trPr>
        <w:tc>
          <w:tcPr>
            <w:tcW w:w="1260" w:type="dxa"/>
            <w:vAlign w:val="bottom"/>
          </w:tcPr>
          <w:p>
            <w:pPr>
              <w:spacing w:after="0"/>
              <w:rPr>
                <w:sz w:val="16"/>
                <w:szCs w:val="16"/>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4"/>
                <w:szCs w:val="14"/>
                <w:color w:val="auto"/>
              </w:rPr>
              <w:t>Common Stock</w:t>
            </w:r>
          </w:p>
        </w:tc>
        <w:tc>
          <w:tcPr>
            <w:tcW w:w="2240" w:type="dxa"/>
            <w:vAlign w:val="bottom"/>
            <w:gridSpan w:val="5"/>
          </w:tcPr>
          <w:p>
            <w:pPr>
              <w:ind w:left="560"/>
              <w:spacing w:after="0"/>
              <w:rPr>
                <w:sz w:val="20"/>
                <w:szCs w:val="20"/>
                <w:color w:val="auto"/>
              </w:rPr>
            </w:pPr>
            <w:r>
              <w:rPr>
                <w:rFonts w:ascii="Arial" w:cs="Arial" w:eastAsia="Arial" w:hAnsi="Arial"/>
                <w:sz w:val="14"/>
                <w:szCs w:val="14"/>
                <w:color w:val="auto"/>
              </w:rPr>
              <w:t>Preferred Stock</w:t>
            </w:r>
          </w:p>
        </w:tc>
        <w:tc>
          <w:tcPr>
            <w:tcW w:w="2200" w:type="dxa"/>
            <w:vAlign w:val="bottom"/>
            <w:gridSpan w:val="5"/>
          </w:tcPr>
          <w:p>
            <w:pPr>
              <w:ind w:left="280"/>
              <w:spacing w:after="0"/>
              <w:rPr>
                <w:sz w:val="20"/>
                <w:szCs w:val="20"/>
                <w:color w:val="auto"/>
              </w:rPr>
            </w:pPr>
            <w:r>
              <w:rPr>
                <w:rFonts w:ascii="Arial" w:cs="Arial" w:eastAsia="Arial" w:hAnsi="Arial"/>
                <w:sz w:val="14"/>
                <w:szCs w:val="14"/>
                <w:color w:val="auto"/>
              </w:rPr>
              <w:t>Common Stock Issuable</w:t>
            </w:r>
          </w:p>
        </w:tc>
        <w:tc>
          <w:tcPr>
            <w:tcW w:w="1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Paid In</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Equity</w:t>
            </w:r>
          </w:p>
        </w:tc>
      </w:tr>
      <w:tr>
        <w:trPr>
          <w:trHeight w:val="169"/>
        </w:trPr>
        <w:tc>
          <w:tcPr>
            <w:tcW w:w="1260" w:type="dxa"/>
            <w:vAlign w:val="bottom"/>
          </w:tcPr>
          <w:p>
            <w:pPr>
              <w:spacing w:after="0"/>
              <w:rPr>
                <w:sz w:val="14"/>
                <w:szCs w:val="14"/>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r>
      <w:tr>
        <w:trPr>
          <w:trHeight w:val="112"/>
        </w:trPr>
        <w:tc>
          <w:tcPr>
            <w:tcW w:w="12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w:t>
            </w: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8"/>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2019</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47,595,206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77,596</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(76,548)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14"/>
                <w:szCs w:val="14"/>
                <w:color w:val="auto"/>
              </w:rPr>
            </w:pPr>
          </w:p>
        </w:tc>
      </w:tr>
      <w:tr>
        <w:trPr>
          <w:trHeight w:val="130"/>
        </w:trPr>
        <w:tc>
          <w:tcPr>
            <w:tcW w:w="1260" w:type="dxa"/>
            <w:vAlign w:val="bottom"/>
          </w:tcPr>
          <w:p>
            <w:pPr>
              <w:spacing w:after="0" w:line="130" w:lineRule="exact"/>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vested options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495</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14"/>
                <w:szCs w:val="14"/>
                <w:color w:val="auto"/>
              </w:rPr>
            </w:pPr>
          </w:p>
        </w:tc>
      </w:tr>
      <w:tr>
        <w:trPr>
          <w:trHeight w:val="130"/>
        </w:trPr>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Fair value of</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 restricted</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officers</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4"/>
                <w:szCs w:val="14"/>
                <w:color w:val="auto"/>
              </w:rPr>
            </w:pPr>
          </w:p>
        </w:tc>
      </w:tr>
      <w:tr>
        <w:trPr>
          <w:trHeight w:val="169"/>
        </w:trPr>
        <w:tc>
          <w:tcPr>
            <w:tcW w:w="1260" w:type="dxa"/>
            <w:vAlign w:val="bottom"/>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(2,580)</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(2,580)</w:t>
            </w:r>
          </w:p>
        </w:tc>
      </w:tr>
      <w:tr>
        <w:trPr>
          <w:trHeight w:val="112"/>
        </w:trPr>
        <w:tc>
          <w:tcPr>
            <w:tcW w:w="12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 March</w:t>
            </w: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98"/>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47,595,206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78,091</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2"/>
                <w:szCs w:val="12"/>
                <w:color w:val="auto"/>
              </w:rPr>
              <w:t>(79,128</w:t>
            </w:r>
            <w:r>
              <w:rPr>
                <w:rFonts w:ascii="Arial" w:cs="Arial" w:eastAsia="Arial" w:hAnsi="Arial"/>
                <w:sz w:val="22"/>
                <w:szCs w:val="22"/>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line="199" w:lineRule="exact"/>
              <w:rPr>
                <w:sz w:val="20"/>
                <w:szCs w:val="20"/>
                <w:color w:val="auto"/>
              </w:rPr>
            </w:pPr>
            <w:r>
              <w:rPr>
                <w:rFonts w:ascii="Arial" w:cs="Arial" w:eastAsia="Arial" w:hAnsi="Arial"/>
                <w:sz w:val="12"/>
                <w:szCs w:val="12"/>
                <w:color w:val="auto"/>
              </w:rPr>
              <w:t>(653</w:t>
            </w:r>
            <w:r>
              <w:rPr>
                <w:rFonts w:ascii="Arial" w:cs="Arial" w:eastAsia="Arial" w:hAnsi="Arial"/>
                <w:sz w:val="22"/>
                <w:szCs w:val="22"/>
                <w:color w:val="auto"/>
                <w:vertAlign w:val="superscript"/>
              </w:rPr>
              <w:t>)</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26"/>
        </w:trPr>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Total</w:t>
            </w:r>
          </w:p>
        </w:tc>
      </w:tr>
      <w:tr>
        <w:trPr>
          <w:trHeight w:val="149"/>
        </w:trPr>
        <w:tc>
          <w:tcPr>
            <w:tcW w:w="1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Stockholders’</w:t>
            </w:r>
          </w:p>
        </w:tc>
      </w:tr>
      <w:tr>
        <w:trPr>
          <w:trHeight w:val="188"/>
        </w:trPr>
        <w:tc>
          <w:tcPr>
            <w:tcW w:w="1260" w:type="dxa"/>
            <w:vAlign w:val="bottom"/>
          </w:tcPr>
          <w:p>
            <w:pPr>
              <w:spacing w:after="0"/>
              <w:rPr>
                <w:sz w:val="16"/>
                <w:szCs w:val="16"/>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4"/>
                <w:szCs w:val="14"/>
                <w:color w:val="auto"/>
              </w:rPr>
              <w:t>Common Stock</w:t>
            </w:r>
          </w:p>
        </w:tc>
        <w:tc>
          <w:tcPr>
            <w:tcW w:w="2240" w:type="dxa"/>
            <w:vAlign w:val="bottom"/>
            <w:gridSpan w:val="5"/>
          </w:tcPr>
          <w:p>
            <w:pPr>
              <w:ind w:left="560"/>
              <w:spacing w:after="0"/>
              <w:rPr>
                <w:sz w:val="20"/>
                <w:szCs w:val="20"/>
                <w:color w:val="auto"/>
              </w:rPr>
            </w:pPr>
            <w:r>
              <w:rPr>
                <w:rFonts w:ascii="Arial" w:cs="Arial" w:eastAsia="Arial" w:hAnsi="Arial"/>
                <w:sz w:val="14"/>
                <w:szCs w:val="14"/>
                <w:color w:val="auto"/>
              </w:rPr>
              <w:t>Preferred Stock</w:t>
            </w:r>
          </w:p>
        </w:tc>
        <w:tc>
          <w:tcPr>
            <w:tcW w:w="2200" w:type="dxa"/>
            <w:vAlign w:val="bottom"/>
            <w:gridSpan w:val="5"/>
          </w:tcPr>
          <w:p>
            <w:pPr>
              <w:ind w:left="280"/>
              <w:spacing w:after="0"/>
              <w:rPr>
                <w:sz w:val="20"/>
                <w:szCs w:val="20"/>
                <w:color w:val="auto"/>
              </w:rPr>
            </w:pPr>
            <w:r>
              <w:rPr>
                <w:rFonts w:ascii="Arial" w:cs="Arial" w:eastAsia="Arial" w:hAnsi="Arial"/>
                <w:sz w:val="14"/>
                <w:szCs w:val="14"/>
                <w:color w:val="auto"/>
              </w:rPr>
              <w:t>Common Stock Issuable</w:t>
            </w:r>
          </w:p>
        </w:tc>
        <w:tc>
          <w:tcPr>
            <w:tcW w:w="1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Paid In</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Equity</w:t>
            </w:r>
          </w:p>
        </w:tc>
      </w:tr>
      <w:tr>
        <w:trPr>
          <w:trHeight w:val="169"/>
        </w:trPr>
        <w:tc>
          <w:tcPr>
            <w:tcW w:w="1260" w:type="dxa"/>
            <w:vAlign w:val="bottom"/>
          </w:tcPr>
          <w:p>
            <w:pPr>
              <w:spacing w:after="0"/>
              <w:rPr>
                <w:sz w:val="14"/>
                <w:szCs w:val="14"/>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1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rPr>
              <w:t>(Deficit)</w:t>
            </w:r>
          </w:p>
        </w:tc>
      </w:tr>
      <w:tr>
        <w:trPr>
          <w:trHeight w:val="112"/>
        </w:trPr>
        <w:tc>
          <w:tcPr>
            <w:tcW w:w="12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Balance,</w:t>
            </w:r>
          </w:p>
        </w:tc>
        <w:tc>
          <w:tcPr>
            <w:tcW w:w="9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r>
      <w:tr>
        <w:trPr>
          <w:trHeight w:val="148"/>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1"/>
        </w:trPr>
        <w:tc>
          <w:tcPr>
            <w:tcW w:w="1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25,729,461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9,411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53,591</w:t>
            </w:r>
          </w:p>
        </w:tc>
        <w:tc>
          <w:tcPr>
            <w:tcW w:w="160" w:type="dxa"/>
            <w:vAlign w:val="bottom"/>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(60,431)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(6,743)</w:t>
            </w:r>
          </w:p>
        </w:tc>
      </w:tr>
      <w:tr>
        <w:trPr>
          <w:trHeight w:val="130"/>
        </w:trPr>
        <w:tc>
          <w:tcPr>
            <w:tcW w:w="1260" w:type="dxa"/>
            <w:vAlign w:val="bottom"/>
          </w:tcPr>
          <w:p>
            <w:pPr>
              <w:spacing w:after="0" w:line="130" w:lineRule="exact"/>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vested options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412</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4"/>
                <w:szCs w:val="14"/>
                <w:color w:val="auto"/>
              </w:rPr>
            </w:pPr>
          </w:p>
        </w:tc>
      </w:tr>
      <w:tr>
        <w:trPr>
          <w:trHeight w:val="130"/>
        </w:trPr>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granted to</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Directors for</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17,652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4"/>
                <w:szCs w:val="14"/>
                <w:color w:val="auto"/>
              </w:rPr>
            </w:pPr>
          </w:p>
        </w:tc>
      </w:tr>
      <w:tr>
        <w:trPr>
          <w:trHeight w:val="130"/>
        </w:trPr>
        <w:tc>
          <w:tcPr>
            <w:tcW w:w="1260" w:type="dxa"/>
            <w:vAlign w:val="bottom"/>
          </w:tcPr>
          <w:p>
            <w:pPr>
              <w:spacing w:after="0" w:line="130" w:lineRule="exact"/>
              <w:rPr>
                <w:sz w:val="20"/>
                <w:szCs w:val="20"/>
                <w:color w:val="auto"/>
              </w:rPr>
            </w:pPr>
            <w:r>
              <w:rPr>
                <w:rFonts w:ascii="Arial" w:cs="Arial" w:eastAsia="Arial" w:hAnsi="Arial"/>
                <w:sz w:val="14"/>
                <w:szCs w:val="14"/>
                <w:color w:val="auto"/>
              </w:rPr>
              <w:t>Fair value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color w:val="auto"/>
              </w:rPr>
              <w:t>vested restricted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260" w:type="dxa"/>
            <w:vAlign w:val="bottom"/>
          </w:tcPr>
          <w:p>
            <w:pPr>
              <w:spacing w:after="0" w:line="149" w:lineRule="exact"/>
              <w:rPr>
                <w:sz w:val="20"/>
                <w:szCs w:val="20"/>
                <w:color w:val="auto"/>
              </w:rPr>
            </w:pPr>
            <w:r>
              <w:rPr>
                <w:rFonts w:ascii="Arial" w:cs="Arial" w:eastAsia="Arial" w:hAnsi="Arial"/>
                <w:sz w:val="14"/>
                <w:szCs w:val="14"/>
                <w:color w:val="auto"/>
              </w:rPr>
              <w:t>shares granted to</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an officer</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150</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r>
      <w:tr>
        <w:trPr>
          <w:trHeight w:val="130"/>
        </w:trPr>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pursuant to</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rights offering,</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of offering</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costs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7,733,750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14,867</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14,867</w:t>
            </w:r>
          </w:p>
        </w:tc>
        <w:tc>
          <w:tcPr>
            <w:tcW w:w="100" w:type="dxa"/>
            <w:vAlign w:val="bottom"/>
            <w:shd w:val="clear" w:color="auto" w:fill="CCEEFF"/>
          </w:tcPr>
          <w:p>
            <w:pPr>
              <w:spacing w:after="0"/>
              <w:rPr>
                <w:sz w:val="14"/>
                <w:szCs w:val="14"/>
                <w:color w:val="auto"/>
              </w:rPr>
            </w:pPr>
          </w:p>
        </w:tc>
      </w:tr>
      <w:tr>
        <w:trPr>
          <w:trHeight w:val="130"/>
        </w:trPr>
        <w:tc>
          <w:tcPr>
            <w:tcW w:w="1260" w:type="dxa"/>
            <w:vAlign w:val="bottom"/>
          </w:tcPr>
          <w:p>
            <w:pPr>
              <w:spacing w:after="0" w:line="130" w:lineRule="exact"/>
              <w:rPr>
                <w:sz w:val="20"/>
                <w:szCs w:val="20"/>
                <w:color w:val="auto"/>
              </w:rPr>
            </w:pPr>
            <w:r>
              <w:rPr>
                <w:rFonts w:ascii="Arial" w:cs="Arial" w:eastAsia="Arial" w:hAnsi="Arial"/>
                <w:sz w:val="14"/>
                <w:szCs w:val="14"/>
                <w:color w:val="auto"/>
              </w:rPr>
              <w:t>Exercise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260" w:type="dxa"/>
            <w:vAlign w:val="bottom"/>
          </w:tcPr>
          <w:p>
            <w:pPr>
              <w:spacing w:after="0"/>
              <w:rPr>
                <w:sz w:val="20"/>
                <w:szCs w:val="20"/>
                <w:color w:val="auto"/>
              </w:rPr>
            </w:pPr>
            <w:r>
              <w:rPr>
                <w:rFonts w:ascii="Arial" w:cs="Arial" w:eastAsia="Arial" w:hAnsi="Arial"/>
                <w:sz w:val="14"/>
                <w:szCs w:val="14"/>
                <w:color w:val="auto"/>
              </w:rPr>
              <w:t>warrants</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33,084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r>
      <w:tr>
        <w:trPr>
          <w:trHeight w:val="182"/>
        </w:trPr>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(3,264)</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(3,264)</w:t>
            </w:r>
          </w:p>
        </w:tc>
      </w:tr>
      <w:tr>
        <w:trPr>
          <w:trHeight w:val="99"/>
        </w:trPr>
        <w:tc>
          <w:tcPr>
            <w:tcW w:w="1260" w:type="dxa"/>
            <w:vAlign w:val="bottom"/>
            <w:tcBorders>
              <w:top w:val="single" w:sz="8" w:color="CCEEFF"/>
            </w:tcBorders>
          </w:tcPr>
          <w:p>
            <w:pPr>
              <w:spacing w:after="0" w:line="100" w:lineRule="exact"/>
              <w:rPr>
                <w:sz w:val="20"/>
                <w:szCs w:val="20"/>
                <w:color w:val="auto"/>
              </w:rPr>
            </w:pPr>
            <w:r>
              <w:rPr>
                <w:rFonts w:ascii="Arial" w:cs="Arial" w:eastAsia="Arial" w:hAnsi="Arial"/>
                <w:sz w:val="11"/>
                <w:szCs w:val="11"/>
                <w:b w:val="1"/>
                <w:bCs w:val="1"/>
                <w:color w:val="auto"/>
              </w:rPr>
              <w:t>Balance, March</w:t>
            </w:r>
          </w:p>
        </w:tc>
        <w:tc>
          <w:tcPr>
            <w:tcW w:w="92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r>
      <w:tr>
        <w:trPr>
          <w:trHeight w:val="198"/>
        </w:trPr>
        <w:tc>
          <w:tcPr>
            <w:tcW w:w="1260" w:type="dxa"/>
            <w:vAlign w:val="bottom"/>
          </w:tcPr>
          <w:p>
            <w:pPr>
              <w:spacing w:after="0"/>
              <w:rPr>
                <w:sz w:val="20"/>
                <w:szCs w:val="20"/>
                <w:color w:val="auto"/>
              </w:rPr>
            </w:pPr>
            <w:r>
              <w:rPr>
                <w:rFonts w:ascii="Arial" w:cs="Arial" w:eastAsia="Arial" w:hAnsi="Arial"/>
                <w:sz w:val="14"/>
                <w:szCs w:val="14"/>
                <w:b w:val="1"/>
                <w:bCs w:val="1"/>
                <w:color w:val="auto"/>
              </w:rPr>
              <w:t>31, 2019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33,513,947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9,411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94</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69,110</w:t>
            </w:r>
          </w:p>
        </w:tc>
        <w:tc>
          <w:tcPr>
            <w:tcW w:w="160" w:type="dxa"/>
            <w:vAlign w:val="bottom"/>
          </w:tcPr>
          <w:p>
            <w:pPr>
              <w:jc w:val="right"/>
              <w:ind w:right="4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60"/>
              <w:spacing w:after="0" w:line="199" w:lineRule="exact"/>
              <w:rPr>
                <w:sz w:val="20"/>
                <w:szCs w:val="20"/>
                <w:color w:val="auto"/>
              </w:rPr>
            </w:pPr>
            <w:r>
              <w:rPr>
                <w:rFonts w:ascii="Arial" w:cs="Arial" w:eastAsia="Arial" w:hAnsi="Arial"/>
                <w:sz w:val="12"/>
                <w:szCs w:val="12"/>
                <w:color w:val="auto"/>
              </w:rPr>
              <w:t>(63,695</w:t>
            </w:r>
            <w:r>
              <w:rPr>
                <w:rFonts w:ascii="Arial" w:cs="Arial" w:eastAsia="Arial" w:hAnsi="Arial"/>
                <w:sz w:val="22"/>
                <w:szCs w:val="22"/>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5,512</w:t>
            </w:r>
          </w:p>
        </w:tc>
        <w:tc>
          <w:tcPr>
            <w:tcW w:w="10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481"/>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March 31, 2019</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(2,580)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(3,264)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property &amp; equipment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75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right of use assets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vested options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412</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vested restricted shares granted to officers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Common stock issued for services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194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allowance for doubtful accounts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Decrease in inventory reserve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Accrual of interest on convertible note to a related party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126</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120" w:type="dxa"/>
            <w:vAlign w:val="bottom"/>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(3,268)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(1,459)</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(8,756</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30</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Borrowings on line of credit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9,188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18,696</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line of credit</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(22,992)</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Repayment of amounts due to/from officers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195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repayments on capital lease obligation</w:t>
            </w: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Exercise of warrants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46</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14,867</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1,489</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10,804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61"/>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1"/>
              <w:spacing w:after="0"/>
              <w:rPr>
                <w:sz w:val="20"/>
                <w:szCs w:val="20"/>
                <w:color w:val="auto"/>
              </w:rPr>
            </w:pPr>
            <w:r>
              <w:rPr>
                <w:rFonts w:ascii="Arial" w:cs="Arial" w:eastAsia="Arial" w:hAnsi="Arial"/>
                <w:sz w:val="18"/>
                <w:szCs w:val="18"/>
                <w:color w:val="auto"/>
              </w:rPr>
              <w:t>2,026</w:t>
            </w:r>
          </w:p>
        </w:tc>
      </w:tr>
      <w:tr>
        <w:trPr>
          <w:trHeight w:val="25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8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913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624</w:t>
            </w:r>
          </w:p>
        </w:tc>
      </w:tr>
      <w:tr>
        <w:trPr>
          <w:trHeight w:val="257"/>
        </w:trPr>
        <w:tc>
          <w:tcPr>
            <w:tcW w:w="61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at end of period</w:t>
            </w:r>
          </w:p>
        </w:tc>
        <w:tc>
          <w:tcPr>
            <w:tcW w:w="86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6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 and 2019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interim condensed financial statements of Reed’s, Inc. (the “Company”, “we”, “us”, or “our”), are unaudited, but in the opinion of management contain all adjustments, including normal recurring adjustments, necessary to present fairly our financial position at March 31, 2020 and the results of operations and cash flows for the three months ended March 31, 2020 and 2019. The balance sheet as of December 31, 2019 is derived from the Company’s audited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that have been prepared in accordance with accounting principles generally accepted in the United States of America have been condensed or omitted pursuant to the rules and regulations of the Securities and Exchange Commission regarding interim financial reporting. We believe that the disclosures contained in these condensed financial statements are adequate to make the information presented herein not misleading. For further information, refer to the financial statements and the notes thereto included in the Company’s Annual Report on Form 10-K for the fiscal year ended December 31, 2019, as filed with the Securities and Exchange Commission on March 18, 2020 and amended on April 8, 2020.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three months ended March 31, 2020 are not necessarily indicative of the results of operations to be expected for the full fiscal year ending December 31, 2020.</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World Health Organization declared coronavirus COVID-19 a global pandemic. This contagious disease outbreak, which has continued to spread, has adversely affected workforces, customers, economies, and financial markets globally. It has also disrupted the normal operations of many businesses, including ours. This outbreak could decrease spending, adversely affect demand for our product and harm our business and results of operations. It is not possible for us to predict the duration or magnitude of the adverse results of the outbreak and its effects on our business or results of operations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2020, the Company recorded a net loss of $2,580 and used cash in operations of $2,352. As of March 31, 2020, we had a cash balance of $28 with borrowing capacity of $2,961, a stockholder’s deficit of $653 and a working capital of $3,173, compared to a cash balance of $913 with borrowing capacity of $3,235, stockholders’ equity of $1,147 and a working capital of $4,885 at December 31, 2019.</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2020, the Company conducted a public offering of 15,333,334 shares of its common shares at a public offering price of $0.375 per share. The net proceeds to the Company from this offering are $5,362, after deducting underwriting discounts and commissions and other offering expenses. Proceeds from the offering will provide capital for working capital, and general corporate purposes. On April 29, 2020, the Company received loan proceeds in the amount of $770 pursuant to the Paycheck Protection Program under the Coronavirus Aid, Relief and Economic Security Act (the “Cares Act”), which was enacted on March 27, 2020.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right="86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revenue in accordance with ASU 2014-09, Revenue from Contracts with Customers (Topic 606),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period.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periods ended March 31, 2020 and 2019, the calculations of basic and diluted loss per share are the same because potential dilutive securities would have had an anti-dilutive effect. The potentially dilutive securities consisted of the following:</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6620" w:type="dxa"/>
            <w:vAlign w:val="bottom"/>
          </w:tcPr>
          <w:p>
            <w:pPr>
              <w:spacing w:after="0"/>
              <w:rPr>
                <w:sz w:val="20"/>
                <w:szCs w:val="20"/>
                <w:color w:val="auto"/>
              </w:rPr>
            </w:pPr>
          </w:p>
        </w:tc>
        <w:tc>
          <w:tcPr>
            <w:tcW w:w="2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March 31, 2020</w:t>
            </w: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March 31, 2019</w:t>
            </w:r>
          </w:p>
        </w:tc>
      </w:tr>
      <w:tr>
        <w:trPr>
          <w:trHeight w:val="216"/>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3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Warrants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6,413,782</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6,827,167</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 of Series A Convertible Preferred stock</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37,644</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Common stock issuable</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350,000</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2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150,000</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598,370</w:t>
            </w:r>
          </w:p>
        </w:tc>
      </w:tr>
      <w:tr>
        <w:trPr>
          <w:trHeight w:val="236"/>
        </w:trPr>
        <w:tc>
          <w:tcPr>
            <w:tcW w:w="6620" w:type="dxa"/>
            <w:vAlign w:val="bottom"/>
          </w:tcPr>
          <w:p>
            <w:pPr>
              <w:spacing w:after="0"/>
              <w:rPr>
                <w:sz w:val="20"/>
                <w:szCs w:val="20"/>
                <w:color w:val="auto"/>
              </w:rPr>
            </w:pPr>
            <w:r>
              <w:rPr>
                <w:rFonts w:ascii="Arial" w:cs="Arial" w:eastAsia="Arial" w:hAnsi="Arial"/>
                <w:sz w:val="18"/>
                <w:szCs w:val="18"/>
                <w:color w:val="auto"/>
              </w:rPr>
              <w:t>Options</w:t>
            </w:r>
          </w:p>
        </w:tc>
        <w:tc>
          <w:tcPr>
            <w:tcW w:w="2140" w:type="dxa"/>
            <w:vAlign w:val="bottom"/>
            <w:gridSpan w:val="2"/>
          </w:tcPr>
          <w:p>
            <w:pPr>
              <w:jc w:val="right"/>
              <w:ind w:right="320"/>
              <w:spacing w:after="0"/>
              <w:rPr>
                <w:sz w:val="20"/>
                <w:szCs w:val="20"/>
                <w:color w:val="auto"/>
              </w:rPr>
            </w:pPr>
            <w:r>
              <w:rPr>
                <w:rFonts w:ascii="Arial" w:cs="Arial" w:eastAsia="Arial" w:hAnsi="Arial"/>
                <w:sz w:val="18"/>
                <w:szCs w:val="18"/>
                <w:color w:val="auto"/>
              </w:rPr>
              <w:t>4,683,380</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4,331,234</w:t>
            </w:r>
          </w:p>
        </w:tc>
      </w:tr>
      <w:tr>
        <w:trPr>
          <w:trHeight w:val="23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13,901,473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is convertible into Common shares at the rate of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issues stock options and restricted stock awards to employees and non-employees in non-capital raising transactions for services and for financing costs. The Company accounts for such grants issued and vesting based on ASC 718, whereby the value of the award is measured on the date of grant and recognized as compensation expense on the straight-line basis over the vesting period. The Company recognizes the fair value of stock-based compensation within its Statements of Operations with classification depending on the nature of the services rendered.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aggregated $302 and $307 for the three months ended March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sales. </w:t>
      </w:r>
      <w:r>
        <w:rPr>
          <w:rFonts w:ascii="Arial" w:cs="Arial" w:eastAsia="Arial" w:hAnsi="Arial"/>
          <w:sz w:val="18"/>
          <w:szCs w:val="18"/>
          <w:color w:val="auto"/>
        </w:rPr>
        <w:t>During the three months ended March 31, 2020, the Company’s two largest customers accounted for 22% and 14% of gross sales,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2019, the Company’s two largest customers accounted for 25% and 9% of gross sales, respectively. No other customers exceeded 10% of sales in either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March 31, 2020, the Company had accounts receivable from three customers which comprised 18%, 14%, and 10% of its gross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respectively. As of December 31, 2019, the Company had accounts receivable from one customer which comprised 14% of its gross accounts receivable.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Purchases from vendors. </w:t>
      </w:r>
      <w:r>
        <w:rPr>
          <w:rFonts w:ascii="Arial" w:cs="Arial" w:eastAsia="Arial" w:hAnsi="Arial"/>
          <w:sz w:val="18"/>
          <w:szCs w:val="18"/>
          <w:color w:val="auto"/>
        </w:rPr>
        <w:t>During the three months ended March 31, 2020, the Company’s largest vendor accounted for approximately 10% of all 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March 31, 2019, the Company’s two largest vendors accounted for approximately 17% and 13% of all purchases, respectively. No other customers exceeded 10% of all purchases in either periods.</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Accounts payable. </w:t>
      </w:r>
      <w:r>
        <w:rPr>
          <w:rFonts w:ascii="Arial" w:cs="Arial" w:eastAsia="Arial" w:hAnsi="Arial"/>
          <w:sz w:val="16"/>
          <w:szCs w:val="16"/>
          <w:color w:val="auto"/>
        </w:rPr>
        <w:t>As of March 31, 2020, the Company’s two largest vendors accounted for 16% and 10% of the total accounts payable, respectively.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the Company’s largest three vendors accounted for 19%, 15% and 14% of the total accounts payable,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As of March 31, 2020, and December 31, 2019, the Company’s balance sheets included Level 2 liabilities comprised of the fair value of warrant liabilities aggregating $2 and $8, respectively (see Note 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ASU 2016-13, Measurement of Credit Losses on Financial Instruments.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the lower of cost (first-in, first-out) or net realizable value, and net of reserves is comprised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Finished products</w:t>
            </w: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3,517</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6,247</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recorded a reserve for slow moving and potentially obsolete inventory. The reserve at March 31, 2020, and December 31, 2019, was $262 and $646,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0" w:type="dxa"/>
            <w:vAlign w:val="bottom"/>
          </w:tcPr>
          <w:p>
            <w:pPr>
              <w:spacing w:after="0"/>
              <w:rPr>
                <w:sz w:val="20"/>
                <w:szCs w:val="20"/>
                <w:color w:val="auto"/>
              </w:rPr>
            </w:pPr>
            <w:r>
              <w:rPr>
                <w:rFonts w:ascii="Arial" w:cs="Arial" w:eastAsia="Arial" w:hAnsi="Arial"/>
                <w:sz w:val="18"/>
                <w:szCs w:val="18"/>
                <w:color w:val="auto"/>
              </w:rPr>
              <w:t>Property and equipment is comprised of the following (in thousands):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2020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Right-of-use assets under finance leases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r>
      <w:tr>
        <w:trPr>
          <w:trHeight w:val="25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r>
      <w:tr>
        <w:trPr>
          <w:trHeight w:val="203"/>
        </w:trPr>
        <w:tc>
          <w:tcPr>
            <w:tcW w:w="60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w:t>
            </w:r>
          </w:p>
        </w:tc>
        <w:tc>
          <w:tcPr>
            <w:tcW w:w="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1,546</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1,535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r>
      <w:tr>
        <w:trPr>
          <w:trHeight w:val="217"/>
        </w:trPr>
        <w:tc>
          <w:tcPr>
            <w:tcW w:w="6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book value</w:t>
            </w:r>
          </w:p>
        </w:tc>
        <w:tc>
          <w:tcPr>
            <w:tcW w:w="9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2020 and 2019 was $12 and $13,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Equipment held for sale consists of the following (in thousands):</w:t>
            </w: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9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March 31, 2020</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held for sale</w:t>
            </w:r>
          </w:p>
        </w:tc>
        <w:tc>
          <w:tcPr>
            <w:tcW w:w="1600" w:type="dxa"/>
            <w:vAlign w:val="bottom"/>
            <w:tcBorders>
              <w:top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Reserve</w:t>
            </w:r>
          </w:p>
        </w:tc>
        <w:tc>
          <w:tcPr>
            <w:tcW w:w="16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29"/>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600" w:type="dxa"/>
            <w:vAlign w:val="bottom"/>
            <w:tcBorders>
              <w:top w:val="single" w:sz="8" w:color="auto"/>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balance as of March 31, 2020, and December 31, 2019, consists of residual manufacturing equipment, at estimated net realizable value, which management anticipates selling during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Intangible assets are comprised of brand names acquired, specifically Virgil’s.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measurement, there were no indications of impairment at March 31, 2020.</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6. Line of Credit</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w w:val="99"/>
              </w:rPr>
              <w:t>Amounts outstanding under the Company’s credit facilities are as follows (in thousands):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4"/>
                <w:szCs w:val="24"/>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Capitalized finance costs</w:t>
            </w:r>
          </w:p>
        </w:tc>
        <w:tc>
          <w:tcPr>
            <w:tcW w:w="240" w:type="dxa"/>
            <w:vAlign w:val="bottom"/>
          </w:tcPr>
          <w:p>
            <w:pPr>
              <w:spacing w:after="0"/>
              <w:rPr>
                <w:sz w:val="20"/>
                <w:szCs w:val="20"/>
                <w:color w:val="auto"/>
              </w:rPr>
            </w:pPr>
          </w:p>
        </w:tc>
        <w:tc>
          <w:tcPr>
            <w:tcW w:w="200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2018, the Company entered into a financing agreement with Rosenthal &amp; Rosenthal, Inc. The financing agreement provides a maximum borrowing capacity of $13,000. Borrowings are based on a formula of eligible accounts receivable and inventories (the “permitted borrowings”) plus advances (an “over-advance”) of up to $4,000 in excess of permitted borrowings. At March 31, 2020, the unused borrowing capacity under the financing agreement was $2,961. The line of credit matures on April 20, 2021.</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Borrowings under the Rosenthal financing agreement bear interest at the greater of prime or 4.75%, plus an additional 2% to 3.5% depending upon whether the borrowing is based upon receivables, inventory or is an over-advance. The effective interest rate as of March 31, 2020 on outstanding borrowings was 7.2%. Additionally, the line of credit is subject to monthly facility and administration fees, and aggregate minimum monthly fees (including interest) of $4.</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line of credit is secured by substantially all of the assets excluding intellectual property of the Company. Additionally, any over-advance is guaranteed by an irrevocable stand-by letter of credit in the amount of $1,500, issued by Daniel J. Doherty III and the Daniel J. Doherty, III 2002 Family Trust, affiliates of Raptor/Harbor Reeds SPV LLC (“Raptor”). The over-advance is secured by all of Reed’s intellectual property collateral. Raptor beneficially owns 11.6% of the Company’s outstanding common stock as of March 31, 2020. Mr. Doherty is a member of the Company’s Board of Directors. In the event of a default under the financing agreement, Raptor has a put option to purchase from Rosenthal the entire amount of any outstanding over-advance plus accrued interest, prior to Rosenthal declaring an event of default under the financing agreement. If Raptor exercises the option, Rosenthal will release its first priority security interest on all intellectual property collateral of the Company to Raptor and terminate the letter of credit.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financing agreement in 2018, the Company amended and restated a subordinated convertible non-redeemable secured note to Raptor, to provide for additional advances of up to $4,000 in the event that Raptor exercises its put option described above (see Note 7). Consequently, the exercise price of 750,000 of Raptor’s outstanding warrants to purchase the Company’s common stock was reduced from $1.50 to $1.10, resulting in an increase in the fair value of the warrants of $161. This amount has been reflected as a capitalized finance cost and is being amortized over the life of the financing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March 31, 2020.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2018, the Company incurred $882 of direct costs in conjunction with the initial financing agreement, consisting primarily of broker, bank and legal fees, and $161 cost of warrant modification. The Company annually incurs an additional $130 of fees from the bank, which is equal to 1% of the $13,000 borrowing limit. These costs have been capitalized and recorded as a debt discount and are being amortized over the 2.5 year life of the Rosenthal agreement. Amortization of debt discount was $96 and $75 for the three months ended March 31, 2020 and 2019,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7. Convertible Note to a Related Party</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spacing w:after="0"/>
              <w:rPr>
                <w:sz w:val="20"/>
                <w:szCs w:val="20"/>
                <w:color w:val="auto"/>
              </w:rPr>
            </w:pPr>
            <w:r>
              <w:rPr>
                <w:rFonts w:ascii="Arial" w:cs="Arial" w:eastAsia="Arial" w:hAnsi="Arial"/>
                <w:sz w:val="18"/>
                <w:szCs w:val="18"/>
                <w:color w:val="auto"/>
              </w:rPr>
              <w:t>The Convertible Note to a Related Party consists of the following (in thousands):</w:t>
            </w: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March 31, 2020</w:t>
            </w:r>
          </w:p>
        </w:tc>
        <w:tc>
          <w:tcPr>
            <w:tcW w:w="16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2019</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 Convertible Note Payable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20"/>
                <w:szCs w:val="20"/>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1,431</w:t>
            </w: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obligation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21, 2017, pursuant to a Securities Purchase Agreement, the Company issued a secured, convertible, subordinated, non-redeemable note in the principal amount of $3,400 (the “Raptor Note”) and warrants to purchase 1,416,667 shares of common stock. The purchaser, Raptor/Harbor Reeds SPV LLC (“Raptor”), beneficially owned approximately 11.6% and 14.9% of the Company’s common stock at March 31, 2020 and December 31, 2019,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Raptor Note bears interest at a rate of 12% per annum, compounded monthly. It is secured by the Company’s assets, subordinate to the first priority security interest of Rosenthal &amp; Rosenthal (see Note 6). The note may not be prepaid and matures on April 21, 2021. It may be converted, at any time and from time to time, into shares of common stock of the Company, at a revised conversion price of $1.50.</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 will expire on April 21, 2022 and has an adjusted exercise price of $1.50 per share. The note and warrant contain customary anti-dilution provisions, and the shares of common stock issuable upon conversion of the note and exercise of the warrant have been registered on Form S-3. The investor was also granted the right to participate in future financing transactions of the Company for a term of two years.</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4, 2018, in connection with the execution of the Rosenthal financing agreement, the Company amended and restated the subordinated convertible non-redeemable secured note to Raptor, to provide for additional advances of up to $4,000. In consideration therefore, the exercise price of 750,000 of Raptor’s outstanding warrants was reduced from $1.50 to $1.10, resulting in an increase in the fair value of the warrants, determined in accordance with the Black-Scholes-Merton option pricing model, of $161. This amount was recorded as a debt discount to the Rosenthal line of credit and is being amortized as interest expense over the life of the financing agreement (See Note 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Payable</w:t>
      </w:r>
    </w:p>
    <w:p>
      <w:pPr>
        <w:sectPr>
          <w:pgSz w:w="11900" w:h="16838" w:orient="portrait"/>
          <w:cols w:equalWidth="0" w:num="1">
            <w:col w:w="11240"/>
          </w:cols>
          <w:pgMar w:left="320" w:top="688" w:right="339" w:bottom="0" w:gutter="0" w:footer="0" w:header="0"/>
        </w:sectPr>
      </w:pPr>
    </w:p>
    <w:bookmarkStart w:id="12" w:name="page13"/>
    <w:bookmarkEnd w:id="12"/>
    <w:p>
      <w:pPr>
        <w:jc w:val="both"/>
        <w:spacing w:after="0" w:line="279" w:lineRule="auto"/>
        <w:rPr>
          <w:sz w:val="20"/>
          <w:szCs w:val="20"/>
          <w:color w:val="auto"/>
        </w:rPr>
      </w:pPr>
      <w:r>
        <w:rPr>
          <w:rFonts w:ascii="Arial" w:cs="Arial" w:eastAsia="Arial" w:hAnsi="Arial"/>
          <w:sz w:val="17"/>
          <w:szCs w:val="17"/>
          <w:color w:val="auto"/>
        </w:rPr>
        <w:t>The Company adopted ASU 2016-02, Leases, effective October 1, 2018. The standard requires a lessee to record a right-of-use asset and a corresponding lease liability at the inception of the lease, initially measured at the present value of the lease payments. As a result, we recorded right-of-use assets aggregating $862 as of October 1, 2018, utilizing a discount rate of 12.6%. That amount consists of new leases on the Company’s Norwalk office and certain office equipment of $730, and existing capitalized leases reclassified to right of use assets of $132.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ASU 2016-02 requires recognition in the statement of operations of a single lease cost, calculated so that the cost of the lease is allocated over the lease term, generally on a straight-line basis. During the three months ended March 31, 2020, the Company reflected amortization of right of use asset of $32 related to these leases, resulting in a net asset balance of $661 as of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ASU 2016-02, the right-of-use assets are being amortized over the life of the underlying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liabilities recorded under finance leases and operating leases were $89 and $697, respectively. During the three months ended March 31, 2020, the Company made payments of $22 towards finance lease liability and $7 towards operating lease liability. As of March 31, 2020, liability under finance lease amounted to $67 and liability under operating lease amounted to $690, of which $66 and $29 were reflected as current due, under finance leases and operating leases, respectively.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2020, the weighted average remaining lease terms for operating lease and finance lease are 4.76 years and 0.75 years, respectively. The weighted average discount rate for operating lease is 12.6% and 6.93% for finance lease.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Warrant Liability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Various stock sales made by the Company to finance operations have been accompanied by the issuance of warrants. Some of these warrant agreements contain fundamental transaction provisions which may give rise to an obligation of the Company to pay cash to the warrant holders. For accounting purposes, in accordance with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 liability was determined using the Black-Scholes-Merton option pricing model at March 31, 2020 and December 31, 2019,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 2019</w:t>
            </w:r>
          </w:p>
        </w:tc>
      </w:tr>
      <w:tr>
        <w:trPr>
          <w:trHeight w:val="216"/>
        </w:trPr>
        <w:tc>
          <w:tcPr>
            <w:tcW w:w="69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20" w:type="dxa"/>
            <w:vAlign w:val="bottom"/>
          </w:tcPr>
          <w:p>
            <w:pPr>
              <w:spacing w:after="0"/>
              <w:rPr>
                <w:sz w:val="18"/>
                <w:szCs w:val="18"/>
                <w:color w:val="auto"/>
              </w:rPr>
            </w:pP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2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Number of Warrants containing fundamental transaction provisions</w:t>
            </w:r>
          </w:p>
        </w:tc>
        <w:tc>
          <w:tcPr>
            <w:tcW w:w="22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138,762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138,762</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risk-free interest rate is based on rates established by the Federal Reserve Bank. The Company uses the historical volatility of its common stock to estimate its future volatility. The expected life of the warrant is based upon its remaining contractual life. The expected dividend yield reflects that the Company has not paid dividends to its common stockholders in the past and does not expect to do so in the foreseeable future.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a summary of the changes in the estimated fair value of the warrant liability during the three months ended March 31, 2020 and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8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 2020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2019</w:t>
            </w:r>
          </w:p>
        </w:tc>
      </w:tr>
      <w:tr>
        <w:trPr>
          <w:trHeight w:val="216"/>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60" w:type="dxa"/>
            <w:vAlign w:val="bottom"/>
            <w:tcBorders>
              <w:top w:val="single" w:sz="8" w:color="auto"/>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Change in fair value</w:t>
            </w:r>
          </w:p>
        </w:tc>
        <w:tc>
          <w:tcPr>
            <w:tcW w:w="166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3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660" w:type="dxa"/>
            <w:vAlign w:val="bottom"/>
            <w:tcBorders>
              <w:top w:val="single" w:sz="8" w:color="auto"/>
              <w:bottom w:val="single" w:sz="8" w:color="auto"/>
            </w:tcBorders>
            <w:shd w:val="clear" w:color="auto" w:fill="CCEEFF"/>
          </w:tcPr>
          <w:p>
            <w:pPr>
              <w:jc w:val="right"/>
              <w:ind w:right="14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three months ended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740" w:type="dxa"/>
            <w:vAlign w:val="bottom"/>
          </w:tcPr>
          <w:p>
            <w:pPr>
              <w:spacing w:after="0"/>
              <w:rPr>
                <w:sz w:val="18"/>
                <w:szCs w:val="18"/>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Unvested</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Issuable</w:t>
            </w:r>
          </w:p>
        </w:tc>
        <w:tc>
          <w:tcPr>
            <w:tcW w:w="1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at Date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4740" w:type="dxa"/>
            <w:vAlign w:val="bottom"/>
          </w:tcPr>
          <w:p>
            <w:pPr>
              <w:spacing w:after="0"/>
              <w:rPr>
                <w:sz w:val="20"/>
                <w:szCs w:val="20"/>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Shares</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Issuance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(350,000)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Issued</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three months ended March 31, 2020, the Company issued 500,000 shares of restricted stock to a director and two executive employees. 350,000 of these shares vested immediately, 75,000 shares will vest in increments of 18,750 each over four years from the date of grant, and 75,000 shares will vest over four years based on performance criteria determined by the Board of Directors or Compensation Committee. Unvested shares remain subject to forfeiture if vesting conditions are not met. The aggregate fair value of the stock awards was $418 based on the market price of our common stock price which ranged from $0.81 to $0.89 per share on the dates of grants and is amortized as shares vest. The total fair value of restricted common stock vesting during the three months ended March 31, 2020 and 2019 was $285 and $150, respectively, and is included in general and administrative expenses in the accompanying statements of operations. As of March 31, 2020, the amount of unvested compensation related to issuances of restricted common stock was $133,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8"/>
              </w:rPr>
              <w:t>Stock options</w:t>
            </w:r>
          </w:p>
        </w:tc>
        <w:tc>
          <w:tcPr>
            <w:tcW w:w="37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140" w:type="dxa"/>
            <w:vAlign w:val="bottom"/>
            <w:gridSpan w:val="8"/>
          </w:tcPr>
          <w:p>
            <w:pPr>
              <w:spacing w:after="0"/>
              <w:rPr>
                <w:sz w:val="20"/>
                <w:szCs w:val="20"/>
                <w:color w:val="auto"/>
              </w:rPr>
            </w:pPr>
            <w:r>
              <w:rPr>
                <w:rFonts w:ascii="Arial" w:cs="Arial" w:eastAsia="Arial" w:hAnsi="Arial"/>
                <w:sz w:val="18"/>
                <w:szCs w:val="18"/>
                <w:color w:val="auto"/>
              </w:rPr>
              <w:t>The following table summarizes stock option activity during the three months ended March 31, 2020:</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Weighted-</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6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6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Terms</w:t>
            </w:r>
          </w:p>
        </w:tc>
        <w:tc>
          <w:tcPr>
            <w:tcW w:w="16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9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 Price</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(Years)</w:t>
            </w: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4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3,265,580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1,617,800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0.67</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Unvested Forfeited or expired</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(36,625)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1.92</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Forfeited or expired</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w:t>
            </w:r>
          </w:p>
        </w:tc>
        <w:tc>
          <w:tcPr>
            <w:tcW w:w="1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7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Outstanding at March 31, 2020</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4,683,380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w:t>
            </w:r>
          </w:p>
        </w:tc>
        <w:tc>
          <w:tcPr>
            <w:tcW w:w="3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8.74</w:t>
            </w:r>
          </w:p>
        </w:tc>
        <w:tc>
          <w:tcPr>
            <w:tcW w:w="3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1,520,086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March 31, 2020, the Company approved options exercisable into 1,617,800 shares to be issued pursuant to Reed’s 2017 Incentive Compensation Plan. 1,282,800 options were issued to employees including 582,800 options that vested immediately, 350,000 options vesting annually over a four-year vesting period, and 350,000 options that will vest based on performance criteria to be established by the board. In addition, 335,000 options granted to consultants, board members, and former employees vest over various periods.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stock options are exercisable at a price ranging from $0.44 to $0.89 per share and expire in ten years. The total fair value of these options at grant date was approximately $896, which was determined using a Black-Scholes-Merton option pricing model with the following average assumption: stock price ranging from $0.44 to $0.89 per share, expected term of seven years, volatility of 120%, dividend rate of 0%, and risk-free interest rate ranging from 0.56% to 1.63%.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 The fair value of the options of $896 will be amortized as the options vest in future periods through March 28, 2024.</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2020 and 2019, the Company recognized $495 and $412 of compensation expense relating to vested stock options. As of March 31, 2020, the aggregate amount of unvested compensation related to stock options was approximately $1,875 which will be recorded as an expense in future periods as the options vest.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As of March 31, 2020, the outstanding options have no intrinsic value. The aggregate intrinsic value was calculated as the difference between the closing market price as of March 31, 2020, which was $0.48, and the exercise price of the outstanding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2020, the Company has issued warrants to purchase an aggregate of 6,413,782 shares of common stock. The Company’s warrant activity during the three months ended March 31, 2020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41"/>
        </w:trPr>
        <w:tc>
          <w:tcPr>
            <w:tcW w:w="4240" w:type="dxa"/>
            <w:vAlign w:val="bottom"/>
          </w:tcPr>
          <w:p>
            <w:pPr>
              <w:spacing w:after="0"/>
              <w:rPr>
                <w:sz w:val="20"/>
                <w:szCs w:val="20"/>
                <w:color w:val="auto"/>
              </w:rPr>
            </w:pPr>
          </w:p>
        </w:tc>
        <w:tc>
          <w:tcPr>
            <w:tcW w:w="140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Terms (Years)</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Intrinsic Value</w:t>
            </w:r>
          </w:p>
        </w:tc>
      </w:tr>
      <w:tr>
        <w:trPr>
          <w:trHeight w:val="216"/>
        </w:trPr>
        <w:tc>
          <w:tcPr>
            <w:tcW w:w="4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6,413,782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March 31, 2020</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6,413,782</w:t>
            </w:r>
          </w:p>
        </w:tc>
        <w:tc>
          <w:tcPr>
            <w:tcW w:w="1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gridSpan w:val="2"/>
          </w:tcPr>
          <w:p>
            <w:pPr>
              <w:jc w:val="right"/>
              <w:ind w:right="300"/>
              <w:spacing w:after="0" w:line="203" w:lineRule="exact"/>
              <w:rPr>
                <w:sz w:val="20"/>
                <w:szCs w:val="20"/>
                <w:color w:val="auto"/>
              </w:rPr>
            </w:pPr>
            <w:r>
              <w:rPr>
                <w:rFonts w:ascii="Arial" w:cs="Arial" w:eastAsia="Arial" w:hAnsi="Arial"/>
                <w:sz w:val="18"/>
                <w:szCs w:val="18"/>
                <w:color w:val="auto"/>
              </w:rPr>
              <w:t>2.06</w:t>
            </w:r>
          </w:p>
        </w:tc>
        <w:tc>
          <w:tcPr>
            <w:tcW w:w="1480" w:type="dxa"/>
            <w:vAlign w:val="bottom"/>
            <w:tcBorders>
              <w:top w:val="single" w:sz="8" w:color="CCEEFF"/>
              <w:bottom w:val="single" w:sz="8" w:color="CCEEFF"/>
            </w:tcBorders>
            <w:gridSpan w:val="2"/>
          </w:tcPr>
          <w:p>
            <w:pPr>
              <w:jc w:val="right"/>
              <w:ind w:right="280"/>
              <w:spacing w:after="0" w:line="203" w:lineRule="exact"/>
              <w:rPr>
                <w:sz w:val="20"/>
                <w:szCs w:val="20"/>
                <w:color w:val="auto"/>
              </w:rPr>
            </w:pPr>
            <w:r>
              <w:rPr>
                <w:rFonts w:ascii="Arial" w:cs="Arial" w:eastAsia="Arial" w:hAnsi="Arial"/>
                <w:sz w:val="18"/>
                <w:szCs w:val="18"/>
                <w:color w:val="auto"/>
              </w:rPr>
              <w:t>1.27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2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March 31,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6,413,782</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warrant transactions during the three months ended March 31, 2020. As of March 31, 2020, the outstanding warrants have no intrinsic value. The intrinsic value was calculated as the difference between the closing market price as of March 31, 2020, which was $0.48, and the exercise price of the Company’s warrants to purchase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Activities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31, 2018, the Company completed the sale of its Los Angeles manufacturing plant to CCB, an entity owned by Chris Reed, a related party. The sale included substantially all machinery, equipment, furniture and fixtures of the manufacturing plant. CCB assumed the monthly payments on our lease obligation effective immediately upon closing of the sale. Our release from the obligation by the lessor, however, is dependent upon CCB’s deposit of $1,200 of security with the lessor. As of March 31, 2020, $800 has been deposited with the lessor and Mr. Reed has placed approximately 363,000 shares of the Company’s common stock valued at $174 that he owns into escrow with the lessor. Mr. Reed expects to deposit the proceeds from the sale of the shares with the lessor in 2020, at which time we expect to be released from the lease obligation.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Beginning in 2019, we are to receive a 5% royalty on CCB’s private label sales to existing customers for three years and a 5% referral fee on CCB’s private label sales to referred customers for three years. For the year ended December 31, 2019, the Company recorded royalty revenue from CCB of $128 which is recorded as a receivable. In addition, at December 31, 2019, the Company has outstanding receivable from CCB of $228 consisting of inventory advances to CCB. The aggregate receivable from CCB at December 31, 2019 was $356. During the three months ended March 31, 2020, the Company received payment of $126, leaving a receivable balance of $230 at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Company conducted a public offering of 15,333,334 shares of its common shares at a public offering price of $0.375 per share. The net proceeds to the Company from this offering are $5,362, after deducting underwriting discounts and commissions and other offering expenses. Proceeds from the offering will provide capital for working capital, and general corporate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29, 2020, the Company received loan proceeds in the amount of $770 pursuant to the Paycheck Protection Program under the Coronavirus Aid, Relief and Economic Security Act (the “Cares Act”), which was enacted on March 27,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17"/>
          <w:szCs w:val="17"/>
          <w:color w:val="auto"/>
        </w:rPr>
        <w:t>On April 9, 2020, the Company received a notification letter from the Nasdaq Listing Qualifications department notifying the Company that the bid price of our common stock had closed at less than $1.00 per share over the previous 30 consecutive business days, and, as a result, did not comply with Listing Rule 5550(a)(2), the continued listing bid price rule. The Company was provided 180 calendar days to regain compliance with the continued listing bid price rule. Subsequently, in response to the COVID-19 pandemic and related extraordinary market conditions, Nasdaq announced that the compliance period for any company previously notified about non-compliance with the continued listing bid price rule will be suspended and resume on July 1, 2020. If, at any time during the extended compliance period, the bid price of our common stock closes at $1.00 per share or more for a minimum of 10 consecutive business days, Nasdaq staff will provide written notification that the Company has achieved compliance with the continued listing bid price rule. If we fail to regain compliance with the continued listing bid price rule during this period but meet all of the other applicable standards for initial listing on the Nasdaq Capital Market with the exception of the continued listing bid price rule, we may be eligible for additional time. To qualify, we would be required to meet the continued listing requirement for market value of publicly held shares and all other initial listing standards for the Nasdaq Capital Market, with the exception of the continued listing bid price rule, and would need to provide written notice of our intention to cure the deficiency during the second compliance period, by effecting a reverse stock split, if necessary.</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20, 2020, the Company received a notification letter from the Nasdaq Listing Qualifications department that, based upon review of Nasdaq Listing Rule 5550(b)(2) which requires the Company to maintain a minimum Market Value of Listed Securities (the “MVLS Rule”) of $35 million, the Company’s MVLS for the last 30 consecutive business days no longer meets this requirement. Consequently, a deficiency exists with regard to the MVLS Rule. Nasdaq listing Rule 5810(c)(3)(C) provides Reed’s a compliance period of 180 calendar days, or through October 19, 2020, during which to regain compliance. If, at any time during the compliance period the MVLS closes at $35 million or more for a minimum of ten consecutive business days, the Nasdaq Listing Qualifications Department will provide the Company written confirmation of compliance with the MVLS Rule and this matter will be closed. If we fail to regain compliance with the MVLS Rule during the compliance period, we will receive written notification that our securities will be subject to delisting.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appearing elsewhere in this report. This discussion and analysis may contain forward-looking statements based on assumptions about our future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first quarter of 2020 the Company fully utilized their expanded network of co-packers and implemented an upgraded set of quality protocols. We also launched our Reed’s Really Real Ginger Ale and Reed’s Wellness Shots. In addition to our traditional sales channels, the Company is utilizing their ecommerce platform that includes their branded web sites and Amazon to offer its line of shots, ginger candy and drinks packaged in cans.</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public equity offering, which closed on April 20, 2020, provided the Company with funds for working capital and general corporate purposes. These funds will provide the support necessary to execute our 2020 strategy that includes driving growth while strategically reducing operating costs.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World Health Organization declared coronavirus COVID-19 a global pandemic. This contagious disease outbreak, which has continued to spread, has adversely affected workforces, customers, economies, and financial markets globally. It has also disrupted the normal operations of many businesses, including ours. This outbreak could decrease spending, adversely affect demand for our product and harm our business and results of operations. It is not possible for us to predict the duration or magnitude of the adverse results of the outbreak and its effects on our business or results of operations at this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March 31, 2020 as compared to March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statistics for the three months ended March 31, 2020 and 2019, respectively,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jc w:val="right"/>
              <w:ind w:right="760"/>
              <w:spacing w:after="0"/>
              <w:rPr>
                <w:sz w:val="20"/>
                <w:szCs w:val="20"/>
                <w:color w:val="auto"/>
              </w:rPr>
            </w:pPr>
            <w:r>
              <w:rPr>
                <w:rFonts w:ascii="Arial" w:cs="Arial" w:eastAsia="Arial" w:hAnsi="Arial"/>
                <w:sz w:val="18"/>
                <w:szCs w:val="18"/>
                <w:color w:val="auto"/>
                <w:w w:val="95"/>
              </w:rPr>
              <w:t>Three Months Ended March 31,</w:t>
            </w: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w w:val="83"/>
              </w:rPr>
              <w:t>Pct.</w:t>
            </w:r>
          </w:p>
        </w:tc>
      </w:tr>
      <w:tr>
        <w:trPr>
          <w:trHeight w:val="237"/>
        </w:trPr>
        <w:tc>
          <w:tcPr>
            <w:tcW w:w="476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tcPr>
          <w:p>
            <w:pPr>
              <w:spacing w:after="0"/>
              <w:rPr>
                <w:sz w:val="20"/>
                <w:szCs w:val="20"/>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sales (A)</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36"/>
        </w:trPr>
        <w:tc>
          <w:tcPr>
            <w:tcW w:w="476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1,071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5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produced (C)</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6,653</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5,795</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i w:val="1"/>
                <w:iCs w:val="1"/>
                <w:color w:val="auto"/>
              </w:rPr>
              <w:t>% of Gross sales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63.1%</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60.9%</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69.9%</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68.6%</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Cost of goods sold – idle capacity (D)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50"/>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1.8%</w:t>
            </w:r>
          </w:p>
        </w:tc>
        <w:tc>
          <w:tcPr>
            <w:tcW w:w="1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476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2,870</w:t>
            </w:r>
          </w:p>
        </w:tc>
        <w:tc>
          <w:tcPr>
            <w:tcW w:w="3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2,504</w:t>
            </w:r>
          </w:p>
        </w:tc>
        <w:tc>
          <w:tcPr>
            <w:tcW w:w="380" w:type="dxa"/>
            <w:vAlign w:val="bottom"/>
            <w:tcBorders>
              <w:top w:val="single" w:sz="8" w:color="CCEEFF"/>
              <w:bottom w:val="single" w:sz="8" w:color="CCEEFF"/>
            </w:tcBorders>
          </w:tcPr>
          <w:p>
            <w:pPr>
              <w:spacing w:after="0"/>
              <w:rPr>
                <w:sz w:val="18"/>
                <w:szCs w:val="18"/>
                <w:color w:val="auto"/>
              </w:rPr>
            </w:pPr>
          </w:p>
        </w:tc>
        <w:tc>
          <w:tcPr>
            <w:tcW w:w="15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15%</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30.1%</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29.6%</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17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1,263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1,030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13.3%</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12.2%</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2.3</w:t>
            </w:r>
          </w:p>
        </w:tc>
        <w:tc>
          <w:tcPr>
            <w:tcW w:w="3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2.0</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1,925</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2,015</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20.2%</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23.9%</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1,932</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2,371</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20.3%</w:t>
            </w:r>
          </w:p>
        </w:tc>
        <w:tc>
          <w:tcPr>
            <w:tcW w:w="3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28.1%</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assets</w:t>
            </w:r>
          </w:p>
        </w:tc>
        <w:tc>
          <w:tcPr>
            <w:tcW w:w="1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4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56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5,120</w:t>
            </w:r>
          </w:p>
        </w:tc>
        <w:tc>
          <w:tcPr>
            <w:tcW w:w="38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5,386</w:t>
            </w:r>
          </w:p>
        </w:tc>
        <w:tc>
          <w:tcPr>
            <w:tcW w:w="380" w:type="dxa"/>
            <w:vAlign w:val="bottom"/>
            <w:tcBorders>
              <w:top w:val="single" w:sz="8" w:color="CCEEFF"/>
              <w:bottom w:val="single" w:sz="8" w:color="CCEEFF"/>
            </w:tcBorders>
          </w:tcPr>
          <w:p>
            <w:pPr>
              <w:spacing w:after="0"/>
              <w:rPr>
                <w:sz w:val="18"/>
                <w:szCs w:val="18"/>
                <w:color w:val="auto"/>
              </w:rPr>
            </w:pPr>
          </w:p>
        </w:tc>
        <w:tc>
          <w:tcPr>
            <w:tcW w:w="150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-5%</w:t>
            </w:r>
          </w:p>
        </w:tc>
      </w:tr>
      <w:tr>
        <w:trPr>
          <w:trHeight w:val="216"/>
        </w:trPr>
        <w:tc>
          <w:tcPr>
            <w:tcW w:w="4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Loss from operations</w:t>
            </w:r>
          </w:p>
        </w:tc>
        <w:tc>
          <w:tcPr>
            <w:tcW w:w="17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(2,250)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(2,882)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4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6"/>
        </w:trPr>
        <w:tc>
          <w:tcPr>
            <w:tcW w:w="4760" w:type="dxa"/>
            <w:vAlign w:val="bottom"/>
          </w:tcPr>
          <w:p>
            <w:pPr>
              <w:spacing w:after="0"/>
              <w:rPr>
                <w:sz w:val="20"/>
                <w:szCs w:val="20"/>
                <w:color w:val="auto"/>
              </w:rPr>
            </w:pPr>
            <w:r>
              <w:rPr>
                <w:rFonts w:ascii="Arial" w:cs="Arial" w:eastAsia="Arial" w:hAnsi="Arial"/>
                <w:sz w:val="18"/>
                <w:szCs w:val="18"/>
                <w:color w:val="auto"/>
              </w:rPr>
              <w:t>Interest expense and other expense</w:t>
            </w:r>
          </w:p>
        </w:tc>
        <w:tc>
          <w:tcPr>
            <w:tcW w:w="17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(330)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(382)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7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47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7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(2,580)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(3,264)</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196"/>
        </w:trPr>
        <w:tc>
          <w:tcPr>
            <w:tcW w:w="47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7"/>
        </w:trPr>
        <w:tc>
          <w:tcPr>
            <w:tcW w:w="4760" w:type="dxa"/>
            <w:vAlign w:val="bottom"/>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7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(0.11)</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476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47,595,206</w:t>
            </w:r>
          </w:p>
        </w:tc>
        <w:tc>
          <w:tcPr>
            <w:tcW w:w="3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29,103,645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r>
      <w:tr>
        <w:trPr>
          <w:trHeight w:val="425"/>
        </w:trPr>
        <w:tc>
          <w:tcPr>
            <w:tcW w:w="47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068" w:gutter="0" w:footer="0" w:header="0"/>
        </w:sectPr>
      </w:pPr>
    </w:p>
    <w:bookmarkStart w:id="19" w:name="page20"/>
    <w:bookmarkEnd w:id="19"/>
    <w:p>
      <w:pPr>
        <w:jc w:val="both"/>
        <w:ind w:firstLine="8"/>
        <w:spacing w:after="0" w:line="271" w:lineRule="auto"/>
        <w:tabs>
          <w:tab w:leader="none" w:pos="29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are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have been defined by our internal reporting practices. In addition, gross sales may not be realized in the form of cash receipts as promotional payments and allowances may be deducted from payments received from certain customers.</w:t>
      </w:r>
    </w:p>
    <w:p>
      <w:pPr>
        <w:spacing w:after="0" w:line="178" w:lineRule="exact"/>
        <w:rPr>
          <w:rFonts w:ascii="Arial" w:cs="Arial" w:eastAsia="Arial" w:hAnsi="Arial"/>
          <w:sz w:val="17"/>
          <w:szCs w:val="17"/>
          <w:i w:val="1"/>
          <w:iCs w:val="1"/>
          <w:color w:val="auto"/>
        </w:rPr>
      </w:pPr>
    </w:p>
    <w:p>
      <w:pPr>
        <w:jc w:val="both"/>
        <w:ind w:firstLine="8"/>
        <w:spacing w:after="0" w:line="269" w:lineRule="auto"/>
        <w:tabs>
          <w:tab w:leader="none" w:pos="286"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8" w:lineRule="exact"/>
        <w:rPr>
          <w:rFonts w:ascii="Arial" w:cs="Arial" w:eastAsia="Arial" w:hAnsi="Arial"/>
          <w:sz w:val="17"/>
          <w:szCs w:val="17"/>
          <w:i w:val="1"/>
          <w:iCs w:val="1"/>
          <w:color w:val="auto"/>
        </w:rPr>
      </w:pPr>
    </w:p>
    <w:p>
      <w:pPr>
        <w:jc w:val="both"/>
        <w:ind w:firstLine="8"/>
        <w:spacing w:after="0" w:line="275" w:lineRule="auto"/>
        <w:tabs>
          <w:tab w:leader="none" w:pos="304"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produced: Cost of goods produced consists of the costs of raw materials and packaging utilized in the manufacture of products, co-packing fees, repacking fees, in-bound freight charges, inventory adjustments, as well as certain internal transfer costs. Cost of goods produced is used internally by management to measure the direct costs of goods sold, aside from unallocated plant costs. Cost of goods produced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6" w:lineRule="exact"/>
        <w:rPr>
          <w:rFonts w:ascii="Arial" w:cs="Arial" w:eastAsia="Arial" w:hAnsi="Arial"/>
          <w:sz w:val="17"/>
          <w:szCs w:val="17"/>
          <w:i w:val="1"/>
          <w:iCs w:val="1"/>
          <w:color w:val="auto"/>
        </w:rPr>
      </w:pPr>
    </w:p>
    <w:p>
      <w:pPr>
        <w:jc w:val="both"/>
        <w:ind w:firstLine="8"/>
        <w:spacing w:after="0" w:line="273" w:lineRule="auto"/>
        <w:tabs>
          <w:tab w:leader="none" w:pos="301"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sold – idle capacity: Cost of goods sold – idle capacity consists of direct production costs in excess of charges allocated to our finished goods in production. Plant costs in excess of production allocations are expensed in the period incurred rather than added to the cost of finished goods produced. Plant costs include labor costs, production supplies, repairs and maintenance, and inventory write-off. Our charges for labor and overhead allocated to our finished goods are determined on a market cost basis, which is lower than our actual costs incurred. Cost goods sold – idle capacity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chart sets forth key statistics for the transition of the Company’s top line activity from the first quarter of 2019 through the first quarter of 2020.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Q1Per Case</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Q1</w:t>
            </w:r>
          </w:p>
        </w:tc>
        <w:tc>
          <w:tcPr>
            <w:tcW w:w="520" w:type="dxa"/>
            <w:vAlign w:val="bottom"/>
          </w:tcPr>
          <w:p>
            <w:pPr>
              <w:jc w:val="right"/>
              <w:ind w:right="188"/>
              <w:spacing w:after="0" w:line="126" w:lineRule="exact"/>
              <w:rPr>
                <w:sz w:val="20"/>
                <w:szCs w:val="20"/>
                <w:color w:val="auto"/>
              </w:rPr>
            </w:pPr>
            <w:r>
              <w:rPr>
                <w:rFonts w:ascii="Arial" w:cs="Arial" w:eastAsia="Arial" w:hAnsi="Arial"/>
                <w:sz w:val="14"/>
                <w:szCs w:val="14"/>
                <w:b w:val="1"/>
                <w:bCs w:val="1"/>
                <w:color w:val="auto"/>
              </w:rPr>
              <w:t>vs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Q1</w:t>
            </w:r>
          </w:p>
        </w:tc>
        <w:tc>
          <w:tcPr>
            <w:tcW w:w="140" w:type="dxa"/>
            <w:vAlign w:val="bottom"/>
          </w:tcPr>
          <w:p>
            <w:pPr>
              <w:spacing w:after="0"/>
              <w:rPr>
                <w:sz w:val="10"/>
                <w:szCs w:val="10"/>
                <w:color w:val="auto"/>
              </w:rPr>
            </w:pPr>
          </w:p>
        </w:tc>
        <w:tc>
          <w:tcPr>
            <w:tcW w:w="7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Q3</w:t>
            </w:r>
          </w:p>
        </w:tc>
        <w:tc>
          <w:tcPr>
            <w:tcW w:w="140" w:type="dxa"/>
            <w:vAlign w:val="bottom"/>
          </w:tcPr>
          <w:p>
            <w:pPr>
              <w:spacing w:after="0"/>
              <w:rPr>
                <w:sz w:val="10"/>
                <w:szCs w:val="10"/>
                <w:color w:val="auto"/>
              </w:rPr>
            </w:pPr>
          </w:p>
        </w:tc>
        <w:tc>
          <w:tcPr>
            <w:tcW w:w="7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Q4</w:t>
            </w:r>
          </w:p>
        </w:tc>
        <w:tc>
          <w:tcPr>
            <w:tcW w:w="140" w:type="dxa"/>
            <w:vAlign w:val="bottom"/>
          </w:tcPr>
          <w:p>
            <w:pPr>
              <w:spacing w:after="0"/>
              <w:rPr>
                <w:sz w:val="10"/>
                <w:szCs w:val="10"/>
                <w:color w:val="auto"/>
              </w:rPr>
            </w:pPr>
          </w:p>
        </w:tc>
        <w:tc>
          <w:tcPr>
            <w:tcW w:w="7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FY</w:t>
            </w:r>
          </w:p>
        </w:tc>
        <w:tc>
          <w:tcPr>
            <w:tcW w:w="120" w:type="dxa"/>
            <w:vAlign w:val="bottom"/>
          </w:tcPr>
          <w:p>
            <w:pPr>
              <w:spacing w:after="0"/>
              <w:rPr>
                <w:sz w:val="10"/>
                <w:szCs w:val="10"/>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vs PY</w:t>
            </w: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PY</w:t>
            </w: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Cases:</w:t>
            </w:r>
          </w:p>
        </w:tc>
        <w:tc>
          <w:tcPr>
            <w:tcW w:w="1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Reed’s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238</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281</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238</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970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Virgil’s</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257</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296</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302</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228</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vMerge w:val="restart"/>
          </w:tcPr>
          <w:p>
            <w:pPr>
              <w:ind w:left="240"/>
              <w:spacing w:after="0" w:line="155" w:lineRule="exact"/>
              <w:rPr>
                <w:sz w:val="20"/>
                <w:szCs w:val="20"/>
                <w:color w:val="auto"/>
              </w:rPr>
            </w:pPr>
            <w:r>
              <w:rPr>
                <w:rFonts w:ascii="Arial" w:cs="Arial" w:eastAsia="Arial" w:hAnsi="Arial"/>
                <w:sz w:val="14"/>
                <w:szCs w:val="14"/>
                <w:color w:val="auto"/>
              </w:rPr>
              <w:t>Total Core</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550</w:t>
            </w: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495</w:t>
            </w:r>
          </w:p>
        </w:tc>
        <w:tc>
          <w:tcPr>
            <w:tcW w:w="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577</w:t>
            </w: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540</w:t>
            </w:r>
          </w:p>
        </w:tc>
        <w:tc>
          <w:tcPr>
            <w:tcW w:w="2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441</w:t>
            </w: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2,053</w:t>
            </w:r>
          </w:p>
        </w:tc>
        <w:tc>
          <w:tcPr>
            <w:tcW w:w="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Non Core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4"/>
                <w:szCs w:val="14"/>
                <w:color w:val="auto"/>
              </w:rPr>
              <w:t>Candy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1040" w:type="dxa"/>
            <w:vAlign w:val="bottom"/>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Total</w:t>
            </w: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560</w:t>
            </w:r>
          </w:p>
        </w:tc>
        <w:tc>
          <w:tcPr>
            <w:tcW w:w="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524</w:t>
            </w:r>
          </w:p>
        </w:tc>
        <w:tc>
          <w:tcPr>
            <w:tcW w:w="2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588</w:t>
            </w:r>
          </w:p>
        </w:tc>
        <w:tc>
          <w:tcPr>
            <w:tcW w:w="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550</w:t>
            </w:r>
          </w:p>
        </w:tc>
        <w:tc>
          <w:tcPr>
            <w:tcW w:w="2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457</w:t>
            </w:r>
          </w:p>
        </w:tc>
        <w:tc>
          <w:tcPr>
            <w:tcW w:w="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2,120</w:t>
            </w:r>
          </w:p>
        </w:tc>
        <w:tc>
          <w:tcPr>
            <w:tcW w:w="2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Gross Sales: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Core</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10,175</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9,098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10,455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9,809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8,407</w:t>
            </w: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37,769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18.5</w:t>
            </w: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Non Core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560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4"/>
                <w:szCs w:val="14"/>
                <w:color w:val="auto"/>
              </w:rPr>
              <w:t>Candy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241</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274</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172</w:t>
            </w:r>
          </w:p>
        </w:tc>
        <w:tc>
          <w:tcPr>
            <w:tcW w:w="14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285</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971</w:t>
            </w:r>
          </w:p>
        </w:tc>
        <w:tc>
          <w:tcPr>
            <w:tcW w:w="12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26.8</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
        </w:trPr>
        <w:tc>
          <w:tcPr>
            <w:tcW w:w="1140" w:type="dxa"/>
            <w:vAlign w:val="bottom"/>
            <w:shd w:val="clear" w:color="auto" w:fill="CCEEFF"/>
          </w:tcPr>
          <w:p>
            <w:pPr>
              <w:spacing w:after="0"/>
              <w:rPr>
                <w:sz w:val="2"/>
                <w:szCs w:val="2"/>
                <w:color w:val="auto"/>
              </w:rPr>
            </w:pPr>
          </w:p>
        </w:tc>
        <w:tc>
          <w:tcPr>
            <w:tcW w:w="1040" w:type="dxa"/>
            <w:vAlign w:val="bottom"/>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10,551</w:t>
            </w:r>
          </w:p>
        </w:tc>
        <w:tc>
          <w:tcPr>
            <w:tcW w:w="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9,520</w:t>
            </w:r>
          </w:p>
        </w:tc>
        <w:tc>
          <w:tcPr>
            <w:tcW w:w="2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10,758</w:t>
            </w:r>
          </w:p>
        </w:tc>
        <w:tc>
          <w:tcPr>
            <w:tcW w:w="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10,112</w:t>
            </w:r>
          </w:p>
        </w:tc>
        <w:tc>
          <w:tcPr>
            <w:tcW w:w="2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8,911</w:t>
            </w:r>
          </w:p>
        </w:tc>
        <w:tc>
          <w:tcPr>
            <w:tcW w:w="2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39,300</w:t>
            </w:r>
          </w:p>
        </w:tc>
        <w:tc>
          <w:tcPr>
            <w:tcW w:w="2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18.8</w:t>
            </w:r>
          </w:p>
        </w:tc>
        <w:tc>
          <w:tcPr>
            <w:tcW w:w="1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18.2</w:t>
            </w:r>
          </w:p>
        </w:tc>
        <w:tc>
          <w:tcPr>
            <w:tcW w:w="20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Discounts:</w:t>
            </w: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Total</w:t>
            </w:r>
          </w:p>
        </w:tc>
        <w:tc>
          <w:tcPr>
            <w:tcW w:w="3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(1,028)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(1,071)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(1,278)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(1,372)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(1,759)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(5,480)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(1.8)</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COGS: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Core</w:t>
            </w: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(6,414)</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(5,469)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(6,094)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(5,880)</w:t>
            </w: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(24,286)</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Non Core</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(445)</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(678)</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auto"/>
              </w:rPr>
              <w:t>Candy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(180)</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(159)</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(229)</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(671)</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2"/>
        </w:trPr>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Idle Plant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(159)</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(309)</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vMerge w:val="restart"/>
          </w:tcPr>
          <w:p>
            <w:pPr>
              <w:ind w:left="24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(6,653)</w:t>
            </w:r>
          </w:p>
        </w:tc>
        <w:tc>
          <w:tcPr>
            <w:tcW w:w="2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4"/>
                <w:szCs w:val="14"/>
                <w:b w:val="1"/>
                <w:bCs w:val="1"/>
                <w:color w:val="auto"/>
              </w:rPr>
              <w:t>12%</w:t>
            </w:r>
          </w:p>
        </w:tc>
        <w:tc>
          <w:tcPr>
            <w:tcW w:w="160" w:type="dxa"/>
            <w:vAlign w:val="bottom"/>
          </w:tcPr>
          <w:p>
            <w:pPr>
              <w:jc w:val="right"/>
              <w:ind w:right="8"/>
              <w:spacing w:after="0" w:line="135" w:lineRule="exact"/>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(5,945)</w:t>
            </w:r>
          </w:p>
        </w:tc>
        <w:tc>
          <w:tcPr>
            <w:tcW w:w="240" w:type="dxa"/>
            <w:vAlign w:val="bottom"/>
            <w:vMerge w:val="continue"/>
          </w:tcPr>
          <w:p>
            <w:pPr>
              <w:spacing w:after="0"/>
              <w:rPr>
                <w:sz w:val="11"/>
                <w:szCs w:val="11"/>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(7,207)</w:t>
            </w:r>
          </w:p>
        </w:tc>
        <w:tc>
          <w:tcPr>
            <w:tcW w:w="220" w:type="dxa"/>
            <w:vAlign w:val="bottom"/>
            <w:vMerge w:val="continue"/>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(6,238)</w:t>
            </w:r>
          </w:p>
        </w:tc>
        <w:tc>
          <w:tcPr>
            <w:tcW w:w="240" w:type="dxa"/>
            <w:vAlign w:val="bottom"/>
            <w:vMerge w:val="continue"/>
          </w:tcPr>
          <w:p>
            <w:pPr>
              <w:spacing w:after="0"/>
              <w:rPr>
                <w:sz w:val="11"/>
                <w:szCs w:val="11"/>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(6,544)</w:t>
            </w:r>
          </w:p>
        </w:tc>
        <w:tc>
          <w:tcPr>
            <w:tcW w:w="220" w:type="dxa"/>
            <w:vAlign w:val="bottom"/>
            <w:vMerge w:val="continue"/>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5"/>
              </w:rPr>
              <w:t>(25,944)</w:t>
            </w:r>
          </w:p>
        </w:tc>
        <w:tc>
          <w:tcPr>
            <w:tcW w:w="240" w:type="dxa"/>
            <w:vAlign w:val="bottom"/>
            <w:vMerge w:val="continue"/>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(11.9)</w:t>
            </w:r>
          </w:p>
        </w:tc>
        <w:tc>
          <w:tcPr>
            <w:tcW w:w="12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(11.3)</w:t>
            </w:r>
          </w:p>
        </w:tc>
        <w:tc>
          <w:tcPr>
            <w:tcW w:w="200" w:type="dxa"/>
            <w:vAlign w:val="bottom"/>
            <w:vMerge w:val="continue"/>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line="149" w:lineRule="exact"/>
              <w:rPr>
                <w:sz w:val="20"/>
                <w:szCs w:val="20"/>
                <w:color w:val="auto"/>
              </w:rPr>
            </w:pPr>
            <w:r>
              <w:rPr>
                <w:rFonts w:ascii="Arial" w:cs="Arial" w:eastAsia="Arial" w:hAnsi="Arial"/>
                <w:sz w:val="14"/>
                <w:szCs w:val="14"/>
                <w:b w:val="1"/>
                <w:bCs w:val="1"/>
                <w:color w:val="auto"/>
              </w:rPr>
              <w:t>Gross Margin:</w:t>
            </w:r>
          </w:p>
        </w:tc>
        <w:tc>
          <w:tcPr>
            <w:tcW w:w="1040" w:type="dxa"/>
            <w:vAlign w:val="bottom"/>
          </w:tcPr>
          <w:p>
            <w:pPr>
              <w:spacing w:after="0"/>
              <w:rPr>
                <w:sz w:val="12"/>
                <w:szCs w:val="12"/>
                <w:color w:val="auto"/>
              </w:rPr>
            </w:pPr>
          </w:p>
        </w:tc>
        <w:tc>
          <w:tcPr>
            <w:tcW w:w="380" w:type="dxa"/>
            <w:vAlign w:val="bottom"/>
            <w:gridSpan w:val="2"/>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2,870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15%</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2,504</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2,273</w:t>
            </w: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2,502</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597</w:t>
            </w:r>
          </w:p>
        </w:tc>
        <w:tc>
          <w:tcPr>
            <w:tcW w:w="1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7,876</w:t>
            </w:r>
          </w:p>
        </w:tc>
        <w:tc>
          <w:tcPr>
            <w:tcW w:w="120" w:type="dxa"/>
            <w:vAlign w:val="bottom"/>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5.1</w:t>
            </w: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 Net Sales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30.1%</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Company’s ongoing initiative to simplify and streamline operations by reducing the number of SKUs, the Company has identified core products on which to place its strategic focus. These core products consist of Reed’s and Virgil’s branded beverages. Beginning in 2020, our Wellness Shots are captured in Non-core products. Non-core products for 2019 consist primarily of slower selling discontinued Reed’s and Virgil’s SKUs, discontinued brands such as China Cola and Sonoma Sparklers, as well private label SKUs which were sold to California Custom Beverage as part of the plant sale on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decision to focus on the core Reed’s and Virgil’s beverage brands and simplify operations by reducing the overall number of SKUs that we offer, the Company’s core beverage volume for the quarter ended March 31, 2020, represents 98% of all beverage volume.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Core brand gross revenue increased by 12% to $10,175 compared to the same period last year, driven by Reed’s volume growth of 21%. This increase was slightly reduced as sales of discontinued and private label sales, which are no longer part of our portfolio are lapped. The result is an increase in total gross revenue of 11%, to $10,551 from $9,520 during the same period last year. On a 12-ounce case basis, price on our core brands increased $0.10 per 12-ounce case or 1% year over year, while volume grew 11% as compared to the same period last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Discounts as a percentage of gross sales decreased to 10% in the first quarter of 2020 from 11% in the same period last year. The decrease in our promotions was driven by lower promotional activity primarily due to the impacts of COVID-19 as promotional execution took less of a priority in the marketplace. As a result, net sales revenue grew 13% in the first quarter of 2020 to $9,523, compared to $8,449 in the same period last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Produced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goods sold increased $708 during the first quarter of 2020 as compared to the same period last year. As a percentage of net sales, cost of goods sold remained steady at 70% for both the first quarter of 2020, and the same period last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cost of goods per case increased to $11.9 per case in the first quarter of 2020 from $11.3 per case in the first quarter of 2019 as higher costed inventory remaining from 2019 was sold. The cost of goods sold per case on core brands decreased to $11.7 during the first quarter of 2020, from the $13.3 experienced in the preceding quarter (fourth quarter of 2019). We are continuing to work with suppliers and co-packers to improve our processes and maximize cost efficiencies.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50 bps to 30.1% for the first quarter of 2020, compared to 29.6% during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increased by $233 in the first quarter of 2020 to $1,263 from $1,030 in the same period last year, driven by increased volumes. Delivery costs in the first quarter of 2020 were 13% of net sales and $2.3 per case, compared to 12% of net sales and $2.0 per case during the same period last year as a result of increased costs due to market forces impacted by COVID-19.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Total selling and marketing expenses were $1,925 during the first quarter of 2020, compared to $2,015 during the same period last year. As a percentage of net sales, selling and marketing costs decreased to 20% during the three months ended March 31, 2020, as compared to 24% during the same period last year. The decrease represents a lapping of the Catalina retail register coupon program, which was not implemented in the first quarter of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decreased in the first quarter of 2020 to $1,932 from $2,371, a decrease of $439 over the same period last year. Our general and administrative expense reduction was largely driven by the lapping of a $220 one-time final transition cost incurred in 2019 related to our plant sale and a reduction in temp staffing of $90.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$2,250 for the three months ended March 31, 2020, as compared to a loss of $2,882 in the same period last year driven by increase gross profit and reductions in operating expenses discussed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and other expense for the three months ended March 31, 2020 consisted of $336 of interest expense offset by the change in fair value of our warrant liability of $6. During the same period last year, interest expense was $335, and expense related to the change in fair value of our warrant liability was $47.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reconciliation of net loss to Modified EBITDA for the three months ended March 31, 2020 and 2019 (unaudited;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38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Severance</w:t>
            </w:r>
          </w:p>
        </w:tc>
        <w:tc>
          <w:tcPr>
            <w:tcW w:w="1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EBITDA adjustments</w:t>
            </w:r>
          </w:p>
        </w:tc>
        <w:tc>
          <w:tcPr>
            <w:tcW w:w="1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w:t>
            </w:r>
          </w:p>
        </w:tc>
        <w:tc>
          <w:tcPr>
            <w:tcW w:w="2140" w:type="dxa"/>
            <w:vAlign w:val="bottom"/>
            <w:gridSpan w:val="2"/>
            <w:shd w:val="clear" w:color="auto" w:fill="CCEEFF"/>
          </w:tcPr>
          <w:p>
            <w:pPr>
              <w:jc w:val="right"/>
              <w:ind w:right="81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(1,409)</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2020, the Company recorded a net loss of $2,580 and used cash in operations of $2,352. As of March 31, 2020, we had a cash balance of $28 with borrowing capacity of $2,961, a stockholder’s deficit of $653 and a working capital of $3,173, compared to a cash balance of $913 with borrowing capacity of $3,235, stockholders’ equity of $1,147 and a working capital of $4,885 at December 31, 2019.</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Company conducted a public offering of 15,333,334 shares of its common shares at a public offering price of $0.375 per share. The net proceeds to the Company from this offering are $5,362, after deducting underwriting discounts and commissions and other offering expenses. Proceeds from the offering will provide capital for working capital, and general corporate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29, 2020, the Company received loan proceeds in the amount of $770 pursuant to the Paycheck Protection Program under the Coronavirus Aid, Relief and Economic Security Act (the “Cares Act”), which was enacted on March 27,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World Health Organization declared coronavirus COVID-19 a global pandemic. This contagious disease outbreak, which has continued to spread, and any related adverse public health developments, has adversely affected workforces, customers, economies, and financial markets globally, potentially leading to an economic downturn. It has also disrupted the normal operations of many businesses, including ours. This outbreak could decrease spending, adversely affect demand for our product and harm our business and results of operations. It is not possible for us to predict the duration or magnitude of the adverse results of the outbreak and its effects on our business or results of operations at this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revenue in accordance with ASU 2014-09, Revenue from Contracts with Customers (Topic 606),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conducted an evaluation of our disclosure controls and procedures, as such term is defined under Securities and Exchange Act of 1934 Rules 13a-15(f). Based on this evaluation, our Chief Executive Officer and our Chief Financial Officer concluded that the Company’s disclosure controls and procedures were not effective as of March 31, 2020. As of March 31, 2020, management’s assessment identified the following material weaknesses in the Company’s internal control over financial reporting:</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Outsourced IT Service Providers </w:t>
      </w:r>
      <w:r>
        <w:rPr>
          <w:rFonts w:ascii="Arial" w:cs="Arial" w:eastAsia="Arial" w:hAnsi="Arial"/>
          <w:sz w:val="17"/>
          <w:szCs w:val="17"/>
          <w:color w:val="auto"/>
        </w:rPr>
        <w:t>- The Company relies upon a variety of outsourced Information Technology (IT) service providers for key elements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infrastructure impacting its financial reporting process. Certain of these outsourced IT service providers could not provide System and Organization Controls (SOC) reports. The Company did not have controls designed to assess the design and operation of internal controls pertaining to these outsourced IT service providers over the period of reliance. Given that management did not effectively assess the design and operation of certain outsourced IT service providers’ internal controls, certain of the Company’s controls over IT systems and business processes were also ineffective, to the extent that they rely upon information that was subject to the outsourced IT service providers’ control environment.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Segregation of Duties </w:t>
      </w:r>
      <w:r>
        <w:rPr>
          <w:rFonts w:ascii="Arial" w:cs="Arial" w:eastAsia="Arial" w:hAnsi="Arial"/>
          <w:sz w:val="18"/>
          <w:szCs w:val="18"/>
          <w:color w:val="auto"/>
        </w:rPr>
        <w:t>- The Company did not maintain effective policies to ensure adequate segregation of duties within its accounting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due to the size of the Company and the smaller nature of department teams, opportunities are limited to segregate duties, resulting in inabilities to soundly manage segregation of job responsibilities.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months ended March 31, 2020 that have materially affected, or are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Remediation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the section titled “Risk Factors” in Part II, Item 1A of this Quarterly Report, we have begun, with the oversight of senior management and our audit committee, to implement measures to remediate the identified material weakness. The execution of our remediation is ongoing and will require validation and testing of the design and operating effectiveness of internal controls over a sustained period of financial reporting cycles. Management expects to complete its remediation plan during the year ending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various legal proceedings from time to time in the ordinary course of business, none of which are required to be disclosed under this Item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following risk factors and the other information set forth in this Quarterly Report on Form 10-Q, you should carefully consider the risk factors discussed in Part I, Item 1A of our Annual Report on Form 10-K (our Form 10-K) for the year ended December 31, 2019 and any subsequent filings with the Securities and Exchange Commission (SEC) made prior to the date hereof, which could materially affect our business, financial condition, results of operations or future results. The risks and uncertainties discussed below,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The risk factor below updates, and should be read together with, the risk factors disclosed in Part I, Item 1A of our Form 10-K. Please also read the Cautionary Notice Regarding Forward-Looking Statements in Part I, Item 2 of this Quarterly Report on Form 10-Q under the heading “Management’s Discussion and Analysis of Financial Condition and Results of Operations”.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identified material weaknesses in our disclosure controls and procedures and internal control over financial reporting. If not remediated, our failure to establish and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Maintaining effective internal control over financial reporting and effective disclosure controls and procedures are necessary for us to produce reliable financial statements. As discussed in Part I, Item 4 – “Controls and Procedures” of this Quarterly Report on Form 10-Q, we have re-evaluated our internal control over financial reporting and our disclosure controls and procedures and concluded that they were not effective as of March 31, 2020.</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we identified are (1) ineffective controls over outsourced IT systems and business processes and (2) inadequate segregation of duties within accounting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committed to remediating its material weaknesses as promptly as possible. Implementation of the Company’s remediation plans has commenced and is being overseen by senior management and the audit committee. However, we cannot assure you that we can effectively remediate our reported weaknesses or that other significant deficiencies or material weaknesses in our internal control over financial reporting will not be identified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regarding disclosure controls and the effectiveness of our internal control over financial reporting required under Section 404 and the SEC’s rules.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Continued determinations that there are material weaknesses in our internal controls could also reduce our ability to obtain financing or increase the cost of any financing we obtain and require additional expenditures of both money and our management’s time to comply with applicable requirements.</w:t>
      </w:r>
    </w:p>
    <w:p>
      <w:pPr>
        <w:spacing w:after="0" w:line="17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failure to meet the continued listing requirements of the Nasdaq Capital Market could result in a delisting of our common stock, which could negatively impact the market price and liquidity of our common shares and our ability to access the capital markets.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common stock is listed on the Nasdaq Capital Market. If we fail to satisfy the continued listing requirements of the Nasdaq, Capital Market, Nasdaq Listing Qualifications may take steps to delist our common stock. Such a delisting would have a negative effect on the price of our common stock and would impair the ability to sell or purchase our common stock when persons wish to do so. As of the date hereof, we have received deficiency notices from the Nasdaq Listing Qualifications Department notifying us that we are not in compliance with Listing Rule 5550(a)(2), the continued listing bid price rule, and Listing Rule 5550(b)(2),which requires the Company to maintain a minimum Market Value of Listed Securities of $35 million (“MLVS Rule”).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spacing w:after="0" w:line="253" w:lineRule="auto"/>
        <w:rPr>
          <w:sz w:val="20"/>
          <w:szCs w:val="20"/>
          <w:color w:val="auto"/>
        </w:rPr>
      </w:pPr>
      <w:r>
        <w:rPr>
          <w:rFonts w:ascii="Arial" w:cs="Arial" w:eastAsia="Arial" w:hAnsi="Arial"/>
          <w:sz w:val="18"/>
          <w:szCs w:val="18"/>
          <w:color w:val="auto"/>
        </w:rPr>
        <w:t>In response to the COVID-19 pandemic and related extraordinary market conditions, our compliance period to achieve compliance with the continued listing bid price rule has been extended by Nasdaq Listing Qualifications through December 21, 2020. If, at any time during the extended compliance period the bid price of our common stock closes at $1.00 per share or more for a minimum of 10 consecutive business days, Nasdaq staff will provide written notification that the Company has achieved compliance with the continued listing bid price rule. If we fail to regain compliance with the continued listing bid price rule during this period but meet all of the other applicable standards for initial listing on the Nasdaq Capital Market, with the exception of the continued listing bid price, we may be eligible for additional time. To qualify, we would be required to meet the continued listing requirement for market value of publicly held shares and all other initial listing standards for the Nasdaq Capital Market, with the exception of the continued listing bid price rule, and would need to provide written notice of our intention to cure the deficiency during the second compliance period by effecting a reverse stock split, if necessary.</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compliance period to achieve compliance with the required MVLAS Rule ends October 19, 2020. If, at any time during the compliance period the MVLS closes at $35 million or more for a minimum of ten consecutive business days, the Nasdaq Listing Qualifications Department will provide the Company written confirmation of compliance with the MVLS Rule and this matter will be closed. If we fail to regain compliance with the MVLS Rule during the compliance period, we will receive written notification that our securities will be subject to delisting.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8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040" w:type="dxa"/>
            <w:vAlign w:val="bottom"/>
            <w:gridSpan w:val="2"/>
          </w:tcPr>
          <w:p>
            <w:pPr>
              <w:spacing w:after="0"/>
              <w:rPr>
                <w:sz w:val="20"/>
                <w:szCs w:val="20"/>
                <w:color w:val="auto"/>
              </w:rPr>
            </w:pPr>
            <w:r>
              <w:rPr>
                <w:rFonts w:ascii="Arial" w:cs="Arial" w:eastAsia="Arial" w:hAnsi="Arial"/>
                <w:sz w:val="18"/>
                <w:szCs w:val="18"/>
                <w:color w:val="auto"/>
              </w:rPr>
              <w:t>No.</w:t>
            </w:r>
          </w:p>
        </w:tc>
        <w:tc>
          <w:tcPr>
            <w:tcW w:w="102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175"/>
        </w:trPr>
        <w:tc>
          <w:tcPr>
            <w:tcW w:w="8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5"/>
                <w:szCs w:val="15"/>
                <w:color w:val="auto"/>
              </w:rPr>
            </w:pPr>
          </w:p>
        </w:tc>
        <w:tc>
          <w:tcPr>
            <w:tcW w:w="10200" w:type="dxa"/>
            <w:vAlign w:val="bottom"/>
            <w:tcBorders>
              <w:top w:val="single" w:sz="8" w:color="auto"/>
            </w:tcBorders>
            <w:gridSpan w:val="3"/>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 xml:space="preserve">Form of Reed’s, Inc. Promissory Note, in the principal amount of </w:t>
              </w:r>
              <w:r>
                <w:rPr>
                  <w:rFonts w:ascii="Arial" w:cs="Arial" w:eastAsia="Arial" w:hAnsi="Arial"/>
                  <w:sz w:val="18"/>
                  <w:szCs w:val="18"/>
                  <w:u w:val="single" w:color="auto"/>
                  <w:color w:val="0000EE"/>
                </w:rPr>
                <w:t>$</w:t>
              </w:r>
              <w:r>
                <w:rPr>
                  <w:rFonts w:ascii="Arial" w:cs="Arial" w:eastAsia="Arial" w:hAnsi="Arial"/>
                  <w:sz w:val="18"/>
                  <w:szCs w:val="18"/>
                  <w:color w:val="0000EE"/>
                </w:rPr>
                <w:t>769,816 in favor of City National Bank, dated April 20, 2020</w:t>
              </w:r>
            </w:hyperlink>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(Incorporated by reference to Current Report on Form 8-K dated April 29, 2020)</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0" w:type="dxa"/>
            <w:vAlign w:val="bottom"/>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Certification of Chief Executive Officer pursuant to Section 302 of the Sarbanes-Oxley Act of 2002.*</w:t>
              </w:r>
            </w:hyperlink>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of Chief Financial Officer pursuant to Section 302 of the Sarbanes-Oxley Act of 2002.*</w:t>
              </w:r>
            </w:hyperlink>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of Chief Executive Officer pursuant to Section 906 of the Sarbanes-Oxley Act of 2002.*</w:t>
              </w:r>
            </w:hyperlink>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20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of Chief Financial Officer pursuant to Section 906 of the Sarbanes-Oxley Act of 2002.*</w:t>
              </w:r>
            </w:hyperlink>
          </w:p>
        </w:tc>
      </w:tr>
      <w:tr>
        <w:trPr>
          <w:trHeight w:val="41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 Release 33-8238, Exhibits 32.1 and 32.2 are being furnished and not filed.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ind w:left="101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J. Spisak,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March 31, 2020 as filed with the U.S. Securities and Exchange Commission on the date hereof (the “Report”), Norman E. Snyder, Jr., Interim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March 31, 2020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34" Type="http://schemas.openxmlformats.org/officeDocument/2006/relationships/hyperlink" Target="http://www.sec.gov/Archives/edgar/data/1140215/00014931522000754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2020-05-12T05:12:10Z</dcterms:created>
  <dcterms:modified xsi:type="dcterms:W3CDTF">2020-05-12T05:12:10Z</dcterms:modified>
</cp:coreProperties>
</file>