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1700" w:hanging="211"/>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25" w:lineRule="exact"/>
        <w:rPr>
          <w:sz w:val="24"/>
          <w:szCs w:val="24"/>
          <w:color w:val="auto"/>
        </w:rPr>
      </w:pPr>
    </w:p>
    <w:p>
      <w:pPr>
        <w:ind w:left="3780" w:right="2000" w:hanging="1766"/>
        <w:spacing w:after="0" w:line="500" w:lineRule="auto"/>
        <w:tabs>
          <w:tab w:leader="none" w:pos="221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center"/>
              <w:ind w:left="332"/>
              <w:spacing w:after="0"/>
              <w:rPr>
                <w:sz w:val="20"/>
                <w:szCs w:val="20"/>
                <w:color w:val="auto"/>
              </w:rPr>
            </w:pPr>
            <w:r>
              <w:rPr>
                <w:rFonts w:ascii="Arial" w:cs="Arial" w:eastAsia="Arial" w:hAnsi="Arial"/>
                <w:sz w:val="32"/>
                <w:szCs w:val="32"/>
                <w:b w:val="1"/>
                <w:bCs w:val="1"/>
                <w:color w:val="auto"/>
              </w:rPr>
              <w:t>REED’S, INC.</w:t>
            </w:r>
          </w:p>
        </w:tc>
        <w:tc>
          <w:tcPr>
            <w:tcW w:w="42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color w:val="auto"/>
                <w:w w:val="89"/>
              </w:rPr>
              <w:t>Delaware</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89"/>
              </w:rPr>
              <w:t>35-2177773</w:t>
            </w:r>
          </w:p>
        </w:tc>
      </w:tr>
      <w:tr>
        <w:trPr>
          <w:trHeight w:val="202"/>
        </w:trPr>
        <w:tc>
          <w:tcPr>
            <w:tcW w:w="3620" w:type="dxa"/>
            <w:vAlign w:val="bottom"/>
          </w:tcPr>
          <w:p>
            <w:pPr>
              <w:jc w:val="center"/>
              <w:ind w:left="1810"/>
              <w:spacing w:after="0" w:line="201" w:lineRule="exact"/>
              <w:rPr>
                <w:sz w:val="20"/>
                <w:szCs w:val="20"/>
                <w:color w:val="auto"/>
              </w:rPr>
            </w:pPr>
            <w:r>
              <w:rPr>
                <w:rFonts w:ascii="Arial" w:cs="Arial" w:eastAsia="Arial" w:hAnsi="Arial"/>
                <w:sz w:val="18"/>
                <w:szCs w:val="18"/>
                <w:color w:val="auto"/>
                <w:w w:val="88"/>
              </w:rPr>
              <w:t>(State of</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60" w:type="dxa"/>
            <w:vAlign w:val="bottom"/>
          </w:tcPr>
          <w:p>
            <w:pPr>
              <w:jc w:val="center"/>
              <w:ind w:right="11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ind w:left="1810"/>
              <w:spacing w:after="0"/>
              <w:rPr>
                <w:sz w:val="20"/>
                <w:szCs w:val="20"/>
                <w:color w:val="auto"/>
              </w:rPr>
            </w:pPr>
            <w:r>
              <w:rPr>
                <w:rFonts w:ascii="Arial" w:cs="Arial" w:eastAsia="Arial" w:hAnsi="Arial"/>
                <w:sz w:val="18"/>
                <w:szCs w:val="18"/>
                <w:color w:val="auto"/>
                <w:w w:val="94"/>
              </w:rPr>
              <w:t>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5"/>
          </w:tcPr>
          <w:p>
            <w:pPr>
              <w:jc w:val="center"/>
              <w:ind w:left="332"/>
              <w:spacing w:after="0"/>
              <w:rPr>
                <w:sz w:val="20"/>
                <w:szCs w:val="20"/>
                <w:color w:val="auto"/>
              </w:rPr>
            </w:pPr>
            <w:r>
              <w:rPr>
                <w:rFonts w:ascii="Arial" w:cs="Arial" w:eastAsia="Arial" w:hAnsi="Arial"/>
                <w:sz w:val="18"/>
                <w:szCs w:val="18"/>
                <w:color w:val="auto"/>
                <w:w w:val="94"/>
              </w:rPr>
              <w:t>201 Merritt 7, Norwalk, CT. 06851</w:t>
            </w:r>
          </w:p>
        </w:tc>
        <w:tc>
          <w:tcPr>
            <w:tcW w:w="42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1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620" w:type="dxa"/>
            <w:vAlign w:val="bottom"/>
          </w:tcPr>
          <w:p>
            <w:pPr>
              <w:spacing w:after="0"/>
              <w:rPr>
                <w:sz w:val="24"/>
                <w:szCs w:val="24"/>
                <w:color w:val="auto"/>
              </w:rPr>
            </w:pPr>
          </w:p>
        </w:tc>
        <w:tc>
          <w:tcPr>
            <w:tcW w:w="2680" w:type="dxa"/>
            <w:vAlign w:val="bottom"/>
            <w:gridSpan w:val="5"/>
          </w:tcPr>
          <w:p>
            <w:pPr>
              <w:jc w:val="center"/>
              <w:ind w:left="1230"/>
              <w:spacing w:after="0"/>
              <w:rPr>
                <w:sz w:val="20"/>
                <w:szCs w:val="20"/>
                <w:color w:val="auto"/>
              </w:rPr>
            </w:pPr>
            <w:r>
              <w:rPr>
                <w:rFonts w:ascii="Arial" w:cs="Arial" w:eastAsia="Arial" w:hAnsi="Arial"/>
                <w:sz w:val="18"/>
                <w:szCs w:val="18"/>
                <w:color w:val="auto"/>
                <w:w w:val="90"/>
              </w:rPr>
              <w:t>(800) 997-3337</w:t>
            </w:r>
          </w:p>
        </w:tc>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7620" w:type="dxa"/>
            <w:vAlign w:val="bottom"/>
            <w:gridSpan w:val="7"/>
          </w:tcPr>
          <w:p>
            <w:pPr>
              <w:jc w:val="center"/>
              <w:ind w:right="35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9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60" w:type="dxa"/>
            <w:vAlign w:val="bottom"/>
          </w:tcPr>
          <w:p>
            <w:pPr>
              <w:spacing w:after="0"/>
              <w:rPr>
                <w:sz w:val="24"/>
                <w:szCs w:val="24"/>
                <w:color w:val="auto"/>
              </w:rPr>
            </w:pPr>
          </w:p>
        </w:tc>
      </w:tr>
      <w:tr>
        <w:trPr>
          <w:trHeight w:val="439"/>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20" w:type="dxa"/>
            <w:vAlign w:val="bottom"/>
          </w:tcPr>
          <w:p>
            <w:pPr>
              <w:spacing w:after="0"/>
              <w:rPr>
                <w:sz w:val="24"/>
                <w:szCs w:val="24"/>
                <w:color w:val="auto"/>
              </w:rPr>
            </w:pPr>
          </w:p>
        </w:tc>
        <w:tc>
          <w:tcPr>
            <w:tcW w:w="314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ind w:right="59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REED</w:t>
            </w:r>
          </w:p>
        </w:tc>
        <w:tc>
          <w:tcPr>
            <w:tcW w:w="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26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93,729,330 shares of Common Stock outstanding as of November 5, 2021.</w:t>
      </w:r>
    </w:p>
    <w:p>
      <w:pPr>
        <w:spacing w:after="0" w:line="17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5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720" w:type="dxa"/>
            <w:vAlign w:val="bottom"/>
          </w:tcPr>
          <w:p>
            <w:pPr>
              <w:ind w:left="560"/>
              <w:spacing w:after="0"/>
              <w:rPr>
                <w:sz w:val="20"/>
                <w:szCs w:val="20"/>
                <w:color w:val="auto"/>
              </w:rPr>
            </w:pPr>
            <w:r>
              <w:rPr>
                <w:rFonts w:ascii="Arial" w:cs="Arial" w:eastAsia="Arial" w:hAnsi="Arial"/>
                <w:sz w:val="18"/>
                <w:szCs w:val="18"/>
                <w:color w:val="auto"/>
                <w:w w:val="91"/>
              </w:rPr>
              <w:t>Non-Accelerated Filer (do not check if Smaller Reporting</w:t>
            </w:r>
          </w:p>
        </w:tc>
        <w:tc>
          <w:tcPr>
            <w:tcW w:w="0" w:type="dxa"/>
            <w:vAlign w:val="bottom"/>
          </w:tcPr>
          <w:p>
            <w:pPr>
              <w:spacing w:after="0"/>
              <w:rPr>
                <w:sz w:val="1"/>
                <w:szCs w:val="1"/>
                <w:color w:val="auto"/>
              </w:rPr>
            </w:pPr>
          </w:p>
        </w:tc>
      </w:tr>
      <w:tr>
        <w:trPr>
          <w:trHeight w:val="283"/>
        </w:trPr>
        <w:tc>
          <w:tcPr>
            <w:tcW w:w="28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3360" w:type="dxa"/>
            <w:vAlign w:val="bottom"/>
            <w:vMerge w:val="restart"/>
          </w:tcPr>
          <w:p>
            <w:pPr>
              <w:ind w:left="5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472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5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Financial Statements</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 September 30, 2021 (Unaudited) and December 31, 2020</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(Unaudited) for the three and nine months ended September 30, 2021 and 2020</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Statements of Changes in Stockholders’ Equity (Deficit) (Unaudited) for the three and nine months ended September 30, 2021 and</w:t>
              </w:r>
            </w:hyperlink>
          </w:p>
        </w:tc>
        <w:tc>
          <w:tcPr>
            <w:tcW w:w="62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w:t>
              </w:r>
            </w:hyperlink>
          </w:p>
        </w:tc>
        <w:tc>
          <w:tcPr>
            <w:tcW w:w="4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160" w:type="dxa"/>
            <w:vAlign w:val="bottom"/>
            <w:tcBorders>
              <w:top w:val="single" w:sz="8" w:color="0000EE"/>
            </w:tcBorders>
            <w:shd w:val="clear" w:color="auto" w:fill="CCEEFF"/>
          </w:tcPr>
          <w:p>
            <w:pPr>
              <w:spacing w:after="0"/>
              <w:rPr>
                <w:sz w:val="18"/>
                <w:szCs w:val="18"/>
                <w:color w:val="auto"/>
              </w:rPr>
            </w:pPr>
          </w:p>
        </w:tc>
        <w:tc>
          <w:tcPr>
            <w:tcW w:w="8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18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(Unaudited) for the nine months ended September 30, 2021 and 2020</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 (Unaudited)</w:t>
              </w:r>
            </w:hyperlink>
          </w:p>
        </w:tc>
        <w:tc>
          <w:tcPr>
            <w:tcW w:w="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 Defaults Upon Senior Securities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Mine Safety Disclosures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 Other Information</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62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700" w:type="dxa"/>
            <w:vAlign w:val="bottom"/>
            <w:tcBorders>
              <w:top w:val="single" w:sz="8" w:color="CCEEFF"/>
              <w:bottom w:val="single" w:sz="8" w:color="auto"/>
            </w:tcBorders>
            <w:gridSpan w:val="6"/>
          </w:tcPr>
          <w:p>
            <w:pPr>
              <w:jc w:val="center"/>
              <w:ind w:right="4300"/>
              <w:spacing w:after="0"/>
              <w:rPr>
                <w:sz w:val="20"/>
                <w:szCs w:val="20"/>
                <w:color w:val="auto"/>
              </w:rPr>
            </w:pPr>
            <w:r>
              <w:rPr>
                <w:rFonts w:ascii="Arial" w:cs="Arial" w:eastAsia="Arial" w:hAnsi="Arial"/>
                <w:sz w:val="18"/>
                <w:szCs w:val="18"/>
                <w:color w:val="auto"/>
                <w:w w:val="98"/>
              </w:rPr>
              <w:t>i</w:t>
            </w:r>
          </w:p>
        </w:tc>
        <w:tc>
          <w:tcPr>
            <w:tcW w:w="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i w:val="1"/>
          <w:iCs w:val="1"/>
          <w:color w:val="auto"/>
        </w:rPr>
        <w:t>Cautionary Note Regarding Forward 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These risks, assumptions and uncertainties include difficulty in marketing Reed’s products and services, maintaining and protecting brand recognition, the need for significant capital, dependence on third party distributors, dependence on third party brewers, increasing costs of fuel and freight, protection of intellectual property, competition and other factors, any of which could have an adverse effect on the business plans of Reed’s, its reputation in the industry or its expected financial return from operations and results of operations. These risks, assumptions and uncertainties are not necessarily all of the important factors that could cause actual results to differ materially from those expressed in any of our forward-looking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tcPr>
          <w:p>
            <w:pPr>
              <w:jc w:val="center"/>
              <w:ind w:left="4290"/>
              <w:spacing w:after="0"/>
              <w:rPr>
                <w:sz w:val="20"/>
                <w:szCs w:val="20"/>
                <w:color w:val="auto"/>
              </w:rPr>
            </w:pPr>
            <w:r>
              <w:rPr>
                <w:rFonts w:ascii="Arial" w:cs="Arial" w:eastAsia="Arial" w:hAnsi="Arial"/>
                <w:sz w:val="18"/>
                <w:szCs w:val="18"/>
                <w:b w:val="1"/>
                <w:bCs w:val="1"/>
                <w:color w:val="auto"/>
                <w:w w:val="99"/>
              </w:rPr>
              <w:t>REED’S INC.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3"/>
          </w:tcPr>
          <w:p>
            <w:pPr>
              <w:jc w:val="center"/>
              <w:ind w:left="4010"/>
              <w:spacing w:after="0"/>
              <w:rPr>
                <w:sz w:val="20"/>
                <w:szCs w:val="20"/>
                <w:color w:val="auto"/>
              </w:rPr>
            </w:pPr>
            <w:r>
              <w:rPr>
                <w:rFonts w:ascii="Arial" w:cs="Arial" w:eastAsia="Arial" w:hAnsi="Arial"/>
                <w:sz w:val="18"/>
                <w:szCs w:val="18"/>
                <w:b w:val="1"/>
                <w:bCs w:val="1"/>
                <w:color w:val="auto"/>
                <w:w w:val="98"/>
              </w:rPr>
              <w:t>CONDENSED BALANCE SHEETS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September 30,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Accounts receivable, net of allowance of $140 and $234,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4,718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Inventory, net of reserve of $130 and $194,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11,119</w:t>
            </w:r>
          </w:p>
        </w:tc>
      </w:tr>
      <w:tr>
        <w:trPr>
          <w:trHeight w:val="24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26,221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18,455</w:t>
            </w:r>
          </w:p>
        </w:tc>
        <w:tc>
          <w:tcPr>
            <w:tcW w:w="100" w:type="dxa"/>
            <w:vAlign w:val="bottom"/>
            <w:tcBorders>
              <w:top w:val="single" w:sz="8" w:color="CCEEFF"/>
            </w:tcBorders>
          </w:tcPr>
          <w:p>
            <w:pPr>
              <w:spacing w:after="0"/>
              <w:rPr>
                <w:sz w:val="17"/>
                <w:szCs w:val="17"/>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$498 and $361,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$96, respectively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3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Payable to related party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Revolving line of credit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Current portion of lease 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less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Note payable, less current portion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$.0001 par value, 120,000,000 shares authorized, 93,667,855 and 86,317,096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106,345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97,031</w:t>
            </w: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(86,730)</w:t>
            </w: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10,404</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1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880"/>
              <w:spacing w:after="0"/>
              <w:rPr>
                <w:sz w:val="20"/>
                <w:szCs w:val="20"/>
                <w:color w:val="auto"/>
              </w:rPr>
            </w:pPr>
            <w:r>
              <w:rPr>
                <w:rFonts w:ascii="Arial" w:cs="Arial" w:eastAsia="Arial" w:hAnsi="Arial"/>
                <w:sz w:val="18"/>
                <w:szCs w:val="18"/>
                <w:color w:val="auto"/>
              </w:rPr>
              <w:t>Nine Months Ended</w:t>
            </w: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9,530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7,176</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25,824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21,694</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2,207</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8,888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1,583</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6,227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4,872</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(5,960)</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Gain on extinguishment of PPP note payable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(6,920)</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on Series A Convertible Preferred Stock</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(3,887)</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(11,541)</w:t>
            </w:r>
          </w:p>
        </w:tc>
        <w:tc>
          <w:tcPr>
            <w:tcW w:w="5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5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shares outstanding – basic and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93,644,935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62,940,091</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90,400,832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56,706,141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51"/>
        </w:trPr>
        <w:tc>
          <w:tcPr>
            <w:tcW w:w="3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7"/>
              </w:rPr>
              <w:t>Preferred Stock</w:t>
            </w:r>
          </w:p>
        </w:tc>
        <w:tc>
          <w:tcPr>
            <w:tcW w:w="2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Paid In</w:t>
            </w:r>
          </w:p>
        </w:tc>
        <w:tc>
          <w:tcPr>
            <w:tcW w:w="14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600" w:type="dxa"/>
            <w:vAlign w:val="bottom"/>
            <w:gridSpan w:val="2"/>
          </w:tcPr>
          <w:p>
            <w:pPr>
              <w:spacing w:after="0"/>
              <w:rPr>
                <w:sz w:val="20"/>
                <w:szCs w:val="20"/>
                <w:color w:val="auto"/>
              </w:rPr>
            </w:pPr>
            <w:r>
              <w:rPr>
                <w:rFonts w:ascii="Arial" w:cs="Arial" w:eastAsia="Arial" w:hAnsi="Arial"/>
                <w:sz w:val="18"/>
                <w:szCs w:val="18"/>
                <w:color w:val="auto"/>
                <w:w w:val="93"/>
              </w:rPr>
              <w:t>Amount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w w:val="87"/>
              </w:rPr>
              <w:t>Shares</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Capital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93,601,380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4"/>
              </w:rPr>
              <w:t>9,411</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Fair value of vested restricted shares granted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 an officer for services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61,475</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8"/>
              </w:rPr>
              <w:t>Common shares issued on exercise of stock</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options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issued pursuant to the rights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93,667,855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4"/>
              </w:rPr>
              <w:t>9,411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vMerge w:val="restart"/>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8"/>
                <w:szCs w:val="18"/>
                <w:color w:val="auto"/>
                <w:w w:val="87"/>
              </w:rPr>
              <w:t>Preferred Stock</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Paid In</w:t>
            </w:r>
          </w:p>
        </w:tc>
        <w:tc>
          <w:tcPr>
            <w:tcW w:w="14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600" w:type="dxa"/>
            <w:vAlign w:val="bottom"/>
            <w:gridSpan w:val="2"/>
          </w:tcPr>
          <w:p>
            <w:pPr>
              <w:spacing w:after="0"/>
              <w:rPr>
                <w:sz w:val="20"/>
                <w:szCs w:val="20"/>
                <w:color w:val="auto"/>
              </w:rPr>
            </w:pPr>
            <w:r>
              <w:rPr>
                <w:rFonts w:ascii="Arial" w:cs="Arial" w:eastAsia="Arial" w:hAnsi="Arial"/>
                <w:sz w:val="18"/>
                <w:szCs w:val="18"/>
                <w:color w:val="auto"/>
                <w:w w:val="93"/>
              </w:rPr>
              <w:t>Amount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w w:val="87"/>
              </w:rPr>
              <w:t>Shares</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Capital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86,317,096</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4"/>
              </w:rPr>
              <w:t>9,411</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Fair value of vested restricted shares granted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 officers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221,252</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7"/>
              </w:rPr>
              <w:t>Issuance of shares for dividends on Series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(13,493)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Common shares issued on exercise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options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63,000</w:t>
            </w:r>
          </w:p>
        </w:tc>
        <w:tc>
          <w:tcPr>
            <w:tcW w:w="3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financing costs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5"/>
              </w:rPr>
              <w:t>Common shares issued pursuant to the rights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offering, net of offering costs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6,680,000</w:t>
            </w:r>
          </w:p>
        </w:tc>
        <w:tc>
          <w:tcPr>
            <w:tcW w:w="36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(11,536)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September 30, 2021</w:t>
            </w: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93,667,855</w:t>
            </w: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spacing w:after="0"/>
              <w:rPr>
                <w:sz w:val="18"/>
                <w:szCs w:val="18"/>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9,411</w:t>
            </w: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(98,271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F-3</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5"/>
          </w:tcPr>
          <w:p>
            <w:pPr>
              <w:ind w:left="200"/>
              <w:spacing w:after="0"/>
              <w:rPr>
                <w:sz w:val="20"/>
                <w:szCs w:val="20"/>
                <w:color w:val="auto"/>
              </w:rPr>
            </w:pPr>
            <w:r>
              <w:rPr>
                <w:rFonts w:ascii="Arial" w:cs="Arial" w:eastAsia="Arial" w:hAnsi="Arial"/>
                <w:sz w:val="18"/>
                <w:szCs w:val="18"/>
                <w:color w:val="auto"/>
              </w:rPr>
              <w:t>Common Stock</w:t>
            </w:r>
          </w:p>
        </w:tc>
        <w:tc>
          <w:tcPr>
            <w:tcW w:w="1020" w:type="dxa"/>
            <w:vAlign w:val="bottom"/>
            <w:gridSpan w:val="4"/>
          </w:tcPr>
          <w:p>
            <w:pPr>
              <w:ind w:left="14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Total</w:t>
            </w:r>
          </w:p>
        </w:tc>
      </w:tr>
      <w:tr>
        <w:trPr>
          <w:trHeight w:val="237"/>
        </w:trPr>
        <w:tc>
          <w:tcPr>
            <w:tcW w:w="2480" w:type="dxa"/>
            <w:vAlign w:val="bottom"/>
          </w:tcPr>
          <w:p>
            <w:pPr>
              <w:spacing w:after="0"/>
              <w:rPr>
                <w:sz w:val="20"/>
                <w:szCs w:val="20"/>
                <w:color w:val="auto"/>
              </w:rPr>
            </w:pPr>
          </w:p>
        </w:tc>
        <w:tc>
          <w:tcPr>
            <w:tcW w:w="1540" w:type="dxa"/>
            <w:vAlign w:val="bottom"/>
            <w:gridSpan w:val="4"/>
          </w:tcPr>
          <w:p>
            <w:pPr>
              <w:ind w:left="300"/>
              <w:spacing w:after="0"/>
              <w:rPr>
                <w:sz w:val="20"/>
                <w:szCs w:val="20"/>
                <w:color w:val="auto"/>
              </w:rPr>
            </w:pPr>
            <w:r>
              <w:rPr>
                <w:rFonts w:ascii="Arial" w:cs="Arial" w:eastAsia="Arial" w:hAnsi="Arial"/>
                <w:sz w:val="18"/>
                <w:szCs w:val="18"/>
                <w:color w:val="auto"/>
                <w:w w:val="99"/>
              </w:rPr>
              <w:t>Common Stock</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5"/>
          </w:tcPr>
          <w:p>
            <w:pPr>
              <w:ind w:left="120"/>
              <w:spacing w:after="0"/>
              <w:rPr>
                <w:sz w:val="20"/>
                <w:szCs w:val="20"/>
                <w:color w:val="auto"/>
              </w:rPr>
            </w:pPr>
            <w:r>
              <w:rPr>
                <w:rFonts w:ascii="Arial" w:cs="Arial" w:eastAsia="Arial" w:hAnsi="Arial"/>
                <w:sz w:val="18"/>
                <w:szCs w:val="18"/>
                <w:color w:val="auto"/>
              </w:rPr>
              <w:t>Preferred Stock</w:t>
            </w:r>
          </w:p>
        </w:tc>
        <w:tc>
          <w:tcPr>
            <w:tcW w:w="1140" w:type="dxa"/>
            <w:vAlign w:val="bottom"/>
            <w:gridSpan w:val="3"/>
          </w:tcPr>
          <w:p>
            <w:pPr>
              <w:jc w:val="right"/>
              <w:ind w:right="21"/>
              <w:spacing w:after="0"/>
              <w:rPr>
                <w:sz w:val="20"/>
                <w:szCs w:val="20"/>
                <w:color w:val="auto"/>
              </w:rPr>
            </w:pPr>
            <w:r>
              <w:rPr>
                <w:rFonts w:ascii="Arial" w:cs="Arial" w:eastAsia="Arial" w:hAnsi="Arial"/>
                <w:sz w:val="18"/>
                <w:szCs w:val="18"/>
                <w:color w:val="auto"/>
              </w:rPr>
              <w:t>Issuable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Paid In</w:t>
            </w:r>
          </w:p>
        </w:tc>
        <w:tc>
          <w:tcPr>
            <w:tcW w:w="1380" w:type="dxa"/>
            <w:vAlign w:val="bottom"/>
            <w:gridSpan w:val="4"/>
          </w:tcPr>
          <w:p>
            <w:pPr>
              <w:ind w:left="14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20"/>
                <w:szCs w:val="20"/>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23"/>
        </w:trPr>
        <w:tc>
          <w:tcPr>
            <w:tcW w:w="24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19"/>
                <w:szCs w:val="19"/>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Amount</w:t>
            </w:r>
          </w:p>
        </w:tc>
        <w:tc>
          <w:tcPr>
            <w:tcW w:w="240" w:type="dxa"/>
            <w:vAlign w:val="bottom"/>
          </w:tcPr>
          <w:p>
            <w:pPr>
              <w:spacing w:after="0"/>
              <w:rPr>
                <w:sz w:val="19"/>
                <w:szCs w:val="19"/>
                <w:color w:val="auto"/>
              </w:rPr>
            </w:pPr>
          </w:p>
        </w:tc>
        <w:tc>
          <w:tcPr>
            <w:tcW w:w="9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Equity</w:t>
            </w: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62,928,540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9,411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for dividends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on Series A Convertible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r>
      <w:tr>
        <w:trPr>
          <w:trHeight w:val="23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(2,590)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r>
      <w:tr>
        <w:trPr>
          <w:trHeight w:val="203"/>
        </w:trPr>
        <w:tc>
          <w:tcPr>
            <w:tcW w:w="2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September 30, 2020</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62,960,570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ind w:left="140"/>
              <w:spacing w:after="0" w:line="203" w:lineRule="exact"/>
              <w:rPr>
                <w:sz w:val="20"/>
                <w:szCs w:val="20"/>
                <w:color w:val="auto"/>
              </w:rPr>
            </w:pPr>
            <w:r>
              <w:rPr>
                <w:rFonts w:ascii="Arial" w:cs="Arial" w:eastAsia="Arial" w:hAnsi="Arial"/>
                <w:sz w:val="18"/>
                <w:szCs w:val="18"/>
                <w:color w:val="auto"/>
                <w:w w:val="84"/>
              </w:rPr>
              <w:t>9,411</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83,646</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(83,473</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auto"/>
              </w:rPr>
              <w:t>Common Stock</w:t>
            </w:r>
          </w:p>
        </w:tc>
        <w:tc>
          <w:tcPr>
            <w:tcW w:w="1020" w:type="dxa"/>
            <w:vAlign w:val="bottom"/>
            <w:gridSpan w:val="4"/>
          </w:tcPr>
          <w:p>
            <w:pPr>
              <w:ind w:left="14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Total</w:t>
            </w:r>
          </w:p>
        </w:tc>
      </w:tr>
      <w:tr>
        <w:trPr>
          <w:trHeight w:val="237"/>
        </w:trPr>
        <w:tc>
          <w:tcPr>
            <w:tcW w:w="2480" w:type="dxa"/>
            <w:vAlign w:val="bottom"/>
          </w:tcPr>
          <w:p>
            <w:pPr>
              <w:spacing w:after="0"/>
              <w:rPr>
                <w:sz w:val="20"/>
                <w:szCs w:val="20"/>
                <w:color w:val="auto"/>
              </w:rPr>
            </w:pPr>
          </w:p>
        </w:tc>
        <w:tc>
          <w:tcPr>
            <w:tcW w:w="1540" w:type="dxa"/>
            <w:vAlign w:val="bottom"/>
            <w:gridSpan w:val="4"/>
          </w:tcPr>
          <w:p>
            <w:pPr>
              <w:ind w:left="300"/>
              <w:spacing w:after="0"/>
              <w:rPr>
                <w:sz w:val="20"/>
                <w:szCs w:val="20"/>
                <w:color w:val="auto"/>
              </w:rPr>
            </w:pPr>
            <w:r>
              <w:rPr>
                <w:rFonts w:ascii="Arial" w:cs="Arial" w:eastAsia="Arial" w:hAnsi="Arial"/>
                <w:sz w:val="18"/>
                <w:szCs w:val="18"/>
                <w:color w:val="auto"/>
                <w:w w:val="99"/>
              </w:rPr>
              <w:t>Common Stock</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5"/>
          </w:tcPr>
          <w:p>
            <w:pPr>
              <w:ind w:left="120"/>
              <w:spacing w:after="0"/>
              <w:rPr>
                <w:sz w:val="20"/>
                <w:szCs w:val="20"/>
                <w:color w:val="auto"/>
              </w:rPr>
            </w:pPr>
            <w:r>
              <w:rPr>
                <w:rFonts w:ascii="Arial" w:cs="Arial" w:eastAsia="Arial" w:hAnsi="Arial"/>
                <w:sz w:val="18"/>
                <w:szCs w:val="18"/>
                <w:color w:val="auto"/>
              </w:rPr>
              <w:t>Preferred Stock</w:t>
            </w:r>
          </w:p>
        </w:tc>
        <w:tc>
          <w:tcPr>
            <w:tcW w:w="1140" w:type="dxa"/>
            <w:vAlign w:val="bottom"/>
            <w:gridSpan w:val="3"/>
          </w:tcPr>
          <w:p>
            <w:pPr>
              <w:jc w:val="right"/>
              <w:ind w:right="21"/>
              <w:spacing w:after="0"/>
              <w:rPr>
                <w:sz w:val="20"/>
                <w:szCs w:val="20"/>
                <w:color w:val="auto"/>
              </w:rPr>
            </w:pPr>
            <w:r>
              <w:rPr>
                <w:rFonts w:ascii="Arial" w:cs="Arial" w:eastAsia="Arial" w:hAnsi="Arial"/>
                <w:sz w:val="18"/>
                <w:szCs w:val="18"/>
                <w:color w:val="auto"/>
              </w:rPr>
              <w:t>Issuable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Paid In</w:t>
            </w:r>
          </w:p>
        </w:tc>
        <w:tc>
          <w:tcPr>
            <w:tcW w:w="1380" w:type="dxa"/>
            <w:vAlign w:val="bottom"/>
            <w:gridSpan w:val="4"/>
          </w:tcPr>
          <w:p>
            <w:pPr>
              <w:ind w:left="14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20"/>
                <w:szCs w:val="20"/>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23"/>
        </w:trPr>
        <w:tc>
          <w:tcPr>
            <w:tcW w:w="24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19"/>
                <w:szCs w:val="19"/>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Amount</w:t>
            </w:r>
          </w:p>
        </w:tc>
        <w:tc>
          <w:tcPr>
            <w:tcW w:w="240" w:type="dxa"/>
            <w:vAlign w:val="bottom"/>
          </w:tcPr>
          <w:p>
            <w:pPr>
              <w:spacing w:after="0"/>
              <w:rPr>
                <w:sz w:val="19"/>
                <w:szCs w:val="19"/>
                <w:color w:val="auto"/>
              </w:rPr>
            </w:pPr>
          </w:p>
        </w:tc>
        <w:tc>
          <w:tcPr>
            <w:tcW w:w="9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Equity</w:t>
            </w: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47,595,206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9,411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vested restricted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officers</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20"/>
                <w:szCs w:val="20"/>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Dividends on Series A</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Common shares issued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pursuant to the rights offering,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net of offering costs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15,333,334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20"/>
                <w:szCs w:val="20"/>
                <w:color w:val="auto"/>
              </w:rPr>
            </w:pPr>
          </w:p>
        </w:tc>
      </w:tr>
      <w:tr>
        <w:trPr>
          <w:trHeight w:val="23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(6,920)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(6,920)</w:t>
            </w:r>
          </w:p>
        </w:tc>
      </w:tr>
      <w:tr>
        <w:trPr>
          <w:trHeight w:val="203"/>
        </w:trPr>
        <w:tc>
          <w:tcPr>
            <w:tcW w:w="2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September 30, 2020</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62,960,570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ind w:left="140"/>
              <w:spacing w:after="0" w:line="203" w:lineRule="exact"/>
              <w:rPr>
                <w:sz w:val="20"/>
                <w:szCs w:val="20"/>
                <w:color w:val="auto"/>
              </w:rPr>
            </w:pPr>
            <w:r>
              <w:rPr>
                <w:rFonts w:ascii="Arial" w:cs="Arial" w:eastAsia="Arial" w:hAnsi="Arial"/>
                <w:sz w:val="18"/>
                <w:szCs w:val="18"/>
                <w:color w:val="auto"/>
                <w:w w:val="84"/>
              </w:rPr>
              <w:t>9,411</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83,646</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(83,473</w:t>
            </w:r>
          </w:p>
        </w:tc>
        <w:tc>
          <w:tcPr>
            <w:tcW w:w="280" w:type="dxa"/>
            <w:vAlign w:val="bottom"/>
            <w:tcBorders>
              <w:top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381"/>
              <w:spacing w:after="0"/>
              <w:rPr>
                <w:sz w:val="20"/>
                <w:szCs w:val="20"/>
                <w:color w:val="auto"/>
              </w:rPr>
            </w:pPr>
            <w:r>
              <w:rPr>
                <w:rFonts w:ascii="Arial" w:cs="Arial" w:eastAsia="Arial" w:hAnsi="Arial"/>
                <w:sz w:val="18"/>
                <w:szCs w:val="18"/>
                <w:color w:val="auto"/>
                <w:w w:val="88"/>
              </w:rPr>
              <w:t>September 30, 2021</w:t>
            </w:r>
          </w:p>
        </w:tc>
        <w:tc>
          <w:tcPr>
            <w:tcW w:w="100" w:type="dxa"/>
            <w:vAlign w:val="bottom"/>
          </w:tcPr>
          <w:p>
            <w:pPr>
              <w:spacing w:after="0"/>
              <w:rPr>
                <w:sz w:val="20"/>
                <w:szCs w:val="20"/>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w w:val="88"/>
              </w:rPr>
              <w:t>September 30, 2020</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(11,536)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(6,920)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56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termination of leases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Gain on extinguishment of PPP note payable</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prepaid financing costs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Fair value of vested options</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722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Decrease in allowance for doubtful accounts</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inventory reserve</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(2,367)</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189</w:t>
            </w: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costs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9"/>
                <w:szCs w:val="19"/>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on line of credit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49,940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34,645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Repayments of line of credit</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(41,685)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(33,710)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financing costs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note payable</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770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amounts due to/from officers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options</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920" w:type="dxa"/>
            <w:vAlign w:val="bottom"/>
            <w:gridSpan w:val="2"/>
          </w:tcPr>
          <w:p>
            <w:pPr>
              <w:jc w:val="right"/>
              <w:ind w:right="18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7,327</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5,310</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15,752</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increase in cash</w:t>
            </w:r>
          </w:p>
        </w:tc>
        <w:tc>
          <w:tcPr>
            <w:tcW w:w="10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913</w:t>
            </w:r>
          </w:p>
        </w:tc>
      </w:tr>
      <w:tr>
        <w:trPr>
          <w:trHeight w:val="243"/>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w:t>
            </w:r>
          </w:p>
        </w:tc>
        <w:tc>
          <w:tcPr>
            <w:tcW w:w="3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tcPr>
          <w:p>
            <w:pPr>
              <w:spacing w:after="0"/>
              <w:rPr>
                <w:sz w:val="21"/>
                <w:szCs w:val="21"/>
                <w:color w:val="auto"/>
              </w:rPr>
            </w:pPr>
          </w:p>
        </w:tc>
      </w:tr>
      <w:tr>
        <w:trPr>
          <w:trHeight w:val="196"/>
        </w:trPr>
        <w:tc>
          <w:tcPr>
            <w:tcW w:w="7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231</w:t>
            </w:r>
          </w:p>
        </w:tc>
      </w:t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Dividends on Series A Convertible Preferred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2021 and 2020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interim condensed financial statements of Reed’s, Inc. (the “Company”, “we”, “us”, or “our”), are unaudited, but in the opinion of management contain all adjustments, including normal recurring adjustments, necessary to present fairly our financial position at September 30, 2021, and the results of operations and cash flows for the three and nine months ended September 30, 2021, and 2020. The balance sheet as of December 31, 2020, is derived from the Company’s audited financial statements.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2020, as filed with the Securities and Exchange Commission on March 30, 2021.</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nine months ended September 30, 2021, are not necessarily indicative of the results of operations to be expected for the full fiscal year ending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September 30,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September 30,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 mid-2022.</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September 30,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for the nine-month period ended September 30, 2021, were up 19% from the prior year period. Through September 30,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nine months ended September 30, 2021, the Company recorded a net loss of $11,536 and used cash in operations of $15,305. As of September 30, 2021, we had a cash balance of $941 with borrowing capacity of $1,293, a stockholder’s equity of $8,177 and a working capital of $7,102, compared to a cash balance of $595 with borrowing capacity of $5,166, stockholders’ equity of $10,404 and a working capital of $9,528 at December 31, 2020. Notwithstanding the net loss for the nine months ended September 30, 2021, management projects adequate cash from operations and available line of credit to ensure continuation of the Company as a going concern for at least one year from the date these financial statements are issued.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ind w:right="8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periods ended September 30, 2021, and 2020, the calculations of basic and diluted loss per share are the same because potential dilutive securities would have had an anti-dilutive effect. The potentially dilutive securities consisted of the following:</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66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172,639</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244,740</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Options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11,260,876</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4,716,357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3,098,479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6,413,782</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37,644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37,644</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2,266,667</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Common stock issuable</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14,569,638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14,029,190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for the three months ended September 30, 2021, and 2020, aggregated $347 and $536, respectively. Advertising costs for the nine months ended September 30, 2021, and 2020, aggregated $1,050 and $1,141,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Sales. </w:t>
      </w:r>
      <w:r>
        <w:rPr>
          <w:rFonts w:ascii="Arial" w:cs="Arial" w:eastAsia="Arial" w:hAnsi="Arial"/>
          <w:sz w:val="17"/>
          <w:szCs w:val="17"/>
          <w:color w:val="auto"/>
        </w:rPr>
        <w:t>During the three months ended September 30, 2021, one customer accounted for 24% of gross billing, and during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2021, two customers accounted for 21% and 11% of gross billing, respectively. During the three months ended September 30, 2020, two customers accounted for 24% and 12% of gross sales, respectively, and during the nine months ended September 30, 2020, two customers accounted for 25% and 13% of gross sales, respectively. No other customers exceeded 10% of sales in either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September 30, 2021, the Company had accounts receivable from one customer which comprised 27% of its gross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As of December 31, 2020, the Company had accounts receivable from one customer which comprised 23% of its gross accounts receivable. No other customers exceeded 10% of gross accounts receivable in either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Purchases from vendors. </w:t>
      </w:r>
      <w:r>
        <w:rPr>
          <w:rFonts w:ascii="Arial" w:cs="Arial" w:eastAsia="Arial" w:hAnsi="Arial"/>
          <w:sz w:val="17"/>
          <w:szCs w:val="17"/>
          <w:color w:val="auto"/>
        </w:rPr>
        <w:t>During the three months ended September 30, 2021, two vendors accounted for 13% and 12% of all purchases,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nine months ended September 30, 2021, two vendors accounted for 12% and 12% of all purchases, respectively. During the three months ended September 30, 2020, two vendors accounted for 13% and 11% of all purchases. During the nine months ended September 30, 2020, two vendors accounted for 11% and 11% of all purchases. No other vendors exceeded 10% of all purchases in either period.</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September 30, 2021, the Company’s three largest vendors accounted for 13%, 10% and 10% of the total accounts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As of December 31, 2020, the Company’s largest two vendors accounted for 12% and 10% of the total accounts payable, respectively. No other vendors exceeded 10% of gross accounts payable in either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Finished products</w:t>
            </w: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5,446</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4,326</w:t>
            </w:r>
          </w:p>
        </w:tc>
      </w:tr>
      <w:tr>
        <w:trPr>
          <w:trHeight w:val="21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September 30, 2021, and December 31, 2020, was $130 and $194,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nine months ended September 30, 2021, and 2020 was $106 and $56, respectively, and amortization of right-of-use assets for the nine months ended September 30, 2021, and 2020 was $74 and $89, respectively. During the nine months ended September 30, 2021, the Company disposed of right-of-use assets under finance leases with a cost of $48 and accumulated amortization of $38 and terminated $13 of related finance leases payable (see Note 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400" w:type="dxa"/>
            <w:vAlign w:val="bottom"/>
            <w:shd w:val="clear" w:color="auto" w:fill="CCEEFF"/>
          </w:tcPr>
          <w:p>
            <w:pPr>
              <w:jc w:val="right"/>
              <w:ind w:right="123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Reserve</w:t>
            </w:r>
          </w:p>
        </w:tc>
        <w:tc>
          <w:tcPr>
            <w:tcW w:w="14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400" w:type="dxa"/>
            <w:vAlign w:val="bottom"/>
            <w:tcBorders>
              <w:top w:val="single" w:sz="8" w:color="auto"/>
              <w:bottom w:val="single" w:sz="8" w:color="auto"/>
            </w:tcBorders>
            <w:shd w:val="clear" w:color="auto" w:fill="CCEEFF"/>
          </w:tcPr>
          <w:p>
            <w:pPr>
              <w:jc w:val="right"/>
              <w:ind w:right="123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as of September 30, 2021, and December 31, 2020, consists of residual manufacturing equipment, at estimated net realizable value, which management anticipates selling during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September 30, 2021.</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capitalized costs of $6 pertaining to legal and other fees incurred in applying for international trademarks for Reeds and Virgil’s brands.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Brand names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6. Line of Credit</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Amounts outstanding under the Company’s credit facilities are as follows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2018, the Company entered into a financing agreement with Rosenthal &amp; Rosenthal, Inc. (“Rosenthal”). The financing agreement provides a maximum borrowing capacity of $13,000. Borrowings are based on a formula of eligible accounts receivable and inventories (the “permitted borrowings”) plus advances (an “over-advance” of up to $4,000) in excess of permitted borrowings. At September 30, 2021, the unused borrowing capacity under the financing agreement was $1,293. The line of credit automatically renews each year until terminated. The line of credit matured on March 30, 2021, and was automatically renewed to mature on March 30,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Rosenthal financing agreement bear interest at the greater of prime or 4.75%, plus an additional 2.0% to 3.5% depending on whether the borrowing is based upon receivables, inventory or is an over-advance. Additionally, the line of credit is subject to monthly facility and administration fees, and aggregate minimum monthly fees (including interest) of $4.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line of credit is secured by substantially all of the assets, excluding intellectual property, of the Company. The over-advance is secured by all of Reed’s intellectual property collateral. Additionally, any over-advance was guaranteed by an irrevocable stand-by letter of credit in the amount of $1,500, issued by Daniel J. Doherty III and the Daniel J. Doherty, III 2002 Family Trust, affiliates of Raptor/Harbor Reeds SPV LLC (“Raptor”). 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John J. Bello, current Chairman and former Interim Chief Executive Officer of Reed’s, is a related party. He is also a greater than 5% beneficial owner of Reed’s common stock. As consideration for the collateral support, Mr. Bello received 400,000 shares of Reed’s restricted stock. The Company determined the fair value of the 400,000 restricted stock to be $472 which was recorded as a prepaid financing costs and included in prepaid expenses and other current assets on the condensed balance sheet at September 30, 2021. The prepaid financing fee is to be amortized over a twelve-month period. During the nine months ended September 30, 2021, the company amortized $272 of the prepaid financing costs to interest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September 30,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annually incurs an additional $130 of fees from the bank, which is equal to 1% of the $13,000 borrowing limit. These costs have been capitalized and recorded as a debt discount and are amortized over the remaining life of the Rosenthal agreement. On December 31, 2020, the remaining unamortized debt discount of $162 is included in prepaid expense and other current assets on the balance sheet. Amortization of debt discount was $162 and $290 for the nine months ended September 30, 2021, and 2020, respectively. On September 30, 2021, no remaining unamortized debt discount remained.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20, 2020, the Company was granted a loan (the “PPP loan”) from City National Bank in the aggregate amount of $770, pursuant to the Paycheck Protection Program (the “PPP”) under the CARES Act. At December 31, 2020, the note payable balance was $770, of which $599 was reflected as the current portion of note payable. During the nine months ended September 30, 2021, the Company was notified that its PPP loan forgiveness application was approved. The Company recorded the loan forgiveness as a gain on forgiveness of debt of $770, which is included in other income, leaving no remaining balance owed at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accounts for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The standard requires a lessee to record a right-of-use asset and a corresponding lease liability at the inception of the lease, initially measured at the present value of the lease payments.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842 requires recognition in the statement of operations of a single lease cost, calculated so that the cost of the lease is allocated over the lease term, generally on a straight-line basis. During the nine months ended September 30, 2021, the Company reflected amortization of right of use asset of $74 related to these leases, resulting in a net asset balance of $448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the right-of-use assets are being amortized over the life of the underlying 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lease liabilities totaled $685, made up of finance lease liabilities of $16 and operating lease liabilities of $669. During the nine months ended September 30, 2021, the Company terminated $13 of finance leases, and made payments of $2 towards its finance lease liability and $78 towards its operating lease liability. As of September 30, 2021, operating lease liabilities totaled $592.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 weighted average remaining lease terms for operating leases are 3.25 years. The weighted average discount rate for operating leases is 12.6%.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5, 2021, the Company entered into a placement agency agreement with Roth Capital Partners, LLC (the “Placement Agent”) and a securities purchase agreement with a certain purchaser for the purchase of shares of the Company’s common stock, par value $0.0001 per share, in an offering of securities registered under an effective registration statement filed with the Securities and Exchange Commission (“SEC”). In the offering, the Company sold 6,680,000 shares of common stock, at a price of $1.18 per share. The offering closed on May 7, 2021, and total proceeds received, net of fees, were $7,327. The Placement Agent was paid a total cash fee at the closing of the Offering equal to 6.5% of the gross cash proceeds received by the Company from the sale of the shares of common stock in the offering.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2021, the Company repurchased 13,493 shares of common stock from an officer for $15 based on the market value of share on the date repurchased. The Company retired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Weighted</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16"/>
        </w:trPr>
        <w:tc>
          <w:tcPr>
            <w:tcW w:w="47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Unvested</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Issuable</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at Date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Grant Date</w:t>
            </w:r>
          </w:p>
        </w:tc>
      </w:tr>
      <w:tr>
        <w:trPr>
          <w:trHeight w:val="237"/>
        </w:trPr>
        <w:tc>
          <w:tcPr>
            <w:tcW w:w="4740" w:type="dxa"/>
            <w:vAlign w:val="bottom"/>
          </w:tcPr>
          <w:p>
            <w:pPr>
              <w:spacing w:after="0"/>
              <w:rPr>
                <w:sz w:val="20"/>
                <w:szCs w:val="20"/>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Shares</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Issuance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Fair 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245,900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(221,252)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221,252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(2,009)</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r>
      <w:tr>
        <w:trPr>
          <w:trHeight w:val="23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(221,252)</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September 30, 2021</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172,639</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26, 2021, the board of directors of Reed’s, pursuant to a joint recommendation from its governance and compensation committees, set the cash compensation of its non-employee directors at $50,000 for fiscal 2021, payable quarterly in accordance with the company’s policies for non-employee director compensation. In addition, the Company granted 245,900 restricted stock awards to five non-employee directors. 61,475 of these restricted stock awards vested on February 1, 2021, May 1, 2021, August 1, 2021. The remaining 61,475 restricted stock awards will vest equally on November 1, 2021. The aggregate fair value of the stock awards was $226 based on the market price of our common stock price which was $0.92 per share on the date of grants and is amortized as shares vest.</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total fair value of vested restricted common stock vesting during the nine months ended September 30, 2021, and 2020 was $226 and $285, respectively, and is included in general and administrative expenses in the accompanying statements of operations. As of September 30, 2021, the amount of unvested compensation related to issuances of restricted common stock was $82,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Aggregate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Average</w:t>
            </w: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Terms</w:t>
            </w: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Intrinsic</w:t>
            </w:r>
          </w:p>
        </w:tc>
      </w:tr>
      <w:tr>
        <w:trPr>
          <w:trHeight w:val="237"/>
        </w:trPr>
        <w:tc>
          <w:tcPr>
            <w:tcW w:w="47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180" w:type="dxa"/>
            <w:vAlign w:val="bottom"/>
          </w:tcPr>
          <w:p>
            <w:pPr>
              <w:spacing w:after="0"/>
              <w:rPr>
                <w:sz w:val="20"/>
                <w:szCs w:val="20"/>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9,417,898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3,386,882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Unvested 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(1,330,397)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1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September 30, 2021</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11,260,876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8.30</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3,637,523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F-13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received proceeds of $32 and issued 63,000 shares of common shares on the exercise of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approved options exercisable into 3,386,882 shares to be issued pursuant to Reed’s 2020 Equity Incentive Plan. 3,386,882 options were issued to employees, 1,693,441 options vesting annually over a four-year vesting period, and 1,693,441 options that will vest based on performance criteria to be established by the board of directors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stock options are exercisable at prices ranging from $0.98 to $1.18 per share and expire in ten years. The total fair value of these options at grant date was approximately $2,345, which was determined using a Black-Scholes-Merton option pricing model with the following average assumption: stock price of $1.06 per share, expected term of six years, volatility of 79%, dividend rate of 0%, and weighted average risk-free interest rate of 0.98%.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and 2020, the Company recognized $1,264 and $722 of compensation expense relating to vested stock options. As of September 30, 2021, the aggregate amount of unvested compensation related to stock options was approximately $3,683 which will be recognized as an expense as the options vest in future periods through March 28, 2025.</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outstanding and exercisable options have an intrinsic value of $80 and $80, respectively. The aggregate intrinsic value was calculated as the difference between the closing market price as of September 30, 2021, which was $0.60, and the exercise price of the outstanding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warrant activity during the nine months ended September 30, 2021:</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Aggregate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4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Terms (Years)</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Intrinsic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3,362,241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1140" w:type="dxa"/>
            <w:vAlign w:val="bottom"/>
            <w:shd w:val="clear" w:color="auto" w:fill="CCEEFF"/>
          </w:tcPr>
          <w:p>
            <w:pPr>
              <w:jc w:val="right"/>
              <w:ind w:right="980"/>
              <w:spacing w:after="0"/>
              <w:rPr>
                <w:sz w:val="20"/>
                <w:szCs w:val="20"/>
                <w:color w:val="auto"/>
              </w:rPr>
            </w:pPr>
            <w:r>
              <w:rPr>
                <w:rFonts w:ascii="Arial" w:cs="Arial" w:eastAsia="Arial" w:hAnsi="Arial"/>
                <w:sz w:val="15"/>
                <w:szCs w:val="15"/>
                <w:color w:val="auto"/>
                <w:w w:val="71"/>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(263,762)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4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September 30, 2021</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3,098,479</w:t>
            </w:r>
          </w:p>
        </w:tc>
        <w:tc>
          <w:tcPr>
            <w:tcW w:w="1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gridSpan w:val="2"/>
          </w:tcPr>
          <w:p>
            <w:pPr>
              <w:jc w:val="right"/>
              <w:ind w:right="300"/>
              <w:spacing w:after="0" w:line="203" w:lineRule="exact"/>
              <w:rPr>
                <w:sz w:val="20"/>
                <w:szCs w:val="20"/>
                <w:color w:val="auto"/>
              </w:rPr>
            </w:pPr>
            <w:r>
              <w:rPr>
                <w:rFonts w:ascii="Arial" w:cs="Arial" w:eastAsia="Arial" w:hAnsi="Arial"/>
                <w:sz w:val="18"/>
                <w:szCs w:val="18"/>
                <w:color w:val="auto"/>
              </w:rPr>
              <w:t>1.35</w:t>
            </w:r>
          </w:p>
        </w:tc>
        <w:tc>
          <w:tcPr>
            <w:tcW w:w="1480" w:type="dxa"/>
            <w:vAlign w:val="bottom"/>
            <w:tcBorders>
              <w:top w:val="single" w:sz="8" w:color="CCEEFF"/>
              <w:bottom w:val="single" w:sz="8" w:color="CCEEFF"/>
            </w:tcBorders>
            <w:gridSpan w:val="2"/>
          </w:tcPr>
          <w:p>
            <w:pPr>
              <w:jc w:val="right"/>
              <w:ind w:right="280"/>
              <w:spacing w:after="0" w:line="203" w:lineRule="exact"/>
              <w:rPr>
                <w:sz w:val="20"/>
                <w:szCs w:val="20"/>
                <w:color w:val="auto"/>
              </w:rPr>
            </w:pPr>
            <w:r>
              <w:rPr>
                <w:rFonts w:ascii="Arial" w:cs="Arial" w:eastAsia="Arial" w:hAnsi="Arial"/>
                <w:sz w:val="18"/>
                <w:szCs w:val="18"/>
                <w:color w:val="auto"/>
              </w:rPr>
              <w:t>1.92</w:t>
            </w:r>
          </w:p>
        </w:tc>
        <w:tc>
          <w:tcPr>
            <w:tcW w:w="1140" w:type="dxa"/>
            <w:vAlign w:val="bottom"/>
            <w:tcBorders>
              <w:top w:val="single" w:sz="8" w:color="CCEEFF"/>
              <w:bottom w:val="single" w:sz="8" w:color="CCEEFF"/>
            </w:tcBorders>
          </w:tcPr>
          <w:p>
            <w:pPr>
              <w:jc w:val="right"/>
              <w:ind w:right="9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2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3,098,479</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1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1140" w:type="dxa"/>
            <w:vAlign w:val="bottom"/>
            <w:tcBorders>
              <w:bottom w:val="single" w:sz="8" w:color="CCEEFF"/>
            </w:tcBorders>
            <w:shd w:val="clear" w:color="auto" w:fill="CCEEFF"/>
          </w:tcPr>
          <w:p>
            <w:pPr>
              <w:jc w:val="right"/>
              <w:ind w:right="9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warrant transactions during the nine months ended September 30, 2021. As of September 30, 2021, the outstanding and exercisable warrants have no intrinsic value. The intrinsic value was calculated as the difference between the closing market price as of September 30, 2021, which was $0.60, and the exercise price of the Company’s warrants to purchase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Related Party Activities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September 30, 2021, $800 has been deposited with the lessor and Mr. Reed has placed approximately 363,000 pledged shares valued at $218 that remain in escrow with the lessor.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2019, we receive a 5% royalty on CCB’s private label sales to existing customers for three years and a 5% referral fee on CCB’s private label sales to referred customers for three years. During the nine months ended September 30, 2021, and 2020, the Company recorded royalty revenue from CCB of $4 and $26,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the Company had an aggregate receivable balance from CCB of $682 at December 31, 2020. During the nine months ended September 30, 2021, the Company recorded royalty revenue receivable of $4, and advanced expenses of $140, leaving an aggregate receivable balance of $826 at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and December 31, 2020, the Company had accounts payable due to CCB of $856 and $577, respectively.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over-advance on the Company’s line of credit with Rosenthal was guaranteed by an irrevocable stand-by letter of credit in the amount of $1,500, issued by Daniel J. Doherty III and the Daniel J. Doherty, III 2002 Family Trust, affiliates of Raptor/Harbor Reeds SPV LLC (“Raptor”). 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 John J. Bello, current Chairman and former Interim Chief Executive Officer of Reed’s, is a related party. He is also a greater than 5% beneficial owner of Reed’s common stock. As consideration for the collateral support, Mr. Bello received 400,000 shares of Reed’s restricted stock (see Note 6).</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the Company, is employed as Vice President of Marketing. Ms. Martin was paid approximately $178 and $129, respectively, for her services during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September 30, 2021, the Company issued 61,475 shares of common stock on the vesting of restricted stock awards.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However, the Company experienced elevated raw material and transportation costs over the prior year and anticipates these costs to remain elevated for the balance of the year. Plans have been developed to mitigate the impact of these costs.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of 2021, the Company increased output through more efficient utilization of their expanded network of co-packers while adhering to strict set of quality protocols. In addition, the company is implementing several measures to increase capacity and to offset inflationary pressure from increased pricing of raw material inputs and transportation.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September 30,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September 30,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 Additionally, the Company was negatively impacted by supply chain challenges limiting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 mid-2022.</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September 30,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for the nine months ended September 30, 2021, were up 19% from the prior year period. Through September 30,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w w:val="97"/>
              </w:rPr>
              <w:t>Results of Operations – Three months ended September 30, 2021</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640" w:type="dxa"/>
            <w:vAlign w:val="bottom"/>
            <w:gridSpan w:val="8"/>
          </w:tcPr>
          <w:p>
            <w:pPr>
              <w:spacing w:after="0"/>
              <w:rPr>
                <w:sz w:val="20"/>
                <w:szCs w:val="20"/>
                <w:color w:val="auto"/>
              </w:rPr>
            </w:pPr>
            <w:r>
              <w:rPr>
                <w:rFonts w:ascii="Arial" w:cs="Arial" w:eastAsia="Arial" w:hAnsi="Arial"/>
                <w:sz w:val="18"/>
                <w:szCs w:val="18"/>
                <w:color w:val="auto"/>
                <w:w w:val="93"/>
              </w:rPr>
              <w:t>The following table sets forth key statistics for the three months ended September 30, 2021, and 2020, respectively, in thousands.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jc w:val="right"/>
              <w:ind w:right="720"/>
              <w:spacing w:after="0"/>
              <w:rPr>
                <w:sz w:val="20"/>
                <w:szCs w:val="20"/>
                <w:color w:val="auto"/>
              </w:rPr>
            </w:pPr>
            <w:r>
              <w:rPr>
                <w:rFonts w:ascii="Arial" w:cs="Arial" w:eastAsia="Arial" w:hAnsi="Arial"/>
                <w:sz w:val="18"/>
                <w:szCs w:val="18"/>
                <w:color w:val="auto"/>
                <w:w w:val="92"/>
              </w:rPr>
              <w:t>Three Months Ended September 30,</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23"/>
        </w:trPr>
        <w:tc>
          <w:tcPr>
            <w:tcW w:w="54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1,136</w:t>
            </w:r>
          </w:p>
        </w:tc>
        <w:tc>
          <w:tcPr>
            <w:tcW w:w="30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1,335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7,176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 of Gross billing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5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3,872</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14%</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3,093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2,207</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Dollar per case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3.46</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2,644</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 of Net 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1,788</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37"/>
        </w:trPr>
        <w:tc>
          <w:tcPr>
            <w:tcW w:w="5480" w:type="dxa"/>
            <w:vAlign w:val="bottom"/>
          </w:tcPr>
          <w:p>
            <w:pPr>
              <w:ind w:left="360"/>
              <w:spacing w:after="0"/>
              <w:rPr>
                <w:sz w:val="20"/>
                <w:szCs w:val="20"/>
                <w:color w:val="auto"/>
              </w:rPr>
            </w:pPr>
            <w:r>
              <w:rPr>
                <w:rFonts w:ascii="Arial" w:cs="Arial" w:eastAsia="Arial" w:hAnsi="Arial"/>
                <w:sz w:val="18"/>
                <w:szCs w:val="18"/>
                <w:color w:val="auto"/>
              </w:rPr>
              <w:t>% of Net sales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income (expense)</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5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(2,590)</w:t>
            </w:r>
          </w:p>
        </w:tc>
        <w:tc>
          <w:tcPr>
            <w:tcW w:w="160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15"/>
                <w:szCs w:val="15"/>
                <w:color w:val="auto"/>
              </w:rPr>
              <w:t>50</w:t>
            </w:r>
            <w:r>
              <w:rPr>
                <w:rFonts w:ascii="Arial" w:cs="Arial" w:eastAsia="Arial" w:hAnsi="Arial"/>
                <w:sz w:val="28"/>
                <w:szCs w:val="28"/>
                <w:color w:val="auto"/>
                <w:vertAlign w:val="subscript"/>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93,644,935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62,940,091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jc w:val="both"/>
        <w:ind w:firstLine="8"/>
        <w:spacing w:after="0" w:line="257" w:lineRule="auto"/>
        <w:tabs>
          <w:tab w:leader="none" w:pos="283"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Arial" w:cs="Arial" w:eastAsia="Arial" w:hAnsi="Arial"/>
          <w:sz w:val="18"/>
          <w:szCs w:val="18"/>
          <w:color w:val="auto"/>
        </w:rPr>
        <w:t>.</w:t>
      </w:r>
    </w:p>
    <w:p>
      <w:pPr>
        <w:spacing w:after="0" w:line="187" w:lineRule="exact"/>
        <w:rPr>
          <w:rFonts w:ascii="Arial" w:cs="Arial" w:eastAsia="Arial" w:hAnsi="Arial"/>
          <w:sz w:val="18"/>
          <w:szCs w:val="18"/>
          <w:i w:val="1"/>
          <w:iCs w:val="1"/>
          <w:color w:val="auto"/>
        </w:rPr>
      </w:pPr>
    </w:p>
    <w:p>
      <w:pPr>
        <w:jc w:val="both"/>
        <w:ind w:firstLine="8"/>
        <w:spacing w:after="0" w:line="268" w:lineRule="auto"/>
        <w:tabs>
          <w:tab w:leader="none" w:pos="3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key statistics for the transition of the Company’s top line activity through the third quarter of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7"/>
              </w:rPr>
              <w:t>Sept YTD Per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1"/>
              </w:rPr>
              <w:t>Q3 Per Case</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Case</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right"/>
              <w:ind w:right="240"/>
              <w:spacing w:after="0" w:line="117" w:lineRule="exact"/>
              <w:rPr>
                <w:sz w:val="20"/>
                <w:szCs w:val="20"/>
                <w:color w:val="auto"/>
              </w:rPr>
            </w:pPr>
            <w:r>
              <w:rPr>
                <w:rFonts w:ascii="Arial" w:cs="Arial" w:eastAsia="Arial" w:hAnsi="Arial"/>
                <w:sz w:val="13"/>
                <w:szCs w:val="13"/>
                <w:b w:val="1"/>
                <w:bCs w:val="1"/>
                <w:color w:val="auto"/>
                <w:w w:val="95"/>
              </w:rPr>
              <w:t>Q3 vs</w:t>
            </w:r>
          </w:p>
        </w:tc>
        <w:tc>
          <w:tcPr>
            <w:tcW w:w="40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YTD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3"/>
                <w:szCs w:val="13"/>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YTD</w:t>
            </w:r>
          </w:p>
        </w:tc>
        <w:tc>
          <w:tcPr>
            <w:tcW w:w="6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PY</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vs PY</w:t>
            </w:r>
          </w:p>
        </w:tc>
        <w:tc>
          <w:tcPr>
            <w:tcW w:w="8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YTD</w:t>
            </w: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2021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vs PY</w:t>
            </w: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2"/>
              </w:rPr>
              <w:t>2021</w:t>
            </w:r>
          </w:p>
        </w:tc>
        <w:tc>
          <w:tcPr>
            <w:tcW w:w="220" w:type="dxa"/>
            <w:vAlign w:val="bottom"/>
          </w:tcPr>
          <w:p>
            <w:pPr>
              <w:spacing w:after="0"/>
              <w:rPr>
                <w:sz w:val="13"/>
                <w:szCs w:val="13"/>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4"/>
              </w:rPr>
              <w:t>vs PY</w:t>
            </w:r>
          </w:p>
        </w:tc>
        <w:tc>
          <w:tcPr>
            <w:tcW w:w="0" w:type="dxa"/>
            <w:vAlign w:val="bottom"/>
          </w:tcPr>
          <w:p>
            <w:pPr>
              <w:spacing w:after="0"/>
              <w:rPr>
                <w:sz w:val="1"/>
                <w:szCs w:val="1"/>
                <w:color w:val="auto"/>
              </w:rPr>
            </w:pPr>
          </w:p>
        </w:tc>
      </w:tr>
      <w:tr>
        <w:trPr>
          <w:trHeight w:val="135"/>
        </w:trPr>
        <w:tc>
          <w:tcPr>
            <w:tcW w:w="1260" w:type="dxa"/>
            <w:vAlign w:val="bottom"/>
            <w:tcBorders>
              <w:top w:val="single" w:sz="8" w:color="CCEEFF"/>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Cases:</w:t>
            </w: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Reed’s</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395</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353</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420</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1,168</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335</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314</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937</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ind w:left="620"/>
              <w:spacing w:after="0" w:line="135" w:lineRule="exact"/>
              <w:rPr>
                <w:sz w:val="20"/>
                <w:szCs w:val="20"/>
                <w:color w:val="auto"/>
              </w:rPr>
            </w:pPr>
            <w:r>
              <w:rPr>
                <w:rFonts w:ascii="Arial" w:cs="Arial" w:eastAsia="Arial" w:hAnsi="Arial"/>
                <w:sz w:val="13"/>
                <w:szCs w:val="13"/>
                <w:color w:val="auto"/>
              </w:rPr>
              <w:t>Virgil’s</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1,057</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262</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889</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vMerge w:val="restart"/>
          </w:tcPr>
          <w:p>
            <w:pPr>
              <w:ind w:left="620"/>
              <w:spacing w:after="0" w:line="142" w:lineRule="exact"/>
              <w:rPr>
                <w:sz w:val="20"/>
                <w:szCs w:val="20"/>
                <w:color w:val="auto"/>
              </w:rPr>
            </w:pPr>
            <w:r>
              <w:rPr>
                <w:rFonts w:ascii="Arial" w:cs="Arial" w:eastAsia="Arial" w:hAnsi="Arial"/>
                <w:sz w:val="13"/>
                <w:szCs w:val="13"/>
                <w:color w:val="auto"/>
                <w:w w:val="98"/>
              </w:rPr>
              <w:t>Total Core</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rPr>
              <w:t>734</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rPr>
              <w:t>700</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color w:val="auto"/>
              </w:rPr>
              <w:t>791</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2,225</w:t>
            </w:r>
          </w:p>
        </w:tc>
        <w:tc>
          <w:tcPr>
            <w:tcW w:w="200" w:type="dxa"/>
            <w:vAlign w:val="bottom"/>
            <w:vMerge w:val="continue"/>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25%</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color w:val="auto"/>
              </w:rPr>
              <w:t>550</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color w:val="auto"/>
              </w:rPr>
              <w:t>643</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3"/>
                <w:szCs w:val="13"/>
                <w:color w:val="auto"/>
              </w:rPr>
              <w:t>633</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1,826</w:t>
            </w:r>
          </w:p>
        </w:tc>
        <w:tc>
          <w:tcPr>
            <w:tcW w:w="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Candy</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60" w:type="dxa"/>
            <w:vAlign w:val="bottom"/>
            <w:tcBorders>
              <w:right w:val="single" w:sz="8" w:color="CCEEFF"/>
            </w:tcBorders>
            <w:vMerge w:val="restart"/>
            <w:shd w:val="clear" w:color="auto" w:fill="CCEEFF"/>
          </w:tcPr>
          <w:p>
            <w:pPr>
              <w:ind w:left="62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710</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796</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2,248</w:t>
            </w:r>
          </w:p>
        </w:tc>
        <w:tc>
          <w:tcPr>
            <w:tcW w:w="20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560</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638</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1,849</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Gross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Billings: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Core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5"/>
              </w:rPr>
              <w:t>12,955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5"/>
              </w:rPr>
              <w:t>12,200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0"/>
              </w:rPr>
              <w:t>14,199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39,353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0"/>
              </w:rPr>
              <w:t>10,175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0"/>
              </w:rPr>
              <w:t>11,940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90"/>
              </w:rPr>
              <w:t>11,622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5"/>
              </w:rPr>
              <w:t>33,737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18.4</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18.5</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321</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2"/>
              </w:rPr>
              <w:t>160.5</w:t>
            </w:r>
          </w:p>
        </w:tc>
        <w:tc>
          <w:tcPr>
            <w:tcW w:w="100" w:type="dxa"/>
            <w:vAlign w:val="bottom"/>
            <w:tcBorders>
              <w:lef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5"/>
              </w:rPr>
              <w:t>104.5</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Candy</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294</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286</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191</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771</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274</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256</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201</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38.2</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40.2</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36.7</w:t>
            </w:r>
          </w:p>
        </w:tc>
        <w:tc>
          <w:tcPr>
            <w:tcW w:w="100" w:type="dxa"/>
            <w:vAlign w:val="bottom"/>
          </w:tcPr>
          <w:p>
            <w:pPr>
              <w:spacing w:after="0"/>
              <w:rPr>
                <w:sz w:val="11"/>
                <w:szCs w:val="11"/>
                <w:color w:val="auto"/>
              </w:rPr>
            </w:pPr>
          </w:p>
        </w:tc>
        <w:tc>
          <w:tcPr>
            <w:tcW w:w="5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34.8</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
        </w:trPr>
        <w:tc>
          <w:tcPr>
            <w:tcW w:w="1260" w:type="dxa"/>
            <w:vAlign w:val="bottom"/>
            <w:tcBorders>
              <w:right w:val="single" w:sz="8" w:color="CCEEFF"/>
            </w:tcBorders>
            <w:vMerge w:val="restart"/>
            <w:shd w:val="clear" w:color="auto" w:fill="CCEEFF"/>
          </w:tcPr>
          <w:p>
            <w:pPr>
              <w:ind w:left="62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CCEEFF"/>
            </w:tcBorders>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line="20" w:lineRule="exact"/>
              <w:rPr>
                <w:sz w:val="1"/>
                <w:szCs w:val="1"/>
                <w:color w:val="auto"/>
              </w:rPr>
            </w:pPr>
          </w:p>
        </w:tc>
      </w:tr>
      <w:tr>
        <w:trPr>
          <w:trHeight w:val="135"/>
        </w:trPr>
        <w:tc>
          <w:tcPr>
            <w:tcW w:w="12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13,281</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12,626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14,538</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40,4456</w:t>
            </w:r>
          </w:p>
        </w:tc>
        <w:tc>
          <w:tcPr>
            <w:tcW w:w="20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10,551</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12,229</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11,897</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34,677</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220" w:type="dxa"/>
            <w:vAlign w:val="bottom"/>
            <w:tcBorders>
              <w:lef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w:t>
            </w:r>
          </w:p>
        </w:tc>
        <w:tc>
          <w:tcPr>
            <w:tcW w:w="22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w:t>
            </w:r>
          </w:p>
        </w:tc>
        <w:tc>
          <w:tcPr>
            <w:tcW w:w="22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20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Discounts:  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(1,135)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(1,356)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(1,136)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(3,627)</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(1,028)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(1,376)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(1,335)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(3,739)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8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w:t>
            </w:r>
          </w:p>
        </w:tc>
        <w:tc>
          <w:tcPr>
            <w:tcW w:w="100" w:type="dxa"/>
            <w:vAlign w:val="bottom"/>
            <w:tcBorders>
              <w:lef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COGS: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Core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(8,122)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(7,851)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(9,372)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(25,345)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(6,414)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(7,674)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(7,032)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(21,120)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99"/>
              </w:rPr>
              <w:t>(11.8)</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(11.1)</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(11.4)</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(11.6)</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1260" w:type="dxa"/>
            <w:vAlign w:val="bottom"/>
            <w:tcBorders>
              <w:right w:val="single" w:sz="8" w:color="CCEEFF"/>
            </w:tcBorders>
            <w:shd w:val="clear" w:color="auto" w:fill="CCEEFF"/>
          </w:tcPr>
          <w:p>
            <w:pPr>
              <w:ind w:left="620"/>
              <w:spacing w:after="0" w:line="135" w:lineRule="exact"/>
              <w:rPr>
                <w:sz w:val="20"/>
                <w:szCs w:val="20"/>
                <w:color w:val="auto"/>
              </w:rPr>
            </w:pPr>
            <w:r>
              <w:rPr>
                <w:rFonts w:ascii="Arial" w:cs="Arial" w:eastAsia="Arial" w:hAnsi="Arial"/>
                <w:sz w:val="13"/>
                <w:szCs w:val="13"/>
                <w:color w:val="auto"/>
              </w:rPr>
              <w:t>Non Core</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(89)</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9"/>
              </w:rPr>
              <w:t>(13.0)</w:t>
            </w:r>
          </w:p>
        </w:tc>
        <w:tc>
          <w:tcPr>
            <w:tcW w:w="100" w:type="dxa"/>
            <w:vAlign w:val="bottom"/>
            <w:tcBorders>
              <w:lef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4"/>
              </w:rPr>
              <w:t>(44.5)</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1260" w:type="dxa"/>
            <w:vAlign w:val="bottom"/>
          </w:tcPr>
          <w:p>
            <w:pPr>
              <w:ind w:left="620"/>
              <w:spacing w:after="0" w:line="135" w:lineRule="exact"/>
              <w:rPr>
                <w:sz w:val="20"/>
                <w:szCs w:val="20"/>
                <w:color w:val="auto"/>
              </w:rPr>
            </w:pPr>
            <w:r>
              <w:rPr>
                <w:rFonts w:ascii="Arial" w:cs="Arial" w:eastAsia="Arial" w:hAnsi="Arial"/>
                <w:sz w:val="13"/>
                <w:szCs w:val="13"/>
                <w:color w:val="auto"/>
              </w:rPr>
              <w:t>Candy</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(165)</w:t>
            </w: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(143)</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(145)</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(453)</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(176)</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(129)</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(485)</w:t>
            </w: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99"/>
              </w:rPr>
              <w:t>(29.0)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(25.8)</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(21.6)</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(23.1)</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7"/>
        </w:trPr>
        <w:tc>
          <w:tcPr>
            <w:tcW w:w="1260" w:type="dxa"/>
            <w:vAlign w:val="bottom"/>
            <w:tcBorders>
              <w:right w:val="single" w:sz="8" w:color="CCEEFF"/>
            </w:tcBorders>
            <w:vMerge w:val="restart"/>
            <w:shd w:val="clear" w:color="auto" w:fill="CCEEFF"/>
          </w:tcPr>
          <w:p>
            <w:pPr>
              <w:ind w:left="62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CCEEFF"/>
            </w:tcBorders>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line="20" w:lineRule="exact"/>
              <w:rPr>
                <w:sz w:val="1"/>
                <w:szCs w:val="1"/>
                <w:color w:val="auto"/>
              </w:rPr>
            </w:pPr>
          </w:p>
        </w:tc>
      </w:tr>
      <w:tr>
        <w:trPr>
          <w:trHeight w:val="135"/>
        </w:trPr>
        <w:tc>
          <w:tcPr>
            <w:tcW w:w="12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(8,293)</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(8,001)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7"/>
              </w:rPr>
              <w:t>(9,530)</w:t>
            </w: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(25,824)</w:t>
            </w:r>
          </w:p>
        </w:tc>
        <w:tc>
          <w:tcPr>
            <w:tcW w:w="200" w:type="dxa"/>
            <w:vAlign w:val="bottom"/>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w:t>
            </w:r>
          </w:p>
        </w:tc>
        <w:tc>
          <w:tcPr>
            <w:tcW w:w="6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7"/>
              </w:rPr>
              <w:t>(6,653)</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7"/>
              </w:rPr>
              <w:t>(7,865)</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7"/>
              </w:rPr>
              <w:t>(7,176)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8"/>
              </w:rPr>
              <w:t>(21,694)</w:t>
            </w:r>
          </w:p>
        </w:tc>
        <w:tc>
          <w:tcPr>
            <w:tcW w:w="2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(12.0)</w:t>
            </w:r>
          </w:p>
        </w:tc>
        <w:tc>
          <w:tcPr>
            <w:tcW w:w="220" w:type="dxa"/>
            <w:vAlign w:val="bottom"/>
            <w:tcBorders>
              <w:lef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(11.2)</w:t>
            </w:r>
          </w:p>
        </w:tc>
        <w:tc>
          <w:tcPr>
            <w:tcW w:w="22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(11.5)</w:t>
            </w:r>
          </w:p>
        </w:tc>
        <w:tc>
          <w:tcPr>
            <w:tcW w:w="220" w:type="dxa"/>
            <w:vAlign w:val="bottom"/>
            <w:vMerge w:val="continue"/>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(11.7)</w:t>
            </w:r>
          </w:p>
        </w:tc>
        <w:tc>
          <w:tcPr>
            <w:tcW w:w="20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Gross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Margin: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10,994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3,386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1260" w:type="dxa"/>
            <w:vAlign w:val="bottom"/>
          </w:tcPr>
          <w:p>
            <w:pPr>
              <w:spacing w:after="0" w:line="121" w:lineRule="exact"/>
              <w:rPr>
                <w:sz w:val="20"/>
                <w:szCs w:val="20"/>
                <w:color w:val="auto"/>
              </w:rPr>
            </w:pPr>
            <w:r>
              <w:rPr>
                <w:rFonts w:ascii="Arial" w:cs="Arial" w:eastAsia="Arial" w:hAnsi="Arial"/>
                <w:sz w:val="13"/>
                <w:szCs w:val="13"/>
                <w:color w:val="auto"/>
              </w:rPr>
              <w:t>as % Net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20"/>
                <w:szCs w:val="20"/>
                <w:color w:val="auto"/>
              </w:rPr>
            </w:pPr>
            <w:r>
              <w:rPr>
                <w:rFonts w:ascii="Arial" w:cs="Arial" w:eastAsia="Arial" w:hAnsi="Arial"/>
                <w:sz w:val="13"/>
                <w:szCs w:val="13"/>
                <w:color w:val="auto"/>
              </w:rPr>
              <w:t>Sales</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three months ended September 30, 2021, represents 99% of all beverage volume.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brand gross billing increased by 22% to $14,199 compared to the same period last year, driven by Reed’s volume growth of 34% and Virgil’s volume growth of 16%. The result is an increase in total gross billing of 22%, to $14,538 in the three months ended September 30, 2021, from $11,897 during the three months ended September 30, 2020. Price on our core brands decreased 2% to $17.95 per case due to a shift in mix to lower priced, higher margin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Discounts as a percentage of gross billing were 8% and 11% for the three months ended September 30, 2021 and 2020, respectively. Net sales revenue grew 27% in the three months ended September 30, 2021, to $13,402, compared to $10,562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increased $2,354 during the three months ended September 30, 2021, as compared to the same period last year. As a percentage of net sales, cost of goods sold for the three months ended September 30, 2021, was 71% as compared to 68% for the same period last year. The increase is primarily due to increased costs associated with on-going supply chain challenges.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cost of goods per case increased to $11.97 per case in the three months ended September 30, 2021, from $11.25 per case for the same period last year. The cost of goods sold per case on core brands was $11.85 during the three months ended September 30, 2021, compared to $11.11 for the same period last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margin decreased to 29% for the three months ended September 30, 2021, compared to 32% for the same period last year. This decrease is primarily related to increased costs associated with on-going supply chain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$886 in the three months ended September 30, 2021, to $3,093 from $2,207 in the same period last year, driven by increased volumes, ecommerce fulfilment costs, and increasing freight rates due to on-going supply chain challenges. Delivery costs in the three months ended September 30, 2021, were 23% of net sales and $3.89 per case, compared to 21% of net sales and $3.46 per case during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$2,644 during the three months ended September 30, 2021, compared to $1,872 during the same period last year. As a percentage of net sales, selling and marketing costs increased to 20% during the three months ended September 30, 2021, as compared to 18% during the same period last year. The increase was driven by an increase in sales force headcount, distributor buy outs, stock compensation, and travel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increased in the three months ended September 30, 2021, to $1,788 from $1,583, an increase of $205 over the same period last year. The increase was primarily driven by higher employee costs, stock compensation and public company costs, partially offset by lower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$3,653 for the three months ended September 30, 2021, as compared to a loss of $2,276 in the same period last year driven by increased gross profit offset by increases in operating expenses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Interest and Other Income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for the three months ended September 30, 2021, consisted of $234 of interest expense, as compared to $322 of interest expense in the same period of the last year, and the change in fair value of our warrant liability of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reconciliation of net loss to Modified EBITDA for the three months ended September 30, 2021, and 2020 (unaudited;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ind w:right="9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(3,887)</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(2,590)</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1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1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1120" w:type="dxa"/>
            <w:vAlign w:val="bottom"/>
            <w:tcBorders>
              <w:top w:val="single" w:sz="8" w:color="auto"/>
              <w:bottom w:val="single" w:sz="8" w:color="auto"/>
            </w:tcBorders>
          </w:tcPr>
          <w:p>
            <w:pPr>
              <w:jc w:val="right"/>
              <w:ind w:right="9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797</w:t>
            </w:r>
          </w:p>
        </w:tc>
        <w:tc>
          <w:tcPr>
            <w:tcW w:w="32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636</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Modified EBITDA</w:t>
            </w:r>
          </w:p>
        </w:tc>
        <w:tc>
          <w:tcPr>
            <w:tcW w:w="1120" w:type="dxa"/>
            <w:vAlign w:val="bottom"/>
          </w:tcPr>
          <w:p>
            <w:pPr>
              <w:jc w:val="right"/>
              <w:ind w:right="9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(3,090)</w:t>
            </w:r>
          </w:p>
        </w:tc>
        <w:tc>
          <w:tcPr>
            <w:tcW w:w="1160" w:type="dxa"/>
            <w:vAlign w:val="bottom"/>
          </w:tcPr>
          <w:p>
            <w:pPr>
              <w:jc w:val="right"/>
              <w:ind w:right="1003"/>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(1,954)</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w w:val="99"/>
              </w:rPr>
              <w:t>Results of Operations – Nine months ended September 30, 2020</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640" w:type="dxa"/>
            <w:vAlign w:val="bottom"/>
            <w:gridSpan w:val="8"/>
          </w:tcPr>
          <w:p>
            <w:pPr>
              <w:spacing w:after="0"/>
              <w:rPr>
                <w:sz w:val="20"/>
                <w:szCs w:val="20"/>
                <w:color w:val="auto"/>
              </w:rPr>
            </w:pPr>
            <w:r>
              <w:rPr>
                <w:rFonts w:ascii="Arial" w:cs="Arial" w:eastAsia="Arial" w:hAnsi="Arial"/>
                <w:sz w:val="18"/>
                <w:szCs w:val="18"/>
                <w:color w:val="auto"/>
                <w:w w:val="93"/>
              </w:rPr>
              <w:t>The following table sets forth key statistics for the nine months ended September 30, 2021, and 2020, respectively, in thousands.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5"/>
          </w:tcPr>
          <w:p>
            <w:pPr>
              <w:jc w:val="right"/>
              <w:ind w:right="760"/>
              <w:spacing w:after="0"/>
              <w:rPr>
                <w:sz w:val="20"/>
                <w:szCs w:val="20"/>
                <w:color w:val="auto"/>
              </w:rPr>
            </w:pPr>
            <w:r>
              <w:rPr>
                <w:rFonts w:ascii="Arial" w:cs="Arial" w:eastAsia="Arial" w:hAnsi="Arial"/>
                <w:sz w:val="18"/>
                <w:szCs w:val="18"/>
                <w:color w:val="auto"/>
                <w:w w:val="93"/>
              </w:rPr>
              <w:t>Nine Months Ended September 30,</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23"/>
        </w:trPr>
        <w:tc>
          <w:tcPr>
            <w:tcW w:w="5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19"/>
                <w:szCs w:val="1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34,677</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3,627</w:t>
            </w:r>
          </w:p>
        </w:tc>
        <w:tc>
          <w:tcPr>
            <w:tcW w:w="30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3,739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25,824</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21,694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 of Gross billing</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4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5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10,994</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9,244</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19%</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8,888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4,950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sales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Dollar per case ($)</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2.68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7,493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 of Net sales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6,227</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37"/>
        </w:trPr>
        <w:tc>
          <w:tcPr>
            <w:tcW w:w="5440" w:type="dxa"/>
            <w:vAlign w:val="bottom"/>
          </w:tcPr>
          <w:p>
            <w:pPr>
              <w:ind w:left="360"/>
              <w:spacing w:after="0"/>
              <w:rPr>
                <w:sz w:val="20"/>
                <w:szCs w:val="20"/>
                <w:color w:val="auto"/>
              </w:rPr>
            </w:pPr>
            <w:r>
              <w:rPr>
                <w:rFonts w:ascii="Arial" w:cs="Arial" w:eastAsia="Arial" w:hAnsi="Arial"/>
                <w:sz w:val="18"/>
                <w:szCs w:val="18"/>
                <w:color w:val="auto"/>
              </w:rPr>
              <w:t>% of Net sales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(11,614)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income (expense)</w:t>
            </w: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5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(6,920)</w:t>
            </w:r>
          </w:p>
        </w:tc>
        <w:tc>
          <w:tcPr>
            <w:tcW w:w="160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15"/>
                <w:szCs w:val="15"/>
                <w:color w:val="auto"/>
              </w:rPr>
              <w:t>67</w:t>
            </w:r>
            <w:r>
              <w:rPr>
                <w:rFonts w:ascii="Arial" w:cs="Arial" w:eastAsia="Arial" w:hAnsi="Arial"/>
                <w:sz w:val="28"/>
                <w:szCs w:val="28"/>
                <w:color w:val="auto"/>
                <w:vertAlign w:val="subscript"/>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90,400,832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56,706,141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bl>
    <w:p>
      <w:pPr>
        <w:spacing w:after="0" w:line="202" w:lineRule="exact"/>
        <w:rPr>
          <w:sz w:val="20"/>
          <w:szCs w:val="20"/>
          <w:color w:val="auto"/>
        </w:rPr>
      </w:pPr>
    </w:p>
    <w:p>
      <w:pPr>
        <w:jc w:val="both"/>
        <w:ind w:firstLine="8"/>
        <w:spacing w:after="0" w:line="257" w:lineRule="auto"/>
        <w:tabs>
          <w:tab w:leader="none" w:pos="28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Arial" w:cs="Arial" w:eastAsia="Arial" w:hAnsi="Arial"/>
          <w:sz w:val="18"/>
          <w:szCs w:val="18"/>
          <w:color w:val="auto"/>
        </w:rPr>
        <w:t>.</w:t>
      </w:r>
    </w:p>
    <w:p>
      <w:pPr>
        <w:spacing w:after="0" w:line="187" w:lineRule="exact"/>
        <w:rPr>
          <w:rFonts w:ascii="Arial" w:cs="Arial" w:eastAsia="Arial" w:hAnsi="Arial"/>
          <w:sz w:val="18"/>
          <w:szCs w:val="18"/>
          <w:i w:val="1"/>
          <w:iCs w:val="1"/>
          <w:color w:val="auto"/>
        </w:rPr>
      </w:pPr>
    </w:p>
    <w:p>
      <w:pPr>
        <w:jc w:val="both"/>
        <w:ind w:firstLine="8"/>
        <w:spacing w:after="0" w:line="268" w:lineRule="auto"/>
        <w:tabs>
          <w:tab w:leader="none" w:pos="3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nine months ended September 30, 2021, represents 99% of all beverage volume.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brand gross billing increased by 17% to $40,445 compared to the same period last year, driven by Reed’s volume growth of 25% and Virgil’s volume growth of 19%. The result is an increase in total gross billing of 17%, to $40,445 in the nine months ended September 30, 2021, from $34,677 during the nine months ended September 30, 2020. Price on our core brands decreased 4% to $17.99 per case due to a shift in mix to lower priced, higher margin products.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billing decreased to 9% from 11% in the same period last year. As a result, net sales revenue grew 19% in the nine months ended September 30, 2021, to $36,818, compared to $30,938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increased $4,130 during the nine months ended September 30, 2021, as compared to the same period last year. As a percentage of net sales, cost of goods sold for the nine months ended September 30, 2021, was 70% as compared to 70% for the same period last year.</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total cost of goods per case decreased to $11.49 per case in the nine months ended September 30, 2021, from $11.73 per case for the same period last year. The cost of goods sold per case on core brands was $11.39 during the nine months ended September 30, 2021, compared to $11.57 for the same period last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30% for the nine months ended September 30, 2021, compared to 30%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$3,938 in the nine months ended September 30, 2021, to $8,888 from $4,950 in the same period last year, driven by increased volumes, ecommerce fulfilment costs, and increasing freight rates due to on-going supply chain challenges. Delivery costs in the nine months ended September 30, 2021, were 24% of net sales and $3.95 per case, compared to 16% of net sales and $2.68 per case during the same period last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increased $2,111 to $7,493 during the nine months ended September 30, 2021, compared to $5,382 during the same period last year. As a percentage of net sales, selling and marketing costs increased to 20% during the nine months ended September 30, 2021, as compared to 17% during the same period last year. The increase was driven by an increase in sales force headcount, stock compensation, distributor buy outs and travel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increased in the nine months ended September 30, 2021, to $6,227 from $4,872 an increase of $1,355 over the same period last year. The increase was driven by, higher employee costs, consulting fees, legal settlements, public company costs, stock compensation, and travel expenses, partially offset by lower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$11,614 for the nine months ended September 30, 2021, as compared to a loss of $5,960 in the same period last year driven by increased gross profit offset by increases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income for the nine months ended September 30, 2021, consisted of $692 of interest expense offset by $770 gain on forgiveness of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same period last year, interest and other expense consisted of $961 of interest expense and the change in fair value of our warrant liability of $1.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reconciliation of net loss to Modified EBITDA for the nine months ended September 30, 2021, and 2020 (unaudited;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(11,536)</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1,498</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on forgiveness of PPP note payable</w:t>
            </w:r>
          </w:p>
        </w:tc>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(770)</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settlements</w:t>
            </w:r>
          </w:p>
        </w:tc>
        <w:tc>
          <w:tcPr>
            <w:tcW w:w="2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1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298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1,945</w:t>
            </w:r>
          </w:p>
        </w:tc>
        <w:tc>
          <w:tcPr>
            <w:tcW w:w="3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8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Modified EBITDA</w:t>
            </w:r>
          </w:p>
        </w:tc>
        <w:tc>
          <w:tcPr>
            <w:tcW w:w="4060" w:type="dxa"/>
            <w:vAlign w:val="bottom"/>
            <w:gridSpan w:val="2"/>
          </w:tcPr>
          <w:p>
            <w:pPr>
              <w:jc w:val="right"/>
              <w:ind w:right="91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(9,591)</w:t>
            </w:r>
          </w:p>
        </w:tc>
        <w:tc>
          <w:tcPr>
            <w:tcW w:w="1140" w:type="dxa"/>
            <w:vAlign w:val="bottom"/>
          </w:tcPr>
          <w:p>
            <w:pPr>
              <w:jc w:val="right"/>
              <w:ind w:right="983"/>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980" w:type="dxa"/>
            <w:vAlign w:val="bottom"/>
            <w:vMerge w:val="restart"/>
          </w:tcPr>
          <w:p>
            <w:pPr>
              <w:jc w:val="right"/>
              <w:ind w:right="1690"/>
              <w:spacing w:after="0"/>
              <w:rPr>
                <w:sz w:val="20"/>
                <w:szCs w:val="20"/>
                <w:color w:val="auto"/>
              </w:rPr>
            </w:pPr>
            <w:r>
              <w:rPr>
                <w:rFonts w:ascii="Arial" w:cs="Arial" w:eastAsia="Arial" w:hAnsi="Arial"/>
                <w:sz w:val="18"/>
                <w:szCs w:val="18"/>
                <w:color w:val="auto"/>
              </w:rPr>
              <w:t>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nine months ended September 30, 2021, the Company recorded a net loss of $11,536 and used cash in operations of $15,305. As of September 30, 2021, we had a cash balance of $941 with borrowing capacity of $1,293, a stockholder’s equity of $8,177 and a working capital of $7,102, compared to a cash balance of $595 with borrowing capacity of $5,166, stockholders’ equity of $10,404 and a working capital of $9,528 at December 31, 2020. Notwithstanding the net loss for the nine months ended September 30, 2021, management projects adequate cash from operations and available line of credit to ensure continuation of the Company as a going concern for at least one year from the date these financial statements are issued.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and Assumptions. </w:t>
      </w:r>
      <w:r>
        <w:rPr>
          <w:rFonts w:ascii="Arial" w:cs="Arial" w:eastAsia="Arial" w:hAnsi="Arial"/>
          <w:sz w:val="17"/>
          <w:szCs w:val="17"/>
          <w:color w:val="auto"/>
        </w:rPr>
        <w:t>The preparation of financial statements in conformity with generally accepted accounting principles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Accounts receivable are recorded at the invoiced amounts. The Company evaluates the collectability of its trade accounts receivable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stated at the lower of cost or net realizable value. We regularly review our inventory quantities on hand and record a provision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Revenue and costs of sales are recognized when control of the products transfers to our customer, which generally occurs upon</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 Compensation Expense</w:t>
      </w:r>
      <w:r>
        <w:rPr>
          <w:rFonts w:ascii="Arial" w:cs="Arial" w:eastAsia="Arial" w:hAnsi="Arial"/>
          <w:sz w:val="18"/>
          <w:szCs w:val="18"/>
          <w:color w:val="auto"/>
        </w:rPr>
        <w:t>. The Company periodically issues stock options and restricted stock awards to employees and non-employees in non-capital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raising transactions for services and for financing costs. The Company accounts for such grants issued and vesting based on ASC 718, Compensation-Stock Compensation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September 30, 2021,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September 30, 2021,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following risk factors and the other information set forth in this Quarterly Report on Form 10-Q, you should carefully consider the risk factors discussed in Part I, Item 1A of our Annual Report on Form 10-K (our Form 10-K) for the year ended December 31, 2020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and Information in Part I, Item 2 of this Quarterly Report on Form 10-Q under the heading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freight may have an adverse impact on our gross and operating margins.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capacity in the freight market has not kept up with demand and increased freight rates. During the nine months ended September 30, 2021, we experienced higher transportation expenses. We believe that costs will continue to increase throughout fiscal 2021. We are implementing mitigation plans to manage this risk; however, due to the price sensitivity of our products, we may not be able to pass such increases on to our customers. For a discussion of increased delivery and handling expenses, see “Operating Expenses” under the heading “Management’s Discussion and Analysis of Financial Condition and Results of Operations” in Part I, Item 2 of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70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Filed</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w w:val="92"/>
              </w:rPr>
              <w:t>Incorporated by Reference</w:t>
            </w:r>
          </w:p>
        </w:tc>
        <w:tc>
          <w:tcPr>
            <w:tcW w:w="1020" w:type="dxa"/>
            <w:vAlign w:val="bottom"/>
            <w:tcBorders>
              <w:bottom w:val="single" w:sz="8" w:color="auto"/>
            </w:tcBorders>
          </w:tcPr>
          <w:p>
            <w:pPr>
              <w:spacing w:after="0"/>
              <w:rPr>
                <w:sz w:val="24"/>
                <w:szCs w:val="24"/>
                <w:color w:val="auto"/>
              </w:rPr>
            </w:pPr>
          </w:p>
        </w:tc>
      </w:tr>
      <w:tr>
        <w:trPr>
          <w:trHeight w:val="223"/>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4800" w:type="dxa"/>
            <w:vAlign w:val="bottom"/>
            <w:gridSpan w:val="8"/>
          </w:tcPr>
          <w:p>
            <w:pPr>
              <w:ind w:left="1800"/>
              <w:spacing w:after="0"/>
              <w:rPr>
                <w:sz w:val="20"/>
                <w:szCs w:val="20"/>
                <w:color w:val="auto"/>
              </w:rPr>
            </w:pPr>
            <w:r>
              <w:rPr>
                <w:rFonts w:ascii="Arial" w:cs="Arial" w:eastAsia="Arial" w:hAnsi="Arial"/>
                <w:sz w:val="18"/>
                <w:szCs w:val="18"/>
                <w:b w:val="1"/>
                <w:bCs w:val="1"/>
                <w:color w:val="auto"/>
              </w:rPr>
              <w:t>Exhibit Title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Herewith</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Form</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File No.</w:t>
            </w: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Date Filed</w:t>
            </w:r>
          </w:p>
        </w:tc>
      </w:tr>
      <w:tr>
        <w:trPr>
          <w:trHeight w:val="175"/>
        </w:trPr>
        <w:tc>
          <w:tcPr>
            <w:tcW w:w="6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580" w:type="dxa"/>
            <w:vAlign w:val="bottom"/>
            <w:tcBorders>
              <w:top w:val="single" w:sz="8" w:color="auto"/>
              <w:bottom w:val="single" w:sz="8" w:color="0000EE"/>
            </w:tcBorders>
            <w:gridSpan w:val="6"/>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Certification of Chief Executive Officer pursuant to Section</w:t>
              </w:r>
            </w:hyperlink>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302 of the Sarbanes-Oxley Act of 2002</w:t>
              </w:r>
            </w:hyperlink>
          </w:p>
        </w:tc>
        <w:tc>
          <w:tcPr>
            <w:tcW w:w="1980" w:type="dxa"/>
            <w:vAlign w:val="bottom"/>
            <w:gridSpan w:val="4"/>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Chief Financial Officer pursuant to Section 302</w:t>
              </w:r>
            </w:hyperlink>
          </w:p>
        </w:tc>
        <w:tc>
          <w:tcPr>
            <w:tcW w:w="2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of the Sarbanes-Oxley Act of 2002</w:t>
              </w:r>
            </w:hyperlink>
          </w:p>
        </w:tc>
        <w:tc>
          <w:tcPr>
            <w:tcW w:w="2300" w:type="dxa"/>
            <w:vAlign w:val="bottom"/>
            <w:gridSpan w:val="5"/>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20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Executive Officer pursuant to 18 U.S.C.</w:t>
              </w:r>
            </w:hyperlink>
          </w:p>
        </w:tc>
        <w:tc>
          <w:tcPr>
            <w:tcW w:w="2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1350, as adopted pursuant to Section 906 of the</w:t>
              </w:r>
            </w:hyperlink>
          </w:p>
        </w:tc>
        <w:tc>
          <w:tcPr>
            <w:tcW w:w="2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Sarbanes-Oxley Act of 2002</w:t>
              </w:r>
            </w:hyperlink>
          </w:p>
        </w:tc>
        <w:tc>
          <w:tcPr>
            <w:tcW w:w="2740" w:type="dxa"/>
            <w:vAlign w:val="bottom"/>
            <w:gridSpan w:val="6"/>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200" w:type="dxa"/>
            <w:vAlign w:val="bottom"/>
          </w:tcPr>
          <w:p>
            <w:pPr>
              <w:spacing w:after="0"/>
              <w:rPr>
                <w:sz w:val="17"/>
                <w:szCs w:val="17"/>
                <w:color w:val="auto"/>
              </w:rPr>
            </w:pPr>
          </w:p>
        </w:tc>
        <w:tc>
          <w:tcPr>
            <w:tcW w:w="4820" w:type="dxa"/>
            <w:vAlign w:val="bottom"/>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 of Chief Financial Officer pursuant to 18 U.S.C.</w:t>
              </w:r>
            </w:hyperlink>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1350, as adopted pursuant to Section 906 of the</w:t>
              </w:r>
            </w:hyperlink>
          </w:p>
        </w:tc>
        <w:tc>
          <w:tcPr>
            <w:tcW w:w="2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Sarbanes-Oxley Act of 2002</w:t>
              </w:r>
            </w:hyperlink>
          </w:p>
        </w:tc>
        <w:tc>
          <w:tcPr>
            <w:tcW w:w="2760" w:type="dxa"/>
            <w:vAlign w:val="bottom"/>
            <w:gridSpan w:val="7"/>
          </w:tcPr>
          <w:p>
            <w:pPr>
              <w:spacing w:after="0"/>
              <w:rPr>
                <w:sz w:val="17"/>
                <w:szCs w:val="17"/>
                <w:color w:val="auto"/>
              </w:rPr>
            </w:pPr>
          </w:p>
        </w:tc>
        <w:tc>
          <w:tcPr>
            <w:tcW w:w="132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101.INS</w:t>
            </w:r>
          </w:p>
        </w:tc>
        <w:tc>
          <w:tcPr>
            <w:tcW w:w="48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101.SCH</w:t>
            </w:r>
          </w:p>
        </w:tc>
        <w:tc>
          <w:tcPr>
            <w:tcW w:w="48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101.CAL</w:t>
            </w:r>
          </w:p>
        </w:tc>
        <w:tc>
          <w:tcPr>
            <w:tcW w:w="48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101.DEF</w:t>
            </w:r>
          </w:p>
        </w:tc>
        <w:tc>
          <w:tcPr>
            <w:tcW w:w="48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101.LAB</w:t>
            </w:r>
          </w:p>
        </w:tc>
        <w:tc>
          <w:tcPr>
            <w:tcW w:w="4820" w:type="dxa"/>
            <w:vAlign w:val="bottom"/>
            <w:gridSpan w:val="9"/>
          </w:tcPr>
          <w:p>
            <w:pPr>
              <w:spacing w:after="0"/>
              <w:rPr>
                <w:sz w:val="20"/>
                <w:szCs w:val="20"/>
                <w:color w:val="auto"/>
              </w:rPr>
            </w:pPr>
            <w:r>
              <w:rPr>
                <w:rFonts w:ascii="Arial" w:cs="Arial" w:eastAsia="Arial" w:hAnsi="Arial"/>
                <w:sz w:val="18"/>
                <w:szCs w:val="18"/>
                <w:color w:val="auto"/>
                <w:w w:val="97"/>
              </w:rPr>
              <w:t>XBRL Taxonomy Extension Presentation Linkbase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101.PRE</w:t>
            </w:r>
          </w:p>
        </w:tc>
        <w:tc>
          <w:tcPr>
            <w:tcW w:w="48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1006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September 30, 2021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September 30, 2021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2021-11-09T15:49:59Z</dcterms:created>
  <dcterms:modified xsi:type="dcterms:W3CDTF">2021-11-09T15:49:59Z</dcterms:modified>
</cp:coreProperties>
</file>