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REED’S,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001-32501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35-2177773</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501 Merritt 7 Corporate Park, Norwalk, CT 06851</w:t>
            </w:r>
          </w:p>
        </w:tc>
        <w:tc>
          <w:tcPr>
            <w:tcW w:w="16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6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(800) 997-3337</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340" w:right="2860" w:hanging="3332"/>
        <w:spacing w:after="0" w:line="498" w:lineRule="auto"/>
        <w:tabs>
          <w:tab w:leader="none" w:pos="3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REED</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2026,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D&amp;D Source of Life Holding, Ltd., the Company’s majority stockholder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issuance and sale in a private placement (the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of 17,421,602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$0.0001 par value per share, at a purchase price of $0.574 per Share, for aggregate gross proceeds of approximately $10.0 million. The Private Placement is expected to close on or about November 6, 2026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dated as of October 28, 2026, with the Investor, pursuant to which the Company agreed to prepare and file a registration statement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registering the resale of the Shares no later than fifteen (15) days after the Closing Date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to use its best efforts to have the registration statement declared effective as promptly as possible thereafter, and in any event no later than seventy (70) days following the Closing Date (or ninety (90) days following the Closing Date in the event of a “full review” by the SEC). The Company intends to use the net proceeds from the Private Placement for working capital and general corporate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receipt of the gross proceeds from the Private Placement will satisfy the requirement under the Senior Secured Loan and Security Agreement, as amended by Amendment No. 2 to Senior Secured Loan and Security Agreement dated September 30, 2026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that the Company receive aggregate cash equity contributions of at least $10.0 million on or after the effective date of the Amendment and no later than November 6,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and the Registration Rights Agreement contain customary representations, warranties and agreements by the Company, customary conditions to closing, termination provisions, indemnification obligations of the Company and other obligations of the parties. The foregoing descriptions of the Purchase Agreement and the Registration Rights Agreement are not complete and are qualified in their entirety by reference to the full text of the form of each of the Purchase Agreement and the Registration Rights Agreement, copies of which are filed as Exhibits 10.1 and 10.2, respectively, to this Current Report on Form 8-K and are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above in Item 1.01 with respect to the Private Placement and the Shares issued in the Private Placement is hereby incorporated by reference into this Item 3.02. The Shares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are instead being offered pursuant to the exemption provided in Section 4(a)(2), and Rule 506(b) promulgated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842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Securities Purchase Agreement, dated as of October 28, 2026, by and between Reed’s, Inc. and the Investor.</w:t>
            </w:r>
          </w:p>
        </w:tc>
        <w:tc>
          <w:tcPr>
            <w:tcW w:w="1720" w:type="dxa"/>
            <w:vAlign w:val="bottom"/>
            <w:tcBorders>
              <w:top w:val="single" w:sz="8" w:color="auto"/>
            </w:tcBorders>
          </w:tcPr>
          <w:p>
            <w:pPr>
              <w:spacing w:after="0"/>
              <w:rPr>
                <w:sz w:val="14"/>
                <w:szCs w:val="1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8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Registration Rights Agreement, dated as of October 28, 2026, by and between Reed’s, Inc. and the Investor.</w:t>
            </w:r>
          </w:p>
        </w:tc>
        <w:tc>
          <w:tcPr>
            <w:tcW w:w="1740" w:type="dxa"/>
            <w:vAlign w:val="bottom"/>
            <w:gridSpan w:val="2"/>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Reed’s,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2026</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Douglas W. McCurdy</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W. McCurdy</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herein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is dated October 28, 2026. Purchasers are participating in the Company’s Public Investment in Private Equity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of up to $10,000,000.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Recitals set forth in the preamble of this Agreement are incorporated into this Agreement by reference.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or before October 30, 2026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means Lowenstein Sandler LLP, with offices located at 1251 Avenue of the Americas, New York, New York 10020.</w:t>
      </w:r>
    </w:p>
    <w:p>
      <w:pPr>
        <w:spacing w:after="0" w:line="23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has been declared effective by the Commission,</w:t>
      </w:r>
    </w:p>
    <w:p>
      <w:pPr>
        <w:spacing w:after="0" w:line="27" w:lineRule="exact"/>
        <w:rPr>
          <w:sz w:val="20"/>
          <w:szCs w:val="20"/>
          <w:color w:val="auto"/>
        </w:rPr>
      </w:pPr>
    </w:p>
    <w:p>
      <w:pPr>
        <w:jc w:val="both"/>
        <w:ind w:left="4" w:hanging="4"/>
        <w:spacing w:after="0" w:line="252"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is not at the time an Affiliate of the Company, or (d) all of the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pursuant to such exemption which opinion shall be in form and substance reasonably acceptable to such holders.</w:t>
      </w:r>
    </w:p>
    <w:p>
      <w:pPr>
        <w:spacing w:after="0" w:line="19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3.1(h).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Stockholder</w:t>
      </w:r>
      <w:r>
        <w:rPr>
          <w:rFonts w:ascii="Times New Roman" w:cs="Times New Roman" w:eastAsia="Times New Roman" w:hAnsi="Times New Roman"/>
          <w:sz w:val="18"/>
          <w:szCs w:val="18"/>
          <w:color w:val="auto"/>
        </w:rPr>
        <w:t>” means D&amp;D Source of Life Holding, Ltd.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$0.574,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225"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Signature Page</w:t>
      </w:r>
      <w:r>
        <w:rPr>
          <w:rFonts w:ascii="Times New Roman" w:cs="Times New Roman" w:eastAsia="Times New Roman" w:hAnsi="Times New Roman"/>
          <w:sz w:val="18"/>
          <w:szCs w:val="18"/>
          <w:color w:val="auto"/>
        </w:rPr>
        <w:t>” means a Purchaser’s signature page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and next to the heading “Subscription Amount”.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all schedules and exhibits thereto and hereto and any other documents or agreements executed in connection with the transactions contemplated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Transfer Online, Inc. the current transfer agent of the Company, with a mailing address of 512 SE Salmon 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 97214 and a facsimile number of (503) 227-6874, and any successor transfer agent of the Company.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(i) the Company agrees to sell, and each Purchaser, severally and not jointly, agrees to subscribe for and purchase, the number of Shares as set forth on each Purchaser’s Signature Page for the Subscription Amount also set forth on such Purchaser’s Signature Page, (ii) Each Purchaser will deliver to the Company’s bank account listed below, via wire transfer or ACH, immediately available funds equal to such Purchaser’s Subscription Amount payable in cash as set forth on such Purchaser’s Signature Page, (iii) the Company will deliver to each Purchaser the number of Shares set forth on each Purchaser’s respective Signature Page, and (iv) the Company and each Purchaser will deliver the other items set forth in Section 2.2 deliverable at the Closing. Upon satisfaction of the covenants and conditions set forth in Sections 2.2 and 2.3, the Closing shall occur remotely by electronic means or other means as the parties may mutually agree.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Name: Reed’s,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City National Bank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Routing Number: 122016066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 017 309 722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p>
    <w:p>
      <w:pPr>
        <w:spacing w:after="0" w:line="225" w:lineRule="exact"/>
        <w:rPr>
          <w:sz w:val="20"/>
          <w:szCs w:val="20"/>
          <w:color w:val="auto"/>
        </w:rPr>
      </w:pPr>
    </w:p>
    <w:p>
      <w:pPr>
        <w:ind w:left="1540" w:hanging="23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a certificate evidencing a number of Shares subscribed by Purchaser;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waiver by the Majority Stockholder of its preemptive rights solely with regard to this PIPE.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and duly executed Selling Stockholder Questionnaire in the form attached as Annex C to the Registration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6" w:lineRule="auto"/>
        <w:tabs>
          <w:tab w:leader="none" w:pos="15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a banking moratorium shall not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7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w:t>
      </w:r>
    </w:p>
    <w:p>
      <w:pPr>
        <w:spacing w:after="0" w:line="225" w:lineRule="exact"/>
        <w:rPr>
          <w:sz w:val="20"/>
          <w:szCs w:val="20"/>
          <w:color w:val="auto"/>
        </w:rPr>
      </w:pPr>
    </w:p>
    <w:p>
      <w:pPr>
        <w:ind w:left="880" w:hanging="2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9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 w:name="page9"/>
    <w:bookmarkEnd w:id="8"/>
    <w:p>
      <w:pPr>
        <w:jc w:val="both"/>
        <w:ind w:left="-460" w:firstLine="644"/>
        <w:spacing w:after="0" w:line="253" w:lineRule="auto"/>
        <w:tabs>
          <w:tab w:leader="none" w:pos="4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filing with the Commission of a Registration Statement, (ii) the notice and/or application(s) to each applicable Trading Market for the issuance and sale of the Shares and the listing of the Shares, (iii) the waiver by the Majority Stockholder of its preemptive rights solely with regard to this PIPE,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 w:name="page10"/>
    <w:bookmarkEnd w:id="9"/>
    <w:p>
      <w:pPr>
        <w:jc w:val="both"/>
        <w:ind w:left="-460" w:firstLine="644"/>
        <w:spacing w:after="0" w:line="252"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set forth in the Company’s Quarterly Report on Form 10-Q for the period ended March 31, 2026, filed on May 13, 2026. Subject to obtaining the Required Approvals, the issuance and sale of the Shares pursuant to the terms set forth in this Agreement will not obligate the Company or any Subsidiary to issue shares of Common Stock or other securities to any Person (other than the Purchasers) or violate the right of first refusal, preemptive right, right of participation, or any similar right of any Person to participate in the transactions contemplated by the Transaction Documents.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outstanding.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with any stockholder (other than the Shareholders Agreement dated May 25, 2023, as amended January 24, 2025, by and between the Company and its Majority Stockholder), or, to the knowledge of the Company, between or among any of the Company’s stockholders.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and (iii) the Company has not altered its method of accounting (iv) the Company has not declared or made any dividend or distribution of cash or other property to its stockholders or purchased, redeemed or made any agreements to purchase or redeem any shares of its capital stock. The Company has not issued and does not have any plans to issue any equity securities to any officer, director or Affiliate, except pursuant to Company stock option plans (existing and/or future), as reflected in the SEC Reports.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 w:name="page11"/>
    <w:bookmarkEnd w:id="10"/>
    <w:p>
      <w:pPr>
        <w:jc w:val="both"/>
        <w:ind w:left="-460" w:firstLine="644"/>
        <w:spacing w:after="0" w:line="253" w:lineRule="auto"/>
        <w:tabs>
          <w:tab w:leader="none" w:pos="4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and claims tendered to insurance carriers,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 w:name="page12"/>
    <w:bookmarkEnd w:id="11"/>
    <w:p>
      <w:pPr>
        <w:jc w:val="both"/>
        <w:ind w:left="-460" w:firstLine="644"/>
        <w:spacing w:after="0" w:line="261"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does not own any real property. Certain funds affiliated by Whitebox Advisors, LLC hold a senior security interest in all of the Company’s assets and intellectual property securing a $9,250,000 revolving term loan that matures on September 30, 2026, as disclosed in the Company’s Current Report on Form 8-K filed with the SEC on September 26, 2025. Any real property and facilities held under lease by the Company and the Subsidiaries are held by them under valid, subsisting and enforceable leases with which the Company and the Subsidiaries are in compliance.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 w:name="page13"/>
    <w:bookmarkEnd w:id="12"/>
    <w:p>
      <w:pPr>
        <w:jc w:val="both"/>
        <w:ind w:left="-460" w:firstLine="644"/>
        <w:spacing w:after="0" w:line="252" w:lineRule="auto"/>
        <w:tabs>
          <w:tab w:leader="none" w:pos="4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13a-15(c)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The Purchasers shall have no obligation with respect to any brokerage or finder fees or with respect to any claims made by or on behalf of other Persons for fees of a type contemplated in this Section that may be due in connection with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Shares by the Company to the Purchasers as contemplated hereby. The issuance and sale of the Shares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under 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 w:name="page14"/>
    <w:bookmarkEnd w:id="13"/>
    <w:p>
      <w:pPr>
        <w:jc w:val="both"/>
        <w:ind w:left="-460" w:firstLine="644"/>
        <w:spacing w:after="0" w:line="254" w:lineRule="auto"/>
        <w:tabs>
          <w:tab w:leader="none" w:pos="4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left="-460" w:firstLine="644"/>
        <w:spacing w:after="0" w:line="258"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Neither the Company nor any Subsidiary is in default with respect to any Indebtedness.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$150,000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Weinberg &amp; Co., PA.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 w:name="page15"/>
    <w:bookmarkEnd w:id="14"/>
    <w:p>
      <w:pPr>
        <w:jc w:val="both"/>
        <w:ind w:left="-460" w:firstLine="644"/>
        <w:spacing w:after="0" w:line="253" w:lineRule="auto"/>
        <w:tabs>
          <w:tab w:leader="none" w:pos="4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 w:name="page16"/>
    <w:bookmarkEnd w:id="15"/>
    <w:p>
      <w:pPr>
        <w:jc w:val="both"/>
        <w:ind w:left="660" w:firstLine="644"/>
        <w:spacing w:after="0" w:line="254"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Shares.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644"/>
        <w:spacing w:after="0" w:line="258" w:lineRule="auto"/>
        <w:tabs>
          <w:tab w:leader="none" w:pos="9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 (i) an “accredited investor” as defined in Rule 501(a)(1), (a)(2), (a)(3), (a)(7) or (a)(8) under the Securities Act or (ii) a “qualified institutional buyer” as defined in Rule 144A(a) under the Securities Act. Further, Purchaser acknowledges, by virtue of Purchaser’s position with the Company, Purchaser is in possession of and continues to have access to, certain confidential information and material non-public information of the Company typically reserved for the Board of Directors.</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to such Purchaser’s knowledge,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firstLine="644"/>
        <w:spacing w:after="0" w:line="255" w:lineRule="auto"/>
        <w:tabs>
          <w:tab w:leader="none" w:pos="8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8" w:lineRule="exact"/>
        <w:rPr>
          <w:rFonts w:ascii="Times New Roman" w:cs="Times New Roman" w:eastAsia="Times New Roman" w:hAnsi="Times New Roman"/>
          <w:sz w:val="18"/>
          <w:szCs w:val="18"/>
          <w:color w:val="auto"/>
        </w:rPr>
      </w:pPr>
    </w:p>
    <w:p>
      <w:pPr>
        <w:jc w:val="both"/>
        <w:ind w:firstLine="644"/>
        <w:spacing w:after="0" w:line="252"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notification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9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may only be disposed of in compliance with state and federal securities laws. In connection with any transfer of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a Purchaser under this Agreement.</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7" w:name="page18"/>
    <w:bookmarkEnd w:id="17"/>
    <w:p>
      <w:pPr>
        <w:ind w:left="644"/>
        <w:spacing w:after="0"/>
        <w:rPr>
          <w:sz w:val="20"/>
          <w:szCs w:val="20"/>
          <w:color w:val="auto"/>
        </w:rPr>
      </w:pPr>
      <w:r>
        <w:rPr>
          <w:rFonts w:ascii="Times New Roman" w:cs="Times New Roman" w:eastAsia="Times New Roman" w:hAnsi="Times New Roman"/>
          <w:sz w:val="18"/>
          <w:szCs w:val="18"/>
          <w:color w:val="auto"/>
        </w:rPr>
        <w:t>(b) The Purchasers agree to the imprinting, so long as is required by this Section 4.1, of a legend on any of the Shares in the following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4" w:hanging="4"/>
        <w:spacing w:after="0" w:line="260"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set forth (as defined in the Registration Rights Agreement) thereunder.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shall not contain any legend (including the legend set forth in Section 4.1(b) hereof), (i) while a registration statement (including the Registration Statement) covering the resale of such security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Shares may be sold under Rule 144 and the Company is then in compliance with the current public information required under Rule 144 or if the Shares may be sold under Rule 144 without the requirement for the Company to be in compliance with the current public information required under Rule 144 as to such Shares or if such legend is not otherwise required under applicable requirements of the Securities Act (including judicial interpretations and pronouncements issued by the staff of the Commission) then such Shares shall be issued free of all legends. If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representing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as the case may be, issued with a restrictive legend.</w:t>
      </w:r>
    </w:p>
    <w:p>
      <w:pPr>
        <w:spacing w:after="0" w:line="1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8" w:name="page19"/>
    <w:bookmarkEnd w:id="18"/>
    <w:p>
      <w:pPr>
        <w:jc w:val="both"/>
        <w:ind w:left="660" w:firstLine="644"/>
        <w:spacing w:after="0" w:line="252" w:lineRule="auto"/>
        <w:tabs>
          <w:tab w:leader="none" w:pos="15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w:t>
      </w:r>
    </w:p>
    <w:p>
      <w:pPr>
        <w:spacing w:after="0" w:line="3"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or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(as the case may be) and ending on the date of such delivery and payment under this clause (ii).</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 Each Purchaser, severally and not jointly with the other Purchasers, agrees that if it is notified by the Company in writing at any time that the registration statement registering the resale of the Shares is not effective or that the prospectus included in such registration statement no longer complies with the requirements of Section 10 of the Securities Act, the Purchaser will refrain from selling such Shares until such time as the Purchaser is notified by the Company that such registration statement is effective or such prospectus is compliant with Section 10 of the Exchange Act, unless such Purchaser is able to, and does, sell such Shares pursuant to an available exemption from the registration requirements of Section 5 of the Securities Act. Both the Company and its Transfer Agent, and their respective directors, officers, employees and agents, may rely on this subsection (e) and each Purchaser hereunder will indemnify and hold harmless each of such persons from any breaches or violations of this paragraph.</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Information</w:t>
      </w:r>
      <w:r>
        <w:rPr>
          <w:rFonts w:ascii="Times New Roman" w:cs="Times New Roman" w:eastAsia="Times New Roman" w:hAnsi="Times New Roman"/>
          <w:sz w:val="18"/>
          <w:szCs w:val="18"/>
          <w:color w:val="auto"/>
        </w:rPr>
        <w:t>. In order to enable the Purchasers to sell the Shares under Rule 144 of the Securities Act, for a period of two years from the Closing, the Company shall use its commercially reasonable efforts to timely file (or obtain extensions in respect thereof and file within the applicable grace period) all reports required to be filed by the Company after the date hereof pursuant to the Exchange Act. During such two-year period, if the Company is not required to file reports pursuant to such laws, it will prepare and furnish to the Purchasers and make publicly available in accordance with Rule 144(c) such information as is required for the Purchasers to sell the Shares under Rule 144.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material terms and conditions of the transactions contemplated by the Transaction Documents shall be disclosed on a Current Report on Form 8-K no later than the fourth business day following execution of this Agreement, Each Purchaser, severally and not jointly with the other Purchasers, covenants that until such time as the transactions contemplated by this Agreement are publicly disclosed by the Company, such Purchaser will maintain the confidentiality of the existence and terms of this transaction. Each Purchaser acknowledges that by virtue of its relationship with the Company, such Purchaser may be deemed to be in possession of material non-public information from time to time. Each Purchaser acknowledges and agrees to comply with applicable securities laws and the Company’s policies applicable to Purchaser from time to time.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and general corporate purposes.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a sufficient number of shares of Common Stock for the purpose of enabling the Company to issue Shares pursuant to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quotation of the Common Stock on the Trading Market on which it is currently quoted.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The Company expressly acknowledges and agrees that the Transaction documents (i) do not restrict or prohibit Purchaser from effecting any transactions in any securities of the Company in accordance with applicable securities laws from and after the time that the transaction contemplated by this Agreement is first publicly announced.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shall take such action as the Company shall reasonably determine is necessary in order to obtain an exemption for, or to qualify the Shares for, sale to the Purchasers at the Closing under applicable securities laws of the United States and or “Blue Sky” laws of the states of the United States.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4.14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4.15 [Reserved].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xml:space="preserve"> sets forth the Company’s stockholders who shall beneficially own five percent (5%) or more of the outstanding shares of any class of voting securities of the Company on a pro forma basis after giving effect to the PIPE.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due to Company’s non-performance;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annexes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(Eastern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(Eastern time)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4.7.</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effective as of October 28,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REED’S, INC.</w:t>
            </w: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14"/>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501 Merritt 7 PH</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Norwalk, CT 06851</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M. Cohane</w:t>
            </w:r>
          </w:p>
        </w:tc>
        <w:tc>
          <w:tcPr>
            <w:tcW w:w="2520" w:type="dxa"/>
            <w:vAlign w:val="bottom"/>
          </w:tcPr>
          <w:p>
            <w:pPr>
              <w:spacing w:after="0"/>
              <w:rPr>
                <w:sz w:val="16"/>
                <w:szCs w:val="16"/>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Email: ncohane@Reedsinc.com</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520" w:type="dxa"/>
            <w:vAlign w:val="bottom"/>
          </w:tcPr>
          <w:p>
            <w:pPr>
              <w:spacing w:after="0"/>
              <w:rPr>
                <w:sz w:val="24"/>
                <w:szCs w:val="24"/>
                <w:color w:val="auto"/>
              </w:rPr>
            </w:pP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Skolnick</w:t>
            </w:r>
          </w:p>
        </w:tc>
        <w:tc>
          <w:tcPr>
            <w:tcW w:w="2520" w:type="dxa"/>
            <w:vAlign w:val="bottom"/>
          </w:tcPr>
          <w:p>
            <w:pPr>
              <w:spacing w:after="0"/>
              <w:rPr>
                <w:sz w:val="24"/>
                <w:szCs w:val="24"/>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Lowenstein Sandler LLP</w:t>
            </w:r>
          </w:p>
        </w:tc>
        <w:tc>
          <w:tcPr>
            <w:tcW w:w="252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SSkolnick@lowenstein.com</w:t>
            </w:r>
          </w:p>
        </w:tc>
        <w:tc>
          <w:tcPr>
            <w:tcW w:w="25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[PURCHASER SIGNATURE PAGES TO REED’S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Purchased (U.S. $0.574 per Share):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(Number of Shares Purchased x U.S. $0.574):_________________________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(for U.S. Persons only):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4300" w:type="dxa"/>
            <w:vAlign w:val="bottom"/>
            <w:gridSpan w:val="5"/>
          </w:tcPr>
          <w:p>
            <w:pPr>
              <w:jc w:val="right"/>
              <w:ind w:right="3260"/>
              <w:spacing w:after="0"/>
              <w:rPr>
                <w:sz w:val="20"/>
                <w:szCs w:val="20"/>
                <w:color w:val="auto"/>
              </w:rPr>
            </w:pPr>
            <w:r>
              <w:rPr>
                <w:rFonts w:ascii="Times New Roman" w:cs="Times New Roman" w:eastAsia="Times New Roman" w:hAnsi="Times New Roman"/>
                <w:sz w:val="18"/>
                <w:szCs w:val="18"/>
                <w:b w:val="1"/>
                <w:bCs w:val="1"/>
                <w:color w:val="auto"/>
                <w:w w:val="97"/>
              </w:rPr>
              <w:t>Schedule 4.16</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93"/>
        </w:trPr>
        <w:tc>
          <w:tcPr>
            <w:tcW w:w="5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40" w:type="dxa"/>
            <w:vAlign w:val="bottom"/>
            <w:tcBorders>
              <w:top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Number of Shares</w:t>
            </w:r>
            <w:r>
              <w:rPr>
                <w:rFonts w:ascii="Times New Roman" w:cs="Times New Roman" w:eastAsia="Times New Roman" w:hAnsi="Times New Roman"/>
                <w:sz w:val="29"/>
                <w:szCs w:val="29"/>
                <w:b w:val="1"/>
                <w:bCs w:val="1"/>
                <w:color w:val="auto"/>
                <w:w w:val="98"/>
                <w:vertAlign w:val="superscript"/>
              </w:rPr>
              <w:t>(1)</w:t>
            </w:r>
          </w:p>
        </w:tc>
        <w:tc>
          <w:tcPr>
            <w:tcW w:w="3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Total</w:t>
            </w:r>
            <w:r>
              <w:rPr>
                <w:rFonts w:ascii="Times New Roman" w:cs="Times New Roman" w:eastAsia="Times New Roman" w:hAnsi="Times New Roman"/>
                <w:sz w:val="29"/>
                <w:szCs w:val="29"/>
                <w:b w:val="1"/>
                <w:bCs w:val="1"/>
                <w:color w:val="auto"/>
                <w:vertAlign w:val="superscript"/>
              </w:rPr>
              <w:t>(1)</w:t>
            </w:r>
          </w:p>
        </w:tc>
        <w:tc>
          <w:tcPr>
            <w:tcW w:w="160" w:type="dxa"/>
            <w:vAlign w:val="bottom"/>
            <w:tcBorders>
              <w:bottom w:val="single" w:sz="8" w:color="CCEEFF"/>
            </w:tcBorders>
          </w:tcPr>
          <w:p>
            <w:pPr>
              <w:spacing w:after="0"/>
              <w:rPr>
                <w:sz w:val="24"/>
                <w:szCs w:val="24"/>
                <w:color w:val="auto"/>
              </w:rPr>
            </w:pPr>
          </w:p>
        </w:tc>
      </w:tr>
      <w:tr>
        <w:trPr>
          <w:trHeight w:val="250"/>
        </w:trPr>
        <w:tc>
          <w:tcPr>
            <w:tcW w:w="5100" w:type="dxa"/>
            <w:vAlign w:val="bottom"/>
            <w:shd w:val="clear" w:color="auto" w:fill="CCEEFF"/>
          </w:tcPr>
          <w:p>
            <w:pPr>
              <w:ind w:left="100"/>
              <w:spacing w:after="0" w:line="250" w:lineRule="exact"/>
              <w:rPr>
                <w:sz w:val="20"/>
                <w:szCs w:val="20"/>
                <w:color w:val="auto"/>
              </w:rPr>
            </w:pPr>
            <w:r>
              <w:rPr>
                <w:rFonts w:ascii="Times New Roman" w:cs="Times New Roman" w:eastAsia="Times New Roman" w:hAnsi="Times New Roman"/>
                <w:sz w:val="17"/>
                <w:szCs w:val="17"/>
                <w:color w:val="auto"/>
              </w:rPr>
              <w:t xml:space="preserve">Entities affiliated with D&amp;D Source of Life Holding Ltd. </w:t>
            </w:r>
            <w:r>
              <w:rPr>
                <w:rFonts w:ascii="Times New Roman" w:cs="Times New Roman" w:eastAsia="Times New Roman" w:hAnsi="Times New Roman"/>
                <w:sz w:val="28"/>
                <w:szCs w:val="28"/>
                <w:color w:val="auto"/>
                <w:vertAlign w:val="superscript"/>
              </w:rPr>
              <w:t>(2)</w:t>
            </w:r>
          </w:p>
        </w:tc>
        <w:tc>
          <w:tcPr>
            <w:tcW w:w="43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25,034,668</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w:t>
            </w:r>
          </w:p>
        </w:tc>
      </w:tr>
    </w:tbl>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figures reported and percentages based on 30,567,373 shares of common stock outstanding on a pro forma basis after giving effect to the PIPE and do not take into account any limitations on exercisability.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consists of (i) 5,956,734 shares of common stock held by D&amp;D, (ii) 1,288,685 shares of common stock underlying warrants held by D&amp;D, (iii) 367,647 shares of common stock held by ERM, and (iv) 17,421,602 shares to be issued to D&amp;D in the PIPE. ERM is a holding company and the sole shareholder of D&amp;D. Dai Siqi is the sole director of ERM, and may be deemed to have shared voting, investment and dispositive power with respect to the securities held by D&amp;D. Dai Siqi disclaims beneficial ownership in the securities held by D&amp;D except for his pecuniary interest therein as sole director of 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October 28, 2026, by and between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the Agreement.</w:t>
      </w:r>
    </w:p>
    <w:p>
      <w:pPr>
        <w:spacing w:after="0" w:line="225" w:lineRule="exact"/>
        <w:rPr>
          <w:sz w:val="20"/>
          <w:szCs w:val="20"/>
          <w:color w:val="auto"/>
        </w:rPr>
      </w:pPr>
    </w:p>
    <w:p>
      <w:pPr>
        <w:jc w:val="both"/>
        <w:ind w:left="660"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70th calendar day following the Closing Date (or, in the event of a “full review” by the Commission, the 90th calendar day following the Closing Date) and with respect to any additional Registration Statements which may be required pursuant to Section 2(c) or Section 3(c), the 45th calendar day following the date on which an additional Registration Statement is required to be filed hereunder (or, in the event of a “full review” by the Commission, the 90th calendar day following the date such additional Registration Statement is required to be filed hereunder); provided, however,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9" w:lineRule="exact"/>
        <w:rPr>
          <w:sz w:val="20"/>
          <w:szCs w:val="20"/>
          <w:color w:val="auto"/>
        </w:rPr>
      </w:pPr>
    </w:p>
    <w:p>
      <w:pPr>
        <w:jc w:val="both"/>
        <w:ind w:left="660" w:firstLine="324"/>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both"/>
        <w:ind w:left="328"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left="328" w:firstLine="32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all Shares and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w:t>
      </w:r>
    </w:p>
    <w:p>
      <w:pPr>
        <w:spacing w:after="0" w:line="5" w:lineRule="exact"/>
        <w:rPr>
          <w:sz w:val="20"/>
          <w:szCs w:val="20"/>
          <w:color w:val="auto"/>
        </w:rPr>
      </w:pPr>
    </w:p>
    <w:p>
      <w:pPr>
        <w:jc w:val="both"/>
        <w:ind w:left="328" w:hanging="4"/>
        <w:spacing w:after="0" w:line="253"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87" w:lineRule="exact"/>
        <w:rPr>
          <w:sz w:val="20"/>
          <w:szCs w:val="20"/>
          <w:color w:val="auto"/>
        </w:rPr>
      </w:pPr>
    </w:p>
    <w:p>
      <w:pPr>
        <w:jc w:val="both"/>
        <w:ind w:left="328"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left="328"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328"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left="328"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8" w:hanging="188"/>
        <w:spacing w:after="0"/>
        <w:tabs>
          <w:tab w:leader="none" w:pos="1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52" w:lineRule="auto"/>
        <w:tabs>
          <w:tab w:leader="none" w:pos="9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(except if the Company is then eligible to register for resale the Registrable Securities on Form S-3, in which case such registration shall be on Form S-3 in accordance herewith) subject to the provisions of Section 2(e) and shall contain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(Eastern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(Eastern time) on the Trading Day after the effective date of such Registration Statement, file a final Prospectus with the Commission as required by Rule 424.</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29" w:name="page30"/>
    <w:bookmarkEnd w:id="29"/>
    <w:p>
      <w:pPr>
        <w:jc w:val="both"/>
        <w:ind w:left="-320" w:firstLine="320"/>
        <w:spacing w:after="0" w:line="254" w:lineRule="auto"/>
        <w:tabs>
          <w:tab w:leader="none" w:pos="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S-1 or such other form available to register for resale the Registrable Securities as a secondary offering, subject to the provisions of Section 2(e);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left="-320" w:firstLine="320"/>
        <w:spacing w:after="0" w:line="253"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and is subordinate in priority of registration rights held by prior investors that are not current Affiliates of the Company. 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as amended.</w:t>
      </w:r>
    </w:p>
    <w:p>
      <w:pPr>
        <w:spacing w:after="0" w:line="194"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2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S-1 is not available for the registration of the resale of Registrable Securities hereunder, the Company shall (i) register the resale of the Registrable Securities on another appropriate form and (ii) undertake to register the Registrable Securities on Form S-1 as soon as such form is available, provided that the Company shall maintain the effectiveness of the Registration Statement then in effect until such time as a Registration Statement on Form S-1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left="-320" w:firstLine="320"/>
        <w:spacing w:after="0" w:line="282" w:lineRule="auto"/>
        <w:tabs>
          <w:tab w:leader="none" w:pos="2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30" w:name="page31"/>
    <w:bookmarkEnd w:id="30"/>
    <w:p>
      <w:pPr>
        <w:ind w:left="188" w:hanging="188"/>
        <w:spacing w:after="0"/>
        <w:tabs>
          <w:tab w:leader="none" w:pos="1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328" w:firstLine="320"/>
        <w:spacing w:after="0" w:line="252" w:lineRule="auto"/>
        <w:tabs>
          <w:tab w:leader="none" w:pos="9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more than five (5) Trading Days following the date of this Agreement. At least ten (10) Trading Days prior to the first anticipated Filing Date of a Registration Statement for any registration under this Agreement, the Company will notify each Holder of the information the Company requires from that Holder other than the information contained in the Selling Stockholder Questionnaire, if any, which shall be completed and delivered to the Company promptly upon request and, in any event, within five (5)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returned to the Company a completed and signed Selling Stockholder Questionnaire and a response to any requests for further information as described in the previous sentence. Each Holder acknowledges and agrees that the information in the Selling Stockholder Questionnaire or request for further information as described in this Section 3.(a) will be used by the Company in the preparation of the Registration Statement and hereby consents to the inclusion of such information in the Registration Statement.</w:t>
      </w:r>
    </w:p>
    <w:p>
      <w:pPr>
        <w:spacing w:after="0" w:line="187" w:lineRule="exact"/>
        <w:rPr>
          <w:rFonts w:ascii="Times New Roman" w:cs="Times New Roman" w:eastAsia="Times New Roman" w:hAnsi="Times New Roman"/>
          <w:sz w:val="18"/>
          <w:szCs w:val="18"/>
          <w:color w:val="auto"/>
        </w:rPr>
      </w:pPr>
    </w:p>
    <w:p>
      <w:pPr>
        <w:jc w:val="both"/>
        <w:ind w:left="328" w:firstLine="320"/>
        <w:spacing w:after="0" w:line="269" w:lineRule="auto"/>
        <w:tabs>
          <w:tab w:leader="none" w:pos="94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328" w:hanging="4"/>
        <w:spacing w:after="0" w:line="252" w:lineRule="auto"/>
        <w:tabs>
          <w:tab w:leader="none" w:pos="6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jc w:val="both"/>
        <w:ind w:left="328" w:firstLine="320"/>
        <w:spacing w:after="0" w:line="261" w:lineRule="auto"/>
        <w:tabs>
          <w:tab w:leader="none" w:pos="9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31" w:name="page32"/>
    <w:bookmarkEnd w:id="31"/>
    <w:p>
      <w:pPr>
        <w:jc w:val="both"/>
        <w:ind w:left="-320" w:firstLine="320"/>
        <w:spacing w:after="0" w:line="251"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5" w:lineRule="exact"/>
        <w:rPr>
          <w:rFonts w:ascii="Times New Roman" w:cs="Times New Roman" w:eastAsia="Times New Roman" w:hAnsi="Times New Roman"/>
          <w:sz w:val="18"/>
          <w:szCs w:val="18"/>
          <w:color w:val="auto"/>
        </w:rPr>
      </w:pPr>
    </w:p>
    <w:p>
      <w:pPr>
        <w:jc w:val="both"/>
        <w:ind w:left="-320" w:firstLine="320"/>
        <w:spacing w:after="0" w:line="266" w:lineRule="auto"/>
        <w:tabs>
          <w:tab w:leader="none" w:pos="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320" w:firstLine="320"/>
        <w:spacing w:after="0" w:line="258" w:lineRule="auto"/>
        <w:tabs>
          <w:tab w:leader="none" w:pos="2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320" w:firstLine="320"/>
        <w:spacing w:after="0" w:line="266" w:lineRule="auto"/>
        <w:tabs>
          <w:tab w:leader="none" w:pos="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2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 and (ii) cooperate with the Holders in connection with any filings required to be made with the Financial Industry Regulatory Authority (or any successor agency thereto).</w:t>
      </w:r>
    </w:p>
    <w:p>
      <w:pPr>
        <w:spacing w:after="0" w:line="18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32" w:name="page33"/>
    <w:bookmarkEnd w:id="32"/>
    <w:p>
      <w:pPr>
        <w:jc w:val="both"/>
        <w:ind w:left="660" w:firstLine="320"/>
        <w:spacing w:after="0" w:line="261" w:lineRule="auto"/>
        <w:tabs>
          <w:tab w:leader="none" w:pos="124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660" w:firstLine="320"/>
        <w:spacing w:after="0" w:line="253" w:lineRule="auto"/>
        <w:tabs>
          <w:tab w:leader="none" w:pos="12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a period not to exceed 60 calendar days (which need not be consecutive days) in any 12-month period.</w:t>
      </w:r>
    </w:p>
    <w:p>
      <w:pPr>
        <w:spacing w:after="0" w:line="191" w:lineRule="exact"/>
        <w:rPr>
          <w:rFonts w:ascii="Times New Roman" w:cs="Times New Roman" w:eastAsia="Times New Roman" w:hAnsi="Times New Roman"/>
          <w:sz w:val="18"/>
          <w:szCs w:val="18"/>
          <w:color w:val="auto"/>
        </w:rPr>
      </w:pPr>
    </w:p>
    <w:p>
      <w:pPr>
        <w:jc w:val="both"/>
        <w:ind w:left="660" w:firstLine="320"/>
        <w:spacing w:after="0" w:line="256" w:lineRule="auto"/>
        <w:tabs>
          <w:tab w:leader="none" w:pos="12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9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3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all applicable rules and regulations of the Commission, and shall make generally available to its security holders an earnings statement (which need not be audited) satisfying the provisions of Section 11(a) of the Securities Act as soon as practicable after the effective date of any Registration Statement and in any event no later than forty five (45) days after the end of the twelve (12) month period (or ninety (90) days, if such period is a fiscal year) beginning with the first month of the Company’s first fiscal quarter commencing after the effective date of any Registration Statement.</w:t>
      </w:r>
    </w:p>
    <w:p>
      <w:pPr>
        <w:spacing w:after="0" w:line="183" w:lineRule="exact"/>
        <w:rPr>
          <w:rFonts w:ascii="Times New Roman" w:cs="Times New Roman" w:eastAsia="Times New Roman" w:hAnsi="Times New Roman"/>
          <w:sz w:val="18"/>
          <w:szCs w:val="18"/>
          <w:color w:val="auto"/>
        </w:rPr>
      </w:pPr>
    </w:p>
    <w:p>
      <w:pPr>
        <w:jc w:val="both"/>
        <w:ind w:firstLine="332"/>
        <w:spacing w:after="0" w:line="252" w:lineRule="auto"/>
        <w:tabs>
          <w:tab w:leader="none" w:pos="5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left="188" w:hanging="188"/>
        <w:spacing w:after="0"/>
        <w:tabs>
          <w:tab w:leader="none" w:pos="1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51" w:lineRule="auto"/>
        <w:tabs>
          <w:tab w:leader="none" w:pos="89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or</w:t>
      </w:r>
    </w:p>
    <w:p>
      <w:pPr>
        <w:spacing w:after="0" w:line="8" w:lineRule="exact"/>
        <w:rPr>
          <w:rFonts w:ascii="Times New Roman" w:cs="Times New Roman" w:eastAsia="Times New Roman" w:hAnsi="Times New Roman"/>
          <w:sz w:val="18"/>
          <w:szCs w:val="18"/>
          <w:color w:val="auto"/>
        </w:rPr>
      </w:pPr>
    </w:p>
    <w:p>
      <w:pPr>
        <w:jc w:val="both"/>
        <w:ind w:left="328" w:hanging="4"/>
        <w:spacing w:after="0" w:line="252" w:lineRule="auto"/>
        <w:tabs>
          <w:tab w:leader="none" w:pos="67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Losses arise out of the Purchaser’s (or any other indemnified Person’s) failure to send or give a copy of the Prospectus or supplement (as then amended or supplemented), if required,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188" w:lineRule="exact"/>
        <w:rPr>
          <w:rFonts w:ascii="Times New Roman" w:cs="Times New Roman" w:eastAsia="Times New Roman" w:hAnsi="Times New Roman"/>
          <w:sz w:val="18"/>
          <w:szCs w:val="18"/>
          <w:color w:val="auto"/>
        </w:rPr>
      </w:pPr>
    </w:p>
    <w:p>
      <w:pPr>
        <w:jc w:val="both"/>
        <w:ind w:left="328" w:firstLine="320"/>
        <w:spacing w:after="0" w:line="252" w:lineRule="auto"/>
        <w:tabs>
          <w:tab w:leader="none" w:pos="90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or (iii) in the case of an occurrence of an event of the type specified in Section 3.(d)(iii)-(vi), to the extent, but only to the extent, related to the use by such Holder of an outdated or defective Prospectus after the Company has notified such Holder in writing that the Prospectus is outdated or defective and prior to the receipt by such Holder of the Advice contemplated in Section 6.(e). In no event shall the liability of a selling Holder be greater in amount than the dollar amount of the proceeds (net of all reasonable expenses paid by such Holder in connection with any claim relating to this Section 5) received by such Holder upon the sale of the Registrable Securities included in the Registration Statement giving rise to such indemnification obligation.</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34" w:name="page35"/>
    <w:bookmarkEnd w:id="34"/>
    <w:p>
      <w:pPr>
        <w:jc w:val="both"/>
        <w:ind w:firstLine="320"/>
        <w:spacing w:after="0" w:line="255" w:lineRule="auto"/>
        <w:tabs>
          <w:tab w:leader="none" w:pos="6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 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5" w:name="page36"/>
    <w:bookmarkEnd w:id="35"/>
    <w:p>
      <w:pPr>
        <w:jc w:val="both"/>
        <w:ind w:left="660" w:firstLine="320"/>
        <w:spacing w:after="0" w:line="252" w:lineRule="auto"/>
        <w:tabs>
          <w:tab w:leader="none" w:pos="127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 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reasonable expenses paid by such Holder in connection with any claim relating to this Section 5) received by it upon the sale of the Registrable Securities giving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3"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520" w:hanging="188"/>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w:t>
      </w:r>
      <w:r>
        <w:rPr>
          <w:rFonts w:ascii="Times New Roman" w:cs="Times New Roman" w:eastAsia="Times New Roman" w:hAnsi="Times New Roman"/>
          <w:sz w:val="18"/>
          <w:szCs w:val="18"/>
          <w:color w:val="auto"/>
        </w:rPr>
        <w:t>. Neither the Company nor any of its security holders (other than the Holders in such capacity pursuant hereto and Note Holders) may include securities of the Company in any Registration Statements other than the Registrable Securities. For the avoidance of doubt nothing in this Agreement shall prohibit the Company, at any time, from preparing and filing with the Commission a registration statement relating to an offering for its own account under the Securities Act, a registration statement and/ or amendments thereto, including post-effective amendments, relating to an offering of Common Stock by existing stockholders of the Company under the Securities Act pursuant to the terms of registration rights held by such stockholders or from filing amendments to registration statements filed prior to the date of this Agreement, a registration statement on Form S-8 or, in connection with an acquisition, on Form S-4.</w:t>
      </w:r>
    </w:p>
    <w:p>
      <w:pPr>
        <w:spacing w:after="0" w:line="18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9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656"/>
        <w:spacing w:after="0" w:line="253" w:lineRule="auto"/>
        <w:tabs>
          <w:tab w:leader="none" w:pos="9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So long as any Registrable Securities remain outstanding, the Company shall (i) make and keep public information available, as those terms are understood and defined in Rule 144 of the Securities Act, and, if at any time the Company is not required to file such reports, it will, upon the written request of any Holder of Registrable Securities, make publicly available other information so long as necessary to permit sales of such Holder’s Registrable Securities pursuant to Rule 144 of the Securities Act, and (ii) file in a timely manner all reports and other documents with the Commission required under the Exchange Act, as long as the Company remains subject to such requirements. The Company covenants that it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Rule 144. Upon the written request of any Holder of Registrable Securities, the Company shall deliver to such Holder a written statement as to whether it has complied with such requirements. Notwithstanding the foregoing, nothing in this Section 6(e) shall be deemed to require the Company to register any of its securities pursuant to the Exchange Act.</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6(f).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right="20" w:firstLine="656"/>
        <w:spacing w:after="0" w:line="282"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effective as of October 28, 2026.</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Neal M. Cohane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39" w:name="page40"/>
    <w:bookmarkEnd w:id="39"/>
    <w:p>
      <w:pPr>
        <w:ind w:right="1059" w:firstLine="2162"/>
        <w:spacing w:after="0" w:line="499" w:lineRule="auto"/>
        <w:rPr>
          <w:sz w:val="20"/>
          <w:szCs w:val="20"/>
          <w:color w:val="auto"/>
        </w:rPr>
      </w:pPr>
      <w:r>
        <w:rPr>
          <w:rFonts w:ascii="Times New Roman" w:cs="Times New Roman" w:eastAsia="Times New Roman" w:hAnsi="Times New Roman"/>
          <w:sz w:val="18"/>
          <w:szCs w:val="18"/>
          <w:color w:val="auto"/>
        </w:rPr>
        <w:t>[SIGNATURE PAGE OF HOLDERS TO REED’S REGISTRATION RIGHTS AGREEMENT] Name of Holder: 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u w:val="single" w:color="auto"/>
          <w:color w:val="auto"/>
        </w:rPr>
        <w:t>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u w:val="single" w:color="auto"/>
          <w:color w:val="auto"/>
        </w:rPr>
        <w:t>__________________________</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previously issued to the Selling Stockholders. For additional information regarding the issuances of those shares of common stock, see “Private Placement of Shares of Common Stock” above. We are registering the shares of common stock in order to permit the Selling Stockholders to offer the shares for resale from time to time. Except for the ownership of the shares of common stock, the Selling Stockholders have not had any material relationship with us within the past three years.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as of October 30,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the number of shares of common stock issued to the Selling Stockholders in the “Private Placement of Shares of Common Stock” described above.. The fourth column assumes the sale of all of the shares offered by the Selling Stockholders pursuant to this prospectus.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Stockholders may sell all, some or none of their shares in this offering. See “Plan of Distribution.”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shares of Common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Pursuant to this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38"/>
        </w:trPr>
        <w:tc>
          <w:tcPr>
            <w:tcW w:w="54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0"/>
        </w:trPr>
        <w:tc>
          <w:tcPr>
            <w:tcW w:w="5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B-1</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holder of shares of common stock, par value $0.0001 per share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pursuant to a certain Securities Purchase Agreement by and among the Company and the Purchasers named therein, dated as of October 28,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sell or otherwise dispose of any Registrable Securities pursuant to the Registration Statement, a holder of Registrable Securities generally will be required to be named as a selling stockholder in the related prospectus or a supplement thereto (as so supplemented,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deliver the Prospectus to purchasers of Registrable Securities (including pursuant to Rule 172 under the Securities Act) and be bound by the provisions of the Agreement (including certain indemnification provisions, as described below). Holders must complete and deliver this Notice and Questionnaire in order to be named as selling stockholders in the Prospectus. Holders of Registrable Securities who do not complete, execute and return this Notice and Questionnaire within five (5) Trading Days following the date of the Agreement (1) will not be named as selling stockholders in the Resale Registration Statement or the Prospectus and (2) may not use the Prospectus for resales of Registrable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holder (the “Selling Stockholder”) of Registrable Securities hereby gives notice to the Company of its intention to sell or otherwise dispose of Registrable Securities owned by it and listed below in Item (3.), unless otherwise specified in Item (3.), pursuant to the Registration Statement. The undersigned, by signing and returning this Notice and Questionnaire, understands and agrees that it will be bound by the terms and conditions of this Notice and Questionnaire and the Agreement. The undersigned hereby provides the following information to the Company and represents and warrants that such information is accurate: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Legal Name of Registered Holder (if not the same as (a) above) through which Registrable Securities Listed in Item 3‎ below are held: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the questionnaire):</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Telephone: 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Fax: 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Contact Person: 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Email address of Contact Person____________________</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Registrable Securities Issuable Pursuant to the Purchase Agreement.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and Number of Registrable Securities beneficially owned and issued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-2733675</wp:posOffset>
            </wp:positionV>
            <wp:extent cx="6720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-3428365</wp:posOffset>
            </wp:positionV>
            <wp:extent cx="6720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-3985260</wp:posOffset>
            </wp:positionV>
            <wp:extent cx="67208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857250</wp:posOffset>
            </wp:positionV>
            <wp:extent cx="67208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574675</wp:posOffset>
            </wp:positionV>
            <wp:extent cx="67208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of Common Stock to be registered pursuant to this Notice for resale: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857250</wp:posOffset>
            </wp:positionV>
            <wp:extent cx="67208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574675</wp:posOffset>
            </wp:positionV>
            <wp:extent cx="6720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ind w:left="332" w:hanging="332"/>
        <w:spacing w:after="0"/>
        <w:tabs>
          <w:tab w:leader="none" w:pos="3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652" w:right="8780" w:hanging="328"/>
        <w:spacing w:after="0" w:line="527" w:lineRule="auto"/>
        <w:tabs>
          <w:tab w:leader="none" w:pos="652" w:val="left"/>
        </w:tabs>
        <w:numPr>
          <w:ilvl w:val="1"/>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Are you a broker-dealer? Yes _____ No _____</w:t>
      </w:r>
    </w:p>
    <w:p>
      <w:pPr>
        <w:spacing w:after="0" w:line="5" w:lineRule="exact"/>
        <w:rPr>
          <w:rFonts w:ascii="Times New Roman" w:cs="Times New Roman" w:eastAsia="Times New Roman" w:hAnsi="Times New Roman"/>
          <w:sz w:val="17"/>
          <w:szCs w:val="17"/>
          <w:b w:val="1"/>
          <w:bCs w:val="1"/>
          <w:color w:val="auto"/>
        </w:rPr>
      </w:pPr>
    </w:p>
    <w:p>
      <w:pPr>
        <w:ind w:left="652" w:right="880" w:hanging="328"/>
        <w:spacing w:after="0" w:line="500" w:lineRule="auto"/>
        <w:tabs>
          <w:tab w:leader="none" w:pos="65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“yes” to Section 4‎(a),‎ did you receive your Registrable Securities as compensation for investment banking services to the Company? Yes _____ No _____</w:t>
      </w:r>
    </w:p>
    <w:p>
      <w:pPr>
        <w:spacing w:after="0" w:line="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If no, the Commission’s staff has indicated that you should be identified as an underwriter in the Registration Statement.</w:t>
      </w:r>
    </w:p>
    <w:p>
      <w:pPr>
        <w:spacing w:after="0" w:line="225" w:lineRule="exact"/>
        <w:rPr>
          <w:rFonts w:ascii="Times New Roman" w:cs="Times New Roman" w:eastAsia="Times New Roman" w:hAnsi="Times New Roman"/>
          <w:sz w:val="18"/>
          <w:szCs w:val="18"/>
          <w:b w:val="1"/>
          <w:bCs w:val="1"/>
          <w:color w:val="auto"/>
        </w:rPr>
      </w:pPr>
    </w:p>
    <w:p>
      <w:pPr>
        <w:ind w:left="652" w:right="7780" w:hanging="328"/>
        <w:spacing w:after="0" w:line="500" w:lineRule="auto"/>
        <w:tabs>
          <w:tab w:leader="none" w:pos="65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Are you an affiliate of a broker-dealer? Yes _____ No _____</w:t>
      </w:r>
    </w:p>
    <w:p>
      <w:pPr>
        <w:spacing w:after="0" w:line="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If yes, provide a narrative explanation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574675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52" w:hanging="328"/>
        <w:spacing w:after="0" w:line="266" w:lineRule="auto"/>
        <w:tabs>
          <w:tab w:leader="none" w:pos="652"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7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_____ No _____</w:t>
      </w:r>
    </w:p>
    <w:p>
      <w:pPr>
        <w:spacing w:after="0" w:line="22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If no, the Commission’s staff has indicated that you should be identified as an underwriter in the Registration Statement.</w:t>
      </w:r>
    </w:p>
    <w:p>
      <w:pPr>
        <w:spacing w:after="0" w:line="22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Other Securities of the Company Owned by the Selling Stockholder.</w:t>
      </w:r>
    </w:p>
    <w:p>
      <w:pPr>
        <w:spacing w:after="0" w:line="227" w:lineRule="exact"/>
        <w:rPr>
          <w:sz w:val="20"/>
          <w:szCs w:val="20"/>
          <w:color w:val="auto"/>
        </w:rPr>
      </w:pPr>
    </w:p>
    <w:p>
      <w:pPr>
        <w:ind w:left="652"/>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5, the undersigned is not the beneficial or registered owner of any securities of the Company other than the Registrable Securities listed above in Item 3.</w:t>
      </w:r>
    </w:p>
    <w:p>
      <w:pPr>
        <w:spacing w:after="0" w:line="1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Type and amount of other securities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574675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46" w:name="page47"/>
    <w:bookmarkEnd w:id="46"/>
    <w:p>
      <w:pPr>
        <w:jc w:val="both"/>
        <w:ind w:left="340" w:hanging="332"/>
        <w:spacing w:after="0" w:line="268" w:lineRule="auto"/>
        <w:tabs>
          <w:tab w:leader="none" w:pos="3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Relationships with the Company. </w:t>
      </w: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holders (owners of 5% of more of the equity securities of the undersigned) has held any position or office or has had any other material relationship with the Company (or its predecessors or affiliates) during the past three years.</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340" w:hanging="332"/>
        <w:spacing w:after="0" w:line="268" w:lineRule="auto"/>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i w:val="1"/>
          <w:iCs w:val="1"/>
          <w:color w:val="auto"/>
        </w:rPr>
        <w:t>The undersigned has reviewed the form of Plan of Distribution attached as Annex A to the Registration Rights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hereby confirms that, except as set forth below, the information contained therein regarding the undersigned and its plan of distribution is correct and complete.</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Commission pursuant to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and is advised of the following Interpretation A.65 of the July 1997 SEC Manual of Publicly Available Telephone Interpretations regarding short selling:</w:t>
      </w:r>
    </w:p>
    <w:p>
      <w:pPr>
        <w:spacing w:after="0" w:line="16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“An Issuer filed a Form S-3 registration statement for a secondary offering of common stock which is not yet effective. One of the selling stockholders 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returning this Questionnaire, the undersigned will be deemed to be aware of the foregoing 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confirm that, to the best of my knowledge and belief, the foregoing statements (including without limitation the answers to this Questionnaire) are correct.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Questionnaire to be executed and delivered either in person or by its duly authorized agent.</w:t>
      </w:r>
    </w:p>
    <w:p>
      <w:pPr>
        <w:spacing w:after="0" w:line="16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_____________________________</w:t>
      </w:r>
      <w:r>
        <w:rPr>
          <w:sz w:val="20"/>
          <w:szCs w:val="20"/>
          <w:color w:val="auto"/>
        </w:rPr>
        <w:tab/>
      </w:r>
      <w:r>
        <w:rPr>
          <w:rFonts w:ascii="Times New Roman" w:cs="Times New Roman" w:eastAsia="Times New Roman" w:hAnsi="Times New Roman"/>
          <w:sz w:val="17"/>
          <w:szCs w:val="17"/>
          <w:color w:val="auto"/>
        </w:rPr>
        <w:t>Beneficial Owner:</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10" w:lineRule="exact"/>
        <w:rPr>
          <w:sz w:val="20"/>
          <w:szCs w:val="20"/>
          <w:color w:val="auto"/>
        </w:rPr>
      </w:pPr>
    </w:p>
    <w:p>
      <w:pPr>
        <w:spacing w:after="0"/>
        <w:tabs>
          <w:tab w:leader="none" w:pos="900" w:val="left"/>
          <w:tab w:leader="none" w:pos="1720" w:val="left"/>
          <w:tab w:leader="none" w:pos="2060" w:val="left"/>
          <w:tab w:leader="none" w:pos="2680" w:val="left"/>
          <w:tab w:leader="none" w:pos="3400" w:val="left"/>
          <w:tab w:leader="none" w:pos="3860" w:val="left"/>
          <w:tab w:leader="none" w:pos="4440" w:val="left"/>
          <w:tab w:leader="none" w:pos="5820" w:val="left"/>
          <w:tab w:leader="none" w:pos="6420" w:val="left"/>
          <w:tab w:leader="none" w:pos="7640" w:val="left"/>
          <w:tab w:leader="none" w:pos="8560" w:val="left"/>
          <w:tab w:leader="none" w:pos="9160" w:val="left"/>
          <w:tab w:leader="none" w:pos="10900" w:val="left"/>
        </w:tabs>
        <w:rPr>
          <w:sz w:val="20"/>
          <w:szCs w:val="20"/>
          <w:color w:val="auto"/>
        </w:rPr>
      </w:pPr>
      <w:r>
        <w:rPr>
          <w:rFonts w:ascii="Times New Roman" w:cs="Times New Roman" w:eastAsia="Times New Roman" w:hAnsi="Times New Roman"/>
          <w:sz w:val="18"/>
          <w:szCs w:val="18"/>
          <w:b w:val="1"/>
          <w:bCs w:val="1"/>
          <w:color w:val="auto"/>
        </w:rPr>
        <w:t>PLEASE</w:t>
        <w:tab/>
        <w:t>EMAIL</w:t>
        <w:tab/>
        <w:t>A</w:t>
        <w:tab/>
        <w:t>.PDF</w:t>
        <w:tab/>
        <w:t>COPY</w:t>
        <w:tab/>
        <w:t>OF</w:t>
        <w:tab/>
        <w:t>THE</w:t>
        <w:tab/>
        <w:t>COMPLETED</w:t>
        <w:tab/>
        <w:t>AND</w:t>
        <w:tab/>
        <w:t>EXECUTED</w:t>
        <w:tab/>
        <w:t>NOTICE</w:t>
        <w:tab/>
        <w:t>AND</w:t>
        <w:tab/>
        <w:t>QUESTIONNAIRE</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VJIN@LOWENSTEIN.COM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2"/>
    </w:lvl>
  </w:abstractNum>
  <w:abstractNum w:abstractNumId="2">
    <w:nsid w:val="79838CB2"/>
    <w:multiLevelType w:val="hybridMultilevel"/>
    <w:lvl w:ilvl="0">
      <w:lvlJc w:val="left"/>
      <w:lvlText w:val="(%1)"/>
      <w:numFmt w:val="lowerLetter"/>
      <w:start w:val="1"/>
    </w:lvl>
    <w:lvl w:ilvl="1">
      <w:lvlJc w:val="left"/>
      <w:lvlText w:val="(%2)"/>
      <w:numFmt w:val="lowerRoman"/>
      <w:start w:val="1"/>
    </w:lvl>
  </w:abstractNum>
  <w:abstractNum w:abstractNumId="3">
    <w:nsid w:val="4353D0CD"/>
    <w:multiLevelType w:val="hybridMultilevel"/>
    <w:lvl w:ilvl="0">
      <w:lvlJc w:val="left"/>
      <w:lvlText w:val="(%1)"/>
      <w:numFmt w:val="lowerLetter"/>
      <w:start w:val="1"/>
    </w:lvl>
    <w:lvl w:ilvl="1">
      <w:lvlJc w:val="left"/>
      <w:lvlText w:val="(%2)"/>
      <w:numFmt w:val="lowerRoman"/>
      <w:start w:val="1"/>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3"/>
    </w:lvl>
  </w:abstractNum>
  <w:abstractNum w:abstractNumId="7">
    <w:nsid w:val="71F32454"/>
    <w:multiLevelType w:val="hybridMultilevel"/>
    <w:lvl w:ilvl="0">
      <w:lvlJc w:val="left"/>
      <w:lvlText w:val="(%1)"/>
      <w:numFmt w:val="lowerLetter"/>
      <w:start w:val="7"/>
    </w:lvl>
  </w:abstractNum>
  <w:abstractNum w:abstractNumId="8">
    <w:nsid w:val="2CA88611"/>
    <w:multiLevelType w:val="hybridMultilevel"/>
    <w:lvl w:ilvl="0">
      <w:lvlJc w:val="left"/>
      <w:lvlText w:val="(%1)"/>
      <w:numFmt w:val="lowerLetter"/>
      <w:start w:val="10"/>
    </w:lvl>
  </w:abstractNum>
  <w:abstractNum w:abstractNumId="9">
    <w:nsid w:val="836C40E"/>
    <w:multiLevelType w:val="hybridMultilevel"/>
    <w:lvl w:ilvl="0">
      <w:lvlJc w:val="left"/>
      <w:lvlText w:val="(%1)"/>
      <w:numFmt w:val="lowerLetter"/>
      <w:start w:val="14"/>
    </w:lvl>
  </w:abstractNum>
  <w:abstractNum w:abstractNumId="10">
    <w:nsid w:val="2901D82"/>
    <w:multiLevelType w:val="hybridMultilevel"/>
    <w:lvl w:ilvl="0">
      <w:lvlJc w:val="left"/>
      <w:lvlText w:val="(%1)"/>
      <w:numFmt w:val="lowerLetter"/>
      <w:start w:val="19"/>
    </w:lvl>
  </w:abstractNum>
  <w:abstractNum w:abstractNumId="11">
    <w:nsid w:val="3A95F874"/>
    <w:multiLevelType w:val="hybridMultilevel"/>
    <w:lvl w:ilvl="0">
      <w:lvlJc w:val="left"/>
      <w:lvlText w:val="(%1)"/>
      <w:numFmt w:val="lowerLetter"/>
      <w:start w:val="25"/>
    </w:lvl>
  </w:abstractNum>
  <w:abstractNum w:abstractNumId="12">
    <w:nsid w:val="8138641"/>
    <w:multiLevelType w:val="hybridMultilevel"/>
    <w:lvl w:ilvl="0">
      <w:lvlJc w:val="left"/>
      <w:lvlText w:val="(%1)"/>
      <w:numFmt w:val="lowerLetter"/>
      <w:start w:val="27"/>
    </w:lvl>
  </w:abstractNum>
  <w:abstractNum w:abstractNumId="13">
    <w:nsid w:val="1E7FF521"/>
    <w:multiLevelType w:val="hybridMultilevel"/>
    <w:lvl w:ilvl="0">
      <w:lvlJc w:val="left"/>
      <w:lvlText w:val="(%1)"/>
      <w:numFmt w:val="lowerLetter"/>
      <w:start w:val="32"/>
    </w:lvl>
  </w:abstractNum>
  <w:abstractNum w:abstractNumId="14">
    <w:nsid w:val="7C3DBD3D"/>
    <w:multiLevelType w:val="hybridMultilevel"/>
    <w:lvl w:ilvl="0">
      <w:lvlJc w:val="left"/>
      <w:lvlText w:val="(%1)"/>
      <w:numFmt w:val="lowerLetter"/>
      <w:start w:val="39"/>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3"/>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decimal"/>
      <w:start w:val="3"/>
    </w:lvl>
    <w:lvl w:ilvl="1">
      <w:lvlJc w:val="left"/>
      <w:lvlText w:val="(%2)"/>
      <w:numFmt w:val="lowerLetter"/>
      <w:start w:val="3"/>
    </w:lvl>
  </w:abstractNum>
  <w:abstractNum w:abstractNumId="19">
    <w:nsid w:val="3006C83E"/>
    <w:multiLevelType w:val="hybridMultilevel"/>
    <w:lvl w:ilvl="0">
      <w:lvlJc w:val="left"/>
      <w:lvlText w:val="%1"/>
      <w:numFmt w:val="upperLetter"/>
      <w:start w:val="1"/>
    </w:lvl>
    <w:lvl w:ilvl="1">
      <w:lvlJc w:val="left"/>
      <w:lvlText w:val="(%2)"/>
      <w:numFmt w:val="lowerLetter"/>
      <w:start w:val="4"/>
    </w:lvl>
  </w:abstractNum>
  <w:abstractNum w:abstractNumId="20">
    <w:nsid w:val="614FD4A1"/>
    <w:multiLevelType w:val="hybridMultilevel"/>
    <w:lvl w:ilvl="0">
      <w:lvlJc w:val="left"/>
      <w:lvlText w:val="(%1)"/>
      <w:numFmt w:val="upperLetter"/>
      <w:start w:val="1"/>
    </w:lvl>
    <w:lvl w:ilvl="1">
      <w:lvlJc w:val="left"/>
      <w:lvlText w:val="(%2)"/>
      <w:numFmt w:val="lowerLetter"/>
      <w:start w:val="5"/>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lowerRoman"/>
      <w:start w:val="3"/>
    </w:lvl>
  </w:abstractNum>
  <w:abstractNum w:abstractNumId="24">
    <w:nsid w:val="5072367"/>
    <w:multiLevelType w:val="hybridMultilevel"/>
    <w:lvl w:ilvl="0">
      <w:lvlJc w:val="left"/>
      <w:lvlText w:val="%1."/>
      <w:numFmt w:val="decimal"/>
      <w:start w:val="2"/>
    </w:lvl>
    <w:lvl w:ilvl="1">
      <w:lvlJc w:val="left"/>
      <w:lvlText w:val="(%2)"/>
      <w:numFmt w:val="lowerLetter"/>
      <w:start w:val="1"/>
    </w:lvl>
  </w:abstractNum>
  <w:abstractNum w:abstractNumId="25">
    <w:nsid w:val="3804823E"/>
    <w:multiLevelType w:val="hybridMultilevel"/>
    <w:lvl w:ilvl="0">
      <w:lvlJc w:val="left"/>
      <w:lvlText w:val="(%1)"/>
      <w:numFmt w:val="lowerLetter"/>
      <w:start w:val="2"/>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lowerLetter"/>
      <w:start w:val="1"/>
    </w:lvl>
    <w:lvl w:ilvl="1">
      <w:lvlJc w:val="left"/>
      <w:lvlText w:val="(%2)"/>
      <w:numFmt w:val="lowerLetter"/>
      <w:start w:val="1"/>
    </w:lvl>
  </w:abstractNum>
  <w:abstractNum w:abstractNumId="28">
    <w:nsid w:val="5C482A97"/>
    <w:multiLevelType w:val="hybridMultilevel"/>
    <w:lvl w:ilvl="0">
      <w:lvlJc w:val="left"/>
      <w:lvlText w:val="(%1)"/>
      <w:numFmt w:val="lowerLetter"/>
      <w:start w:val="61"/>
    </w:lvl>
    <w:lvl w:ilvl="1">
      <w:lvlJc w:val="left"/>
      <w:lvlText w:val="(%2)"/>
      <w:numFmt w:val="lowerLetter"/>
      <w:start w:val="3"/>
    </w:lvl>
  </w:abstractNum>
  <w:abstractNum w:abstractNumId="29">
    <w:nsid w:val="2463B9EA"/>
    <w:multiLevelType w:val="hybridMultilevel"/>
    <w:lvl w:ilvl="0">
      <w:lvlJc w:val="left"/>
      <w:lvlText w:val="(%1)"/>
      <w:numFmt w:val="lowerLetter"/>
      <w:start w:val="4"/>
    </w:lvl>
  </w:abstractNum>
  <w:abstractNum w:abstractNumId="30">
    <w:nsid w:val="5E884ADC"/>
    <w:multiLevelType w:val="hybridMultilevel"/>
    <w:lvl w:ilvl="0">
      <w:lvlJc w:val="left"/>
      <w:lvlText w:val="%1"/>
      <w:numFmt w:val="decimal"/>
      <w:start w:val="1"/>
    </w:lvl>
    <w:lvl w:ilvl="1">
      <w:lvlJc w:val="left"/>
      <w:lvlText w:val="(%2)"/>
      <w:numFmt w:val="lowerLetter"/>
      <w:start w:val="9"/>
    </w:lvl>
  </w:abstractNum>
  <w:abstractNum w:abstractNumId="31">
    <w:nsid w:val="51EAD36B"/>
    <w:multiLevelType w:val="hybridMultilevel"/>
    <w:lvl w:ilvl="0">
      <w:lvlJc w:val="left"/>
      <w:lvlText w:val="%1."/>
      <w:numFmt w:val="decimal"/>
      <w:start w:val="4"/>
    </w:lvl>
    <w:lvl w:ilvl="1">
      <w:lvlJc w:val="left"/>
      <w:lvlText w:val="%2"/>
      <w:numFmt w:val="lowerLetter"/>
      <w:start w:val="1"/>
    </w:lvl>
  </w:abstractNum>
  <w:abstractNum w:abstractNumId="32">
    <w:nsid w:val="2D517796"/>
    <w:multiLevelType w:val="hybridMultilevel"/>
    <w:lvl w:ilvl="0">
      <w:lvlJc w:val="left"/>
      <w:lvlText w:val="%1."/>
      <w:numFmt w:val="decimal"/>
      <w:start w:val="5"/>
    </w:lvl>
    <w:lvl w:ilvl="1">
      <w:lvlJc w:val="left"/>
      <w:lvlText w:val="(%2)"/>
      <w:numFmt w:val="lowerLetter"/>
      <w:start w:val="60"/>
    </w:lvl>
    <w:lvl w:ilvl="2">
      <w:lvlJc w:val="left"/>
      <w:lvlText w:val="(%3)"/>
      <w:numFmt w:val="lowerLetter"/>
      <w:start w:val="1"/>
    </w:lvl>
  </w:abstractNum>
  <w:abstractNum w:abstractNumId="33">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lowerLetter"/>
      <w:start w:val="4"/>
    </w:lvl>
  </w:abstractNum>
  <w:abstractNum w:abstractNumId="36">
    <w:nsid w:val="70A64E2A"/>
    <w:multiLevelType w:val="hybridMultilevel"/>
    <w:lvl w:ilvl="0">
      <w:lvlJc w:val="left"/>
      <w:lvlText w:val="%1."/>
      <w:numFmt w:val="decimal"/>
      <w:start w:val="6"/>
    </w:lvl>
    <w:lvl w:ilvl="1">
      <w:lvlJc w:val="left"/>
      <w:lvlText w:val="(%2)"/>
      <w:numFmt w:val="lowerLetter"/>
      <w:start w:val="1"/>
    </w:lvl>
  </w:abstractNum>
  <w:abstractNum w:abstractNumId="37">
    <w:nsid w:val="6A2342EC"/>
    <w:multiLevelType w:val="hybridMultilevel"/>
    <w:lvl w:ilvl="0">
      <w:lvlJc w:val="left"/>
      <w:lvlText w:val="(%1)"/>
      <w:numFmt w:val="lowerLetter"/>
      <w:start w:val="5"/>
    </w:lvl>
  </w:abstractNum>
  <w:abstractNum w:abstractNumId="38">
    <w:nsid w:val="2A487CB0"/>
    <w:multiLevelType w:val="hybridMultilevel"/>
    <w:lvl w:ilvl="0">
      <w:lvlJc w:val="left"/>
      <w:lvlText w:val="(%1)"/>
      <w:numFmt w:val="lowerLetter"/>
      <w:start w:val="1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lvl w:ilvl="1">
      <w:lvlJc w:val="left"/>
      <w:lvlText w:val="(%2)"/>
      <w:numFmt w:val="lowerLetter"/>
      <w:start w:val="1"/>
    </w:lvl>
  </w:abstractNum>
  <w:abstractNum w:abstractNumId="41">
    <w:nsid w:val="2CD89A32"/>
    <w:multiLevelType w:val="hybridMultilevel"/>
    <w:lvl w:ilvl="0">
      <w:lvlJc w:val="left"/>
      <w:lvlText w:val="(%1)"/>
      <w:numFmt w:val="lowerLetter"/>
      <w:start w:val="2"/>
    </w:lvl>
  </w:abstractNum>
  <w:abstractNum w:abstractNumId="42">
    <w:nsid w:val="57E4CCAF"/>
    <w:multiLevelType w:val="hybridMultilevel"/>
    <w:lvl w:ilvl="0">
      <w:lvlJc w:val="left"/>
      <w:lvlText w:val="%1."/>
      <w:numFmt w:val="decimal"/>
      <w:start w:val="4"/>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4"/>
    </w:lvl>
  </w:abstractNum>
  <w:abstractNum w:abstractNumId="44">
    <w:nsid w:val="4B588F54"/>
    <w:multiLevelType w:val="hybridMultilevel"/>
    <w:lvl w:ilvl="0">
      <w:lvlJc w:val="left"/>
      <w:lvlText w:val="%1."/>
      <w:numFmt w:val="decimal"/>
      <w:start w:val="5"/>
    </w:lvl>
    <w:lvl w:ilvl="1">
      <w:lvlJc w:val="left"/>
      <w:lvlText w:val="%2"/>
      <w:numFmt w:val="lowerLetter"/>
      <w:start w:val="1"/>
    </w:lvl>
  </w:abstractNum>
  <w:abstractNum w:abstractNumId="45">
    <w:nsid w:val="542289EC"/>
    <w:multiLevelType w:val="hybridMultilevel"/>
    <w:lvl w:ilvl="0">
      <w:lvlJc w:val="left"/>
      <w:lvlText w:val="%1."/>
      <w:numFmt w:val="decimal"/>
      <w:start w:val="6"/>
    </w:lvl>
  </w:abstractNum>
  <w:abstractNum w:abstractNumId="46">
    <w:nsid w:val="6DE91B1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2026-11-03T15:12:31Z</dcterms:created>
  <dcterms:modified xsi:type="dcterms:W3CDTF">2026-11-03T15:12:31Z</dcterms:modified>
</cp:coreProperties>
</file>