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50.jpeg" ContentType="image/jpeg"/>
  <Override PartName="/word/media/image62.jpeg" ContentType="image/jpeg"/>
  <Override PartName="/word/media/image49.jpeg" ContentType="image/jpeg"/>
  <Override PartName="/word/media/image61.jpeg" ContentType="image/jpeg"/>
  <Override PartName="/word/media/image48.jpeg" ContentType="image/jpeg"/>
  <Override PartName="/word/media/image60.jpeg" ContentType="image/jpeg"/>
  <Override PartName="/word/media/image47.jpeg" ContentType="image/jpeg"/>
  <Override PartName="/word/media/image59.jpeg" ContentType="image/jpeg"/>
  <Override PartName="/word/media/image16.jpeg" ContentType="image/jpeg"/>
  <Override PartName="/word/media/image46.jpeg" ContentType="image/jpeg"/>
  <Override PartName="/word/media/image58.jpeg" ContentType="image/jpeg"/>
  <Override PartName="/word/media/image15.jpeg" ContentType="image/jpeg"/>
  <Override PartName="/word/media/image45.jpeg" ContentType="image/jpeg"/>
  <Override PartName="/word/media/image70.jpeg" ContentType="image/jpeg"/>
  <Override PartName="/word/media/image57.jpeg" ContentType="image/jpeg"/>
  <Override PartName="/word/media/image14.jpeg" ContentType="image/jpeg"/>
  <Override PartName="/word/media/image4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comments.xml" ContentType="application/vnd.openxmlformats-officedocument.wordprocessingml.comment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caps w:val="false"/>
          <w:smallCaps w:val="false"/>
        </w:rPr>
      </w:pPr>
      <w:bookmarkStart w:id="0" w:name="form10-k.htm"/>
      <w:bookmarkStart w:id="1" w:name="ksform10k"/>
      <w:bookmarkEnd w:id="0"/>
      <w:bookmarkEnd w:id="1"/>
      <w:r>
        <w:rPr>
          <w:caps w:val="false"/>
          <w:smallCaps w:val="false"/>
        </w:rPr>
        <w:t> </w:t>
      </w:r>
    </w:p>
    <w:p>
      <w:pPr>
        <w:pStyle w:val="TextBody"/>
        <w:rPr>
          <w:caps w:val="false"/>
          <w:smallCaps w:val="false"/>
          <w:bdr w:val="single" w:sz="32" w:space="1" w:color="000000"/>
        </w:rPr>
      </w:pPr>
      <w:r>
        <w:rPr>
          <w:caps w:val="false"/>
          <w:smallCaps w:val="false"/>
          <w:bdr w:val="single" w:sz="3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00101__20"/>
      <w:bookmarkEnd w:id="2"/>
      <w:r>
        <w:rPr>
          <w:rFonts w:ascii="Times New Roman;Times;Serif" w:hAnsi="Times New Roman;Times;Serif"/>
          <w:b/>
          <w:i w:val="false"/>
          <w:caps w:val="false"/>
          <w:smallCaps w:val="false"/>
          <w:sz w:val="36"/>
        </w:rPr>
        <w:t>10-K</w:t>
      </w:r>
    </w:p>
    <w:p>
      <w:pPr>
        <w:pStyle w:val="TextBody"/>
        <w:jc w:val="center"/>
        <w:rPr>
          <w:caps w:val="false"/>
          <w:smallCaps w:val="false"/>
        </w:rPr>
      </w:pPr>
      <w:r>
        <w:rPr>
          <w:caps w:val="false"/>
          <w:smallCaps w:val="false"/>
        </w:rPr>
        <w:t> </w:t>
      </w:r>
    </w:p>
    <w:p>
      <w:pPr>
        <w:pStyle w:val="TextBody"/>
        <w:jc w:val="center"/>
        <w:rPr>
          <w:caps w:val="false"/>
          <w:smallCaps w:val="false"/>
        </w:rPr>
      </w:pPr>
      <w:bookmarkStart w:id="3" w:name="xdx_905_edei--DocumentAnnualReport_c2020"/>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w:t>
      </w:r>
      <w:bookmarkStart w:id="4" w:name="xdx_90A_edei--DocumentPeriodEndDate_c202"/>
      <w:bookmarkEnd w:id="4"/>
      <w:r>
        <w:rPr>
          <w:rFonts w:ascii="Times New Roman;Times;Serif" w:hAnsi="Times New Roman;Times;Serif"/>
          <w:b w:val="false"/>
          <w:i w:val="false"/>
          <w:caps w:val="false"/>
          <w:smallCaps w:val="false"/>
          <w:sz w:val="20"/>
        </w:rPr>
        <w:t>December 31, 2020</w:t>
      </w:r>
    </w:p>
    <w:p>
      <w:pPr>
        <w:pStyle w:val="TextBody"/>
        <w:jc w:val="center"/>
        <w:rPr>
          <w:caps w:val="false"/>
          <w:smallCaps w:val="false"/>
        </w:rPr>
      </w:pPr>
      <w:r>
        <w:rPr>
          <w:caps w:val="false"/>
          <w:smallCaps w:val="false"/>
        </w:rPr>
        <w:t> </w:t>
      </w:r>
    </w:p>
    <w:p>
      <w:pPr>
        <w:pStyle w:val="TextBody"/>
        <w:jc w:val="center"/>
        <w:rPr>
          <w:caps w:val="false"/>
          <w:smallCaps w:val="false"/>
        </w:rPr>
      </w:pPr>
      <w:bookmarkStart w:id="5" w:name="xdx_903_edei--DocumentTransitionReport_c"/>
      <w:bookmarkEnd w:id="5"/>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_______</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6" w:name="xdx_903_edei--EntityFileNumber_c20200101"/>
      <w:bookmarkEnd w:id="6"/>
      <w:r>
        <w:rPr>
          <w:rFonts w:ascii="Times New Roman;Times;Serif" w:hAnsi="Times New Roman;Times;Serif"/>
          <w:b w:val="false"/>
          <w:i w:val="false"/>
          <w:caps w:val="false"/>
          <w:smallCaps w:val="false"/>
          <w:sz w:val="20"/>
        </w:rPr>
        <w:t>001-32501</w:t>
      </w:r>
    </w:p>
    <w:p>
      <w:pPr>
        <w:pStyle w:val="TextBody"/>
        <w:jc w:val="center"/>
        <w:rPr>
          <w:caps w:val="false"/>
          <w:smallCaps w:val="false"/>
        </w:rPr>
      </w:pPr>
      <w:r>
        <w:rPr>
          <w:caps w:val="false"/>
          <w:smallCaps w:val="false"/>
        </w:rPr>
        <w:t> </w:t>
      </w:r>
    </w:p>
    <w:p>
      <w:pPr>
        <w:pStyle w:val="TextBody"/>
        <w:pBdr>
          <w:bottom w:val="single" w:sz="12" w:space="1" w:color="000000"/>
        </w:pBdr>
        <w:jc w:val="center"/>
        <w:rPr>
          <w:rFonts w:ascii="Times New Roman;Times;Serif" w:hAnsi="Times New Roman;Times;Serif"/>
          <w:b/>
          <w:i w:val="false"/>
          <w:caps w:val="false"/>
          <w:smallCaps w:val="false"/>
          <w:sz w:val="36"/>
        </w:rPr>
      </w:pPr>
      <w:bookmarkStart w:id="7" w:name="xdx_904_edei--EntityRegistrantName_c2020"/>
      <w:bookmarkEnd w:id="7"/>
      <w:r>
        <w:rPr>
          <w:rFonts w:ascii="Times New Roman;Times;Serif" w:hAnsi="Times New Roman;Times;Serif"/>
          <w:b/>
          <w:i w:val="false"/>
          <w:caps w:val="false"/>
          <w:smallCaps w:val="false"/>
          <w:sz w:val="36"/>
        </w:rPr>
        <w:t>REED’S,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4900" w:type="dxa"/>
        <w:jc w:val="left"/>
        <w:tblInd w:w="0" w:type="dxa"/>
        <w:tblCellMar>
          <w:top w:w="0" w:type="dxa"/>
          <w:left w:w="0" w:type="dxa"/>
          <w:bottom w:w="28" w:type="dxa"/>
          <w:right w:w="0" w:type="dxa"/>
        </w:tblCellMar>
      </w:tblPr>
      <w:tblGrid>
        <w:gridCol w:w="1925"/>
        <w:gridCol w:w="60"/>
        <w:gridCol w:w="2915"/>
      </w:tblGrid>
      <w:tr>
        <w:trPr/>
        <w:tc>
          <w:tcPr>
            <w:tcW w:w="192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8" w:name="xdx_90A_edei--EntityIncorporationStateCo"/>
            <w:bookmarkEnd w:id="8"/>
            <w:r>
              <w:rPr>
                <w:rFonts w:ascii="Times New Roman;Times;Serif" w:hAnsi="Times New Roman;Times;Serif"/>
                <w:b w:val="false"/>
                <w:i w:val="false"/>
                <w:caps w:val="false"/>
                <w:smallCaps w:val="false"/>
                <w:sz w:val="20"/>
              </w:rPr>
              <w:t>Delaware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9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9" w:name="xdx_90A_edei--EntityTaxIdentificationNum"/>
            <w:bookmarkEnd w:id="9"/>
            <w:r>
              <w:rPr>
                <w:rFonts w:ascii="Times New Roman;Times;Serif" w:hAnsi="Times New Roman;Times;Serif"/>
                <w:b w:val="false"/>
                <w:i w:val="false"/>
                <w:caps w:val="false"/>
                <w:smallCaps w:val="false"/>
                <w:sz w:val="20"/>
              </w:rPr>
              <w:t>35-2177773</w:t>
            </w:r>
          </w:p>
        </w:tc>
      </w:tr>
      <w:tr>
        <w:trPr/>
        <w:tc>
          <w:tcPr>
            <w:tcW w:w="19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9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jc w:val="center"/>
        <w:rPr>
          <w:caps w:val="false"/>
          <w:smallCaps w:val="false"/>
        </w:rPr>
      </w:pPr>
      <w:r>
        <w:rPr>
          <w:caps w:val="false"/>
          <w:smallCaps w:val="false"/>
        </w:rPr>
        <w:t> </w:t>
      </w:r>
    </w:p>
    <w:tbl>
      <w:tblPr>
        <w:tblW w:w="4195" w:type="dxa"/>
        <w:jc w:val="left"/>
        <w:tblInd w:w="0" w:type="dxa"/>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0" w:name="xdx_905_edei--EntityAddressAddressLine1_"/>
            <w:bookmarkEnd w:id="10"/>
            <w:r>
              <w:rPr>
                <w:rFonts w:ascii="Times New Roman;Times;Serif" w:hAnsi="Times New Roman;Times;Serif"/>
                <w:b w:val="false"/>
                <w:i w:val="false"/>
                <w:caps w:val="false"/>
                <w:smallCaps w:val="false"/>
                <w:sz w:val="20"/>
              </w:rPr>
              <w:t xml:space="preserve">201 Merritt 7, </w:t>
            </w:r>
            <w:bookmarkStart w:id="11" w:name="xdx_908_edei--EntityAddressCityOrTown_c2"/>
            <w:bookmarkEnd w:id="11"/>
            <w:r>
              <w:rPr>
                <w:rFonts w:ascii="Times New Roman;Times;Serif" w:hAnsi="Times New Roman;Times;Serif"/>
                <w:b w:val="false"/>
                <w:i w:val="false"/>
                <w:caps w:val="false"/>
                <w:smallCaps w:val="false"/>
                <w:sz w:val="20"/>
              </w:rPr>
              <w:t xml:space="preserve">Norwalk, </w:t>
            </w:r>
            <w:bookmarkStart w:id="12" w:name="xdx_900_edei--EntityAddressStateOrProvin"/>
            <w:bookmarkEnd w:id="12"/>
            <w:r>
              <w:rPr>
                <w:rFonts w:ascii="Times New Roman;Times;Serif" w:hAnsi="Times New Roman;Times;Serif"/>
                <w:b w:val="false"/>
                <w:i w:val="false"/>
                <w:caps w:val="false"/>
                <w:smallCaps w:val="false"/>
                <w:sz w:val="20"/>
              </w:rPr>
              <w:t>CT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2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3" w:name="xdx_907_edei--EntityAddressPostalZipCode"/>
            <w:bookmarkEnd w:id="13"/>
            <w:r>
              <w:rPr>
                <w:rFonts w:ascii="Times New Roman;Times;Serif" w:hAnsi="Times New Roman;Times;Serif"/>
                <w:b w:val="false"/>
                <w:i w:val="false"/>
                <w:caps w:val="false"/>
                <w:smallCaps w:val="false"/>
                <w:sz w:val="20"/>
              </w:rPr>
              <w:t>06851</w:t>
            </w:r>
          </w:p>
        </w:tc>
      </w:tr>
      <w:tr>
        <w:trPr/>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bookmarkStart w:id="14" w:name="xdx_90A_edei--CityAreaCode_c20200101__20"/>
      <w:bookmarkEnd w:id="14"/>
      <w:r>
        <w:rPr>
          <w:rFonts w:ascii="Times New Roman;Times;Serif" w:hAnsi="Times New Roman;Times;Serif"/>
          <w:b w:val="false"/>
          <w:i w:val="false"/>
          <w:caps w:val="false"/>
          <w:smallCaps w:val="false"/>
          <w:sz w:val="20"/>
        </w:rPr>
        <w:t xml:space="preserve">(800) </w:t>
      </w:r>
      <w:bookmarkStart w:id="15" w:name="xdx_900_edei--LocalPhoneNumber_c20200101"/>
      <w:bookmarkEnd w:id="15"/>
      <w:r>
        <w:rPr>
          <w:rFonts w:ascii="Times New Roman;Times;Serif" w:hAnsi="Times New Roman;Times;Serif"/>
          <w:b w:val="false"/>
          <w:i w:val="false"/>
          <w:caps w:val="false"/>
          <w:smallCaps w:val="false"/>
          <w:sz w:val="20"/>
        </w:rPr>
        <w:t>997-3337</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jc w:val="both"/>
        <w:rPr>
          <w:caps w:val="false"/>
          <w:smallCaps w:val="false"/>
        </w:rPr>
      </w:pPr>
      <w:r>
        <w:rPr>
          <w:caps w:val="false"/>
          <w:smallCaps w:val="false"/>
        </w:rPr>
        <w:t> </w:t>
      </w:r>
    </w:p>
    <w:tbl>
      <w:tblPr>
        <w:tblW w:w="6975" w:type="dxa"/>
        <w:jc w:val="left"/>
        <w:tblInd w:w="0" w:type="dxa"/>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6" w:name="xdx_903_edei--Security12bTitle_c20200101"/>
            <w:bookmarkEnd w:id="16"/>
            <w:r>
              <w:rPr>
                <w:rFonts w:ascii="Times New Roman;Times;Serif" w:hAnsi="Times New Roman;Times;Serif"/>
                <w:b w:val="false"/>
                <w:i w:val="false"/>
                <w:caps w:val="false"/>
                <w:smallCaps w:val="false"/>
                <w:sz w:val="20"/>
              </w:rPr>
              <w:t>Common Stock</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7" w:name="xdx_909_edei--TradingSymbol_c20200101__2"/>
            <w:bookmarkEnd w:id="17"/>
            <w:r>
              <w:rPr>
                <w:rFonts w:ascii="Times New Roman;Times;Serif" w:hAnsi="Times New Roman;Times;Serif"/>
                <w:b w:val="false"/>
                <w:i w:val="false"/>
                <w:caps w:val="false"/>
                <w:smallCaps w:val="false"/>
                <w:sz w:val="20"/>
              </w:rPr>
              <w:t>REED</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8" w:name="xdx_907_edei--SecurityExchangeName_c2020"/>
            <w:bookmarkEnd w:id="18"/>
            <w:r>
              <w:rPr>
                <w:rFonts w:ascii="Times New Roman;Times;Serif" w:hAnsi="Times New Roman;Times;Serif"/>
                <w:b w:val="false"/>
                <w:i w:val="false"/>
                <w:caps w:val="false"/>
                <w:smallCaps w:val="false"/>
                <w:sz w:val="20"/>
              </w:rPr>
              <w:t>NASDAQ Stock Market LLC</w:t>
            </w:r>
          </w:p>
        </w:tc>
      </w:tr>
    </w:tbl>
    <w:p>
      <w:pPr>
        <w:pStyle w:val="TextBody"/>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w:t>
      </w:r>
      <w:bookmarkStart w:id="19" w:name="xdx_900_edei--EntityWellKnownSeasonedIss"/>
      <w:bookmarkEnd w:id="19"/>
      <w:r>
        <w:rPr>
          <w:rFonts w:ascii="Times New Roman;Times;Serif" w:hAnsi="Times New Roman;Times;Serif"/>
          <w:b w:val="false"/>
          <w:i w:val="false"/>
          <w:caps w:val="false"/>
          <w:smallCaps w:val="false"/>
          <w:sz w:val="20"/>
        </w:rPr>
        <w:t>No ☒</w:t>
      </w:r>
    </w:p>
    <w:p>
      <w:pPr>
        <w:pStyle w:val="TextBody"/>
        <w:ind w:left="0" w:right="0" w:firstLine="36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20" w:name="xdx_90B_edei--EntityVoluntaryFilers_c202"/>
      <w:bookmarkEnd w:id="20"/>
      <w:r>
        <w:rPr>
          <w:rFonts w:ascii="Times New Roman;Times;Serif" w:hAnsi="Times New Roman;Times;Serif"/>
          <w:b w:val="false"/>
          <w:i w:val="false"/>
          <w:caps w:val="false"/>
          <w:smallCaps w:val="false"/>
          <w:sz w:val="20"/>
        </w:rPr>
        <w:t>No ☒</w:t>
      </w:r>
    </w:p>
    <w:p>
      <w:pPr>
        <w:pStyle w:val="TextBody"/>
        <w:ind w:left="0" w:right="0" w:firstLine="36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D_edei--EntityCurrentReportingStat"/>
      <w:bookmarkEnd w:id="21"/>
      <w:r>
        <w:rPr>
          <w:rFonts w:ascii="Times New Roman;Times;Serif" w:hAnsi="Times New Roman;Times;Serif"/>
          <w:b w:val="false"/>
          <w:i w:val="false"/>
          <w:caps w:val="false"/>
          <w:smallCaps w:val="false"/>
          <w:sz w:val="20"/>
        </w:rPr>
        <w:t>Yes ☒ No ☐</w:t>
      </w:r>
    </w:p>
    <w:p>
      <w:pPr>
        <w:pStyle w:val="TextBody"/>
        <w:ind w:left="0" w:right="0" w:firstLine="72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8_edei--EntityInteractiveDataCurre"/>
      <w:bookmarkEnd w:id="22"/>
      <w:r>
        <w:rPr>
          <w:rFonts w:ascii="Times New Roman;Times;Serif" w:hAnsi="Times New Roman;Times;Serif"/>
          <w:b w:val="false"/>
          <w:i w:val="false"/>
          <w:caps w:val="false"/>
          <w:smallCaps w:val="false"/>
          <w:sz w:val="20"/>
        </w:rPr>
        <w:t>Yes ☒ No ☐</w:t>
      </w:r>
    </w:p>
    <w:p>
      <w:pPr>
        <w:pStyle w:val="TextBody"/>
        <w:ind w:left="0" w:right="0" w:firstLine="36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ind w:left="0" w:right="0" w:firstLine="720"/>
        <w:jc w:val="both"/>
        <w:rPr>
          <w:caps w:val="false"/>
          <w:smallCaps w:val="false"/>
        </w:rPr>
      </w:pPr>
      <w:r>
        <w:rPr>
          <w:caps w:val="false"/>
          <w:smallCaps w:val="false"/>
        </w:rPr>
        <w:t> </w:t>
      </w:r>
    </w:p>
    <w:tbl>
      <w:tblPr>
        <w:tblW w:w="4585" w:type="dxa"/>
        <w:jc w:val="left"/>
        <w:tblInd w:w="0" w:type="dxa"/>
        <w:tblCellMar>
          <w:top w:w="0" w:type="dxa"/>
          <w:left w:w="0" w:type="dxa"/>
          <w:bottom w:w="0" w:type="dxa"/>
          <w:right w:w="0" w:type="dxa"/>
        </w:tblCellMar>
      </w:tblPr>
      <w:tblGrid>
        <w:gridCol w:w="2060"/>
        <w:gridCol w:w="60"/>
        <w:gridCol w:w="2465"/>
      </w:tblGrid>
      <w:tr>
        <w:trPr/>
        <w:tc>
          <w:tcPr>
            <w:tcW w:w="20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3" w:name="xdx_906_edei--EntitySmallBusiness_c20200"/>
            <w:bookmarkEnd w:id="23"/>
            <w:r>
              <w:rPr>
                <w:rFonts w:ascii="Times New Roman;Times;Serif" w:hAnsi="Times New Roman;Times;Serif"/>
                <w:b w:val="false"/>
                <w:i w:val="false"/>
                <w:caps w:val="false"/>
                <w:smallCaps w:val="false"/>
                <w:sz w:val="20"/>
              </w:rPr>
              <w:t>☒</w:t>
            </w:r>
          </w:p>
        </w:tc>
      </w:tr>
      <w:tr>
        <w:trPr/>
        <w:tc>
          <w:tcPr>
            <w:tcW w:w="20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6_edei--EntityEmergingGrowthCompan"/>
            <w:bookmarkEnd w:id="24"/>
            <w:r>
              <w:rPr>
                <w:rFonts w:ascii="Times New Roman;Times;Serif" w:hAnsi="Times New Roman;Times;Serif"/>
                <w:b w:val="false"/>
                <w:i w:val="false"/>
                <w:caps w:val="false"/>
                <w:smallCaps w:val="false"/>
                <w:sz w:val="20"/>
              </w:rPr>
              <w:t>☐</w:t>
            </w:r>
          </w:p>
        </w:tc>
      </w:tr>
    </w:tbl>
    <w:p>
      <w:pPr>
        <w:pStyle w:val="TextBody"/>
        <w:ind w:left="0" w:right="0" w:firstLine="72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ind w:left="0" w:right="0" w:firstLine="36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ind w:left="0" w:right="0" w:firstLine="72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w:t>
      </w:r>
      <w:bookmarkStart w:id="25" w:name="xdx_907_edei--EntityShellCompany_c202001"/>
      <w:bookmarkEnd w:id="25"/>
      <w:r>
        <w:rPr>
          <w:rFonts w:ascii="Times New Roman;Times;Serif" w:hAnsi="Times New Roman;Times;Serif"/>
          <w:b w:val="false"/>
          <w:i w:val="false"/>
          <w:caps w:val="false"/>
          <w:smallCaps w:val="false"/>
          <w:sz w:val="20"/>
        </w:rPr>
        <w:t>No ☒</w:t>
      </w:r>
    </w:p>
    <w:p>
      <w:pPr>
        <w:pStyle w:val="TextBody"/>
        <w:ind w:left="0" w:right="0" w:firstLine="36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(excluding voting shares held by officers and directors) as of June 30, 2020 was $</w:t>
      </w:r>
      <w:bookmarkStart w:id="26" w:name="xdx_909_edei--EntityPublicFloat_iI_c2020"/>
      <w:bookmarkEnd w:id="26"/>
      <w:r>
        <w:rPr>
          <w:rFonts w:ascii="Times New Roman;Times;Serif" w:hAnsi="Times New Roman;Times;Serif"/>
          <w:b w:val="false"/>
          <w:i w:val="false"/>
          <w:caps w:val="false"/>
          <w:smallCaps w:val="false"/>
          <w:sz w:val="20"/>
        </w:rPr>
        <w:t>55,025,154.</w:t>
      </w:r>
    </w:p>
    <w:p>
      <w:pPr>
        <w:pStyle w:val="TextBody"/>
        <w:ind w:left="0" w:right="0" w:firstLine="36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shares outstanding of each of the issuer’s classes of common stock, as of the latest practicable date. There were a total of </w:t>
      </w:r>
      <w:bookmarkStart w:id="27" w:name="xdx_90C_edei--EntityCommonStockSharesOut"/>
      <w:bookmarkEnd w:id="27"/>
      <w:r>
        <w:rPr>
          <w:rFonts w:ascii="Times New Roman;Times;Serif" w:hAnsi="Times New Roman;Times;Serif"/>
          <w:b w:val="false"/>
          <w:i w:val="false"/>
          <w:caps w:val="false"/>
          <w:smallCaps w:val="false"/>
          <w:sz w:val="20"/>
        </w:rPr>
        <w:t>86,403,321 shares of Common Stock outstanding as of March 22, 2021.</w:t>
      </w:r>
    </w:p>
    <w:p>
      <w:pPr>
        <w:pStyle w:val="TextBody"/>
        <w:ind w:left="0" w:right="0" w:firstLine="360"/>
        <w:jc w:val="both"/>
        <w:rPr>
          <w:caps w:val="false"/>
          <w:smallCaps w:val="false"/>
        </w:rPr>
      </w:pPr>
      <w:r>
        <w:rPr>
          <w:caps w:val="false"/>
          <w:smallCaps w:val="false"/>
        </w:rPr>
        <w:t> </w:t>
      </w:r>
    </w:p>
    <w:p>
      <w:pPr>
        <w:pStyle w:val="TextBody"/>
        <w:ind w:left="0" w:right="0" w:firstLine="360"/>
        <w:rPr>
          <w:caps w:val="false"/>
          <w:smallCaps w:val="false"/>
          <w:bdr w:val="single" w:sz="12" w:space="1" w:color="000000"/>
        </w:rPr>
      </w:pPr>
      <w:r>
        <w:rPr>
          <w:caps w:val="false"/>
          <w:smallCaps w:val="false"/>
          <w:bdr w:val="single" w:sz="12" w:space="1" w:color="000000"/>
        </w:rPr>
        <w:t> </w:t>
      </w:r>
    </w:p>
    <w:p>
      <w:pPr>
        <w:pStyle w:val="TextBody"/>
        <w:ind w:left="0" w:right="0" w:firstLine="36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jc w:val="center"/>
        <w:rPr>
          <w:caps w:val="false"/>
          <w:smallCaps w:val="false"/>
        </w:rPr>
      </w:pPr>
      <w:r>
        <w:rPr>
          <w:caps w:val="false"/>
          <w:smallCaps w:val="false"/>
        </w:rPr>
        <w:t> </w:t>
      </w:r>
    </w:p>
    <w:tbl>
      <w:tblPr>
        <w:tblW w:w="9910" w:type="dxa"/>
        <w:jc w:val="left"/>
        <w:tblInd w:w="0" w:type="dxa"/>
        <w:tblCellMar>
          <w:top w:w="0" w:type="dxa"/>
          <w:left w:w="0" w:type="dxa"/>
          <w:bottom w:w="0" w:type="dxa"/>
          <w:right w:w="0" w:type="dxa"/>
        </w:tblCellMar>
      </w:tblPr>
      <w:tblGrid>
        <w:gridCol w:w="9665"/>
        <w:gridCol w:w="245"/>
      </w:tblGrid>
      <w:tr>
        <w:trPr/>
        <w:tc>
          <w:tcPr>
            <w:tcW w:w="9665" w:type="dxa"/>
            <w:tcBorders/>
            <w:shd w:fill="CCEEFF" w:val="clear"/>
            <w:vAlign w:val="center"/>
          </w:tcPr>
          <w:p>
            <w:pPr>
              <w:pStyle w:val="TableContents"/>
              <w:spacing w:before="0" w:after="283"/>
              <w:rPr/>
            </w:pPr>
            <w:hyperlink w:anchor="a_001">
              <w:r>
                <w:rPr>
                  <w:rStyle w:val="InternetLink"/>
                  <w:rFonts w:ascii="Times New Roman;Times;Serif" w:hAnsi="Times New Roman;Times;Serif"/>
                  <w:b w:val="false"/>
                  <w:i w:val="false"/>
                  <w:caps w:val="false"/>
                  <w:smallCaps w:val="false"/>
                  <w:sz w:val="20"/>
                </w:rPr>
                <w:t>PART I</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02">
              <w:r>
                <w:rPr>
                  <w:rStyle w:val="InternetLink"/>
                  <w:rFonts w:ascii="Times New Roman;Times;Serif" w:hAnsi="Times New Roman;Times;Serif"/>
                  <w:b w:val="false"/>
                  <w:i w:val="false"/>
                  <w:caps w:val="false"/>
                  <w:smallCaps w:val="false"/>
                  <w:sz w:val="20"/>
                </w:rPr>
                <w:t>Item 1. Business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03">
              <w:r>
                <w:rPr>
                  <w:rStyle w:val="InternetLink"/>
                  <w:rFonts w:ascii="Times New Roman;Times;Serif" w:hAnsi="Times New Roman;Times;Serif"/>
                  <w:b w:val="false"/>
                  <w:i w:val="false"/>
                  <w:caps w:val="false"/>
                  <w:smallCaps w:val="false"/>
                  <w:sz w:val="20"/>
                </w:rPr>
                <w:t>Item 1A. Risk Factors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SV_001">
              <w:r>
                <w:rPr>
                  <w:rStyle w:val="InternetLink"/>
                  <w:rFonts w:ascii="Times New Roman;Times;Serif" w:hAnsi="Times New Roman;Times;Serif"/>
                  <w:b w:val="false"/>
                  <w:i w:val="false"/>
                  <w:caps w:val="false"/>
                  <w:smallCaps w:val="false"/>
                  <w:sz w:val="20"/>
                </w:rPr>
                <w:t>Item 1B. Unresolved Staff Comments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04">
              <w:r>
                <w:rPr>
                  <w:rStyle w:val="InternetLink"/>
                  <w:rFonts w:ascii="Times New Roman;Times;Serif" w:hAnsi="Times New Roman;Times;Serif"/>
                  <w:b w:val="false"/>
                  <w:i w:val="false"/>
                  <w:caps w:val="false"/>
                  <w:smallCaps w:val="false"/>
                  <w:sz w:val="20"/>
                </w:rPr>
                <w:t>Item 2. Properties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05">
              <w:r>
                <w:rPr>
                  <w:rStyle w:val="InternetLink"/>
                  <w:rFonts w:ascii="Times New Roman;Times;Serif" w:hAnsi="Times New Roman;Times;Serif"/>
                  <w:b w:val="false"/>
                  <w:i w:val="false"/>
                  <w:caps w:val="false"/>
                  <w:smallCaps w:val="false"/>
                  <w:sz w:val="20"/>
                </w:rPr>
                <w:t>Item 3. Legal Proceedings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06">
              <w:r>
                <w:rPr>
                  <w:rStyle w:val="InternetLink"/>
                  <w:rFonts w:ascii="Times New Roman;Times;Serif" w:hAnsi="Times New Roman;Times;Serif"/>
                  <w:b w:val="false"/>
                  <w:i w:val="false"/>
                  <w:caps w:val="false"/>
                  <w:smallCaps w:val="false"/>
                  <w:sz w:val="20"/>
                </w:rPr>
                <w:t>Item 4. Mine Safety Disclosures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07">
              <w:r>
                <w:rPr>
                  <w:rStyle w:val="InternetLink"/>
                  <w:rFonts w:ascii="Times New Roman;Times;Serif" w:hAnsi="Times New Roman;Times;Serif"/>
                  <w:b w:val="false"/>
                  <w:i w:val="false"/>
                  <w:caps w:val="false"/>
                  <w:smallCaps w:val="false"/>
                  <w:sz w:val="20"/>
                </w:rPr>
                <w:t xml:space="preserve">PART II </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08">
              <w:r>
                <w:rPr>
                  <w:rStyle w:val="InternetLink"/>
                  <w:rFonts w:ascii="Times New Roman;Times;Serif" w:hAnsi="Times New Roman;Times;Serif"/>
                  <w:b w:val="false"/>
                  <w:i w:val="false"/>
                  <w:caps w:val="false"/>
                  <w:smallCaps w:val="false"/>
                  <w:sz w:val="20"/>
                </w:rPr>
                <w:t>Item 5. Market for Registrant’s Common Equity, Related Stockholder Matters and Issuer Purchases of Equity Securities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09">
              <w:r>
                <w:rPr>
                  <w:rStyle w:val="InternetLink"/>
                  <w:rFonts w:ascii="Times New Roman;Times;Serif" w:hAnsi="Times New Roman;Times;Serif"/>
                  <w:b w:val="false"/>
                  <w:i w:val="false"/>
                  <w:caps w:val="false"/>
                  <w:smallCaps w:val="false"/>
                  <w:sz w:val="20"/>
                </w:rPr>
                <w:t>Item 6. Selected Financial Data</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10">
              <w:r>
                <w:rPr>
                  <w:rStyle w:val="InternetLink"/>
                  <w:rFonts w:ascii="Times New Roman;Times;Serif" w:hAnsi="Times New Roman;Times;Serif"/>
                  <w:b w:val="false"/>
                  <w:i w:val="false"/>
                  <w:caps w:val="false"/>
                  <w:smallCaps w:val="false"/>
                  <w:sz w:val="20"/>
                </w:rPr>
                <w:t>Item 7. Management’s Discussion and Analysis of Financial Condition and Results of Operations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11">
              <w:r>
                <w:rPr>
                  <w:rStyle w:val="InternetLink"/>
                  <w:rFonts w:ascii="Times New Roman;Times;Serif" w:hAnsi="Times New Roman;Times;Serif"/>
                  <w:b w:val="false"/>
                  <w:i w:val="false"/>
                  <w:caps w:val="false"/>
                  <w:smallCaps w:val="false"/>
                  <w:sz w:val="20"/>
                </w:rPr>
                <w:t>Item 7A. Quantitative and Qualitative Disclosures About Market Risk</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a_012">
              <w:r>
                <w:rPr>
                  <w:rStyle w:val="InternetLink"/>
                  <w:rFonts w:ascii="Times New Roman;Times;Serif" w:hAnsi="Times New Roman;Times;Serif"/>
                  <w:b w:val="false"/>
                  <w:i w:val="false"/>
                  <w:caps w:val="false"/>
                  <w:smallCaps w:val="false"/>
                  <w:sz w:val="20"/>
                </w:rPr>
                <w:t>Item 8. Financial Statements and Supplementary Data</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07">
              <w:r>
                <w:rPr>
                  <w:rStyle w:val="InternetLink"/>
                  <w:rFonts w:ascii="Times New Roman;Times;Serif" w:hAnsi="Times New Roman;Times;Serif"/>
                  <w:b w:val="false"/>
                  <w:i w:val="false"/>
                  <w:caps w:val="false"/>
                  <w:smallCaps w:val="false"/>
                  <w:sz w:val="20"/>
                </w:rPr>
                <w:t>Item 9. Changes in and Disagreements with Accountants on Accounting and Financial Disclosure</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08">
              <w:r>
                <w:rPr>
                  <w:rStyle w:val="InternetLink"/>
                  <w:rFonts w:ascii="Times New Roman;Times;Serif" w:hAnsi="Times New Roman;Times;Serif"/>
                  <w:b w:val="false"/>
                  <w:i w:val="false"/>
                  <w:caps w:val="false"/>
                  <w:smallCaps w:val="false"/>
                  <w:sz w:val="20"/>
                </w:rPr>
                <w:t>Item 9A. Controls and Procedures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09">
              <w:r>
                <w:rPr>
                  <w:rStyle w:val="InternetLink"/>
                  <w:rFonts w:ascii="Times New Roman;Times;Serif" w:hAnsi="Times New Roman;Times;Serif"/>
                  <w:b w:val="false"/>
                  <w:i w:val="false"/>
                  <w:caps w:val="false"/>
                  <w:smallCaps w:val="false"/>
                  <w:sz w:val="20"/>
                </w:rPr>
                <w:t>Item 9B. Other Information</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10">
              <w:r>
                <w:rPr>
                  <w:rStyle w:val="InternetLink"/>
                  <w:rFonts w:ascii="Times New Roman;Times;Serif" w:hAnsi="Times New Roman;Times;Serif"/>
                  <w:b w:val="false"/>
                  <w:i w:val="false"/>
                  <w:caps w:val="false"/>
                  <w:smallCaps w:val="false"/>
                  <w:sz w:val="20"/>
                </w:rPr>
                <w:t>PART III</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11">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12">
              <w:r>
                <w:rPr>
                  <w:rStyle w:val="InternetLink"/>
                  <w:rFonts w:ascii="Times New Roman;Times;Serif" w:hAnsi="Times New Roman;Times;Serif"/>
                  <w:b w:val="false"/>
                  <w:i w:val="false"/>
                  <w:caps w:val="false"/>
                  <w:smallCaps w:val="false"/>
                  <w:sz w:val="20"/>
                </w:rPr>
                <w:t>Item 11. Executive Compensation</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13">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14">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15">
              <w:r>
                <w:rPr>
                  <w:rStyle w:val="InternetLink"/>
                  <w:rFonts w:ascii="Times New Roman;Times;Serif" w:hAnsi="Times New Roman;Times;Serif"/>
                  <w:b w:val="false"/>
                  <w:i w:val="false"/>
                  <w:caps w:val="false"/>
                  <w:smallCaps w:val="false"/>
                  <w:sz w:val="20"/>
                </w:rPr>
                <w:t>Item 14. Principal Accountant Fees and Services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16">
              <w:r>
                <w:rPr>
                  <w:rStyle w:val="InternetLink"/>
                  <w:rFonts w:ascii="Times New Roman;Times;Serif" w:hAnsi="Times New Roman;Times;Serif"/>
                  <w:b w:val="false"/>
                  <w:i w:val="false"/>
                  <w:caps w:val="false"/>
                  <w:smallCaps w:val="false"/>
                  <w:sz w:val="20"/>
                </w:rPr>
                <w:t>PART IV</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17">
              <w:r>
                <w:rPr>
                  <w:rStyle w:val="InternetLink"/>
                  <w:rFonts w:ascii="Times New Roman;Times;Serif" w:hAnsi="Times New Roman;Times;Serif"/>
                  <w:b w:val="false"/>
                  <w:i w:val="false"/>
                  <w:caps w:val="false"/>
                  <w:smallCaps w:val="false"/>
                  <w:sz w:val="20"/>
                </w:rPr>
                <w:t>Item 15. Exhibits, Financial Statement Schedules</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665" w:type="dxa"/>
            <w:tcBorders/>
            <w:shd w:fill="FFFFFF" w:val="clear"/>
            <w:vAlign w:val="center"/>
          </w:tcPr>
          <w:p>
            <w:pPr>
              <w:pStyle w:val="TableContents"/>
              <w:spacing w:before="0" w:after="283"/>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665" w:type="dxa"/>
            <w:tcBorders/>
            <w:shd w:fill="CCEEFF" w:val="clear"/>
            <w:vAlign w:val="center"/>
          </w:tcPr>
          <w:p>
            <w:pPr>
              <w:pStyle w:val="TableContents"/>
              <w:spacing w:before="0" w:after="283"/>
              <w:rPr/>
            </w:pPr>
            <w:hyperlink w:anchor="c_018">
              <w:r>
                <w:rPr>
                  <w:rStyle w:val="InternetLink"/>
                  <w:rFonts w:ascii="Times New Roman;Times;Serif" w:hAnsi="Times New Roman;Times;Serif"/>
                  <w:b w:val="false"/>
                  <w:i w:val="false"/>
                  <w:caps w:val="false"/>
                  <w:smallCaps w:val="false"/>
                  <w:sz w:val="20"/>
                </w:rPr>
                <w:t>Item 16. Form 10-K Summary</w:t>
              </w:r>
            </w:hyperlink>
          </w:p>
        </w:tc>
        <w:tc>
          <w:tcPr>
            <w:tcW w:w="24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 AND INFORMATION</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(“Annual Report”), the other reports, statements, and information that we have previously filed or that we may subsequently file with the Securities and Exchange Commission (“SEC”) and public announcements that we have previously made or may subsequently make include, may include, incorporate by reference or may incorporate by reference certain statements that may be deemed to be forward-looking statements. The forward-looking statements included or incorporated by reference in this Annual Report and those reports, statements, information and announcements address activities, events or developments that Reed’s, Inc. (hereinafter referred to as “we,” “us,” “our” or “Reed’s”) expects or anticipates will or may occur in the future. Any statements in this document about expectations, beliefs, plans, objectives, assumptions or future events or performance are not historical facts and are forward-looking statements. These statements are often, but not always, made through the use of words or phrases such as “may,” “should,” “could,” “predict,” “potential,” “believe,” “will likely result,” “expect,” “will continue,” “anticipate,” “seek,” “estimate,” “intend,” “plan,” “projection,” “would” and “outlook” and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document. All forward-looking statements concerning economic conditions, rates of growth, rates of income or values as may be included in this document are based on information available to us on the dates noted, and we assume no obligation to update any such forward-looking statements.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factors referred to in this Annual Report beginning on page 14 could cause actual results or outcomes to differ materially from those expressed in any forward-looking statements made by us, and you should not place undue reliance on any such forward-looking statements. Any forward-looking statement speaks only as of the date on which it is made, and we do not undertake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cautions that these statements are qualified by their terms and/or important factors, many of which are outside of our control, involve a number of risks, uncertainties and other factors that could cause actual results and events to differ materially from the statements made, including, but not limited to, the following risk factors:</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generate sufficient cash flow to support marketing and product development plans and general operating activities,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Decreased demand for our products resulting from changes in consumer preferences,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Competitive products and pricing pressures and our ability to gain or maintain our share of sales in the marketplace,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introduction of new products,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being subject to a broad range of evolving federal, state and local laws and regulations including those regarding the labeling and safety of food products, establishing ingredient designations and standards of identity for certain foods, environmental protections, as well as worker health and safety. Changes in these laws and regulations could have a material effect on the way in which we produce and market our products and could result in increased costs,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the cost and availability of raw materials and the ability to maintain our supply arrangements and relationships and procure timely and/or adequate production of all or any of our products,</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penetrate new markets and maintain or expand existing markets,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Maintaining existing relationships and expanding the distributor network of our products,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Decline in global financial markets and economic downturn resulting from the coronavirus COVID-19 global pandemic,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Business interruptions resulting from the coronavirus COVID-19 global pandemic,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remediate weaknesses we identified in our disclosure controls and procedures and our internal control over financial reporting in a timely enough manner to eliminate the risks posed by such material weaknesses in future periods,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Maintaining the listing of our common stock on the Nasdaq Capital Market or other national securities exchange,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marketing efforts of distributors of our products, most of whom also distribute products that are competitive with our products,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Decisions by distributors, grocery chains, specialty chain stores, club stores and other customers to discontinue carrying all or any of our products that they are carrying at any time,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availability and cost of capital to finance our working capital needs and growth plans,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effectiveness of our advertising, marketing and promotional programs,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product category consumption,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Economic and political changes,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Consumer acceptance of new products, including taste test comparisons,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Possible recalls of our products, and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Whether or not we will be entitled to forgiveness of our Paycheck Protection Program loan.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w:t>
      </w:r>
    </w:p>
    <w:p>
      <w:pPr>
        <w:pStyle w:val="TextBody"/>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28" w:name="a_001"/>
      <w:bookmarkEnd w:id="28"/>
      <w:r>
        <w:rPr>
          <w:rFonts w:ascii="Times New Roman;Times;Serif" w:hAnsi="Times New Roman;Times;Serif"/>
          <w:b/>
          <w:i w:val="false"/>
          <w:caps w:val="false"/>
          <w:smallCaps w:val="false"/>
          <w:sz w:val="20"/>
        </w:rPr>
        <w:t>PART I</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9" w:name="a_002"/>
      <w:bookmarkEnd w:id="29"/>
      <w:r>
        <w:rPr>
          <w:rFonts w:ascii="Times New Roman;Times;Serif" w:hAnsi="Times New Roman;Times;Serif"/>
          <w:b/>
          <w:i w:val="false"/>
          <w:caps w:val="false"/>
          <w:smallCaps w:val="false"/>
          <w:sz w:val="20"/>
        </w:rPr>
        <w:t>Item 1. Business</w:t>
      </w:r>
    </w:p>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 a Delaware corporation (“Reed’s”, the “Company,” “we,” or “us” throughout this report) owns a leading portfolio of handcrafted, all-natural beverages that is sold in over 40,000 outlets nationwide (including the natural and specialty food channel, grocery stores, mass merchants, drug stores, convenience stores, club stores and on-premise locations including bars and restaurants). Reed’s two core brands are Reed’s Craft Ginger Beer and Reed’s Real Ginger Ale and Virgil’s Handcrafted soda. Reed’s Craft Ginger Beers are unique due to the proprietary process of using fresh ginger root combined with a Jamaican inspired recipe of natural spices, honey and fruit juices. Reed’s uses this same handcrafted approach in its Reed’s Real Ginger Ale and Virgil’s line of great tasting, bold flavored craft sodas, including its award-winning Virgil’s Root Beer.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is the leading ginger beer in the US; Virgil’s is the leading independent (not aligned with Coca-Cola, Pepsi or Keurig Dr. Pepper) all-natural full line craft soda and is ranked fourth in the craft soda category.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Development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Original Ginger Brew, created in 1987 by Christopher J. Reed, our founder, and current Chief Innovation Officer and director, was introduced to the market in Southern California stores in 1989. By 1990, we began marketing our products through United Natural Foods Inc. (“UNFI”) and other natural food distributors and moved our production to a larger facility in Boulder, Colorado.</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1991, we incorporated our business operations in the state of Florida under the name of Original Beverage Corporation and moved all production to a co-pack facility in Pennsylvania. Throughout the 1990’s, we continued to develop and launch new Ginger Brew varieties. Reed’s Ginger Brews reached broad placement in natural and gourmet foods stores nationwide through UNFI and other major specialty, natural/gourmet and mainstream food and beverage distributors.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1997, we began licensing the products of China Cola and eventually acquired the rights to that product in 2000. In 1999, we purchased the Virgil’s Root Beer brand from the Crowley Beverage Company. In 2000, we moved into an 18,000-square foot warehouse property, the Brewery, in Los Angeles, California, to headquarters. In 2001, pursuant to a reincorporation merger, we changed our state of incorporation to Delaware and also changed our name to “Reed’s, Inc.”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2018, we completed the relocation of its headquarters to Norwalk, Connecticut. In December 2018, after a lengthy marketing and bidding process, we sold the Brewery to a company owned by Christopher J. Reed, our founder. The sale of the Brewery marked a fundamental shift in the nature of our operations and effectively eliminated our costs associated with excess manufacturing capacity.</w:t>
      </w:r>
    </w:p>
    <w:p>
      <w:pPr>
        <w:pStyle w:val="TextBody"/>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offers its portfolio of natural hand-crafted beverages in the craft specialty foods industry as natural alternatives to the $32 billion mainstream carbonated soft drinks (“CSD”) market in the United States as measured by IRI Multi Outlet scan data. Reed’s products are sold across the country and internationally in the following major channels: natural food, specialty food, grocery, mass merchant, convenience, club, drug, and on-premise locations (bars and restaurants).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after a year of the pandemic, overall sales growth of natural food and beverage products continues to outpace sales growth for conventional products across all retail channels. We see ample opportunity to scale our natural beverage business and grow our distribution in these channels.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Carbonated Soft Drink Industry Overview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retail CSD category has rallied during the pandemic. This past year, after 13 years of declines, the retail CSD category grew 13%. The ginger ale segment grew even faster at 15.4% and is now a $1.1 billion dollar market. Ginger ale growth, we believe, is driven primarily by a consumer perception of ginger ale as a healthier alternative to other sodas. Our new line of ginger ales made with real ginger deliver on this perception and are poised to breakout in the segment.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wake of COVID-19, consumers are shifting consumption to better-for-you products. We believe there is significant growth potential from consumers switching away from mainstream beverages that contain artificial ingredients and preservatives towards great-tasting, natural alternatives.</w:t>
      </w:r>
    </w:p>
    <w:p>
      <w:pPr>
        <w:pStyle w:val="TextBody"/>
        <w:spacing w:before="0" w:after="0"/>
        <w:ind w:left="0" w:right="0" w:firstLine="2239"/>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Consumer Trends Driving Growth for Our Products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consumer trends that are accelerating as we exit the pandemic, and which support our brands.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Natural</w:t>
            </w:r>
            <w:r>
              <w:rPr>
                <w:rFonts w:ascii="Times New Roman;Times;Serif" w:hAnsi="Times New Roman;Times;Serif"/>
                <w:b w:val="false"/>
                <w:i w:val="false"/>
                <w:caps w:val="false"/>
                <w:smallCaps w:val="false"/>
                <w:sz w:val="20"/>
              </w:rPr>
              <w:t>: Interest in all-natural products has gone mainstream.</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Clean Label</w:t>
            </w:r>
            <w:r>
              <w:rPr>
                <w:rFonts w:ascii="Times New Roman;Times;Serif" w:hAnsi="Times New Roman;Times;Serif"/>
                <w:b w:val="false"/>
                <w:i w:val="false"/>
                <w:caps w:val="false"/>
                <w:smallCaps w:val="false"/>
                <w:sz w:val="20"/>
              </w:rPr>
              <w:t>: 62% of Americans are avoiding at least one ingredient.</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Reduced Sugar</w:t>
            </w:r>
            <w:r>
              <w:rPr>
                <w:rFonts w:ascii="Times New Roman;Times;Serif" w:hAnsi="Times New Roman;Times;Serif"/>
                <w:b w:val="false"/>
                <w:i w:val="false"/>
                <w:caps w:val="false"/>
                <w:smallCaps w:val="false"/>
                <w:sz w:val="20"/>
              </w:rPr>
              <w:t xml:space="preserve">: A favorable trend for our zero-sugar beverages, 77% of consumers say they are reducing their sugar intake.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Functionality</w:t>
            </w:r>
            <w:r>
              <w:rPr>
                <w:rFonts w:ascii="Times New Roman;Times;Serif" w:hAnsi="Times New Roman;Times;Serif"/>
                <w:b w:val="false"/>
                <w:i w:val="false"/>
                <w:caps w:val="false"/>
                <w:smallCaps w:val="false"/>
                <w:sz w:val="20"/>
              </w:rPr>
              <w:t>: Right before the pandemic, 65% of consumers looked for function in what they eat and drink. This accelerating trend will drive growth for our ginger-based beverages.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Craft:</w:t>
            </w:r>
            <w:r>
              <w:rPr>
                <w:rFonts w:ascii="Times New Roman;Times;Serif" w:hAnsi="Times New Roman;Times;Serif"/>
                <w:b w:val="false"/>
                <w:i w:val="false"/>
                <w:caps w:val="false"/>
                <w:smallCaps w:val="false"/>
                <w:sz w:val="20"/>
              </w:rPr>
              <w:t> Appeal continues to grow of higher-quality, independent, and more authentic brands.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Premiumization: </w:t>
            </w:r>
            <w:r>
              <w:rPr>
                <w:rFonts w:ascii="Times New Roman;Times;Serif" w:hAnsi="Times New Roman;Times;Serif"/>
                <w:b w:val="false"/>
                <w:i w:val="false"/>
                <w:caps w:val="false"/>
                <w:smallCaps w:val="false"/>
                <w:sz w:val="20"/>
              </w:rPr>
              <w:t>A trend towards embracing quality has accelerated during the pandemic with consumers splurging on premium beverages at retail, including premium mixers.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Better-for-you Mocktails</w:t>
            </w:r>
            <w:r>
              <w:rPr>
                <w:rFonts w:ascii="Times New Roman;Times;Serif" w:hAnsi="Times New Roman;Times;Serif"/>
                <w:b w:val="false"/>
                <w:i w:val="false"/>
                <w:caps w:val="false"/>
                <w:smallCaps w:val="false"/>
                <w:sz w:val="20"/>
              </w:rPr>
              <w:t>: More consumers are seeking non-alcoholic alternatives with bold and unique flavors.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Ready-to-Drink Cocktails</w:t>
            </w:r>
            <w:r>
              <w:rPr>
                <w:rFonts w:ascii="Times New Roman;Times;Serif" w:hAnsi="Times New Roman;Times;Serif"/>
                <w:b w:val="false"/>
                <w:i w:val="false"/>
                <w:caps w:val="false"/>
                <w:smallCaps w:val="false"/>
                <w:sz w:val="20"/>
              </w:rPr>
              <w:t>: Category is exploding alongside hard seltzer as people seek novelty and variety, which puts our RTD Mules in a great position to succeed.</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strategies will remain responsive to these macro consumer trends as we concentrate our efforts on developing the Company’s sales and marketing functions.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our hand-crafted beverages with only premium, natural ingredients. Our products are free of genetically modified organisms (“GMOs”) and artificial preservatives. Over the years, Reed’s has developed several product offerings. In 2019, we streamlined our focus to our core categories of Reed’s Ginger Beverages and Virgil’s Craft Sodas. In April 2020, we launched our new line of Reed’s Real Ginger Ales, in both Full Sugar and Zero Sugar versions, made with 2,000mg of fresh organic ginger.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Reed’s Craft Ginger Beer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Craft Ginger Beer is set apart from other ginger beers by its proprietary process of brewing fresh ginger root, its exclusive use of all-natural ingredients, and its authentic Jamaican-inspired recipe. We do not use artificial preservatives, artificial flavors, or colors, and Reed’s Ginger Beer is certified kosher. We offer different levels of fresh ginger content, ranging from our lightest-spiced Original, to our medium-spiced Extra, and finally to our spiciest Strongest. We also offer three sweetener options: one with cane sugar, honey and fruit juices; one with honey and pineapple juice; and another without sugar (Zero Sugar) made from an innovative blend of natural sweeteners (developed in 2018 and commercialized in 2019).</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2020, the Reed’s Craft Ginger Beer line included five major varieties: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Original Ginger Beer – </w:t>
      </w:r>
      <w:r>
        <w:rPr>
          <w:rFonts w:ascii="Times New Roman;Times;Serif" w:hAnsi="Times New Roman;Times;Serif"/>
          <w:b w:val="false"/>
          <w:i w:val="false"/>
          <w:caps w:val="false"/>
          <w:smallCaps w:val="false"/>
          <w:sz w:val="20"/>
        </w:rPr>
        <w:t>Our first to market product uses a Jamaican-inspired recipe that calls for fresh ginger root, lemon, lime, honey, raw cane sugar, pineapple, herbs and spices.</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Premium Ginger Beer – </w:t>
      </w:r>
      <w:r>
        <w:rPr>
          <w:rFonts w:ascii="Times New Roman;Times;Serif" w:hAnsi="Times New Roman;Times;Serif"/>
          <w:b w:val="false"/>
          <w:i w:val="false"/>
          <w:caps w:val="false"/>
          <w:smallCaps w:val="false"/>
          <w:sz w:val="20"/>
        </w:rPr>
        <w:t>Our Original Ginger Beer sweetened with honey and pineapple juice. (No cane sugar added.)</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Extra Ginger Beer – </w:t>
      </w:r>
      <w:r>
        <w:rPr>
          <w:rFonts w:ascii="Times New Roman;Times;Serif" w:hAnsi="Times New Roman;Times;Serif"/>
          <w:b w:val="false"/>
          <w:i w:val="false"/>
          <w:caps w:val="false"/>
          <w:smallCaps w:val="false"/>
          <w:sz w:val="20"/>
        </w:rPr>
        <w:t>Contains 100% more fresh ginger than Reed’s Original recipe for extra spice.</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Reed’s Strongest Ginger Beer</w:t>
      </w:r>
      <w:r>
        <w:rPr>
          <w:rFonts w:ascii="Times New Roman;Times;Serif" w:hAnsi="Times New Roman;Times;Serif"/>
          <w:b w:val="false"/>
          <w:i w:val="false"/>
          <w:caps w:val="false"/>
          <w:smallCaps w:val="false"/>
          <w:sz w:val="20"/>
        </w:rPr>
        <w:t xml:space="preserve"> – Contains 200% more fresh ginger than Reed’s Original for the strongest spice.</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Reed’s Zero Sugar Extra Ginger Beer – </w:t>
      </w:r>
      <w:r>
        <w:rPr>
          <w:rFonts w:ascii="Times New Roman;Times;Serif" w:hAnsi="Times New Roman;Times;Serif"/>
          <w:b w:val="false"/>
          <w:i w:val="false"/>
          <w:caps w:val="false"/>
          <w:smallCaps w:val="false"/>
          <w:sz w:val="20"/>
        </w:rPr>
        <w:t>launched in 2019 in bottles and cans, it uses a proprietary natural sweetening system for a zero-calorie version of our Reed’s Extra Ginger Beer.</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Reed’s Real Ginger Ale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Real Ginger Ale is unique for the category because it combines real fresh ginger with the classic, refreshing taste that consumers love. It contains nothing artificial and is Non-GMO project verified. We offer two sweetener options: one with cane sugar and the other with our zero-calorie, all-natural sweetener blend.</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Reed’s Real Ginger Ale</w:t>
      </w:r>
      <w:r>
        <w:rPr>
          <w:rFonts w:ascii="Times New Roman;Times;Serif" w:hAnsi="Times New Roman;Times;Serif"/>
          <w:b w:val="false"/>
          <w:i w:val="false"/>
          <w:caps w:val="false"/>
          <w:smallCaps w:val="false"/>
          <w:sz w:val="20"/>
        </w:rPr>
        <w:t xml:space="preserve"> – launched in April 2020 in standard and slim cans. It is the only mass market ginger ale made with organic fresh ginger.</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Reed’s Zero Sugar Real Ginger Ale</w:t>
      </w:r>
      <w:r>
        <w:rPr>
          <w:rFonts w:ascii="Times New Roman;Times;Serif" w:hAnsi="Times New Roman;Times;Serif"/>
          <w:b w:val="false"/>
          <w:i w:val="false"/>
          <w:caps w:val="false"/>
          <w:smallCaps w:val="false"/>
          <w:sz w:val="20"/>
        </w:rPr>
        <w:t xml:space="preserve"> – also launched in April 2020 in standard and slim cans. It uses our all-natural sweetener blend to match the great taste of the cane sugar version in a zero-calorie drink.</w:t>
      </w:r>
    </w:p>
    <w:p>
      <w:pPr>
        <w:pStyle w:val="TextBody"/>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New Ginger Beverages under the Reed’s brand</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Reed’s Wellness Ginger Shots </w:t>
      </w:r>
      <w:r>
        <w:rPr>
          <w:rFonts w:ascii="Times New Roman;Times;Serif" w:hAnsi="Times New Roman;Times;Serif"/>
          <w:b w:val="false"/>
          <w:i w:val="false"/>
          <w:caps w:val="false"/>
          <w:smallCaps w:val="false"/>
          <w:sz w:val="20"/>
        </w:rPr>
        <w:t>– launched in February 2020 offered in two varieties: Daily Ginger and Ginger Energize. These convenient, shelf-stable shots provide a ginger boost on the go.</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Reed’s Zero Sugar Classic Mule – </w:t>
      </w:r>
      <w:r>
        <w:rPr>
          <w:rFonts w:ascii="Times New Roman;Times;Serif" w:hAnsi="Times New Roman;Times;Serif"/>
          <w:b w:val="false"/>
          <w:i w:val="false"/>
          <w:caps w:val="false"/>
          <w:smallCaps w:val="false"/>
          <w:sz w:val="20"/>
        </w:rPr>
        <w:t>launched in June 2020 containing 7% ABV (Alcohol By Volume), is the ultimate mule, made with fresh ginger root, to be enjoyed anytime, anywhere.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Virgil’s Handcrafted Sodas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Virgil’s is a premium handcrafted soda that uses only all-natural ingredients to create bold renditions of classic flavors. We don’t use any artificial preservatives, any artificial colors, or any GMO-sourced ingredients, and our Virgil’s line is certified kosher.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Virgil’s line includes the following products: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Handcrafted Line: </w:t>
      </w:r>
      <w:r>
        <w:rPr>
          <w:rFonts w:ascii="Times New Roman;Times;Serif" w:hAnsi="Times New Roman;Times;Serif"/>
          <w:b w:val="false"/>
          <w:i w:val="false"/>
          <w:caps w:val="false"/>
          <w:smallCaps w:val="false"/>
          <w:sz w:val="20"/>
        </w:rPr>
        <w:t>Virgil’s first Handcrafted soda was launched in 1994. It began as one man’s passion to create the finest root beer ever produced and has since won numerous awards. Virgil’s difference is using all-natural ingredients to craft bold, classic soda flavors. Virgil’s Handcrafted line includes Root Beer, Vanilla Cream, Black Cherry, and Orange Cream.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Zero Sugar Line:</w:t>
      </w:r>
      <w:r>
        <w:rPr>
          <w:rFonts w:ascii="Times New Roman;Times;Serif" w:hAnsi="Times New Roman;Times;Serif"/>
          <w:b w:val="false"/>
          <w:i w:val="false"/>
          <w:caps w:val="false"/>
          <w:smallCaps w:val="false"/>
          <w:sz w:val="20"/>
        </w:rPr>
        <w:t xml:space="preserve"> Virgil’s launched a new line of Zero Sugar, Zero Calorie craft sodas in 2019. Each Zero Sugar soda is sweetened with a proprietary blend of natural sweeteners with no added sugars. This all-natural line of Zero Sugar flavors includes Root Beer, Cola, Black Cherry, Vanilla Cream, Orange Cream and Lemon-Lime. The product has recently been certified Keto compliant.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 Product Launches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2021, Reed’s will launch the below:</w:t>
      </w:r>
    </w:p>
    <w:p>
      <w:pPr>
        <w:pStyle w:val="TextBody"/>
        <w:jc w:val="both"/>
        <w:rPr>
          <w:caps w:val="false"/>
          <w:smallCaps w:val="false"/>
        </w:rPr>
      </w:pPr>
      <w:r>
        <w:rPr>
          <w:caps w:val="false"/>
          <w:smallCaps w:val="false"/>
        </w:rPr>
        <w:t> </w:t>
      </w:r>
    </w:p>
    <w:tbl>
      <w:tblPr>
        <w:tblW w:w="8598" w:type="dxa"/>
        <w:jc w:val="left"/>
        <w:tblInd w:w="0" w:type="dxa"/>
        <w:tblCellMar>
          <w:top w:w="0" w:type="dxa"/>
          <w:left w:w="0" w:type="dxa"/>
          <w:bottom w:w="0" w:type="dxa"/>
          <w:right w:w="0" w:type="dxa"/>
        </w:tblCellMar>
      </w:tblPr>
      <w:tblGrid>
        <w:gridCol w:w="38"/>
        <w:gridCol w:w="170"/>
        <w:gridCol w:w="83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39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Reed’s Real Ginger Ale Zero Sugar Line Extensions: Shirley Tempting and Transfusion</w:t>
            </w:r>
          </w:p>
        </w:tc>
      </w:tr>
    </w:tbl>
    <w:tbl>
      <w:tblPr>
        <w:tblW w:w="7848" w:type="dxa"/>
        <w:jc w:val="left"/>
        <w:tblInd w:w="0" w:type="dxa"/>
        <w:tblCellMar>
          <w:top w:w="0" w:type="dxa"/>
          <w:left w:w="0" w:type="dxa"/>
          <w:bottom w:w="0" w:type="dxa"/>
          <w:right w:w="0" w:type="dxa"/>
        </w:tblCellMar>
      </w:tblPr>
      <w:tblGrid>
        <w:gridCol w:w="38"/>
        <w:gridCol w:w="170"/>
        <w:gridCol w:w="764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6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Reed’s Real Ginger Ale and Virgil’s 20 oz Bottles for the Convenience Channel</w:t>
            </w:r>
          </w:p>
        </w:tc>
      </w:tr>
    </w:tbl>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Virgil’s Zero Sugar Line Extensions: Dr. Better, Grapefruit, and Ginger Ale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pPr>
            <w:r>
              <w:rPr/>
              <w:t>Limited Edition Swing Lid Bottles 0.5 liter: Virgil’s Bavarian Nutmeg Root Beer and Flying Cauldron Butterscotch Beer</w:t>
            </w:r>
          </w:p>
        </w:tc>
      </w:tr>
    </w:tbl>
    <w:tbl>
      <w:tblPr>
        <w:tblW w:w="2748" w:type="dxa"/>
        <w:jc w:val="left"/>
        <w:tblInd w:w="0" w:type="dxa"/>
        <w:tblCellMar>
          <w:top w:w="0" w:type="dxa"/>
          <w:left w:w="0" w:type="dxa"/>
          <w:bottom w:w="0" w:type="dxa"/>
          <w:right w:w="0" w:type="dxa"/>
        </w:tblCellMar>
      </w:tblPr>
      <w:tblGrid>
        <w:gridCol w:w="38"/>
        <w:gridCol w:w="170"/>
        <w:gridCol w:w="254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5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Reed’s Craft Stormy Mule</w:t>
            </w:r>
          </w:p>
        </w:tc>
      </w:tr>
    </w:tbl>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Primary Markets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target a smaller segment of the estimated $32 billion mainstream carbonated and non-carbonated soft drink markets in the United States. Our brands are generally considered premium and natural, with upscale packaging. They are loosely defined as the craft specialty bottled carbonated soft drink category.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experienced and geographically diverse sales force promoting our products, with senior sales representatives strategically placed in multiple regions across the country, supported by local Reed’s sales staff. Additionally, we have sales managers handling national accounts for natural, specialty, grocery, mass, club, drug and convenience channels. Our sales managers are responsible for all activities related to the sales, distribution, and marketing of our brands to our entire retail partner and distributor network in North America. The Company not only employs an internal sales force but has partnered with independent sales brokers and outside representatives to promote our products in specific channels and key targeted accounts.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to well-known popular natural food and gourmet retailers, large grocery store chains, mass merchants, club stores, convenience and drug stores, liquor stores, industrial cafeterias (corporate feeders), and to on-premise bars and restaurants nationwide and in some international markets. We also sell our products and promotional merchandise directly to consumers via the Internet through our Amazon storefront which can be accessed through our company web site www.drinkreeds.com.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representative key customers include:</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Natural stores</w:t>
            </w:r>
            <w:r>
              <w:rPr>
                <w:rFonts w:ascii="Times New Roman;Times;Serif" w:hAnsi="Times New Roman;Times;Serif"/>
                <w:b w:val="false"/>
                <w:i w:val="false"/>
                <w:caps w:val="false"/>
                <w:smallCaps w:val="false"/>
                <w:sz w:val="20"/>
              </w:rPr>
              <w:t>: Whole Foods Market, Sprouts, Natural Grocers by Vitamin Cottage, Fresh Thyme Farmers Market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Gourmet &amp; specialty stores</w:t>
            </w:r>
            <w:r>
              <w:rPr>
                <w:rFonts w:ascii="Times New Roman;Times;Serif" w:hAnsi="Times New Roman;Times;Serif"/>
                <w:b w:val="false"/>
                <w:i w:val="false"/>
                <w:caps w:val="false"/>
                <w:smallCaps w:val="false"/>
                <w:sz w:val="20"/>
              </w:rPr>
              <w:t>: Trader Joe’s, Bristol Farms, Lazy Acres, The Fresh Market, Central Market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Grocery and mass chains</w:t>
            </w:r>
            <w:r>
              <w:rPr>
                <w:rFonts w:ascii="Times New Roman;Times;Serif" w:hAnsi="Times New Roman;Times;Serif"/>
                <w:b w:val="false"/>
                <w:i w:val="false"/>
                <w:caps w:val="false"/>
                <w:smallCaps w:val="false"/>
                <w:sz w:val="20"/>
              </w:rPr>
              <w:t>: Kroger (and all Kroger banners), Safeway, Albertson’s, Publix, Food Lion, Stop &amp; Shop, H.E.B., Wegmans, Target, Walmart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Club stores</w:t>
            </w:r>
            <w:r>
              <w:rPr>
                <w:rFonts w:ascii="Times New Roman;Times;Serif" w:hAnsi="Times New Roman;Times;Serif"/>
                <w:b w:val="false"/>
                <w:i w:val="false"/>
                <w:caps w:val="false"/>
                <w:smallCaps w:val="false"/>
                <w:sz w:val="20"/>
              </w:rPr>
              <w:t>: BJ’s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Liquor stores</w:t>
            </w:r>
            <w:r>
              <w:rPr>
                <w:rFonts w:ascii="Times New Roman;Times;Serif" w:hAnsi="Times New Roman;Times;Serif"/>
                <w:b w:val="false"/>
                <w:i w:val="false"/>
                <w:caps w:val="false"/>
                <w:smallCaps w:val="false"/>
                <w:sz w:val="20"/>
              </w:rPr>
              <w:t>: BevMo!, Total Wine &amp; More, Spec’s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Convenience &amp; drug stores</w:t>
            </w:r>
            <w:r>
              <w:rPr>
                <w:rFonts w:ascii="Times New Roman;Times;Serif" w:hAnsi="Times New Roman;Times;Serif"/>
                <w:b w:val="false"/>
                <w:i w:val="false"/>
                <w:caps w:val="false"/>
                <w:smallCaps w:val="false"/>
                <w:sz w:val="20"/>
              </w:rPr>
              <w:t>: Circle K, CVS Health, Rite Aid</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Distribution Network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brought to market through an extremely flexible and fluid hybrid distribution model, which is a mix of direct-store-delivery, customer warehouse, and distributor networks. The distribution system used depends on customer needs, product characteristics, and local trade practices.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reaches the market in the following ways: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to Natural &amp; Specialty Wholesale Distributors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natural and specialty distributor partners operate a distribution network delivering thousands of SKUs of natural and gourmet products to thousands of small, independent, natural retail outlets around the U.S., along with national chain customers, both conventional and natural. This system of distribution allows our brands far reaching access to some of the most remote parts of North America. During the past year we expanded, and will continue to expand, in this distribution network.</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to Store Distribution (“DSD”) Through Non-Alcoholic Beverage Distributor Network</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distributor partners operate DSD systems which deliver primarily beverages, foods, and snacks directly to retail stores where the products are merchandised by their route sales and field sales employees. DSD enables us to merchandise with maximum visibility and appeal. DSD is especially well-suited to products frequently restocked and responds to in-store promotion and merchandising. We are primarily focused on expanding our DSD network on a national basis.</w:t>
      </w:r>
    </w:p>
    <w:p>
      <w:pPr>
        <w:pStyle w:val="TextBody"/>
        <w:shd w:fill="FFFFFF" w:val="clear"/>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to Store Warehouse Distribution</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products are delivered from our co-packers and warehouses directly to customer warehouses. Some retailers mandate we deliver directly to them, as it is more cost effective and allows them to pass savings along to their customers. Other retailers may not mandate direct delivery, but they recommend and prefer it as they have the capability to self-distribute and can realize significant savings with direct delivery.</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Wholesale Distribution</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Wholesale Distributor network handles the wholesale shipments of our products. These distributors have a warehouse and distribution center, and ship Reed’s and Virgil’s products directly to the retailer (or to customers who opt for drop shipping).</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International Distribution</w:t>
      </w:r>
    </w:p>
    <w:p>
      <w:pPr>
        <w:pStyle w:val="TextBody"/>
        <w:shd w:fill="FFFFFF" w:val="clear"/>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export Reed’s and Virgil’s brands throughout international markets via US based exporters. International markets where our brands are present are France, UK, South Africa, portions of the Caribbean, Canada, Spain, Philippines, Israel and Australia. In the UK, our Virgil’s brands can be found at Pizza Hut, Tesco Supermarket and Sainsbury.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to some areas of the world are cost prohibitive, except for some specialty sales, since our premium sodas were historically packed in glass, which drives substantial freight costs when shipping overseas. Despite these cost challenges, we believe there are good opportunities to expand internationally, and we are increasing our marketing focus on these areas by adding freight friendly packages such as aluminum cans. We are open to exporting and co-packing internationally and expanding our brands into foreign markets, and we have held preliminary discussions with trading companies and import/export companies for the distribution of our products throughout Asia, Europe, Australia, and South America. We believe these areas are a natural fit for Reed’s ginger products because of the popularity and importance of ginger in international markets, especially the Asian market, where ginger is a significant part of the local diet and nutrition.</w:t>
      </w:r>
    </w:p>
    <w:p>
      <w:pPr>
        <w:pStyle w:val="TextBody"/>
        <w:shd w:fill="FFFFFF" w:val="clear"/>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strength of our brands, innovation, and marketing, coupled with the quality of our products and flexibility of our distribution network, allows us to compete effectively.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Agreements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agreements with some of our distributors that commit us to “termination fees” if we terminate our agreements early or without cause. These agreements provide for our distributor partners to have the right to distribute our products to a defined type of retailer within a defined geographic region. As is customary in the beverage industry, if we should terminate the agreement or not automatically renew the agreement, we would be obligated to make certain payments to our distributor partners. We constantly review our distribution agreements with our partners across North America.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outside distributors are not bound by written agreements with us and may discontinue their relationship with us on short notice. Most distributors handle a number of competitive products. In addition, our products are sometimes a small part of our distributors’ businesses.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Our Products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Reed’s products are produced by our co-pack partners, which assemble our products and charge us a fee, generally by the case, for the products produced. We have a long-standing relationship with two co-packers in Pennsylvania. Additionally, in conjunction with the sale of our plant, we entered into a three-year co-packing agreement with CCB, whereby CCB will produce Reed’s Inc. beverages in glass bottles at prevailing West Coast market rates. In 2019, we entered into a co-packing agreement with Sonoma Beverage Company on the West Coast. We recently engaged an additional co-packer on the East Coast, Clinton’s Ditch, and another on the West Coast, Noel Canning. We are in discussions and negotiations with additional co-packers to secure added capability for future production needs. We periodically review our co-packing relationships to ensure that they are optimal with respect to quality of production, cost and location.</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Warehousing and Logistics are a significant portion of the Company’s operational costs. In order to drive efficiency and reduce costs, on February 1, 2019 we entered into a strategic partnership with Veritiv Logistics Solutions to manage all freight movement for the Company. Veritiv is one of the largest distribution service providers in North America and has expertise that will provide a competitive advantage in the movement of raw materials and finished goods. This partnership will support planning and execution of all inventory movement, assessment of storage needs and cost management.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a “fill as needed” model to the best of our ability and have no significant order backlog.</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Product Development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simplified our business and have streamlined a significant number of SKUs in order to further our primary objective of accelerating the growth of the Reed’s and Virgil’s core product offerings, we believe significant opportunity remains in the all-natural beverage space.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Healthier alternatives will be the future for carbonated soft drinks. We will continue to drive product development in the all-natural, no and low sugar offerings in the “better for you” beverage categories. In addition, we believe there are powerful consumer trends that will help propel the growth of our brand portfolio including the increased consumption of ginger as a recognized superfood, the growing use of ginger beer in today’s popular cocktail drinks, and consumers’ increased demand for higher quality, all-natural handcrafted beverages.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J. Reed, the Company’s founder and Chief Innovation Officer continues to support our new product development efforts in 2020. Mr. Reed possesses thirty plus years of product development and innovation experience. Recent innovations include our compelling line of full flavor, all-natural, zero sugar, zero calorie sodas. Reed’s has also begun to expand and broaden its product development capabilities by engaging and working with larger, experienced beverage flavor houses and innovative ingredient research and supply companies.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new business model enhances our ability to be nimble and innovative, producing category leading new products in a short period of time.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Nonalcoholic Beverages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nonalcoholic beverage segment of the commercial beverage industry is highly competitive, consisting of numerous companies ranging from small or emerging to very large and well established. The principal areas of competition include pricing, packaging, development of new products and flavors, and marketing campaigns. Our products compete with a wide range of drinks produced by a relatively large number of manufacturers. Many of these brands have enjoyed broad, well-established national recognition for years, through well-funded ad and other branding campaigns. Competitors in the ginger beer category include Goslings, Fever Tree, Bundaberg, Cock ‘n Bull and Q Tonic; in the craft soda category we compete with brands such as Stewart’s, IBC, Zevia, Blue Sky, Hansen’s, Henry Weinhard’s, Boylan, and Jones Soda; In the Ginger Ale category we compete with Canada Dry, Schweppes, Seagram’s and Zevia.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affecting our ability to compete successfully include the taste and flavor of products, trade and consumer promotions, rapid and effective development of new, unique cutting-edge products, attractive and different packaging, branded product advertising, and pricing. We also compete for distributors who will concentrate on marketing our products over those of our competitors, provide stable and reliable distribution, and secure adequate shelf space in retail outlets. Competitive pressures in the soft drink category could also cause our products to be unable to gain or even lose market share, or we could experience price erosion.</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products having a relatively high price for a craft premium beverage product, minimal mass media advertising to date, and a small but growing presence in the mainstream market compared to many of our competitors, we believe our all-natural innovative beverage recipes, packaging, use of premium ingredients, and a proprietary ginger processing formula provide us with a competitive advantage. Our commitments to the highest quality standards and brand innovation are keys to our success.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Shot Category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Reed’s Wellness Ginger Shot was introduced during 2020. The shot category is very competitive and a few mainstream companies dominate the category, but there is room for an all-natural alternative. Competition for market share and acceptance of new products is significant. Main competitors are 5-Hour Energy, Ginger Time, and Rescue Ginger Shots.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Candy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Craft Crystallized Ginger and Reed’s Ginger Chews restaged their product line up in 2020 and we will be working with a new distribution partner in 2021. The category is small and there is not a significant number of entrants. Key competitors are Chimes and Gin Gins.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Raw Materials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raw materials used in the preparation, bottling and packaging of our products are purchased by Reed’s or by our contract packers in accordance with our specifications.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raw materials used in our products are obtained from domestic and foreign suppliers and many of the materials have multiple reliable suppliers. This provides a level of protection against a major supply constriction or adverse cost or supply impacts. Since our raw materials are common ingredients and supply is easily accessible, we have few long-term contracts in place with our suppliers.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Glass Bottles and Aluminum Cans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component of our product cost is the purchase of glass bottles and aluminum cans. In December 2017, we entered into an exclusive strategic partnership with Owens-Illinois (glass), and in February 2018 we entered into a strategic partnership with Crown Cork &amp; Seal for aluminum cans. Both suppliers provide expertise in emerging package and material innovation that can be leveraged to further expand marketing and package offerings.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Practices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2020 we entered into a licensing agreement with Full Sail Brewery headquartered in Hood River, Oregon to manufacture and sell our new line of Reed’s Alcoholic Moscow Mule in 4 pack, 12 pack, and 16 ounce cans. Full Sail manages all aspects of production and distribution.</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nonalcoholic beverages are somewhat seasonal with a higher than average volume in the warmer months. The volume of sales in the beverage business may be affected by weather conditions.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Proprietary Rights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copyrights, trademarks and trade secrets relating to our products and the processes for their production; the packages used for our products; and the design and operation of various processes and equipment used in our business. Some of our proprietary rights are licensed to our co-packers and suppliers and other parties. Reed’s ginger processing and brewing process, finished beverage products and concentrate formulas are among its most valuable trade secrets.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trademarks in the United States that we consider material to our business. Trademarks in the United States are valid as long as they are in use and/or their registrations are properly maintained. Pursuant to our manufacturing and bottling agreements, we authorize our bottlers to use applicable Reed’s trademarks in connection with their manufacture, sale and distribution of our products. We have registered and intend to obtain additional trademarks in international markets as may become necessary.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confidentiality and non-disclosure agreements with employees, manufacturers and distributors to protect our proprietary rights. Mr. Reed is also subject to an intellectual property agreement with Reed’s restricting competition consistent with his fiduciary obligations to Reed’s.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production, distribution and sale in the United States of many of our products are subject to the Federal Food, Drug, and Cosmetic Act, the Federal Trade Commission Act, the Lanham Act, state consumer protection laws, competition laws, federal, state and local workplace health and safety laws, various federal, state and local environmental protection laws, and various other federal, state and local statutes and regulations applicable to the production, transportation, sale, safety, advertising, labeling and ingredients of such products. Outside the United States, the distribution and sale of our many products and related operations are also subject to numerous similar and other statutes and regulations.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California law known as Proposition 65 requires a specific warning to appear on any product containing a component listed by the state as having been found to cause cancer or birth defects. The state maintains lists of these substances and periodically adds other substances to these lists. Proposition 65 exposes all food and beverage producers to the possibility of having to provide warnings on their products in California because it does not provide for any generally applicable quantitative threshold below which the presence of a listed substance is exempt from the warning requirement. Consequently, the detection of even a trace amount of a listed substance can subject an affected product to the requirement of a warning label. However, Proposition 65 does not require a warning if the manufacturer of a product can demonstrate that the use of that product exposes consumers to a daily quantity of a listed substance that is:</w:t>
      </w:r>
    </w:p>
    <w:p>
      <w:pPr>
        <w:pStyle w:val="TextBody"/>
        <w:jc w:val="both"/>
        <w:rPr>
          <w:caps w:val="false"/>
          <w:smallCaps w:val="false"/>
        </w:rPr>
      </w:pPr>
      <w:r>
        <w:rPr>
          <w:caps w:val="false"/>
          <w:smallCaps w:val="false"/>
        </w:rPr>
        <w:t> </w:t>
      </w:r>
    </w:p>
    <w:tbl>
      <w:tblPr>
        <w:tblW w:w="4840" w:type="dxa"/>
        <w:jc w:val="left"/>
        <w:tblInd w:w="0" w:type="dxa"/>
        <w:tblCellMar>
          <w:top w:w="0" w:type="dxa"/>
          <w:left w:w="0" w:type="dxa"/>
          <w:bottom w:w="0" w:type="dxa"/>
          <w:right w:w="0" w:type="dxa"/>
        </w:tblCellMar>
      </w:tblPr>
      <w:tblGrid>
        <w:gridCol w:w="75"/>
        <w:gridCol w:w="170"/>
        <w:gridCol w:w="459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45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 “safe harbor” threshold that may be established;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45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naturally occurring;</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45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 of necessary cooking; or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45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another applicable exemption.</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Company beverages produced for sale in California are currently required to display warnings under this law. We are unable to predict whether a component found in a Company product might be added to the California list in the future, although the state has initiated a regulatory process in which caffeine and other natural occurring substances will be evaluated for listing. Furthermore, we are also unable to predict when or whether the increasing sensitivity of detection methodology may become applicable under this law and related regulations as they currently exist, or as they may be amended, might result in the detection of an infinitesimal quantity of a listed substance in a beverage of ours produced for sale in California.</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Bottlers of our beverage products presently offer and use non-refillable, recyclable containers in the United States. Some of these bottlers also offer and use refillable containers, which are also recyclable. Legal requirements apply in various jurisdictions in the United States and overseas requiring deposits or certain taxes or fees be charged for the sale, marketing and use of certain non-refillable beverage containers. The precise requirements imposed by these measures vary. Other types of beverage container-related deposit, recycling, tax and/or product stewardship statutes and regulations also apply in various jurisdictions in the United States and overseas. We anticipate additional, similar legal requirements may be proposed or enacted in the future at local, state and federal levels, both in the United States and elsewhere.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facilities and other operations in the United States are subject to various environmental protection statutes and regulations, including those relating to the use of water resources and the discharge of wastewater. Our policy is to comply with all such legal requirements. Compliance with these provisions has not had, and we do not expect such compliance to have, any material adverse effect on our capital expenditures, net income or competitive position.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Matters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cost pertaining to environmental compliance activity is in recycling fees and redemption values. We are required to collect redemption values from our customers and remit those redemption values to the state, based upon the number of bottles or cans of certain products sold in the state.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Resources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we have 34 full-time equivalent employees on our corporate staff. We employ additional people on a part-time basis as needed. We have never participated in a collective bargaining agreement. We believe relations with our employees are good.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accordingly, we file annual reports, quarterly reports and other information with the Securities and Exchange Commission, or SEC. Access to copies of our Annual Reports on Form 10-K, Quarterly Reports on Form 10-Q, Current Reports on Form 8-K and other filings with the SEC, including amendments to such filings, may be obtained free of charge from our website, http://www.reedsinc.com. These filings are available promptly after we file them with, or furnish them to, the SEC. We are not incorporating our website or any information from the website into this annual report. The SEC also maintains a website, http://www.sec.gov, that contains our Annual Reports on Form 10-K, Quarterly Reports on Form 10-Q, Current Report on Form 8-K and other filings with the SEC. Access to these filings is free of charge.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0" w:name="a_003"/>
      <w:bookmarkEnd w:id="30"/>
      <w:r>
        <w:rPr>
          <w:rFonts w:ascii="Times New Roman;Times;Serif" w:hAnsi="Times New Roman;Times;Serif"/>
          <w:b/>
          <w:i w:val="false"/>
          <w:caps w:val="false"/>
          <w:smallCaps w:val="false"/>
          <w:sz w:val="20"/>
        </w:rPr>
        <w:t>Item 1A. Risk Factors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are some of the risks and uncertainties that could cause our actual results to differ materially from those presented in our forward-looking statements. The risks and uncertainties described below are not the only ones we face but do represent those risks and uncertainties that we believe are material to us. Additional risks and uncertainties not presently known to us or that we currently deem immaterial may also harm our business. All forward-looking statements in this document are based on information available to us as of the date hereof, and we assume no obligations to update any such forward-looking statements.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Material Risk Factors</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We have a history of operating losses. If we continue to suffer losses from operations, our working capital may be insufficient to support our ability to expand our business operations as rapidly as we would deem necessary at any time, unless we are able to obtain additional financing.</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We may need additional financing in the future, which may not be available when needed or may be costly and dilutive.</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Our secured credit facility with Rosenthal and Rosenthal, Inc. contains financial covenants that, if breached, could trigger default.</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The recent global coronavirus outbreak could harm our business and results of operations.</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Disruption within our supply chain, contract manufacturing or distribution channels could have an adverse effect on our business, financial condition and results of operations.</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Increased market spending may not drive volume growth.</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Increases in costs of packaging, ingredients and contract manufacturing tolling fees may have an adverse impact on our gross margin.</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If we do not adequately manage our inventory levels, our operating results could be adversely affected.</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It is difficult to predict the timing and amount of our sales because our distributors are not required to place minimum orders with us.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Related to our recently received Paycheck Protection Program Loan</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not be entitled to forgiveness of our recently received Paycheck Protection Program Loan, and our application for the Paycheck Protection Program Loan could in the future be determined to have been impermissible.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2020, we were granted a Paycheck Protection Program loan (the “PPP Loan”) under the Coronavirus Aid, Relief, and Economic Security Act (the “CARES Act”) administered by the U.S. Small Business Administration (the “SBA”) in the aggregate amount of $770,000 pursuant to the Paycheck Protection Program (the “PPP”) under the CARES Act. The PPP Loan agreement is dated April 20, 2020, matures on April 20, 2022, bears interest at a rate of 1% per annum, with the first six months of interest deferred, is payable monthly commencing on November 2020, and is unsecured and guaranteed by the U.S. Small Business Administration. The loan term may be extended to April 20, 2025, if mutually agreed to by the Company and lender. The PPP Loan may be prepaid at any time prior to maturity with no prepayment penalties. Under the CARES Act, as amended in June 2020, loan forgiveness is generally available for the sum of documented payroll costs, covered rent payments, covered mortgage interest and covered utilities during the “Covered Period”, which is 8 weeks or 24 weeks (at the election of the Company) beginning on the date of the first disbursement of the PPP Loan. We will be required to repay any portion of the outstanding principal that is not forgiven, along with accrued interest, and we cannot provide any assurance that we will be eligible for loan forgiveness, that we will apply for forgiveness, or that any amount of the PPP Loan will ultimately be forgiven by the SBA. In order to apply for the PPP Loan, we were required to certify, among other things, that the current economic uncertainty made the PPP Loan request necessary to support our ongoing operations. We made this certification in good faith after analyzing, among other things, the maintenance of our workforce, our need for additional funding to continue operations, and our ability to access alternative forms of capital in the current market environment to offset the effects of the COVID-19 pandemic. Following this analysis, we believe that we satisfied all eligibility criteria for the PPP Loan, and that our receipt of the PPP Loan is consistent with the broad objectives of the CARES Act. The certification described above is subject to interpretation. On April 23, 2020, the SBA issued guidance stating that it is unlikely that a public company with substantial market value and access to capital markets will be able to make the required certification in good faith. The lack of clarity regarding loan eligibility under the Paycheck Protection Program has resulted in significant media coverage and controversy with respect to public companies applying for and receiving loans. If, despite our good-faith belief that given our circumstances we satisfied all eligible requirements for the PPP Loan, we are later determined to have not been in compliance with these requirements or it is otherwise determined that we were ineligible to receive the PPP Loan, we may be required to repay the PPP Loan in its entirety and/or be subject to additional penalties. Should we be audited or reviewed by federal or state regulatory authorities as a result of filing an application for forgiveness of the PPP Loan or otherwise, such audit or review could result in the diversion of management’s time and attention and the incurrence of additional costs. Any of these events could have a material adverse effect on our business, results of operations and financial condition.</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Relating to Our Business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2020, the Company recorded a net loss of $10,177 and used cash in operations of $9,496. As of December 31, 2020, we had a cash balance of $595 with borrowing capacity of $5,166, stockholders’ equity of $10,404 and a working capital of $9,528, compared to a cash balance of $913, stockholder’s equity of $1,147 and working capital of $4,885 at December 31, 2019.</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2020 and 2019, the Company experienced significant financing shortages and engaged in two separate transactions to raise capital in 2020. Recently, the Company received net proceeds of $5,310 from an underwritten offering of common stock in April 2020, and $11,254 from an underwritten offering of common stock in November 2020.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continue to suffer losses from operations, our working capital may be insufficient to support our ability to expand our business operations as rapidly as we would deem necessary at any time, unless we are able to obtain additional financing. There can be no assurance that we will be able to obtain such financing on acceptable terms, or at all. If adequate funds are not available or are not available on acceptable terms, we may not be able to pursue our business objectives and would be required to reduce our level of operations, including reducing infrastructure, promotions, sales and marketing programs, personnel and other operating expenses. These events could adversely affect our business, results of operations and financial condition. If adequate funds are not available or if they are not available on acceptable terms, our ability to fund the growth of our operations, take advantage of opportunities, develop products or services or otherwise respond to competitive pressures, could be significantly limited.</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additional financing in the future, which may not be available when needed or may be costly and dilutive.</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require additional financing to support our working capital needs in the future. The amount of additional capital we may require, the timing of our capital needs and the availability of financing to fund those needs will depend on a number of factors, including our strategic initiatives and operating plans, the performance of our business and the market conditions for debt or equity financing. Additionally, the amount of capital required will depend on our ability to meet our case sales goals and otherwise successfully execute our operating plan. We believe it is imperative to meet these sales objectives in order to lessen our reliance on external financing in the future. Although we believe various debt and equity financing alternatives will be available to us to support our working capital needs, financing arrangements on acceptable terms may not be available to us when needed. Additionally, these alternatives may require significant cash payments for interest and other costs or could be highly dilutive to our existing shareholders. Any such financing alternatives may not provide us with sufficient funds to meet our long-term capital requirements. If necessary, we may explore strategic transactions that we consider to be in the best interest of the Company and our shareholders, which may include, without limitation, public or private offerings of debt or equity securities, and other strategic alternatives; however, these options may not ultimately be available or feasible.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indebtedness and liquidity needs could restrict our operations and make us more vulnerable to adverse economic conditions.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indebtedness may adversely affect our operations and limit our growth, and we may have difficulty making debt service payments on such indebtedness as payments become due. We may also experience the occurrence of events of default or breach of financial covenants. If market or other economic conditions deteriorate, our ability to comply with these covenants may be impaired. If we violate any of the restrictions or covenants, a significant portion of our indebtedness may become immediately due and payable, our lenders’ commitment to make further loans to us may terminate. We might not have, or be able to obtain, sufficient funds to make these accelerated payments.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secured credit facility with Rosenthal and Rosenthal, Inc. contains financial covenants that, if breached, could trigger default.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Financing Agreement with Rosenthal &amp; Rosenthal, Inc. (“Rosenthal”) dated October 4, 2018 for our secured credit facility, we are required to maintain at the end of each of our fiscal quarters, tangible net worth in an amount not less than negative $1,500,000 and working capital of not less than negative $2,500,000. We met these requirements for the fiscal year ended December 31, 2020, and 2019. Any breach that is not waived by Rosenthal could trigger default.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recent global coronavirus outbreak could harm our business and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the World Health Organization declared coronavirus COVID-19 a global pandemic. This contagious disease outbreak, which has continued to spread, and any related adverse public health developments, has adversely affected workforces, customers, economies, and financial markets globally, potentially leading to an economic downturn. It has also disrupted the normal operations of many businesses, including ours. This outbreak could decrease spending, adversely affect demand for our product and harm our business and results of operations. It is not possible for us to predict the duration or magnitude of the adverse results of the outbreak and its effects on our business or results of operations at this time.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The COVID-19 pandemic and mitigation measures has had an adverse impact on global economic conditions, including disruption of stock markets and may impact on our ability to obtain financing on terms acceptable to us, if at all.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In February and March 2020, the financial markets significantly declined as the reality of the COVID-19 pandemic came into focus. The extent to which the COVID-19 pandemic continues to impact our results will depend on future developments that are highly uncertain and cannot be predicted at this time, including new information that may emerge concerning the severity of the virus and its variants and the actions to contain its impact. Disruption of stock markets had an impact on the cost of capital in 2020 and may, in the future, impact on our ability to obtain financing on terms acceptable to us, if at all.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 within our supply chain, contract manufacturing or distribution channels could have an adverse effect on our business, financial condition and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through our suppliers, business partners, contract manufacturers, independent distributors and retailers, to produce, transport, distribute and sell products is critical to our success.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or disruption to our suppliers or to manufacturing or distribution capabilities due to weather, natural disaster, fire or explosion, terrorism, pandemics such as COVD-19 and influenza, labor strikes or other reasons, could impair the manufacture, distribution and sale of our products. Many of these events are outside of our control. Failure to take adequate steps to protect against or mitigate the likelihood or potential impact of such events, or to effectively manage such events if they occur, could adversely affect our business, financial condition and results of operations.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distributors, retailers and brokers could affect our ability to efficiently and profitably distribute and market our products, maintain our existing markets and expand our business into other geographic markets.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our existing markets for our products, and to establish markets in new geographic distribution areas, is dependent on our ability to establish and maintain successful relationships with reliable distributors, retailers and brokers strategically positioned to serve those areas. Most of our distributors, retailers and brokers sell and distribute competing products and our products may represent a small portion of their businesses. The success of this network will depend on the performance of the distributors, retailers and brokers of this network. There is a risk that the mentioned entities may not adequately perform their functions within the network by, without limitation, failing to distribute to sufficient retailers or positioning our products in localities that may not be receptive to our product. Our ability to incentivize and motivate distributors to manage and sell our products is affected by competition from other beverage companies who have greater resources than we do. To the extent that our distributors, retailers and brokers are distracted from selling our products or do not employ sufficient efforts in managing and selling our products, including re-stocking the retail shelves with our products, our sales and results of operations could be adversely affected. Furthermore, such third-parties’ financial position or market share may deteriorate, which could adversely affect our distribution, marketing and sales activities.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our distribution network and attract additional distributors, retailers and brokers will depend on a number of factors, some of which are outside our control. Some of these factors include:</w:t>
      </w:r>
    </w:p>
    <w:p>
      <w:pPr>
        <w:pStyle w:val="TextBody"/>
        <w:ind w:left="0" w:right="0" w:firstLine="614"/>
        <w:jc w:val="both"/>
        <w:rPr>
          <w:caps w:val="false"/>
          <w:smallCaps w:val="false"/>
        </w:rPr>
      </w:pPr>
      <w:r>
        <w:rPr>
          <w:caps w:val="false"/>
          <w:smallCaps w:val="false"/>
        </w:rPr>
        <w:t> </w:t>
      </w:r>
    </w:p>
    <w:tbl>
      <w:tblPr>
        <w:tblW w:w="8860" w:type="dxa"/>
        <w:jc w:val="left"/>
        <w:tblInd w:w="0" w:type="dxa"/>
        <w:tblCellMar>
          <w:top w:w="0" w:type="dxa"/>
          <w:left w:w="0" w:type="dxa"/>
          <w:bottom w:w="0" w:type="dxa"/>
          <w:right w:w="0" w:type="dxa"/>
        </w:tblCellMar>
      </w:tblPr>
      <w:tblGrid>
        <w:gridCol w:w="75"/>
        <w:gridCol w:w="170"/>
        <w:gridCol w:w="8615"/>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6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our brands and products in a particular distribution area;</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861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6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price our products at levels competitive with those of competing products;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861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6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products in the quantity and at the time ordered by distributors, retailers and brokers.</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successfully manage all or any of these factors in any of our current or prospective geographic areas of distribution. Our inability to achieve success with regards to any of these factors in a geographic distribution area will have a material adverse effect on our relationships in that particular geographic area, thus limiting our ability to maintain or expand our market, which will likely adversely affect our revenues and financial results.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 time and expense in attracting and maintaining key distributors.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marketing and sales strategy depends in large part on the availability and performance of our independent distributors. We currently do not have, nor do we anticipate in the future that we will be able to establish, long-term contractual commitments from some of our distributors. We may not be able to maintain our current distribution relationships or establish and maintain successful relationships with distributors in new geographic distribution areas. Moreover, there is the additional possibility that we may have to incur additional expenditures to attract and maintain key distributors in one or more of our geographic distribution areas in order to profitably exploit our geographic markets.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lose any of our key distributors or national retail accounts, our financial condition and results of operations could be adversely affected.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in large part on distributors to distribute our beverages and other products. Some of our outside distributors are not bound by written agreements with us and may discontinue their relationship with us on short notice. Some distributors handle a number of competitive products. In addition, our products are a small part of our distributors’ businesses.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continually seek to expand distribution of our products by entering into distribution arrangements with regional bottlers or other direct store delivery distributors having established sales, marketing and distribution organizations. Many of our distributors are affiliated with and manufacture and/or distribute other soda and non-carbonated brands and other beverage products. In many cases, such products compete directly with our products.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efforts of our distributors are important for our success. If our brands prove to be less attractive to our existing distributors and/or if we fail to attract additional distributors, and/or our distributors do not market and promote our products above the products of our competitors, our business, financial condition and results of operations could be adversely affected.</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difficult to predict the timing and amount of our sales because our distributors are not required to place minimum orders with us.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distributors and national accounts are not required to place minimum monthly or annual orders for our products. In order to reduce their inventory costs, independent distributors typically order products from us on a “just in time” basis in quantities and at such times based on the demand for the products in a particular distribution area. Accordingly, we cannot predict the timing or quantity of purchases by any of our independent distributors or whether any of our distributors will continue to purchase products from us in the same frequencies and volumes as they may have done in the past. Additionally, our larger distributors and partners may make orders that are larger than we have historically been required to fill. Shortages in inventory levels, supply of raw materials or other key supplies could negatively affect us.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adequately manage our inventory levels, our operating results could be adversely affected.</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maintain adequate inventory levels to be able to deliver products to distributors on a timely basis. Our inventory supply depends on our ability to correctly estimate demand for our products. Our ability to estimate demand for our products is imprecise, particularly for new products, seasonal promotions and new markets. If we materially underestimate demand for our products or are unable to maintain sufficient inventory of raw materials, we might not be able to satisfy demand on a short-term basis. If we overestimate distributor or retailer demand for our products, we may end up with too much inventory, resulting in higher storage costs, increased trade spending and the risk of inventory spoilage. If we fail to manage our inventory to meet demand, we could damage our relationships with our distributors and retailers and could delay or lose sales opportunities, which would unfavorably impact our future sales and adversely affect our operating results. In addition, if the inventory of our products held by our distributors and retailers is too high, they will not place orders for additional products, which would also unfavorably impact our sales and adversely affect our operating results.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independent contract manufacturers could make management of our manufacturing and distribution efforts inefficient or unprofitable.</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expected to arrange for our contract manufacturing needs sufficiently in advance of anticipated requirements, which is customary in the contract manufacturing industry for comparably sized companies. Based on the cost structure and forecasted demand for the particular geographic area where our contract manufacturers are located, we continually evaluate which of our contract manufacturers to use. To the extent demand for our products exceeds available inventory or the production capacity of our contract manufacturing arrangements, or orders are not submitted on a timely basis, we will be unable to fulfill distributor orders on demand. Conversely, we may produce more product inventory than warranted by the actual demand for it, resulting in higher storage costs and the potential risk of inventory spoilage. Our failure to accurately predict and manage our contract manufacturing requirements and our inventory levels may impair relationships with our independent distributors and key accounts, which, in turn, would likely have a material adverse effect on our ability to maintain effective relationships with those distributors and key accounts.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costs of packaging, ingredients and contract manufacturing tolling fees may have an adverse impact on our gross margin.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few years, costs of organic and natural ingredients have increased due to increased demand and required the Company to obtain these ingredients from a wider population of qualified vendors. Packaging costs such as paper and aluminum cans have experienced industry wide price increases in the past and there is always the risk that the company’s co-packers increase their toll rates based on increases in their fixed and variable costs. If the Company is unable to pass on these costs, the gross margin will be significantly impacted.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Increased market spending may not drive volume growth</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marketing efforts in the past have been limited. The current increase in marketing spending may not generate an increase in sales volume resulting in a net decrease in gross revenue.</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costs of energy and freight may have an adverse impact on our gross and operating margins.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few years, volatility in the global oil markets has resulted in high fuel prices, which many shipping companies have passed on to their customers by way of higher base pricing and increased fuel surcharges. With recent declines in fuel prices, some companies have been slow to pass on decreases in their fuel surcharges. If fuel prices increase again, we expect to experience higher shipping rates and fuel surcharges, as well as energy surcharges on our raw materials. It is hard to predict what will happen in the fuel markets in 2021. Due to the price sensitivity of our products, we may not be able to pass such increases on to our customers.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and retain key personnel, our efficiency and operations would be adversely affected.</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attract and retain highly qualified employees in such areas as sales, marketing, product development, supply chain, finance and accounting. In general, we compete to hire new employees, and, in some cases, must train them and develop their skills and competencies. Our operating results could be adversely affected by increased costs due to increased competition for employees, higher employee turnover or increased employee benefit costs. Any unplanned turnover, particularly involving our key personnel, could negatively impact our operations, financial condition and employee morale.</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protect our trademarks and trade secrets, we may be unable to successfully market our products and compete effectively.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trademark and trade secrecy laws, confidentiality procedures and contractual provisions to protect our intellectual property rights. Failure to protect our intellectual property could harm our brand and our reputation, and adversely affect our ability to compete effectively. Further, enforcing or defending our intellectual property rights, including our trademarks, copyrights, licenses and trade secrets, could result in the expenditure of significant financial and managerial resources. We regard our intellectual property, particularly our trademarks and trade secrets, to be of considerable value and importance to our business and our success, and we actively pursue the registration of our trademarks in the United States and internationally. However, the steps taken by us to protect these proprietary rights may not be adequate and may not prevent third parties from infringing or misappropriating our trademarks, trade secrets or similar proprietary rights. In addition, other parties may seek to assert infringement claims against us, and we may have to pursue litigation against other parties to assert our rights. Any such claim or litigation could be costly. In addition, any event that would jeopardize our proprietary rights or any claims of infringement by third parties could have a material adverse effect on our ability to market or sell our brands, profitably exploit our products or recoup our associated research and development costs.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or legal proceedings could expose us to significant liabilities and damage our reputation.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party to litigation claims and legal proceedings. Litigation involves significant risks, uncertainties and costs, including distraction of management attention away from our business operations. We evaluate litigation claims and legal proceedings to assess the likelihood of unfavorable outcomes and to estimate, if possible, the amount of potential losses. Based on these assessments and estimates, we establish reserves and disclose the relevant litigation claims or legal proceedings, as appropriate. These assessments and estimates are based on the information available to management at the time and involve a significant amount of management judgment. Actual outcomes or losses may differ materially from those envisioned by our current assessments and estimates. Our policies and procedures require strict compliance by our employees and agents with all U.S. and local laws and regulations applicable to our business operations, including those prohibiting improper payments to government officials. Nonetheless, our policies and procedures may not ensure full compliance by our employees and agents with all applicable legal requirements. Improper conduct by our employees or agents could damage our reputation or lead to litigation or legal proceedings that could result in civil or criminal penalties, including substantial monetary fines, as well as disgorgement of profits.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inherent in sales of products in international markets.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outside of the United States contribute to our revenue and profitability, and we believe that developing and emerging markets present important future growth opportunities for us. However, there can be no assurance that existing or new products that we manufacture, distribute or sell will be accepted or be successful in any particular foreign market, due to local or global competition, product price, cultural differences, consumer preferences or otherwise. Here are many factors that could adversely affect demand for our products in foreign markets, including our inability to attract and maintain key distributors in these markets; volatility in the economic growth of certain of these markets; changes in economic, political or social conditions, imposition of new or increased labeling, product or production requirements, or other legal restrictions; restrictions on the import or export of our products or ingredients or substances used in our products; inflationary currency, devaluation or fluctuation; increased costs of doing business due to compliance with complex foreign and U.S. laws and regulations. If we are unable to effectively operate or manage the risks associated with operating in international markets, our business, financial condition or results of operations could be adversely affected.</w:t>
      </w:r>
    </w:p>
    <w:p>
      <w:pPr>
        <w:pStyle w:val="TextBody"/>
        <w:ind w:left="0" w:right="0" w:firstLine="614"/>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accounting standards and subjective assumptions, estimates and judgments by management related to complex accounting matters could significantly affect our financial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generally accepted accounting principles and related pronouncements, implementation guidelines and interpretations with regard to a wide variety of matters that are relevant to our business, such as, but not limited to, stock-based compensation, trade spend and promotions, and income taxes are highly complex and involve many subjective assumptions, estimates and judgments by our management. Changes to these rules or their interpretation or changes in underlying assumptions, estimates or judgments by our management could significantly change our reported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build and sustain proper information technology infrastructure, our business could suffer.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information technology as an enabler to improve the effectiveness of our operations and to interface with our customers, as well as to maintain financial accuracy and efficiency.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subject to cybersecurity attacks.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attacks are evolving and include malicious software, attempts to gain unauthorized access to data, and other electronic security breaches that could lead to disruptions in business processes, unauthorized release of confidential or otherwise protected information and corruption of data. Such unauthorized access could subject us to operational interruption, damage to our brand image and private data exposure, and harm our business.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Factors Relating to Our Industry</w:t>
      </w:r>
    </w:p>
    <w:p>
      <w:pPr>
        <w:pStyle w:val="TextBody"/>
        <w:ind w:left="0" w:right="0" w:firstLine="720"/>
        <w:jc w:val="center"/>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current aluminum shortage can harm our ability to meet consumer demand.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craft beverage company, we do not meet volume requirements to have a contract in place with our aluminum can supplier. Craft beverage companies such as us are facing an aluminum can shortage. We anticipate we will continue to see supply issues with all sizes of aluminum cans. This aluminum can shortage can harm our ability to timely produce enough product to meet consumer demand.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a reduced demand for some of our products due to health concerns (including obesity) and legislative initiatives against sweetened beverages.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Consumers are concerned about health and wellness; public health officials and government officials are increasingly vocal about obesity and its consequences. There has been a trend among some public health advocates and dietary guidelines to recommend a reduction in sweetened beverages, as well as increased public scrutiny, potential new taxes on sugar-sweetened beverages, and additional governmental regulations concerning the marketing and labeling/packing of the beverage industry. Additional or revised regulatory requirements, whether labeling, tax or otherwise, could have a material adverse effect on our financial condition and results of operations. Further, increasing public concern with respect to sweetened beverages could reduce demand for our beverages and increase desire for more low-calorie soft drinks, water, enhanced water, coffee-flavored beverages, tea, and beverages with natural sweeteners. We are continuously working to launch new products that round out our diversified portfolio.</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Legislative or regulatory changes that affect our products could reduce demand for products or increase our costs.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imposed on the sale of certain of our products by federal, state and local governments in the United States, Canada or other countries in which we operate could cause consumers to shift away from purchasing our beverages. Several municipalities in the United States have implemented or are considering implementing taxes on the sale of certain “sugared” beverages, including non-diet soft drinks, fruit drinks, teas and flavored waters to help fund various initiatives. These taxes could materially affect our business and financial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taxes levied on us could harm our financial results.</w:t>
      </w:r>
    </w:p>
    <w:p>
      <w:pPr>
        <w:pStyle w:val="TextBody"/>
        <w:ind w:left="0" w:right="0" w:firstLine="373"/>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legislative proposals to reform U.S. taxation of non-U.S. earnings could have a material adverse effect on our financial results by subjecting a significant portion of our non-U.S. earnings to incremental U.S. taxation and/or by delaying or permanently deferring certain deductions otherwise allowed in calculating our U.S. tax liabilities.</w:t>
      </w:r>
    </w:p>
    <w:p>
      <w:pPr>
        <w:pStyle w:val="TextBody"/>
        <w:ind w:left="0" w:right="0" w:firstLine="373"/>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compete in an industry that is brand-conscious, so brand name recognition and acceptance of our products are critical to our success.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substantially dependent upon awareness and market acceptance of our products and brands by our targeted consumers. In addition, our business depends on acceptance by our independent distributors of our brands as beverage brands that have the potential to provide incremental sales growth rather than reduce distributors’ existing beverage sales. Although we believe that we have been relatively successful towards establishing our brands as recognizable brands in the all-natural “better for you” beverage industry, it may be too early in the product life cycle of these brands to determine whether our products and brands will achieve and maintain satisfactory levels of acceptance by independent distributors, retail customers and consumers. We believe that the success of our brands will also be substantially dependent upon acceptance of our product name brands. Accordingly, any failure of our brands to maintain or increase acceptance or market penetration would likely have a material adverse effect on our revenues and financial results.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from traditional non-alcoholic beverage manufacturers may adversely affect our distribution relationships and may hinder development of our existing markets, as well as prevent us from expanding our markets.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target a niche in the estimated $32 billion carbonated and non-carbonated soft drink markets in the US, Canada and international markets. Our brands are generally regarded as premium and natural, with upscale packaging and are loosely defined as the artisanal (craft), premium bottled carbonated soft drink category. The soft drink industry is highly fragmented, and the craft soft drink category consists of such competitors as IBC, Stewart’s, Zevia, Henry Weinhard’s, Hansen’s, Izze, Boylan and Jones Soda, to name a few. These brands have the advantage of being seen widely in the national market and being commonly known for years through well-funded ad campaigns. Our products have a relatively high price for an artisanal premium beverage product, minimal mass media advertising to date and a small but growing presence in the mainstream market compared to some of our larger competitors.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beverage industry is highly competitive. We compete with other beverage companies not only for consumer acceptance but also for shelf space in retail outlets and for marketing focus by our distributors, all of which also distribute other beverage brands. Our products compete with a wide range of drinks produced by a relatively large number of manufacturers, most of which have substantially greater financial, marketing and distribution resources than ours. Some of these competitors are placing pressure on independent distributors not to carry competitive sparkling brands such as ours. We also compete with regional beverage producers and “private label” soft drink suppliers.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competitor consolidations, market-place competition, particularly among branded beverage products, and competitive product and pricing pressures could impact our earnings, market share and volume growth. If, due to such pressure or other competitive threats, we are unable to sufficiently maintain or develop our distribution channels, we may be unable to achieve our current revenue and financial targets. As a means of maintaining and expanding our distribution network, we intend to introduce new, innovative products and packages. We may not be successful in doing this and other companies may be more successful in this regard over the long term. Competition, particularly from companies with greater financial and marketing resources than ours, could have a material adverse effect on our existing markets, as well as on our ability to expand the market for our products.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compete in an industry characterized by rapid changes in consumer preferences and public perception, so our ability to continue developing new products to satisfy our consumers’ changing preferences will determine our long-term success.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introduce new products or product extensions into the marketplace as current ones mature and to meet our consumers’ changing preferences could prevent us from gaining market share and achieving long-term profitability. Product lifecycles can vary, and consumers’ preferences and loyalties change over time. Although we try to anticipate these shifts and innovate new products to introduce to our consumers, we may not succeed. Customer preferences also are affected by factors other than taste, such as health and nutrition considerations and obesity concerns, shifting consumer needs, changes in consumer lifestyles, increased consumer information and competitive product and pricing pressures. Sales of our products may be adversely affected by the negative publicity associated with these issues. If we do not adequately anticipate or adjust to respond to these and other changes in customer preferences, we may not be able to maintain and grow our brand image and our sales may be adversely affected.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may continue to adversely impact our business and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beverage industry, and particularly those companies selling premium beverages, can be affected by macro-economic factors, including changes in national, regional, and local economic conditions, unemployment levels and consumer spending patterns, which together may impact the willingness of consumers to purchase our products as they adjust their discretionary spending. Adverse economic conditions may negatively impact the ability of our distributors to obtain the credit necessary to fund their working capital needs, which could negatively impact their ability or desire to continue to purchase products from us in the same frequencies and volumes as they have done in the past. If we experience adverse economic conditions in the future, sales of our products could be adversely affected, collectability of accounts receivable may be compromised, and we may face obsolescence issues with our inventory, any of which could have a material adverse impact on our operating results and financial condition.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encounter product recalls or other product quality issues, our business may suffer.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issues, real or imagined, or allegations of product contamination, even when false or unfounded, could tarnish our image and could cause consumers to choose other products. In addition, because of changing government regulations or implementation thereof, or allegations of product contamination, we may be required from time to time to recall products entirely or from specific markets. Product recalls could affect our profitability and could negatively affect brand image.</w:t>
      </w:r>
    </w:p>
    <w:p>
      <w:pPr>
        <w:pStyle w:val="TextBody"/>
        <w:ind w:left="0" w:right="0" w:firstLine="614"/>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exposed to product liability claims.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product liability and basic recall insurance, insurance coverage may not be sufficient to cover all product liability claims that may arise. To the extent our product liability coverage is insufficient, a product liability claim would likely have a material adverse effect upon our financial condition. In addition, any product liability claim brought against us may materially damage the reputation and brand image of our products and business.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many regulations and noncompliance is costly.</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production, marketing and sale of our beverages, including contents, labels, caps and containers, are subject to the rules and regulations of various federal, provincial, state and local health agencies. If a regulatory authority finds that a current or future product or production run is not in compliance with any of these regulations, we may be fined, or production may be stopped, which would adversely affect our financial condition and results of operations. Similarly, any adverse publicity associated with any noncompliance may damage our reputation and our ability to successfully market our products. Furthermore, the rules and regulations are subject to change from time to time and while we closely monitor developments in this area, we cannot anticipate whether changes in these rules and regulations will impact our business adversely. Additional or revised regulatory requirements, whether labeling, environmental, tax or otherwise, could have a material adverse effect on our financial condition and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additional labeling or warning requirements may inhibit sales of affected products.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jurisdictions may seek to adopt significant additional product labeling or warning requirements relating to the chemical content or perceived adverse health consequences of certain of our products. These types of requirements, if they become applicable to one or more of our products under current or future environmental or health laws or regulations, may inhibit sales of such products. In California, a law requires that a specific warning appear on any product that contains a component listed by the state as having been found to cause cancer or birth defects. This law recognizes no generally applicable quantitative thresholds below which a warning is not required. If a component found in one of our products is added to the list, or if the increasing sensitivity of detection methodology that may become available under this law and related regulations as they currently exist, or as they may be amended, results in the detection of an infinitesimal quantity of a listed substance in one of our beverages produced for sale in California, the resulting warning requirements or adverse publicity could affect our sales.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develop successful new beverage products, which are important to our growth.</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important part of our strategy is to increase our sales through the development of new beverage products. We cannot provide assurance that we will be able to continue to develop, market and distribute future beverage products that will enjoy market acceptance. The failure to continue to develop new beverage products that gain market acceptance could have an adverse impact on our growth and materially adversely affect our financial condition. We may have higher obsolescent product expense if new products fail to perform as expected due to the need to write off excess inventory of the new products.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may be impacted in various ways by the introduction of new products, even if they are successful, including the following:</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new products could adversely impact sales of existing products;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higher cost of goods sold and selling, general and administrative expenses in the periods when we introduce new products due to increased costs associated with the introduction and marketing of new products, most of which are expensed as incurred;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introduce new platforms and package sizes, we may experience increased freight and logistics costs as our co-packers adjust their facilities for the new products.</w:t>
            </w:r>
          </w:p>
        </w:tc>
      </w:tr>
    </w:tbl>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growth of our revenues is dependent on acceptance of our products by mainstream consumers.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dedicated significant resources to introduce our products to the mainstream consumer. As such, we have increased our sales force and executed agreements with distributors who, in turn, distribute to mainstream consumers at grocery stores and other retailers. If our products are not accepted by the mainstream consumer, our business could suffer.</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accurately estimate demand for our products could adversely affect our business and financial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glass, cans, cartons, labels, flavors or packing arrangements, we might not be able to satisfy demand on a short-term basis. Furthermore, industry-wide shortages of certain juice concentrates and sweeteners have been and could, from time to time in the future, be experienced, which could interfere with and/or delay production of certain of our products and could have a material adverse effect on our business and financial results. We do not use hedging agreements or alternative instruments to manage this risk.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our largest customers would substantially reduce revenues.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are material to our success. If we are unable to maintain good relationships with our existing customers, our business could suffer.</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the Company had two broker/distributors that accounted for approximately 25% and 12% of its sales, respectively; and during the year ended December 31, 2019, the Company had two broker/distributors that accounted for 12% and 11% of its sales, respectively. These two broker/distributors serve hundreds if not thousands of various retail chains and end customers.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customer exceeded 10% of sales for either period.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our largest vendors would substantially reduce revenues.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vendors are important to our success. If we are unable to maintain good relationships with our existing vendors, our business could suffer.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the Company’s largest two vendors accounted for approximately 12%, and 11% of its purchases, respectively. During the year ended December 31, 2019, the Company’s largest three vendors accounted for approximately 12%, 11%, and 10% of its purchases, respectively.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the Company’s largest two vendors accounted for 12% and 10% of the total accounts payable, respectively. As of December 31, 2019, the Company’s largest three vendors accounted for 19%, 15% and 14% of the total accounts payable,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account was more than 10% of the balance of accounts payable in either period.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our third-party distributors could impair our operations and substantially reduce our financial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in large part on distributors to distribute our beverages and other products. Some of our outside distributors are not bound by written agreements with the Company and may discontinue their relationship with us on short notice. Some distributors handle a number of competitive products. In addition, our products are a small part of our distributors’ businesses.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continually seek to expand distribution of our products by entering into distribution arrangements with regional bottlers or other direct store delivery distributors having established sales, marketing and distribution organizations. Many of our distributors are affiliated with and manufacture and/or distribute other soda and non-carbonated brands and other beverage products. In many cases, such products compete directly with our products.</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efforts of our distributors are important for our success. If our brands prove to be less attractive to our existing distributors and/or if we fail to attract additional distributors, and/or our distributors do not market and promote our products above the products of our competitors, our business, financial condition and results of operations could be adversely affected.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Price fluctuations in, and unavailability of, raw materials and packaging that we use could adversely affect us.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enter into hedging arrangements for raw materials. Although the prices of raw materials that we use have not increased significantly in recent years, our results of operations would be adversely affected if the price of these raw materials were to rise and we were unable to pass these costs on to our customers.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an uninterrupted supply of the ingredients for our products, a significant portion of which we obtain overseas, principally from Peru, Fiji and Indonesia. Any decrease in the supply of these ingredients or increase in the prices of these ingredients as a result of any adverse weather conditions, pests, crop disease, interruptions of shipment or political considerations, among other reasons, could substantially increase our costs and adversely affect our financial performance.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depend upon an uninterrupted supply of packaging materials, such as glass, cans and paper items. We obtain bottles both domestically and internationally. Any decrease in supply of these materials or increase in the prices of the materials, as a result of decreased supply or increased demand, could substantially increase our costs and adversely affect our financial performance.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any of our co-packers could impair our operations and substantially reduce our financial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called co-packers in our industry, to produce our beverages.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2020 and 2019, the Company had utilized six and four, respectively, separate US based co-packers for most its production needs. Although there are other packers that could produce the Company’s beverages, a change in packers may cause a delay in the production process, which could ultimately affect operating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co-packing arrangements with other companies are on a short-term basis and such co-packers may discontinue their relationship with us on short notice. Our co-packing arrangements expose us to various risks, including:</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those co-packers were to terminate our co-packing arrangement or have difficulties in producing beverages for us, our ability to produce our beverages would be adversely affected until we were able to make alternative arrangements;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reputation would be adversely affected if any of the co-packers were to produce inferior quality.</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substantially reduced this risk by reducing our reliance upon any single co-packer. We are in discussion and negotiation with additional co-packers to ensure added capability for future production needs.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compete in an industry characterized by rapid changes in consumer preferences and public perception, so our ability to continue to market our existing products and develop new products to satisfy our consumers’ changing preferences will determine our long-term success.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Consumers are seeking greater variety in their beverages. Our future success will depend, in part, upon our continued ability to develop and introduce different and innovative beverages. In order to retain and expand our market share, we must continue to develop and introduce different and innovative beverages and be competitive in the areas of quality and health, although there can be no assurance of our ability to do so. There is no assurance that consumers will continue to purchase our products in the future. Additionally, many of our products are considered premium products and to maintain market share during recessionary periods, we may have to reduce profit margins, which would adversely affect our results of operations. In addition, there is increasing awareness and concern for the health consequences of obesity. This may reduce demand for our non-diet beverages, which could affect our profitability. Product lifecycles for some beverage brands and/or products and/or packages may be limited to a few years before consumers’ preferences change. The beverages we currently market are in varying stages of their lifecycles and there can be no assurance that such beverages will become or remain profitable for us. The beverage industry is subject to changing consumer preferences and shifts in consumer preferences may adversely affect us if we misjudge such preferences. We may be unable to achieve volume growth through product and packaging initiatives. We also may be unable to penetrate new markets. If our revenues decline, our business, financial condition and results of operations will be materially and adversely affected.</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operating results may fluctuate because of the seasonality of our business.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highest revenues occur during the summer and fall, the third and fourth quarters of each fiscal year. These seasonality issues may cause our financial performance to fluctuate. In addition, beverage sales can be adversely affected by sustained periods of bad weather.</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manufacturing process is not patented.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manufacturing processes used in producing our products are subject to a patent or similar intellectual property protection. Our only protection against a third party using our recipes and processes is confidentiality agreements with the companies that produce our beverages and with our employees who have knowledge of such processes. If our competitors develop substantially equivalent proprietary information or otherwise obtain access to our knowledge, we will have greater difficulty in competing with them for business, and our market share could decline.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retain the full-time services of our management team, it will be more difficult for us to manage our operations and our operating performance could suffer.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to a large extent, upon the services of our management team. We do have a written employment agreement with two of five members of our management team. In addition, we do not maintain key person life insurance on any of our management team. Therefore, in the event of the loss or unavailability of any member of the management team to us, there can be no assurance that we would be able to locate in a timely manner or employ qualified personnel to replace him or her. The loss of the services of any member of our management team or our failure to attract and retain other key personnel over time would jeopardize our ability to execute our business plan and could have a material adverse effect on our business, results of operations and financial condition.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stock may be volatile, and a shareholder’s investment in our common stock could suffer a decline in value.</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significant volatility in the volume and market price of our common stock, and this volatility may continue in the future. In addition, factors such as quarterly variations in our operating results, litigation involving us, general trends relating to the beverage industry, actions by governmental agencies, national economic and stock market considerations as well as other events and circumstances beyond our control could have a significant impact on the future market price of our common stock and the relative volatility of such market price.</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prolonged decline in the price of our common stock could result in a reduction in the liquidity of our common stock and a reduction in our ability to raise capital. If we are unable to raise the funds required for all of our planned operations and key initiatives, we may be forced to allocate funds from other planned uses, which may negatively impact our business and operations, including our ability to develop new products and continue our current operations.</w:t>
      </w:r>
    </w:p>
    <w:p>
      <w:pPr>
        <w:pStyle w:val="TextBody"/>
        <w:ind w:left="0" w:right="0" w:firstLine="61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that are beyond our control may significantly affect the market price of our shares. These factors include:</w:t>
      </w:r>
    </w:p>
    <w:p>
      <w:pPr>
        <w:pStyle w:val="TextBody"/>
        <w:ind w:left="0" w:right="0" w:firstLine="720"/>
        <w:jc w:val="both"/>
        <w:rPr>
          <w:caps w:val="false"/>
          <w:smallCaps w:val="false"/>
        </w:rPr>
      </w:pPr>
      <w:r>
        <w:rPr>
          <w:caps w:val="false"/>
          <w:smallCaps w:val="false"/>
        </w:rPr>
        <w:t> </w:t>
      </w:r>
    </w:p>
    <w:tbl>
      <w:tblPr>
        <w:tblW w:w="6505" w:type="dxa"/>
        <w:jc w:val="left"/>
        <w:tblInd w:w="0" w:type="dxa"/>
        <w:tblCellMar>
          <w:top w:w="0" w:type="dxa"/>
          <w:left w:w="0" w:type="dxa"/>
          <w:bottom w:w="0" w:type="dxa"/>
          <w:right w:w="0" w:type="dxa"/>
        </w:tblCellMar>
      </w:tblPr>
      <w:tblGrid>
        <w:gridCol w:w="75"/>
        <w:gridCol w:w="170"/>
        <w:gridCol w:w="62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62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volume fluctuations in the stock markets;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2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62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revenues and earnings or other variations in operating results;</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7840" w:type="dxa"/>
        <w:jc w:val="left"/>
        <w:tblInd w:w="0" w:type="dxa"/>
        <w:tblCellMar>
          <w:top w:w="0" w:type="dxa"/>
          <w:left w:w="0" w:type="dxa"/>
          <w:bottom w:w="0" w:type="dxa"/>
          <w:right w:w="0" w:type="dxa"/>
        </w:tblCellMar>
      </w:tblPr>
      <w:tblGrid>
        <w:gridCol w:w="75"/>
        <w:gridCol w:w="170"/>
        <w:gridCol w:w="759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5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shortfall in revenue or increase in losses from levels expected by us or securities analysts;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75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5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policies or law;</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75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5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performance of companies comparable to us;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75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5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trends and other external factors.</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an active market for our common stock is established, stockholders may have to sell their shares at prices substantially lower than the price they paid for them or might otherwise receive than if a broad public market existed.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has been a very limited public trading market for our securities and the market for our securities may continue to be limited, and be sporadic and highly volatile.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a limited public market for our common stock. Holders of our common stock may, therefore, have difficulty selling their shares, should they decide to do so. In addition, there can be no assurances that such markets will continue or that any shares which may be purchased, may be sold without incurring a loss. Any such market price of our shares may not necessarily bear any relationship to our book value, assets, past operating results, financial condition or any other established criteria of value, and may not be indicative of the market price for the shares in the future.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financings could adversely affect common stock ownership interest and rights in comparison with those of other security holders.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power to issue additional shares of common or preferred stock up to the amounts authorized in our certificate of incorporation without stockholder approval, subject to restrictive covenants contained in the Company’s contracts. If additional funds are raised through the issuance of equity or convertible debt securities, the percentage ownership of our existing stockholders will be reduced, and these newly issued securities may have rights, preferences or privileges senior to those of existing stockholders. If we issue any additional common stock or securities convertible into common stock, such issuance will reduce the proportionate ownership and voting power of each other stockholder. In addition, such stock issuances might result in a reduction of the book value of our common stock. Any increase of the number of authorized shares of common stock or preferred stock would require board and shareholder approval and subsequent amendment to our certificate of incorporation.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Related to Distribution of Alcoholic Beverages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for our products may be adversely affected by many factors, including changes in consumer preferences and trends.</w:t>
      </w:r>
    </w:p>
    <w:p>
      <w:pPr>
        <w:pStyle w:val="TextBody"/>
        <w:ind w:left="0" w:right="0" w:firstLine="55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preferences may shift due to a variety of factors including changes in demographic and social trends, public health initiatives, product innovations, changes in vacation or leisure activity patterns and a downturn in economic conditions, which may reduce consumers’ willingness to purchase distilled spirits or cause a shift in consumer preferences away from ginger beer based cocktails toward beer, wine or non-alcoholic beverages. Our success depends in part on fulfilling available opportunities to meet consumer needs and anticipating changes in consumer preferences with successful new products and product innovations. The competitive position of our brands could also be affected adversely by any failure to achieve consistent, reliable quality in the product or in service levels to customers.</w:t>
      </w:r>
    </w:p>
    <w:p>
      <w:pPr>
        <w:pStyle w:val="TextBody"/>
        <w:ind w:left="0" w:right="0" w:firstLine="264"/>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substantial competition in our industry and many factors may prevent us from competing successfully.</w:t>
      </w:r>
    </w:p>
    <w:p>
      <w:pPr>
        <w:pStyle w:val="TextBody"/>
        <w:ind w:left="0" w:right="0" w:firstLine="55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based on product taste and quality, brand image, price, service and ability to innovate in response to consumer preferences. The global spirits industry is highly competitive and is dominated by several large, well-funded international companies. It is possible that our competitors may either respond to industry conditions or consumer trends more rapidly or effectively or resort to price competition to sustain market share, which could adversely affect our sales and profitability.</w:t>
      </w:r>
    </w:p>
    <w:p>
      <w:pPr>
        <w:pStyle w:val="TextBody"/>
        <w:ind w:left="0" w:right="0" w:firstLine="55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55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public opinion about alcohol could reduce demand for our products.</w:t>
      </w:r>
    </w:p>
    <w:p>
      <w:pPr>
        <w:pStyle w:val="TextBody"/>
        <w:ind w:left="0" w:right="0" w:firstLine="55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Anti-alcohol groups have, in the past, advocated successfully for more stringent labeling requirements, higher taxes and other regulations designed to discourage alcohol consumption. More restrictive regulations, negative publicity regarding alcohol consumption and/or changes in consumer perceptions of the relative healthfulness or safety of beverage alcohol could decrease sales and consumption of alcohol and thus the demand for our products. This could, in turn, significantly decrease both our revenues and our revenue growth, causing a decline in our results of operations.</w:t>
      </w:r>
    </w:p>
    <w:p>
      <w:pPr>
        <w:pStyle w:val="TextBody"/>
        <w:ind w:left="0" w:right="0" w:firstLine="55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action or other litigation relating to alcohol abuse or the misuse of alcohol could adversely affect our business.</w:t>
      </w:r>
    </w:p>
    <w:p>
      <w:pPr>
        <w:pStyle w:val="TextBody"/>
        <w:ind w:left="0" w:right="0" w:firstLine="55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in the beverage alcohol industry are, from time to time, exposed to class action or other litigation relating to alcohol advertising, product liability, alcohol abuse problems or health consequences from the misuse of alcohol. It is also possible that governments could assert that the use of alcohol has significantly increased government funded health care costs. Litigation or assertions of this type have adversely affected companies in the tobacco industry, and it is possible that we, as well as our suppliers, could be named in litigation of this type.</w:t>
      </w:r>
    </w:p>
    <w:p>
      <w:pPr>
        <w:pStyle w:val="TextBody"/>
        <w:ind w:left="0" w:right="0" w:firstLine="264"/>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lawsuits have been brought in a number of states alleging that beverage alcohol manufacturers and marketers have improperly targeted underage consumers in their advertising. Plaintiffs in these cases allege that the defendants’ advertisements, marketing and promotions violate the consumer protection or deceptive trade practices statutes in each of these states and seek repayment of the family funds expended by the underage consumers. While we have not been named in these lawsuits, we could be named in similar lawsuits in the future. Any class action or other litigation asserted against us could be expensive and time-consuming to defend against, depleting our cash and diverting our personnel resources and, if the plaintiffs in such actions were to prevail, our business could be harmed significantly.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decisions and legal, regulatory and tax changes could limit our business activities, increase our operating costs and reduce our margins.</w:t>
      </w:r>
    </w:p>
    <w:p>
      <w:pPr>
        <w:pStyle w:val="TextBody"/>
        <w:ind w:left="0" w:right="0" w:firstLine="55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extensive regulation in all of the countries in which we operate. This may include regulations regarding production, distribution, marketing, advertising and labeling of beverage alcohol products. We are required to comply with these regulations and to maintain various permits and licenses. We are also required to conduct business only with holders of licenses to import, warehouse, transport, distribute and sell beverage alcohol products. We cannot assure you that these and other governmental regulations applicable to our industry will not change or become more stringent. Moreover, because these laws and regulations are subject to interpretation, we may not be able to predict when and to what extent liability may arise. Additionally, due to increasing public concern over alcohol-related societal problems, including driving while intoxicated, underage drinking, alcoholism and health consequences from the abuse of alcohol, various levels of government may seek to impose additional restrictions or limits on advertising or other marketing activities promoting beverage alcohol products. Failure to comply with any of the current or future regulations and requirements relating to our industry and products could result in monetary penalties, suspension or even revocation of our licenses and permits. Costs of compliance with changes in regulations could be significant and could harm our business, as we could find it necessary to raise our prices to maintain profit margins, which could lower the demand for our products and reduce our sales and profit potential.</w:t>
      </w:r>
    </w:p>
    <w:p>
      <w:pPr>
        <w:pStyle w:val="TextBody"/>
        <w:ind w:left="0" w:right="0" w:firstLine="55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the distribution of beverage alcohol products is subject to extensive taxation both in the U.S. and internationally (and, in the U.S., at both the federal and state government levels), and beverage alcohol products themselves are the subject of national import and excise duties in most countries around the world. An increase in taxation or in import or excise duties could also significantly harm our sales revenue and margins, both through the reduction of overall consumption and by encouraging consumers to switch to lower-taxed categories of beverage alcohol.</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Related to Our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achieve our objectives for our business, the value of an investment in our Company could be negatively affected.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be successful, we believe that we must, among other things: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volume for our products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find savings in our cost of goods (co-packer fees, packaging and ingredients);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the number of co-packers for our core and innovation products;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recruit and retain top talent;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 increased awareness through our brand pull campaigns, and trial and repeat purchase of our core brands;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 increased SKU placement on shelf, and open new outlets of retail distribution through our investment in sales resources, partnerships and trade marketing support;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operating expenses to sufficiently support operating activities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avoid significant increases in variable costs relating to production, marketing and distribution.</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meet these objectives, which could have a material adverse effect on our results of operations. We have incurred significant operating expenses in the past and may do so again in the future and, as a result, will need to increase revenues in order to improve our results of operations. Our ability to increase sales volume will depend primarily on success in marketing initiatives with industry brokers, improving our distribution base with DSD companies, introducing new no sugar brands, and focusing on the existing core brands in the market. Our ability to successfully enter new distribution areas and obtain national accounts will, in turn, depend on various factors, many of which are beyond our control, including, but not limited to, the continued demand for our brands and products in target markets, the ability to price our products at competitive levels, the ability to establish and maintain relationships with distributors in each geographic area of distribution and the ability in the future to create, develop and successfully introduce one or more new brands, products, and product extensions.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bylaws may have the effect of delaying or preventing a change of control or changes in our management. Our amended and restated certificate of incorporation and amended and restated bylaws include provisions that:</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without further action by the stockholders, shares of undesignated preferred stock;</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that special meetings of our stockholders can be called only upon the request of a majority of our board of directors or our Chief Executive Officer;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 advance notice procedure for stockholder proposals to be brought before an annual meeting, including proposed nominations of persons for election to our board of directors;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cumulative voting in the election of directors.</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and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stockholder became interested, the board of directors approved either the business combination or the transaction which resulted in the stockholder becoming an interested stockholder;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this provision may have an anti-takeover effect with respect to transactions the Company’s board of directors does not approve in advance. Section 203 may also discourage attempts that might result in a premium over the market price for the shares of Common Stock held by stockholders.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of Delaware law and the Certificate of Incorporation could have the effect of discouraging others from attempting hostile takeovers and, as a consequence, they may also inhibit temporary fluctuations in the market price of the Company’s common stock that often result from actual or rumored hostile takeover attempts. These provisions may also have the effect of preventing changes in the Company’s management. It is possible that these provisions could make it more difficult to accomplish transactions that stockholders may otherwise deem to be in their best interests.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Collectively, members of our board of directors and our executive officers hold approximately 8% of the Company’s outstanding common stock, beneficially own approximately 10% of our common stock and may greatly influence the outcome of all matters on which stockholders vote.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members of our board of directors and our executive officers hold approximately 8% of our outstanding common stock and beneficially own approximately 10% of our common stock. Members of our board of directors and our executive officers may influence the outcome of certain matters on which stockholders vote. (Beneficial ownership is calculated pursuant to Section 13d-3 of the Securities Exchange Act of 1934, as amended, and includes shares underlying derivative securities which may be exercised or converted within 60 days.)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analysts or industry analysts downgrade our shares, publish negative research or reports, or do not publish reports about our business, our share price and trading volume could decline.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publish about us, our business and our industry. If one or more analysts adversely change their recommendation regarding our shares or our competitors’ stock, our share price would likely decline. If one or more analysts cease coverage of us or fail to regularly publish reports on us, we could lose visibility in the financial markets, which in turn could cause our share price or trading volume to decline. As a result, the market price for our common stock may decline.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the ability to issue additional shares of our common stock and shares of preferred stock without asking for stockholder approval, which could cause your investment to be diluted.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authorize the Board of Directors to issue up to 120,000,000 shares of common stock and up to 500,000 shares of preferred stock. The power of the Board of Directors to issue shares of common stock, preferred stock or warrants or options to purchase shares of common stock or preferred stock is generally not subject to stockholder approval. Accordingly, any additional issuance of our common stock, or preferred stock that may be convertible into common stock, may have the effect of diluting your investment, and the new securities may have rights, preferences and privileges senior to those of our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sales of our stock may impact the market price of our common stock.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substantial amounts of our common stock, including shares that we may issue upon exercise of options and warrants, could adversely affect the market price of our common stock. Further, if we raise additional funds through the issuance of common stock or securities convertible into or exercisable for common stock, the percentage ownership of our stockholders will be reduced, and the price of our common stock may fall.</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thinly traded, and investors may be unable to sell some or all of their shares at the price they would like, or at all, and sales of large blocks of shares may depress the price of our common stock.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historically been sporadically or “thinly-traded,” meaning that the number of persons interested in purchasing shares of our common stock at prevailing prices at any given time may be relatively small or nonexistent. As a consequence, there may be periods of several days or more when trading activity in shares of our common stock is minimal or non-existent, as compared to a seasoned issuer that has a large and steady volume of trading activity that will generally support continuous sales without an adverse effect on share price. This could lead to wide fluctuations in our share price. Investors may be unable to sell their common stock at or above their purchase price, which may result in substantial losses. Also,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shares are sold on the market without commensurate demand, as compared to a seasoned issuer that could better absorb those sales without adverse impact on its share price.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any cash dividends on our shares of common stock in the near future, so our shareholders will not be able to receive a return on their shares unless they sell their shares.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retain any future earnings to finance the development and expansion of our business. We do not anticipate paying any cash dividends on our common stock in the foreseeable future. There is no assurance that future dividends will be paid, and if dividends are paid, there is no assurance with respect to the amount of any such dividend. Unless we pay dividends, our shareholders will not be able to receive a return on their shares unless they sell such shares.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1" w:name="SV_001"/>
      <w:bookmarkEnd w:id="31"/>
      <w:r>
        <w:rPr>
          <w:rFonts w:ascii="Times New Roman;Times;Serif" w:hAnsi="Times New Roman;Times;Serif"/>
          <w:b/>
          <w:i w:val="false"/>
          <w:caps w:val="false"/>
          <w:smallCaps w:val="false"/>
          <w:sz w:val="20"/>
        </w:rPr>
        <w:t xml:space="preserve">Item 1B. Unresolved Staff Comments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2" w:name="a_004"/>
      <w:bookmarkEnd w:id="32"/>
      <w:r>
        <w:rPr>
          <w:rFonts w:ascii="Times New Roman;Times;Serif" w:hAnsi="Times New Roman;Times;Serif"/>
          <w:b/>
          <w:i w:val="false"/>
          <w:caps w:val="false"/>
          <w:smallCaps w:val="false"/>
          <w:sz w:val="20"/>
        </w:rPr>
        <w:t>Item 2. Property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8,620 square feet of office space in Norwalk, Connecticut, which serves as our principal executive offices. The lease commenced September 1, 2018 and continues in effect for a period of 6.5 years.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3" w:name="a_005"/>
      <w:bookmarkEnd w:id="33"/>
      <w:r>
        <w:rPr>
          <w:rFonts w:ascii="Times New Roman;Times;Serif" w:hAnsi="Times New Roman;Times;Serif"/>
          <w:b/>
          <w:i w:val="false"/>
          <w:caps w:val="false"/>
          <w:smallCaps w:val="false"/>
          <w:sz w:val="20"/>
        </w:rPr>
        <w:t>Item 3. Legal Proceedings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 party to ordinary, routine litigation incidental to our business. Our management evaluates our exposure to these claims and proceedings individually and in the aggregate and provides for potential losses on such litigation if the amount of the loss is estimable and the loss is probable.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party to any material pending legal proceedings (including environmental proceedings), other than ordinary, routine litigation incidental to the business at the current time. Although the results of such litigation matters and claims cannot be predicted with certainty, we believe that the final outcome of ordinary, routine litigation will not have a material adverse impact on our financial position, liquidity, or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4" w:name="a_006"/>
      <w:bookmarkEnd w:id="34"/>
      <w:r>
        <w:rPr>
          <w:rFonts w:ascii="Times New Roman;Times;Serif" w:hAnsi="Times New Roman;Times;Serif"/>
          <w:b/>
          <w:i w:val="false"/>
          <w:caps w:val="false"/>
          <w:smallCaps w:val="false"/>
          <w:sz w:val="20"/>
        </w:rPr>
        <w:t>Item 4. Mine Safety Disclosures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35" w:name="a_007"/>
      <w:bookmarkEnd w:id="35"/>
      <w:r>
        <w:rPr>
          <w:rFonts w:ascii="Times New Roman;Times;Serif" w:hAnsi="Times New Roman;Times;Serif"/>
          <w:b/>
          <w:i w:val="false"/>
          <w:caps w:val="false"/>
          <w:smallCaps w:val="false"/>
          <w:sz w:val="20"/>
        </w:rPr>
        <w:t>PART II</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6" w:name="a_008"/>
      <w:bookmarkEnd w:id="36"/>
      <w:r>
        <w:rPr>
          <w:rFonts w:ascii="Times New Roman;Times;Serif" w:hAnsi="Times New Roman;Times;Serif"/>
          <w:b/>
          <w:i w:val="false"/>
          <w:caps w:val="false"/>
          <w:smallCaps w:val="false"/>
          <w:sz w:val="20"/>
        </w:rPr>
        <w:t>Item 5. Market for Common Equity and Related Stockholder Matters and Issuer Purchases of Equity Securities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voluntarily withdrew the principal listing of our common stock, par value $0.0001 per share from the NYSE American, LLC and transferred the listing to The Nasdaq Stock Market, LLC. The listing and trading of our common stock on the NYSE American, LLC ended at market close on May 9, 2019 and that trading began on the Nasdaq Capital Market at market open on May 10, 2019 under the stock symbol “REED”.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2020, our shareholders approved an increase in the number of authorized shares of common stock from 100 million to 120 million. As of December 31, 2020, there were approximately 5,000 holders of record of the common stock (including only non-objecting beneficial owners of record) and 86,317,096 outstanding shares of common stock.</w:t>
      </w:r>
    </w:p>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expectation to pay cash dividends to holders of our common stock in the foreseeable future.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we paid dividends on Series A Preferred Stock through the issuance of 4,530 shares of common stock. These equity securities were not registered under the Securities Act.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SEC’s Regulation S-K Compliance and Disclosure Interpretation 106.01, the information required by this Item pursuant to Item 201(d) of Regulation S-K relating to securities authorized for issuance under the Corporation’s equity compensation plans is located in Item 12 of Part III of this Annual Report and is incorporated herein by reference.</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7" w:name="a_009"/>
      <w:bookmarkEnd w:id="37"/>
      <w:r>
        <w:rPr>
          <w:rFonts w:ascii="Times New Roman;Times;Serif" w:hAnsi="Times New Roman;Times;Serif"/>
          <w:b/>
          <w:i w:val="false"/>
          <w:caps w:val="false"/>
          <w:smallCaps w:val="false"/>
          <w:sz w:val="20"/>
        </w:rPr>
        <w:t>Item 6. Selected Financial Data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Reed’s is not required to provide the information required by this Item 6.</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8" w:name="a_010"/>
      <w:bookmarkEnd w:id="38"/>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financial statements and the related notes appearing elsewhere in this Annual Report. This discussion and analysis may contain forward-looking statements based on assumptions about our future business. Our actual results could differ materially from those anticipated in these forward-looking statements as a result of certain factors, including but not limited to those set forth under “Risk Factors” and elsewhere in this Annual Report.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presented in the discussion below are in thousands, except share and per share amounts.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the Company fully utilized its expanded network of co-packers and implemented an upgraded set of quality protocols. In addition to our traditional sales channels, the Company is utilizing its ecommerce platform that includes their branded web sites and Amazon to offer its line of shots, ginger candy and drinks packaged in cans.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public equity offerings which closed during the year ended December 31, 2020, provided the Company with funds for working capital and general corporate purposes. These funds enabled us to initiate the implementation of our 2020 strategy that included driving growth while strategically reducing operating costs.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focused on driving sales growth and improving margin.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COVID-19 Considerations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the COVID-19 pandemic did not have a material net impact on our operating results. In the future,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without significant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the year ended December 31, 2020,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2020, the COVID-19 pandemic has not negatively impacted the Company’s liquidity position as of such date. Net sales for the year ended December 31, 2020 were up 23% from the prior year period. Through December 31, 2020,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risk factors related to the pandemic or other risks that could impact our results, please refer to “Risk Factors” in Part I, Item 1A of this Form 10-K.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Year Ended December 31, 2020</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years ended December 31, 2020 and 2019, in thousands:</w:t>
      </w:r>
    </w:p>
    <w:p>
      <w:pPr>
        <w:pStyle w:val="TextBody"/>
        <w:jc w:val="both"/>
        <w:rPr>
          <w:caps w:val="false"/>
          <w:smallCaps w:val="false"/>
        </w:rPr>
      </w:pPr>
      <w:r>
        <w:rPr>
          <w:caps w:val="false"/>
          <w:smallCaps w:val="false"/>
        </w:rPr>
        <w:t> </w:t>
      </w:r>
    </w:p>
    <w:tbl>
      <w:tblPr>
        <w:tblW w:w="9240" w:type="dxa"/>
        <w:jc w:val="left"/>
        <w:tblInd w:w="0" w:type="dxa"/>
        <w:tblCellMar>
          <w:top w:w="0" w:type="dxa"/>
          <w:left w:w="0" w:type="dxa"/>
          <w:bottom w:w="0" w:type="dxa"/>
          <w:right w:w="0" w:type="dxa"/>
        </w:tblCellMar>
      </w:tblPr>
      <w:tblGrid>
        <w:gridCol w:w="5165"/>
        <w:gridCol w:w="60"/>
        <w:gridCol w:w="140"/>
        <w:gridCol w:w="1100"/>
        <w:gridCol w:w="215"/>
        <w:gridCol w:w="60"/>
        <w:gridCol w:w="140"/>
        <w:gridCol w:w="1100"/>
        <w:gridCol w:w="215"/>
        <w:gridCol w:w="60"/>
        <w:gridCol w:w="87"/>
        <w:gridCol w:w="668"/>
        <w:gridCol w:w="230"/>
      </w:tblGrid>
      <w:tr>
        <w:trPr/>
        <w:tc>
          <w:tcPr>
            <w:tcW w:w="516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55"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Year Ended December 31,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gridSpan w:val="2"/>
            <w:tcBorders/>
            <w:shd w:fill="auto"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Pct.</w:t>
            </w:r>
          </w:p>
        </w:tc>
        <w:tc>
          <w:tcPr>
            <w:tcW w:w="230" w:type="dxa"/>
            <w:tcBorders/>
            <w:shd w:fill="auto" w:val="clear"/>
            <w:vAlign w:val="center"/>
          </w:tcPr>
          <w:p>
            <w:pPr>
              <w:pStyle w:val="TableContents"/>
              <w:spacing w:before="0" w:after="283"/>
              <w:rPr/>
            </w:pPr>
            <w:r>
              <w:rPr/>
              <w:t> </w:t>
            </w:r>
          </w:p>
        </w:tc>
      </w:tr>
      <w:tr>
        <w:trPr/>
        <w:tc>
          <w:tcPr>
            <w:tcW w:w="5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2020</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2019</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Change</w:t>
            </w:r>
          </w:p>
        </w:tc>
        <w:tc>
          <w:tcPr>
            <w:tcW w:w="230" w:type="dxa"/>
            <w:tcBorders/>
            <w:shd w:fill="auto" w:val="clear"/>
            <w:vAlign w:val="center"/>
          </w:tcPr>
          <w:p>
            <w:pPr>
              <w:pStyle w:val="TableContents"/>
              <w:spacing w:before="0" w:after="283"/>
              <w:rPr/>
            </w:pPr>
            <w:r>
              <w:rPr/>
              <w:t> </w:t>
            </w:r>
          </w:p>
        </w:tc>
      </w:tr>
      <w:tr>
        <w:trPr/>
        <w:tc>
          <w:tcPr>
            <w:tcW w:w="5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Gross sales (A)</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46,801</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39,300</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Less: Promotional and other allowances (B)</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5,186</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5,480</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23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sales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41,615</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33,820</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23</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Cost of goods produced (C)</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28,849</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25,635</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spacing w:before="0" w:after="283"/>
              <w:rPr>
                <w:rFonts w:ascii="Times New Roman;Times;Serif" w:hAnsi="Times New Roman;Times;Serif"/>
                <w:i/>
              </w:rPr>
            </w:pPr>
            <w:r>
              <w:rPr>
                <w:rFonts w:ascii="Times New Roman;Times;Serif" w:hAnsi="Times New Roman;Times;Serif"/>
                <w:i/>
              </w:rPr>
              <w:t>% of Gross sales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62</w:t>
            </w:r>
          </w:p>
        </w:tc>
        <w:tc>
          <w:tcPr>
            <w:tcW w:w="215" w:type="dxa"/>
            <w:tcBorders/>
            <w:shd w:fill="FFFF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65</w:t>
            </w:r>
          </w:p>
        </w:tc>
        <w:tc>
          <w:tcPr>
            <w:tcW w:w="215" w:type="dxa"/>
            <w:tcBorders/>
            <w:shd w:fill="FFFF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69</w:t>
            </w:r>
          </w:p>
        </w:tc>
        <w:tc>
          <w:tcPr>
            <w:tcW w:w="215" w:type="dxa"/>
            <w:tcBorders/>
            <w:shd w:fill="CCEE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76</w:t>
            </w:r>
          </w:p>
        </w:tc>
        <w:tc>
          <w:tcPr>
            <w:tcW w:w="215" w:type="dxa"/>
            <w:tcBorders/>
            <w:shd w:fill="CCEE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Cost of goods sold – idle capacity (D)</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309</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spacing w:before="0" w:after="283"/>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w:t>
            </w:r>
          </w:p>
        </w:tc>
        <w:tc>
          <w:tcPr>
            <w:tcW w:w="215" w:type="dxa"/>
            <w:tcBorders/>
            <w:shd w:fill="CCEE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1</w:t>
            </w:r>
          </w:p>
        </w:tc>
        <w:tc>
          <w:tcPr>
            <w:tcW w:w="215" w:type="dxa"/>
            <w:tcBorders/>
            <w:shd w:fill="CCEE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12,766</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7,876</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62</w:t>
            </w:r>
          </w:p>
        </w:tc>
        <w:tc>
          <w:tcPr>
            <w:tcW w:w="23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spacing w:before="0" w:after="283"/>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31</w:t>
            </w:r>
          </w:p>
        </w:tc>
        <w:tc>
          <w:tcPr>
            <w:tcW w:w="215" w:type="dxa"/>
            <w:tcBorders/>
            <w:shd w:fill="CCEE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23</w:t>
            </w:r>
          </w:p>
        </w:tc>
        <w:tc>
          <w:tcPr>
            <w:tcW w:w="215" w:type="dxa"/>
            <w:tcBorders/>
            <w:shd w:fill="CCEE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Delivery and handling</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6,856</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5,993</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w:t>
            </w:r>
          </w:p>
        </w:tc>
        <w:tc>
          <w:tcPr>
            <w:tcW w:w="23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spacing w:before="0" w:after="283"/>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16</w:t>
            </w:r>
          </w:p>
        </w:tc>
        <w:tc>
          <w:tcPr>
            <w:tcW w:w="215" w:type="dxa"/>
            <w:tcBorders/>
            <w:shd w:fill="CCEE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18</w:t>
            </w:r>
          </w:p>
        </w:tc>
        <w:tc>
          <w:tcPr>
            <w:tcW w:w="215" w:type="dxa"/>
            <w:tcBorders/>
            <w:shd w:fill="CCEE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rPr>
                <w:rFonts w:ascii="Times New Roman;Times;Serif" w:hAnsi="Times New Roman;Times;Serif"/>
                <w:i/>
              </w:rPr>
            </w:pPr>
            <w:r>
              <w:rPr>
                <w:rFonts w:ascii="Times New Roman;Times;Serif" w:hAnsi="Times New Roman;Times;Serif"/>
                <w:i/>
              </w:rPr>
              <w:t>Dollar per case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2.76</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2.83</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7,503</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9,188</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spacing w:before="0" w:after="283"/>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18</w:t>
            </w:r>
          </w:p>
        </w:tc>
        <w:tc>
          <w:tcPr>
            <w:tcW w:w="215" w:type="dxa"/>
            <w:tcBorders/>
            <w:shd w:fill="FFFF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i/>
              </w:rPr>
            </w:pPr>
            <w:r>
              <w:rPr>
                <w:rFonts w:ascii="Times New Roman;Times;Serif" w:hAnsi="Times New Roman;Times;Serif"/>
                <w:i/>
              </w:rPr>
              <w:t>27</w:t>
            </w:r>
          </w:p>
        </w:tc>
        <w:tc>
          <w:tcPr>
            <w:tcW w:w="215" w:type="dxa"/>
            <w:tcBorders/>
            <w:shd w:fill="FFFF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7,023</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7,551</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spacing w:before="0" w:after="283"/>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w:t>
            </w:r>
          </w:p>
        </w:tc>
        <w:tc>
          <w:tcPr>
            <w:tcW w:w="2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w:t>
            </w:r>
          </w:p>
        </w:tc>
        <w:tc>
          <w:tcPr>
            <w:tcW w:w="2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21,382</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22,732</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(8,616</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(14,856</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Interest expense and other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(1,561</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(1,256</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(10,177</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(16,112</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Loss per share – basic and diluted</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(0.17</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(0.46</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-63</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shares outstanding - basic &amp; diluted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60,644,842</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35,058,004</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are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have been defined by our internal reporting practices. In addition, gross sales may not be realized in the form of cash receipts as promotional payments and allowances may be deducted from payments received from certain customers.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Although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Cost of goods produced: Cost of goods produced consists of the costs of raw materials and packaging utilized in the manufacture of products, co-packing fees, repacking fees, in-bound freight charges, inventory adjustments, as well as certain internal transfer costs. Cost of goods produced is used internally by management to measure the direct costs of goods sold, aside from unallocated plant costs. Cost of goods produced is not a measure that is recognized under GAAP and should not be considered as an alternative to cost of goods sold, which is determined in accordance with GAAP, and should not be used alone as an indicator of operating performance in place of cost of goods sold.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Cost of goods sold – idle capacity: Cost of goods sold – idle capacity consists of direct production costs in excess of charges allocated to our finished goods in production. Plant costs in excess of production allocations are expensed in the period incurred rather than added to the cost of finished goods produced. Plant costs include labor costs, production supplies, repairs and maintenance, and inventory write-off. Our charges for labor and overhead allocated to our finished goods are determined on a market cost basis, which is lower than our actual costs incurred. Cost of goods sold – idle capacity is not a measure that is recognized under GAAP and should not be considered as an alternative to cost of goods sold, which is determined in accordance with GAAP, and should not be used alone as an indicator of operating performance in place of cost of goods sold.</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key statistics for the transition of the Company’s top line activity through the years ended December 31, 2020.</w:t>
      </w:r>
    </w:p>
    <w:p>
      <w:pPr>
        <w:pStyle w:val="TextBody"/>
        <w:jc w:val="both"/>
        <w:rPr>
          <w:caps w:val="false"/>
          <w:smallCaps w:val="false"/>
        </w:rPr>
      </w:pPr>
      <w:r>
        <w:rPr>
          <w:caps w:val="false"/>
          <w:smallCaps w:val="false"/>
        </w:rPr>
        <w:t> </w:t>
      </w:r>
    </w:p>
    <w:tbl>
      <w:tblPr>
        <w:tblW w:w="8113" w:type="dxa"/>
        <w:jc w:val="left"/>
        <w:tblInd w:w="0" w:type="dxa"/>
        <w:tblCellMar>
          <w:top w:w="0" w:type="dxa"/>
          <w:left w:w="0" w:type="dxa"/>
          <w:bottom w:w="0" w:type="dxa"/>
          <w:right w:w="0" w:type="dxa"/>
        </w:tblCellMar>
      </w:tblPr>
      <w:tblGrid>
        <w:gridCol w:w="1700"/>
        <w:gridCol w:w="60"/>
        <w:gridCol w:w="140"/>
        <w:gridCol w:w="755"/>
        <w:gridCol w:w="215"/>
        <w:gridCol w:w="60"/>
        <w:gridCol w:w="140"/>
        <w:gridCol w:w="755"/>
        <w:gridCol w:w="215"/>
        <w:gridCol w:w="60"/>
        <w:gridCol w:w="72"/>
        <w:gridCol w:w="547"/>
        <w:gridCol w:w="260"/>
        <w:gridCol w:w="60"/>
        <w:gridCol w:w="187"/>
        <w:gridCol w:w="748"/>
        <w:gridCol w:w="95"/>
        <w:gridCol w:w="60"/>
        <w:gridCol w:w="199"/>
        <w:gridCol w:w="735"/>
        <w:gridCol w:w="95"/>
        <w:gridCol w:w="60"/>
        <w:gridCol w:w="60"/>
        <w:gridCol w:w="560"/>
        <w:gridCol w:w="275"/>
      </w:tblGrid>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Total</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Total</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9" w:type="dxa"/>
            <w:gridSpan w:val="2"/>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Per Case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4"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Per Case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vs PY</w:t>
            </w:r>
          </w:p>
        </w:tc>
        <w:tc>
          <w:tcPr>
            <w:tcW w:w="2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vs PY</w:t>
            </w:r>
          </w:p>
        </w:tc>
        <w:tc>
          <w:tcPr>
            <w:tcW w:w="2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Cases: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pPr>
            <w:r>
              <w:rPr/>
              <w:t> </w:t>
            </w:r>
          </w:p>
        </w:tc>
        <w:tc>
          <w:tcPr>
            <w:tcW w:w="2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17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Reed’s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1,254</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970</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54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29</w:t>
            </w:r>
          </w:p>
        </w:tc>
        <w:tc>
          <w:tcPr>
            <w:tcW w:w="26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74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170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Virgil’s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1,204</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1,083</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4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w:t>
            </w:r>
          </w:p>
        </w:tc>
        <w:tc>
          <w:tcPr>
            <w:tcW w:w="26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170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Core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2,458</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2,053</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54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w:t>
            </w:r>
          </w:p>
        </w:tc>
        <w:tc>
          <w:tcPr>
            <w:tcW w:w="26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74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Non Core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w:t>
            </w:r>
          </w:p>
        </w:tc>
        <w:tc>
          <w:tcPr>
            <w:tcW w:w="26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17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Candy</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34</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47"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w:t>
            </w:r>
          </w:p>
        </w:tc>
        <w:tc>
          <w:tcPr>
            <w:tcW w:w="26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74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1700"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2,486</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2,120</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17</w:t>
            </w:r>
          </w:p>
        </w:tc>
        <w:tc>
          <w:tcPr>
            <w:tcW w:w="26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1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547" w:type="dxa"/>
            <w:tcBorders/>
            <w:shd w:fill="FFFFFF" w:val="clear"/>
            <w:vAlign w:val="center"/>
          </w:tcPr>
          <w:p>
            <w:pPr>
              <w:pStyle w:val="TableContents"/>
              <w:spacing w:before="0" w:after="283"/>
              <w:jc w:val="right"/>
              <w:rPr/>
            </w:pPr>
            <w:r>
              <w:rPr/>
              <w:t> </w:t>
            </w:r>
          </w:p>
        </w:tc>
        <w:tc>
          <w:tcPr>
            <w:tcW w:w="2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74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Gross Sales: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pPr>
            <w:r>
              <w:rPr/>
              <w:t> </w:t>
            </w:r>
          </w:p>
        </w:tc>
        <w:tc>
          <w:tcPr>
            <w:tcW w:w="2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17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Core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45,324</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37,769</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54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w:t>
            </w:r>
          </w:p>
        </w:tc>
        <w:tc>
          <w:tcPr>
            <w:tcW w:w="26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4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w:t>
            </w:r>
          </w:p>
        </w:tc>
        <w:tc>
          <w:tcPr>
            <w:tcW w:w="2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Non Core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556</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560</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w:t>
            </w:r>
          </w:p>
        </w:tc>
        <w:tc>
          <w:tcPr>
            <w:tcW w:w="26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278.0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1,548</w:t>
            </w:r>
          </w:p>
        </w:tc>
        <w:tc>
          <w:tcPr>
            <w:tcW w:w="2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Candy</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921</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971</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47"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26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8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4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3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w:t>
            </w:r>
          </w:p>
        </w:tc>
        <w:tc>
          <w:tcPr>
            <w:tcW w:w="2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46,801</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39,300</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19</w:t>
            </w:r>
          </w:p>
        </w:tc>
        <w:tc>
          <w:tcPr>
            <w:tcW w:w="26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18.8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18.5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2</w:t>
            </w:r>
          </w:p>
        </w:tc>
        <w:tc>
          <w:tcPr>
            <w:tcW w:w="27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r>
      <w:tr>
        <w:trPr/>
        <w:tc>
          <w:tcPr>
            <w:tcW w:w="1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547" w:type="dxa"/>
            <w:tcBorders/>
            <w:shd w:fill="FFFFFF" w:val="clear"/>
            <w:vAlign w:val="center"/>
          </w:tcPr>
          <w:p>
            <w:pPr>
              <w:pStyle w:val="TableContents"/>
              <w:spacing w:before="0" w:after="283"/>
              <w:jc w:val="right"/>
              <w:rPr/>
            </w:pPr>
            <w:r>
              <w:rPr/>
              <w:t> </w:t>
            </w:r>
          </w:p>
        </w:tc>
        <w:tc>
          <w:tcPr>
            <w:tcW w:w="2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74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170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Discounts: Total</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(5,186</w:t>
            </w:r>
          </w:p>
        </w:tc>
        <w:tc>
          <w:tcPr>
            <w:tcW w:w="21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(5,480</w:t>
            </w:r>
          </w:p>
        </w:tc>
        <w:tc>
          <w:tcPr>
            <w:tcW w:w="21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-5</w:t>
            </w:r>
          </w:p>
        </w:tc>
        <w:tc>
          <w:tcPr>
            <w:tcW w:w="26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48"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(2.1</w:t>
            </w:r>
          </w:p>
        </w:tc>
        <w:tc>
          <w:tcPr>
            <w:tcW w:w="9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3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(2.6</w:t>
            </w:r>
          </w:p>
        </w:tc>
        <w:tc>
          <w:tcPr>
            <w:tcW w:w="9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-19</w:t>
            </w:r>
          </w:p>
        </w:tc>
        <w:tc>
          <w:tcPr>
            <w:tcW w:w="27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r>
      <w:tr>
        <w:trPr/>
        <w:tc>
          <w:tcPr>
            <w:tcW w:w="1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547" w:type="dxa"/>
            <w:tcBorders/>
            <w:shd w:fill="FFFFFF" w:val="clear"/>
            <w:vAlign w:val="center"/>
          </w:tcPr>
          <w:p>
            <w:pPr>
              <w:pStyle w:val="TableContents"/>
              <w:spacing w:before="0" w:after="283"/>
              <w:jc w:val="right"/>
              <w:rPr/>
            </w:pPr>
            <w:r>
              <w:rPr/>
              <w:t> </w:t>
            </w:r>
          </w:p>
        </w:tc>
        <w:tc>
          <w:tcPr>
            <w:tcW w:w="2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74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1700"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COGS: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pPr>
            <w:r>
              <w:rPr/>
              <w:t> </w:t>
            </w:r>
          </w:p>
        </w:tc>
        <w:tc>
          <w:tcPr>
            <w:tcW w:w="2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17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Core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(28,139</w:t>
            </w:r>
          </w:p>
        </w:tc>
        <w:tc>
          <w:tcPr>
            <w:tcW w:w="2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(24,286</w:t>
            </w:r>
          </w:p>
        </w:tc>
        <w:tc>
          <w:tcPr>
            <w:tcW w:w="2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54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w:t>
            </w:r>
          </w:p>
        </w:tc>
        <w:tc>
          <w:tcPr>
            <w:tcW w:w="26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4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(11.4</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(11.8</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w:t>
            </w:r>
          </w:p>
        </w:tc>
        <w:tc>
          <w:tcPr>
            <w:tcW w:w="2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Non Core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(110</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(678</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-84</w:t>
            </w:r>
          </w:p>
        </w:tc>
        <w:tc>
          <w:tcPr>
            <w:tcW w:w="26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(55.0</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(20.5</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168</w:t>
            </w:r>
          </w:p>
        </w:tc>
        <w:tc>
          <w:tcPr>
            <w:tcW w:w="2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Candy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(600</w:t>
            </w:r>
          </w:p>
        </w:tc>
        <w:tc>
          <w:tcPr>
            <w:tcW w:w="2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(671</w:t>
            </w:r>
          </w:p>
        </w:tc>
        <w:tc>
          <w:tcPr>
            <w:tcW w:w="2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54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w:t>
            </w:r>
          </w:p>
        </w:tc>
        <w:tc>
          <w:tcPr>
            <w:tcW w:w="26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pPr>
            <w:r>
              <w:rPr/>
              <w:t> </w:t>
            </w:r>
          </w:p>
        </w:tc>
        <w:tc>
          <w:tcPr>
            <w:tcW w:w="74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(23.1</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w:t>
            </w:r>
          </w:p>
        </w:tc>
        <w:tc>
          <w:tcPr>
            <w:tcW w:w="2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Idle Plant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(309</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7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4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c>
          <w:tcPr>
            <w:tcW w:w="26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4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(0.1</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c>
          <w:tcPr>
            <w:tcW w:w="2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FFFF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FFFF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(28,849</w:t>
            </w:r>
          </w:p>
        </w:tc>
        <w:tc>
          <w:tcPr>
            <w:tcW w:w="21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FFFF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(25,944</w:t>
            </w:r>
          </w:p>
        </w:tc>
        <w:tc>
          <w:tcPr>
            <w:tcW w:w="21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547" w:type="dxa"/>
            <w:tcBorders/>
            <w:shd w:fill="FFFF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11</w:t>
            </w:r>
          </w:p>
        </w:tc>
        <w:tc>
          <w:tcPr>
            <w:tcW w:w="26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48" w:type="dxa"/>
            <w:tcBorders/>
            <w:shd w:fill="FFFF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(11.6</w:t>
            </w:r>
          </w:p>
        </w:tc>
        <w:tc>
          <w:tcPr>
            <w:tcW w:w="9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35" w:type="dxa"/>
            <w:tcBorders/>
            <w:shd w:fill="FFFF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(12.2</w:t>
            </w:r>
          </w:p>
        </w:tc>
        <w:tc>
          <w:tcPr>
            <w:tcW w:w="9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-5</w:t>
            </w:r>
          </w:p>
        </w:tc>
        <w:tc>
          <w:tcPr>
            <w:tcW w:w="27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r>
      <w:tr>
        <w:trPr/>
        <w:tc>
          <w:tcPr>
            <w:tcW w:w="17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pPr>
            <w:r>
              <w:rPr/>
              <w:t> </w:t>
            </w:r>
          </w:p>
        </w:tc>
        <w:tc>
          <w:tcPr>
            <w:tcW w:w="2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170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Gross Margin: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FFFF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12,766</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55" w:type="dxa"/>
            <w:tcBorders/>
            <w:shd w:fill="FFFF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7,876</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547" w:type="dxa"/>
            <w:tcBorders/>
            <w:shd w:fill="FFFF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62</w:t>
            </w:r>
          </w:p>
        </w:tc>
        <w:tc>
          <w:tcPr>
            <w:tcW w:w="26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4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w:t>
            </w:r>
          </w:p>
        </w:tc>
        <w:tc>
          <w:tcPr>
            <w:tcW w:w="2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as % Net Sales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23</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547" w:type="dxa"/>
            <w:tcBorders/>
            <w:shd w:fill="CCEEFF" w:val="clear"/>
            <w:vAlign w:val="center"/>
          </w:tcPr>
          <w:p>
            <w:pPr>
              <w:pStyle w:val="TableContents"/>
              <w:spacing w:before="0" w:after="283"/>
              <w:jc w:val="right"/>
              <w:rPr/>
            </w:pPr>
            <w:r>
              <w:rPr/>
              <w:t> </w:t>
            </w:r>
          </w:p>
        </w:tc>
        <w:tc>
          <w:tcPr>
            <w:tcW w:w="2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4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initiative to simplify and streamline operations by reducing the number of SKUs, the Company has identified core products on which to place its strategic focus. These core products consist of Reed’s and Virgil’s branded beverages. Beginning in 2020, our Wellness Shots are captured in Non-core products. Non-core products for 2019 consist primarily of slower selling discontinued Reed’s and Virgil’s SKUs.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decision to focus on the core Reed’s and Virgil’s beverage brands and simplify operations by reducing the overall number of SKUs that we offer, the Company’s core beverage volume for the year ended December 31, 2020, represents 98% of all beverage volume.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brand gross revenue increased by 20% to $45,324 compared to the same period last year, driven by Reed’s volume growth of 29%. The result is an increase in total gross revenue of 19%, to $46,801 in the year ended December 31, 2020, from $39,300 during the same period last year. Price on our core brands remained flat from the prior year, while volume grew 20% as compared to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decreased to 11% from 14% in the same period last year. As a result, net sales revenue grew 23% in the year ended December 31, 2020 to $41,615, compared to $33,820 in the same period last year.</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 and Produced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$2,905 during the year ended December 31, 2020 as compared to the same period last year. As a percentage of net sales, cost of goods sold in the year ended December 31, 2020 improved to 69% as compared to 77% for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decreased to $11.60 per case in the year ended December 31, 2020 from $12.24 per case for the same period last year. The cost of goods sold per case on core brands was $11.45 during the year ended December 31, 2020, compared to $11.83 for the same period last year. Improvements in COGS have been driven by cost savings initiatives on core brands.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increased to 31% for the year ended December 31, 2020, compared to 23% for the same period last year. The improvements in gross margin have been driven by reduced discount spend and cost savings initiatives.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increased by $863 in the year ended December 31, 2020 to $6,856 from $5,993 in the same period last year, driven by increased volumes. Delivery costs in the year ended December 31, 2020 were 16% of net sales and $2.76 per case, compared to 18% of net sales and $2.83 per case during the same period last year. The improvement was driven by a reduction in cross country shipments but this savings was negatively impacted by increasing freight rates due to Covid-19.</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selling and marketing expenses were $7,503 during the year ended December 31, 2020, compared to $9,188 during the same period last year. As a percentage of net sales, selling and marketing costs decreased to 18% during the year ended December 31, 2020, as compared to 27% during the same period last year. The decrease was driven by the lapping of the “Fooled Your Mom” campaign from 2019, and reduced expenditures on trade shows and sponsorships, partially offset by an increase in stock compensation and market research.</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decreased in the year ended December 31, 2020 to $7,023 from $7,551, a decrease of $528 over the same period last year. The decrease was driven by a $638 decrease in severance expense, and a $147 decrease in professional and consulting fees, partially offset by a $76 increase in stock option expense and $181 increase in other general and administrative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$8,616 for the year ended December 31, 2020, as compared to a loss of $14,856 in the same period last year driven by increased gross profit and reductions in operating expenses discussed above.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expense for the year ended December 31, 2020, consisted of $262 loss on extinguishment of debt, $1,307 of interest expense offset by the change in fair value of our warrant liability of $8. During the same period last year, interest and other expense consisted of $1,286 of interest expense offset by the change in fair value of our warrant liability of $30.</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Modified EBITDA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Modified EBITDA for the year ended December 31, 2020 and 2019 (in thousands):</w:t>
      </w:r>
    </w:p>
    <w:p>
      <w:pPr>
        <w:pStyle w:val="TextBody"/>
        <w:jc w:val="both"/>
        <w:rPr>
          <w:caps w:val="false"/>
          <w:smallCaps w:val="false"/>
        </w:rPr>
      </w:pPr>
      <w:r>
        <w:rPr>
          <w:caps w:val="false"/>
          <w:smallCaps w:val="false"/>
        </w:rPr>
        <w:t> </w:t>
      </w:r>
    </w:p>
    <w:tbl>
      <w:tblPr>
        <w:tblW w:w="6176" w:type="dxa"/>
        <w:jc w:val="left"/>
        <w:tblInd w:w="0" w:type="dxa"/>
        <w:tblCellMar>
          <w:top w:w="0" w:type="dxa"/>
          <w:left w:w="0" w:type="dxa"/>
          <w:bottom w:w="0" w:type="dxa"/>
          <w:right w:w="0" w:type="dxa"/>
        </w:tblCellMar>
      </w:tblPr>
      <w:tblGrid>
        <w:gridCol w:w="3800"/>
        <w:gridCol w:w="60"/>
        <w:gridCol w:w="164"/>
        <w:gridCol w:w="855"/>
        <w:gridCol w:w="105"/>
        <w:gridCol w:w="78"/>
        <w:gridCol w:w="164"/>
        <w:gridCol w:w="855"/>
        <w:gridCol w:w="95"/>
      </w:tblGrid>
      <w:tr>
        <w:trPr/>
        <w:tc>
          <w:tcPr>
            <w:tcW w:w="3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21"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shd w:fill="auto" w:val="clear"/>
            <w:vAlign w:val="center"/>
          </w:tcPr>
          <w:p>
            <w:pPr>
              <w:pStyle w:val="TableContents"/>
              <w:spacing w:before="0" w:after="283"/>
              <w:rPr/>
            </w:pPr>
            <w:r>
              <w:rPr/>
              <w:t> </w:t>
            </w:r>
          </w:p>
        </w:tc>
      </w:tr>
      <w:tr>
        <w:trPr/>
        <w:tc>
          <w:tcPr>
            <w:tcW w:w="3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105"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95" w:type="dxa"/>
            <w:tcBorders/>
            <w:shd w:fill="auto"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(10,177</w:t>
            </w:r>
          </w:p>
        </w:tc>
        <w:tc>
          <w:tcPr>
            <w:tcW w:w="1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(16,112</w:t>
            </w:r>
          </w:p>
        </w:tc>
        <w:tc>
          <w:tcPr>
            <w:tcW w:w="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jc w:val="right"/>
              <w:rPr/>
            </w:pPr>
            <w:r>
              <w:rPr/>
              <w:t> </w:t>
            </w:r>
          </w:p>
        </w:tc>
        <w:tc>
          <w:tcPr>
            <w:tcW w:w="105"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adjustments:</w:t>
            </w:r>
          </w:p>
        </w:tc>
        <w:tc>
          <w:tcPr>
            <w:tcW w:w="6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right"/>
              <w:rPr/>
            </w:pPr>
            <w:r>
              <w:rPr/>
              <w:t> </w:t>
            </w:r>
          </w:p>
        </w:tc>
        <w:tc>
          <w:tcPr>
            <w:tcW w:w="105"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105"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5"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w:t>
            </w:r>
          </w:p>
        </w:tc>
        <w:tc>
          <w:tcPr>
            <w:tcW w:w="105"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w:t>
            </w:r>
          </w:p>
        </w:tc>
        <w:tc>
          <w:tcPr>
            <w:tcW w:w="95"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and other noncash compensation</w:t>
            </w:r>
          </w:p>
        </w:tc>
        <w:tc>
          <w:tcPr>
            <w:tcW w:w="60"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1,592</w:t>
            </w:r>
          </w:p>
        </w:tc>
        <w:tc>
          <w:tcPr>
            <w:tcW w:w="105"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1,296</w:t>
            </w:r>
          </w:p>
        </w:tc>
        <w:tc>
          <w:tcPr>
            <w:tcW w:w="95"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105"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and severance costs</w:t>
            </w:r>
          </w:p>
        </w:tc>
        <w:tc>
          <w:tcPr>
            <w:tcW w:w="60" w:type="dxa"/>
            <w:tcBorders/>
            <w:shd w:fill="CCEEFF" w:val="clear"/>
            <w:vAlign w:val="center"/>
          </w:tcPr>
          <w:p>
            <w:pPr>
              <w:pStyle w:val="TableContents"/>
              <w:spacing w:before="0" w:after="283"/>
              <w:rPr/>
            </w:pPr>
            <w:r>
              <w:rPr/>
              <w:t> </w:t>
            </w:r>
          </w:p>
        </w:tc>
        <w:tc>
          <w:tcPr>
            <w:tcW w:w="164"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5"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64"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w:t>
            </w:r>
          </w:p>
        </w:tc>
        <w:tc>
          <w:tcPr>
            <w:tcW w:w="95"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EBITDA adjustments</w:t>
            </w:r>
          </w:p>
        </w:tc>
        <w:tc>
          <w:tcPr>
            <w:tcW w:w="60" w:type="dxa"/>
            <w:tcBorders/>
            <w:shd w:fill="FFFFFF" w:val="clear"/>
            <w:vAlign w:val="center"/>
          </w:tcPr>
          <w:p>
            <w:pPr>
              <w:pStyle w:val="TableContents"/>
              <w:spacing w:before="0" w:after="283"/>
              <w:rPr/>
            </w:pPr>
            <w:r>
              <w:rPr/>
              <w:t> </w:t>
            </w:r>
          </w:p>
        </w:tc>
        <w:tc>
          <w:tcPr>
            <w:tcW w:w="164" w:type="dxa"/>
            <w:tcBorders>
              <w:bottom w:val="single" w:sz="12" w:space="0" w:color="000000"/>
            </w:tcBorders>
            <w:shd w:fill="FFFFFF"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3,362</w:t>
            </w:r>
          </w:p>
        </w:tc>
        <w:tc>
          <w:tcPr>
            <w:tcW w:w="105"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rPr/>
            </w:pPr>
            <w:r>
              <w:rPr/>
              <w:t> </w:t>
            </w:r>
          </w:p>
        </w:tc>
        <w:tc>
          <w:tcPr>
            <w:tcW w:w="164" w:type="dxa"/>
            <w:tcBorders>
              <w:bottom w:val="single" w:sz="12" w:space="0" w:color="000000"/>
            </w:tcBorders>
            <w:shd w:fill="FFFFFF"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3,347</w:t>
            </w:r>
          </w:p>
        </w:tc>
        <w:tc>
          <w:tcPr>
            <w:tcW w:w="95"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right"/>
              <w:rPr/>
            </w:pPr>
            <w:r>
              <w:rPr/>
              <w:t> </w:t>
            </w:r>
          </w:p>
        </w:tc>
        <w:tc>
          <w:tcPr>
            <w:tcW w:w="105"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w:t>
            </w:r>
          </w:p>
        </w:tc>
        <w:tc>
          <w:tcPr>
            <w:tcW w:w="60" w:type="dxa"/>
            <w:tcBorders/>
            <w:shd w:fill="FFFFFF" w:val="clear"/>
            <w:vAlign w:val="center"/>
          </w:tcPr>
          <w:p>
            <w:pPr>
              <w:pStyle w:val="TableContents"/>
              <w:spacing w:before="0" w:after="283"/>
              <w:rPr/>
            </w:pPr>
            <w:r>
              <w:rPr/>
              <w:t> </w:t>
            </w:r>
          </w:p>
        </w:tc>
        <w:tc>
          <w:tcPr>
            <w:tcW w:w="164"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(6,815</w:t>
            </w:r>
          </w:p>
        </w:tc>
        <w:tc>
          <w:tcPr>
            <w:tcW w:w="1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spacing w:before="0" w:after="283"/>
              <w:rPr/>
            </w:pPr>
            <w:r>
              <w:rPr/>
              <w:t> </w:t>
            </w:r>
          </w:p>
        </w:tc>
        <w:tc>
          <w:tcPr>
            <w:tcW w:w="164"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(12,765</w:t>
            </w:r>
          </w:p>
        </w:tc>
        <w:tc>
          <w:tcPr>
            <w:tcW w:w="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9"/>
        <w:gridCol w:w="9931"/>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our cash expenditures, or future requirements, for capital expenditures or contractual commitments;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changes in, or cash requirements for, our working capital needs;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future interest expense, or the cash requirements necessary to service interest or principal payments, on our debts;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9" w:type="dxa"/>
            <w:tcBorders/>
            <w:shd w:fill="auto" w:val="clear"/>
            <w:vAlign w:val="center"/>
          </w:tcPr>
          <w:p>
            <w:pPr>
              <w:pStyle w:val="TableContents"/>
              <w:spacing w:before="0" w:after="283"/>
              <w:jc w:val="both"/>
              <w:rPr>
                <w:caps w:val="false"/>
                <w:smallCaps w:val="false"/>
              </w:rPr>
            </w:pPr>
            <w:r>
              <w:rPr>
                <w:caps w:val="false"/>
                <w:smallCaps w:val="false"/>
              </w:rPr>
              <w:t xml:space="preserve">● </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under the assumption that the Company will continue as a going concern. Such assumption contemplates the realization of assets and satisfaction of liabilities in the normal course of business.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2020, the Company recorded a net loss of $10,177 and used cash in operations of $9,496. As of December 31, 2020, we had a cash balance of $595 with borrowing capacity of $5,166, stockholders’ equity of $10,404 and a working capital of $9,528, compared to a cash balance of $913, stockholders’ equity of $1,147 and working capital of $4,885 at December 31, 2019. Notwithstanding the loss for 2020, management projects adequate cash from operations and available line of credit in 2021 to ensure continuation of the Company as a going concern.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2020, the Company conducted a public offering of 15,333,334 shares of its common shares at a public offering price of $0.375 per share. The net proceeds to the Company from this offering are $5,310, after deducting underwriting discounts and commissions and other offering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2020, the Company conducted a public offering of 21,562,500 shares of its common shares at a public offering price of $0.523 per share. The net proceeds to the Company from this offering are $11,254, after deducting underwriting discounts and commissions and other offering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Use of Estimates and Assumptions.</w:t>
      </w:r>
      <w:r>
        <w:rPr>
          <w:rFonts w:ascii="Times New Roman;Times;Serif" w:hAnsi="Times New Roman;Times;Serif"/>
          <w:b w:val="false"/>
          <w:i w:val="false"/>
          <w:caps w:val="false"/>
          <w:smallCaps w:val="false"/>
          <w:sz w:val="20"/>
        </w:rPr>
        <w:t xml:space="preserve"> 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receivables,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Accounts Receivable. </w:t>
      </w:r>
      <w:r>
        <w:rPr>
          <w:rFonts w:ascii="Times New Roman;Times;Serif" w:hAnsi="Times New Roman;Times;Serif"/>
          <w:b w:val="false"/>
          <w:i w:val="false"/>
          <w:caps w:val="false"/>
          <w:smallCaps w:val="false"/>
          <w:sz w:val="20"/>
        </w:rPr>
        <w:t>Accounts receivable are recorded at the invoiced amounts. 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Inventory. </w:t>
      </w:r>
      <w:r>
        <w:rPr>
          <w:rFonts w:ascii="Times New Roman;Times;Serif" w:hAnsi="Times New Roman;Times;Serif"/>
          <w:b w:val="false"/>
          <w:i w:val="false"/>
          <w:caps w:val="false"/>
          <w:smallCaps w:val="false"/>
          <w:sz w:val="20"/>
        </w:rPr>
        <w:t>Inventory is stated at the lower of cost or net realizable value. We regularly review our inventory quantities on hand and record a provision for 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Compensation Expense</w:t>
      </w:r>
      <w:r>
        <w:rPr>
          <w:rFonts w:ascii="Times New Roman;Times;Serif" w:hAnsi="Times New Roman;Times;Serif"/>
          <w:b w:val="false"/>
          <w:i w:val="false"/>
          <w:caps w:val="false"/>
          <w:smallCaps w:val="false"/>
          <w:sz w:val="20"/>
        </w:rPr>
        <w:t>. The Company periodically issues stock options and restricted stock awards to employees and non-employees in non-capital raising transactions for services and for financing costs. The Company accounts for such grants issued and vesting based on ASC 718, Compensation-Stock Compensation whereby the value of the award is measured on the date of grant and recognized as compensation expense on the straight-line basis over the vesting period. The Company recognizes the fair value of stock-based compensation within its Statements of Operations with classification depending on the nature of the services rendered.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of the financial statements for a discussion of recent accounting pronouncements.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9" w:name="a_011"/>
      <w:bookmarkEnd w:id="39"/>
      <w:r>
        <w:rPr>
          <w:rFonts w:ascii="Times New Roman;Times;Serif" w:hAnsi="Times New Roman;Times;Serif"/>
          <w:b/>
          <w:i w:val="false"/>
          <w:caps w:val="false"/>
          <w:smallCaps w:val="false"/>
          <w:sz w:val="20"/>
        </w:rPr>
        <w:t>Item 7A. Quantitative and Qualitative Disclosures about Market Risk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Reed’s is not required to provide the information required by this Item 7A.</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0" w:name="a_012"/>
      <w:bookmarkEnd w:id="40"/>
      <w:r>
        <w:rPr>
          <w:rFonts w:ascii="Times New Roman;Times;Serif" w:hAnsi="Times New Roman;Times;Serif"/>
          <w:b/>
          <w:i w:val="false"/>
          <w:caps w:val="false"/>
          <w:smallCaps w:val="false"/>
          <w:sz w:val="20"/>
        </w:rPr>
        <w:t>Item 8. Financial Statements</w:t>
      </w:r>
    </w:p>
    <w:p>
      <w:pPr>
        <w:pStyle w:val="TextBody"/>
        <w:jc w:val="both"/>
        <w:rPr>
          <w:caps w:val="false"/>
          <w:smallCaps w:val="false"/>
        </w:rPr>
      </w:pPr>
      <w:r>
        <w:rPr>
          <w:caps w:val="false"/>
          <w:smallCaps w:val="false"/>
        </w:rPr>
        <w:t> </w:t>
      </w:r>
    </w:p>
    <w:tbl>
      <w:tblPr>
        <w:tblW w:w="8170" w:type="dxa"/>
        <w:jc w:val="left"/>
        <w:tblInd w:w="0" w:type="dxa"/>
        <w:tblCellMar>
          <w:top w:w="0" w:type="dxa"/>
          <w:left w:w="0" w:type="dxa"/>
          <w:bottom w:w="0" w:type="dxa"/>
          <w:right w:w="0" w:type="dxa"/>
        </w:tblCellMar>
      </w:tblPr>
      <w:tblGrid>
        <w:gridCol w:w="7865"/>
        <w:gridCol w:w="305"/>
      </w:tblGrid>
      <w:tr>
        <w:trPr/>
        <w:tc>
          <w:tcPr>
            <w:tcW w:w="7865" w:type="dxa"/>
            <w:tcBorders/>
            <w:shd w:fill="CCEEFF" w:val="clear"/>
            <w:vAlign w:val="center"/>
          </w:tcPr>
          <w:p>
            <w:pPr>
              <w:pStyle w:val="TableContents"/>
              <w:spacing w:before="0" w:after="283"/>
              <w:rPr/>
            </w:pPr>
            <w:hyperlink w:anchor="c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7865" w:type="dxa"/>
            <w:tcBorders/>
            <w:shd w:fill="FFFFFF" w:val="clear"/>
            <w:vAlign w:val="center"/>
          </w:tcPr>
          <w:p>
            <w:pPr>
              <w:pStyle w:val="TableContents"/>
              <w:spacing w:before="0" w:after="283"/>
              <w:rPr>
                <w:caps w:val="false"/>
                <w:smallCaps w:val="false"/>
              </w:rPr>
            </w:pPr>
            <w:r>
              <w:rPr>
                <w:caps w:val="false"/>
                <w:smallCaps w:val="false"/>
              </w:rPr>
              <w:t> </w:t>
            </w:r>
          </w:p>
        </w:tc>
        <w:tc>
          <w:tcPr>
            <w:tcW w:w="30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305"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7865" w:type="dxa"/>
            <w:tcBorders/>
            <w:shd w:fill="FFFFFF" w:val="clear"/>
            <w:vAlign w:val="center"/>
          </w:tcPr>
          <w:p>
            <w:pPr>
              <w:pStyle w:val="TableContents"/>
              <w:spacing w:before="0" w:after="283"/>
              <w:rPr>
                <w:caps w:val="false"/>
                <w:smallCaps w:val="false"/>
              </w:rPr>
            </w:pPr>
            <w:r>
              <w:rPr>
                <w:caps w:val="false"/>
                <w:smallCaps w:val="false"/>
              </w:rPr>
              <w:t> </w:t>
            </w:r>
          </w:p>
        </w:tc>
        <w:tc>
          <w:tcPr>
            <w:tcW w:w="30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spacing w:before="0" w:after="283"/>
              <w:rPr/>
            </w:pPr>
            <w:hyperlink w:anchor="c_002">
              <w:r>
                <w:rPr>
                  <w:rStyle w:val="InternetLink"/>
                  <w:rFonts w:ascii="Times New Roman;Times;Serif" w:hAnsi="Times New Roman;Times;Serif"/>
                  <w:b w:val="false"/>
                  <w:i w:val="false"/>
                  <w:caps w:val="false"/>
                  <w:smallCaps w:val="false"/>
                  <w:sz w:val="20"/>
                </w:rPr>
                <w:t>Balance Sheets as of December 31, 2020 and December 31, 2019</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7865" w:type="dxa"/>
            <w:tcBorders/>
            <w:shd w:fill="FFFFFF" w:val="clear"/>
            <w:vAlign w:val="center"/>
          </w:tcPr>
          <w:p>
            <w:pPr>
              <w:pStyle w:val="TableContents"/>
              <w:spacing w:before="0" w:after="283"/>
              <w:rPr>
                <w:caps w:val="false"/>
                <w:smallCaps w:val="false"/>
              </w:rPr>
            </w:pPr>
            <w:r>
              <w:rPr>
                <w:caps w:val="false"/>
                <w:smallCaps w:val="false"/>
              </w:rPr>
              <w:t> </w:t>
            </w:r>
          </w:p>
        </w:tc>
        <w:tc>
          <w:tcPr>
            <w:tcW w:w="30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spacing w:before="0" w:after="283"/>
              <w:rPr/>
            </w:pPr>
            <w:hyperlink w:anchor="c_003">
              <w:r>
                <w:rPr>
                  <w:rStyle w:val="InternetLink"/>
                  <w:rFonts w:ascii="Times New Roman;Times;Serif" w:hAnsi="Times New Roman;Times;Serif"/>
                  <w:b w:val="false"/>
                  <w:i w:val="false"/>
                  <w:caps w:val="false"/>
                  <w:smallCaps w:val="false"/>
                  <w:sz w:val="20"/>
                </w:rPr>
                <w:t>Statements of Operations for the years ended December 31, 2020 and 2019</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7865" w:type="dxa"/>
            <w:tcBorders/>
            <w:shd w:fill="FFFFFF" w:val="clear"/>
            <w:vAlign w:val="center"/>
          </w:tcPr>
          <w:p>
            <w:pPr>
              <w:pStyle w:val="TableContents"/>
              <w:spacing w:before="0" w:after="283"/>
              <w:rPr>
                <w:caps w:val="false"/>
                <w:smallCaps w:val="false"/>
              </w:rPr>
            </w:pPr>
            <w:r>
              <w:rPr>
                <w:caps w:val="false"/>
                <w:smallCaps w:val="false"/>
              </w:rPr>
              <w:t> </w:t>
            </w:r>
          </w:p>
        </w:tc>
        <w:tc>
          <w:tcPr>
            <w:tcW w:w="30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spacing w:before="0" w:after="283"/>
              <w:rPr/>
            </w:pPr>
            <w:hyperlink w:anchor="c_004">
              <w:r>
                <w:rPr>
                  <w:rStyle w:val="InternetLink"/>
                  <w:rFonts w:ascii="Times New Roman;Times;Serif" w:hAnsi="Times New Roman;Times;Serif"/>
                  <w:b w:val="false"/>
                  <w:i w:val="false"/>
                  <w:caps w:val="false"/>
                  <w:smallCaps w:val="false"/>
                  <w:sz w:val="20"/>
                </w:rPr>
                <w:t>Statements of Changes in Stockholders’ Equity for the years ended December 31, 2020 and 2019</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7865" w:type="dxa"/>
            <w:tcBorders/>
            <w:shd w:fill="FFFFFF" w:val="clear"/>
            <w:vAlign w:val="center"/>
          </w:tcPr>
          <w:p>
            <w:pPr>
              <w:pStyle w:val="TableContents"/>
              <w:spacing w:before="0" w:after="283"/>
              <w:rPr>
                <w:caps w:val="false"/>
                <w:smallCaps w:val="false"/>
              </w:rPr>
            </w:pPr>
            <w:r>
              <w:rPr>
                <w:caps w:val="false"/>
                <w:smallCaps w:val="false"/>
              </w:rPr>
              <w:t> </w:t>
            </w:r>
          </w:p>
        </w:tc>
        <w:tc>
          <w:tcPr>
            <w:tcW w:w="30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spacing w:before="0" w:after="283"/>
              <w:rPr/>
            </w:pPr>
            <w:hyperlink w:anchor="c_005">
              <w:r>
                <w:rPr>
                  <w:rStyle w:val="InternetLink"/>
                  <w:rFonts w:ascii="Times New Roman;Times;Serif" w:hAnsi="Times New Roman;Times;Serif"/>
                  <w:b w:val="false"/>
                  <w:i w:val="false"/>
                  <w:caps w:val="false"/>
                  <w:smallCaps w:val="false"/>
                  <w:sz w:val="20"/>
                </w:rPr>
                <w:t>Statements of Cash Flows for the years ended December 31, 2020 and 2019</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7865" w:type="dxa"/>
            <w:tcBorders/>
            <w:shd w:fill="FFFFFF" w:val="clear"/>
            <w:vAlign w:val="center"/>
          </w:tcPr>
          <w:p>
            <w:pPr>
              <w:pStyle w:val="TableContents"/>
              <w:spacing w:before="0" w:after="283"/>
              <w:rPr>
                <w:caps w:val="false"/>
                <w:smallCaps w:val="false"/>
              </w:rPr>
            </w:pPr>
            <w:r>
              <w:rPr>
                <w:caps w:val="false"/>
                <w:smallCaps w:val="false"/>
              </w:rPr>
              <w:t> </w:t>
            </w:r>
          </w:p>
        </w:tc>
        <w:tc>
          <w:tcPr>
            <w:tcW w:w="30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865" w:type="dxa"/>
            <w:tcBorders/>
            <w:shd w:fill="CCEEFF" w:val="clear"/>
            <w:vAlign w:val="center"/>
          </w:tcPr>
          <w:p>
            <w:pPr>
              <w:pStyle w:val="TableContents"/>
              <w:spacing w:before="0" w:after="283"/>
              <w:rPr/>
            </w:pPr>
            <w:hyperlink w:anchor="c_006">
              <w:r>
                <w:rPr>
                  <w:rStyle w:val="InternetLink"/>
                  <w:rFonts w:ascii="Times New Roman;Times;Serif" w:hAnsi="Times New Roman;Times;Serif"/>
                  <w:b w:val="false"/>
                  <w:i w:val="false"/>
                  <w:caps w:val="false"/>
                  <w:smallCaps w:val="false"/>
                  <w:sz w:val="20"/>
                </w:rPr>
                <w:t>Notes to Financial Statements for the years ended December 31, 2020 and 2019</w:t>
              </w:r>
            </w:hyperlink>
          </w:p>
        </w:tc>
        <w:tc>
          <w:tcPr>
            <w:tcW w:w="30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41" w:name="c_001"/>
      <w:bookmarkEnd w:id="41"/>
      <w:r>
        <w:rPr>
          <w:rFonts w:ascii="Times New Roman;Times;Serif" w:hAnsi="Times New Roman;Times;Serif"/>
          <w:b/>
          <w:i w:val="false"/>
          <w:caps w:val="false"/>
          <w:smallCaps w:val="false"/>
          <w:sz w:val="20"/>
        </w:rPr>
        <w:t xml:space="preserve">REPORT OF INDEPENDENT REGISTERED PUBLIC ACCOUNTING FIRM </w:t>
      </w:r>
    </w:p>
    <w:p>
      <w:pPr>
        <w:pStyle w:val="TextBody"/>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 Reed’s, Inc.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Opinion on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Reed’s, Inc. (the “Company”) as of December 31, 2020 and 2019, the related statements of operations, changes in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for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Critical Audit Matters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 Reserves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Notes 2 and 3 to the financial statements, the Company’s inventories are valued at the lower of cost or net realizable value, determined on first-in, first-out (“FIFO”) basis. The Company also determines a reserve for slow moving and potentially obsolete inventory equal to the difference between the cost of the inventory and the estimated net realizable value of the inventory based on estimated reserve percentages, which consider historical usage, known trends, inventory age, and market conditions. At December 31, 2020, the balance of inventory and inventory reserves were $11.3 million and $0.2,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reserve for slow moving and potentially obsolete inventory as a critical audit matter, because of the significant judgment by management in estimating the slow moving and potentially obsolete inventory reserve, and the high degree of auditor judgment, subjectivity and effort in performing procedures and evaluating the reasonableness of the significant assumptions used in developing the reserve.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evaluated the reasonableness of the significant assumptions used by management including those related to forecasted inventory usage by considering historic sales activity and sales forecast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completeness, accuracy, and relevance of the underlying data used in management’s estimates of slow-moving and potentially obsolete inventory.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tested the calculations and application of management’s methodologies related to the valuation estimates of slow-moving and potentially obsolete inventory.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developed an independent expectation of the excess and potentially obsolete inventory reserve using historic inventory activity and compared our independent expectation to the amount recorded in the financial statements.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evaluated management’s ability to accurately estimate the reserve by comparing actual write-off activity in the current year to the excess and potentially obsolete reserve estimated by the Company in the prior year.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tested inventory write-off activity subsequent to December 31, 2020 to discern whether there were any indications that the reserve for excess and potentially obsolete inventory may be understated. </w:t>
            </w:r>
          </w:p>
        </w:tc>
      </w:tr>
    </w:tbl>
    <w:p>
      <w:pPr>
        <w:pStyle w:val="TextBody"/>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Liquidity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 to the financial statements, Management believes, based on the Company’s operating plan, that projected cash from operations and available line of credit financing is sufficient to fund operations for at least one year from the date the Company’s December 31, 2020, financial statements are issued.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management’s evaluation of the Company’s liquidity as a critical audit matter due to the significant judgments required by management in developing assumptions in preparing the Company’s forecasted cash flows. Addressing the matter involved especially challenging auditor judgment and effort in performing procedures and evaluating evidence supporting management’s funding requirements.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of positive and negative evidence impacting management’s forecasts, including market and industry trends.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of the Company’s historical ability to raise capital.</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completeness and accuracy of the underlying data used by management in preparing the forecasted cash flows by comparison to prior period forecasts to actual results.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sufficiency of the Company’s liquidity disclosure.</w:t>
            </w:r>
          </w:p>
        </w:tc>
      </w:tr>
    </w:tbl>
    <w:p>
      <w:pPr>
        <w:pStyle w:val="TextBody"/>
        <w:jc w:val="left"/>
        <w:rPr>
          <w:caps w:val="false"/>
          <w:smallCaps w:val="false"/>
        </w:rPr>
      </w:pPr>
      <w:r>
        <w:rPr>
          <w:caps w:val="false"/>
          <w:smallCaps w:val="false"/>
        </w:rPr>
        <w:t> </w:t>
      </w:r>
    </w:p>
    <w:p>
      <w:pPr>
        <w:pStyle w:val="TextBody"/>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2004.</w:t>
      </w:r>
    </w:p>
    <w:p>
      <w:pPr>
        <w:pStyle w:val="TextBody"/>
        <w:jc w:val="left"/>
        <w:rPr>
          <w:caps w:val="false"/>
          <w:smallCaps w:val="false"/>
        </w:rPr>
      </w:pPr>
      <w:r>
        <w:rPr>
          <w:caps w:val="false"/>
          <w:smallCaps w:val="false"/>
        </w:rPr>
        <w:t> </w:t>
      </w:r>
    </w:p>
    <w:tbl>
      <w:tblPr>
        <w:tblW w:w="2600" w:type="dxa"/>
        <w:jc w:val="left"/>
        <w:tblInd w:w="0" w:type="dxa"/>
        <w:tblCellMar>
          <w:top w:w="0" w:type="dxa"/>
          <w:left w:w="0" w:type="dxa"/>
          <w:bottom w:w="0" w:type="dxa"/>
          <w:right w:w="0" w:type="dxa"/>
        </w:tblCellMar>
      </w:tblPr>
      <w:tblGrid>
        <w:gridCol w:w="2525"/>
        <w:gridCol w:w="75"/>
      </w:tblGrid>
      <w:tr>
        <w:trPr/>
        <w:tc>
          <w:tcPr>
            <w:tcW w:w="25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 Angeles, California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March 30, 2021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jc w:val="left"/>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F-1</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spacing w:before="0" w:after="0"/>
        <w:ind w:left="0" w:right="0" w:hanging="0"/>
        <w:jc w:val="center"/>
        <w:rPr>
          <w:rFonts w:ascii="Times New Roman;Times;Serif" w:hAnsi="Times New Roman;Times;Serif"/>
          <w:b/>
          <w:i w:val="false"/>
          <w:caps w:val="false"/>
          <w:smallCaps w:val="false"/>
          <w:sz w:val="20"/>
        </w:rPr>
      </w:pPr>
      <w:bookmarkStart w:id="42" w:name="c_002"/>
      <w:bookmarkEnd w:id="42"/>
      <w:r>
        <w:rPr>
          <w:rFonts w:ascii="Times New Roman;Times;Serif" w:hAnsi="Times New Roman;Times;Serif"/>
          <w:b/>
          <w:i w:val="false"/>
          <w:caps w:val="false"/>
          <w:smallCaps w:val="false"/>
          <w:sz w:val="20"/>
        </w:rPr>
        <w:t>BALANCE SHEETS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spacing w:before="0" w:after="0"/>
        <w:ind w:left="0" w:right="0" w:hanging="0"/>
        <w:jc w:val="center"/>
        <w:rPr>
          <w:caps w:val="false"/>
          <w:smallCaps w:val="false"/>
        </w:rPr>
      </w:pPr>
      <w:r>
        <w:rPr>
          <w:caps w:val="false"/>
          <w:smallCaps w:val="false"/>
        </w:rPr>
        <w:t> </w:t>
      </w:r>
    </w:p>
    <w:p>
      <w:pPr>
        <w:pStyle w:val="Normal"/>
        <w:spacing w:before="0" w:after="0"/>
        <w:rPr>
          <w:sz w:val="4"/>
          <w:szCs w:val="4"/>
        </w:rPr>
      </w:pPr>
      <w:r>
        <w:rPr>
          <w:sz w:val="4"/>
          <w:szCs w:val="4"/>
        </w:rPr>
      </w:r>
      <w:bookmarkStart w:id="43" w:name="xdx_300_111_pn3n3_zzzRAx1FMyUk"/>
      <w:bookmarkStart w:id="44" w:name="xdx_300_111_pn3n3_zzzRAx1FMyUk"/>
      <w:bookmarkEnd w:id="44"/>
    </w:p>
    <w:tbl>
      <w:tblPr>
        <w:tblW w:w="10205" w:type="dxa"/>
        <w:jc w:val="left"/>
        <w:tblInd w:w="0" w:type="dxa"/>
        <w:tblCellMar>
          <w:top w:w="0" w:type="dxa"/>
          <w:left w:w="0" w:type="dxa"/>
          <w:bottom w:w="0" w:type="dxa"/>
          <w:right w:w="0" w:type="dxa"/>
        </w:tblCellMar>
      </w:tblPr>
      <w:tblGrid>
        <w:gridCol w:w="7121"/>
        <w:gridCol w:w="60"/>
        <w:gridCol w:w="215"/>
        <w:gridCol w:w="1163"/>
        <w:gridCol w:w="95"/>
        <w:gridCol w:w="60"/>
        <w:gridCol w:w="215"/>
        <w:gridCol w:w="1163"/>
        <w:gridCol w:w="113"/>
      </w:tblGrid>
      <w:tr>
        <w:trPr/>
        <w:tc>
          <w:tcPr>
            <w:tcW w:w="71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45" w:name="xdx_49E_20201231_zi641e3QWVyg"/>
            <w:bookmarkEnd w:id="45"/>
          </w:p>
        </w:tc>
        <w:tc>
          <w:tcPr>
            <w:tcW w:w="1378"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December 31, 2020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46" w:name="xdx_49A_20191231_zsld3jmR1Mj1"/>
            <w:bookmarkEnd w:id="46"/>
          </w:p>
        </w:tc>
        <w:tc>
          <w:tcPr>
            <w:tcW w:w="1378"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December 31, 2019</w:t>
            </w:r>
          </w:p>
        </w:tc>
        <w:tc>
          <w:tcPr>
            <w:tcW w:w="113" w:type="dxa"/>
            <w:tcBorders/>
            <w:shd w:fill="auto" w:val="clear"/>
            <w:vAlign w:val="center"/>
          </w:tcPr>
          <w:p>
            <w:pPr>
              <w:pStyle w:val="TableContents"/>
              <w:spacing w:before="0" w:after="283"/>
              <w:rPr/>
            </w:pPr>
            <w:r>
              <w:rPr/>
              <w:t> </w:t>
            </w:r>
          </w:p>
        </w:tc>
      </w:tr>
      <w:tr>
        <w:trPr/>
        <w:tc>
          <w:tcPr>
            <w:tcW w:w="71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8"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8" w:type="dxa"/>
            <w:gridSpan w:val="2"/>
            <w:tcBorders/>
            <w:shd w:fill="auto" w:val="cle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bookmarkStart w:id="47" w:name="xdx_40E_eus-gaap--AssetsAbstract_iB"/>
            <w:bookmarkEnd w:id="47"/>
          </w:p>
        </w:tc>
      </w:tr>
      <w:tr>
        <w:trPr/>
        <w:tc>
          <w:tcPr>
            <w:tcW w:w="7121"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113" w:type="dxa"/>
            <w:tcBorders/>
            <w:shd w:fill="CCEEFF" w:val="clear"/>
            <w:vAlign w:val="center"/>
          </w:tcPr>
          <w:p>
            <w:pPr>
              <w:pStyle w:val="TableContents"/>
              <w:spacing w:before="0" w:after="283"/>
              <w:jc w:val="left"/>
              <w:rPr/>
            </w:pPr>
            <w:r>
              <w:rPr/>
              <w:t> </w:t>
            </w:r>
            <w:bookmarkStart w:id="48" w:name="xdx_402_eus-gaap--AssetsCurrentAbstract_"/>
            <w:bookmarkEnd w:id="48"/>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113" w:type="dxa"/>
            <w:tcBorders/>
            <w:shd w:fill="FFFFFF" w:val="clear"/>
            <w:vAlign w:val="center"/>
          </w:tcPr>
          <w:p>
            <w:pPr>
              <w:pStyle w:val="TableContents"/>
              <w:spacing w:before="0" w:after="283"/>
              <w:jc w:val="left"/>
              <w:rPr/>
            </w:pPr>
            <w:r>
              <w:rPr/>
              <w:t> </w:t>
            </w:r>
            <w:bookmarkStart w:id="49" w:name="xdx_405_eus-gaap--Cash_i02I_pn3n3_maACzG"/>
            <w:bookmarkEnd w:id="49"/>
          </w:p>
        </w:tc>
      </w:tr>
      <w:tr>
        <w:trPr/>
        <w:tc>
          <w:tcPr>
            <w:tcW w:w="7121"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913</w:t>
            </w:r>
          </w:p>
        </w:tc>
        <w:tc>
          <w:tcPr>
            <w:tcW w:w="113" w:type="dxa"/>
            <w:tcBorders/>
            <w:shd w:fill="CCEEFF" w:val="clear"/>
            <w:vAlign w:val="center"/>
          </w:tcPr>
          <w:p>
            <w:pPr>
              <w:pStyle w:val="TableContents"/>
              <w:spacing w:before="0" w:after="283"/>
              <w:jc w:val="left"/>
              <w:rPr/>
            </w:pPr>
            <w:r>
              <w:rPr/>
              <w:t> </w:t>
            </w:r>
            <w:bookmarkStart w:id="50" w:name="xdx_401_eus-gaap--AccountsReceivableNetC"/>
            <w:bookmarkEnd w:id="50"/>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Accounts receivable, net of allowance of $</w:t>
            </w:r>
            <w:bookmarkStart w:id="51" w:name="xdx_903_eus-gaap--AllowanceForDoubtfulAc"/>
            <w:bookmarkEnd w:id="51"/>
            <w:r>
              <w:rPr>
                <w:rFonts w:ascii="Times New Roman;Times;Serif" w:hAnsi="Times New Roman;Times;Serif"/>
              </w:rPr>
              <w:t>234 and $</w:t>
            </w:r>
            <w:bookmarkStart w:id="52" w:name="xdx_905_eus-gaap--AllowanceForDoubtfulAc"/>
            <w:bookmarkEnd w:id="52"/>
            <w:r>
              <w:rPr>
                <w:rFonts w:ascii="Times New Roman;Times;Serif" w:hAnsi="Times New Roman;Times;Serif"/>
              </w:rPr>
              <w:t>375, respectively</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4,718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2,099</w:t>
            </w:r>
          </w:p>
        </w:tc>
        <w:tc>
          <w:tcPr>
            <w:tcW w:w="113" w:type="dxa"/>
            <w:tcBorders/>
            <w:shd w:fill="FFFFFF" w:val="clear"/>
            <w:vAlign w:val="center"/>
          </w:tcPr>
          <w:p>
            <w:pPr>
              <w:pStyle w:val="TableContents"/>
              <w:spacing w:before="0" w:after="283"/>
              <w:jc w:val="left"/>
              <w:rPr/>
            </w:pPr>
            <w:r>
              <w:rPr/>
              <w:t> </w:t>
            </w:r>
            <w:bookmarkStart w:id="53" w:name="xdx_40B_eus-gaap--DueFromRelatedPartiesC"/>
            <w:bookmarkEnd w:id="53"/>
          </w:p>
        </w:tc>
      </w:tr>
      <w:tr>
        <w:trPr/>
        <w:tc>
          <w:tcPr>
            <w:tcW w:w="712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Receivable from related party</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356</w:t>
            </w:r>
          </w:p>
        </w:tc>
        <w:tc>
          <w:tcPr>
            <w:tcW w:w="113" w:type="dxa"/>
            <w:tcBorders/>
            <w:shd w:fill="CCEEFF" w:val="clear"/>
            <w:vAlign w:val="center"/>
          </w:tcPr>
          <w:p>
            <w:pPr>
              <w:pStyle w:val="TableContents"/>
              <w:spacing w:before="0" w:after="283"/>
              <w:jc w:val="left"/>
              <w:rPr/>
            </w:pPr>
            <w:r>
              <w:rPr/>
              <w:t> </w:t>
            </w:r>
            <w:bookmarkStart w:id="54" w:name="xdx_40B_eus-gaap--InventoryNet_i02I_pn3n"/>
            <w:bookmarkEnd w:id="54"/>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Inventory, net of reserve for obsolescence of $</w:t>
            </w:r>
            <w:bookmarkStart w:id="55" w:name="xdx_909_eus-gaap--InventoryValuationRese"/>
            <w:bookmarkEnd w:id="55"/>
            <w:r>
              <w:rPr>
                <w:rFonts w:ascii="Times New Roman;Times;Serif" w:hAnsi="Times New Roman;Times;Serif"/>
              </w:rPr>
              <w:t>194 and $</w:t>
            </w:r>
            <w:bookmarkStart w:id="56" w:name="xdx_901_eus-gaap--InventoryValuationRese"/>
            <w:bookmarkEnd w:id="56"/>
            <w:r>
              <w:rPr>
                <w:rFonts w:ascii="Times New Roman;Times;Serif" w:hAnsi="Times New Roman;Times;Serif"/>
              </w:rPr>
              <w:t>646, respectively</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11,119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10,508</w:t>
            </w:r>
          </w:p>
        </w:tc>
        <w:tc>
          <w:tcPr>
            <w:tcW w:w="113" w:type="dxa"/>
            <w:tcBorders/>
            <w:shd w:fill="FFFFFF" w:val="clear"/>
            <w:vAlign w:val="center"/>
          </w:tcPr>
          <w:p>
            <w:pPr>
              <w:pStyle w:val="TableContents"/>
              <w:spacing w:before="0" w:after="283"/>
              <w:jc w:val="left"/>
              <w:rPr/>
            </w:pPr>
            <w:r>
              <w:rPr/>
              <w:t> </w:t>
            </w:r>
            <w:bookmarkStart w:id="57" w:name="xdx_40B_eus-gaap--PrepaidExpenseAndOther"/>
            <w:bookmarkEnd w:id="57"/>
          </w:p>
        </w:tc>
      </w:tr>
      <w:tr>
        <w:trPr/>
        <w:tc>
          <w:tcPr>
            <w:tcW w:w="712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spacing w:before="0" w:after="283"/>
              <w:rPr/>
            </w:pPr>
            <w:r>
              <w:rPr/>
              <w:t> </w:t>
            </w:r>
          </w:p>
        </w:tc>
        <w:tc>
          <w:tcPr>
            <w:tcW w:w="21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1,341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420</w:t>
            </w:r>
          </w:p>
        </w:tc>
        <w:tc>
          <w:tcPr>
            <w:tcW w:w="113" w:type="dxa"/>
            <w:tcBorders/>
            <w:shd w:fill="CCEEFF" w:val="clear"/>
            <w:vAlign w:val="center"/>
          </w:tcPr>
          <w:p>
            <w:pPr>
              <w:pStyle w:val="TableContents"/>
              <w:spacing w:before="0" w:after="283"/>
              <w:jc w:val="left"/>
              <w:rPr/>
            </w:pPr>
            <w:r>
              <w:rPr/>
              <w:t> </w:t>
            </w:r>
            <w:bookmarkStart w:id="58" w:name="xdx_408_eus-gaap--AssetsCurrent_i02TI_pn"/>
            <w:bookmarkEnd w:id="58"/>
          </w:p>
        </w:tc>
      </w:tr>
      <w:tr>
        <w:trPr/>
        <w:tc>
          <w:tcPr>
            <w:tcW w:w="7121" w:type="dxa"/>
            <w:tcBorders/>
            <w:shd w:fill="FFFF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Total current assets</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18,455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14,296</w:t>
            </w:r>
          </w:p>
        </w:tc>
        <w:tc>
          <w:tcPr>
            <w:tcW w:w="113" w:type="dxa"/>
            <w:tcBorders/>
            <w:shd w:fill="FFFFFF" w:val="clear"/>
            <w:vAlign w:val="center"/>
          </w:tcPr>
          <w:p>
            <w:pPr>
              <w:pStyle w:val="TableContents"/>
              <w:spacing w:before="0" w:after="283"/>
              <w:jc w:val="left"/>
              <w:rPr/>
            </w:pPr>
            <w:r>
              <w:rPr/>
              <w:t> </w:t>
            </w:r>
          </w:p>
        </w:tc>
      </w:tr>
      <w:tr>
        <w:trPr/>
        <w:tc>
          <w:tcPr>
            <w:tcW w:w="712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113" w:type="dxa"/>
            <w:tcBorders/>
            <w:shd w:fill="CCEEFF" w:val="clear"/>
            <w:vAlign w:val="center"/>
          </w:tcPr>
          <w:p>
            <w:pPr>
              <w:pStyle w:val="TableContents"/>
              <w:spacing w:before="0" w:after="283"/>
              <w:jc w:val="left"/>
              <w:rPr/>
            </w:pPr>
            <w:r>
              <w:rPr/>
              <w:t> </w:t>
            </w:r>
            <w:bookmarkStart w:id="59" w:name="xdx_40D_eus-gaap--PropertyPlantAndEquipm"/>
            <w:bookmarkEnd w:id="59"/>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Property and equipment, net of accumulated depreciation of $</w:t>
            </w:r>
            <w:bookmarkStart w:id="60" w:name="xdx_901_eus-gaap--AccumulatedDepreciatio"/>
            <w:bookmarkEnd w:id="60"/>
            <w:r>
              <w:rPr>
                <w:rFonts w:ascii="Times New Roman;Times;Serif" w:hAnsi="Times New Roman;Times;Serif"/>
              </w:rPr>
              <w:t>361 and $</w:t>
            </w:r>
            <w:bookmarkStart w:id="61" w:name="xdx_908_eus-gaap--AccumulatedDepreciatio"/>
            <w:bookmarkEnd w:id="61"/>
            <w:r>
              <w:rPr>
                <w:rFonts w:ascii="Times New Roman;Times;Serif" w:hAnsi="Times New Roman;Times;Serif"/>
              </w:rPr>
              <w:t>482, respectively</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920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1,053</w:t>
            </w:r>
          </w:p>
        </w:tc>
        <w:tc>
          <w:tcPr>
            <w:tcW w:w="113" w:type="dxa"/>
            <w:tcBorders/>
            <w:shd w:fill="FFFFFF" w:val="clear"/>
            <w:vAlign w:val="center"/>
          </w:tcPr>
          <w:p>
            <w:pPr>
              <w:pStyle w:val="TableContents"/>
              <w:spacing w:before="0" w:after="283"/>
              <w:jc w:val="left"/>
              <w:rPr/>
            </w:pPr>
            <w:r>
              <w:rPr/>
              <w:t> </w:t>
            </w:r>
            <w:bookmarkStart w:id="62" w:name="xdx_405_eus-gaap--AssetsHeldForSaleNotPa"/>
            <w:bookmarkEnd w:id="62"/>
          </w:p>
        </w:tc>
      </w:tr>
      <w:tr>
        <w:trPr/>
        <w:tc>
          <w:tcPr>
            <w:tcW w:w="712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Equipment held for sale, net of impairment reserves of $96 and $96, respectively</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67</w:t>
            </w:r>
          </w:p>
        </w:tc>
        <w:tc>
          <w:tcPr>
            <w:tcW w:w="113" w:type="dxa"/>
            <w:tcBorders/>
            <w:shd w:fill="CCEEFF" w:val="clear"/>
            <w:vAlign w:val="center"/>
          </w:tcPr>
          <w:p>
            <w:pPr>
              <w:pStyle w:val="TableContents"/>
              <w:spacing w:before="0" w:after="283"/>
              <w:jc w:val="left"/>
              <w:rPr/>
            </w:pPr>
            <w:r>
              <w:rPr/>
              <w:t> </w:t>
            </w:r>
            <w:bookmarkStart w:id="63" w:name="xdx_40D_eus-gaap--IntangibleAssetsNetExc"/>
            <w:bookmarkEnd w:id="63"/>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Intangible assets</w:t>
            </w:r>
          </w:p>
        </w:tc>
        <w:tc>
          <w:tcPr>
            <w:tcW w:w="60" w:type="dxa"/>
            <w:tcBorders/>
            <w:shd w:fill="FFFFFF" w:val="clear"/>
            <w:vAlign w:val="center"/>
          </w:tcPr>
          <w:p>
            <w:pPr>
              <w:pStyle w:val="TableContents"/>
              <w:spacing w:before="0" w:after="283"/>
              <w:rPr/>
            </w:pPr>
            <w:r>
              <w:rPr/>
              <w:t> </w:t>
            </w:r>
          </w:p>
        </w:tc>
        <w:tc>
          <w:tcPr>
            <w:tcW w:w="2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615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576</w:t>
            </w:r>
          </w:p>
        </w:tc>
        <w:tc>
          <w:tcPr>
            <w:tcW w:w="113" w:type="dxa"/>
            <w:tcBorders/>
            <w:shd w:fill="FFFFFF" w:val="clear"/>
            <w:vAlign w:val="center"/>
          </w:tcPr>
          <w:p>
            <w:pPr>
              <w:pStyle w:val="TableContents"/>
              <w:spacing w:before="0" w:after="283"/>
              <w:jc w:val="left"/>
              <w:rPr/>
            </w:pPr>
            <w:r>
              <w:rPr/>
              <w:t> </w:t>
            </w:r>
            <w:bookmarkStart w:id="64" w:name="xdx_400_eus-gaap--Assets_i01TI_pn3n3_mtA"/>
            <w:bookmarkEnd w:id="64"/>
          </w:p>
        </w:tc>
      </w:tr>
      <w:tr>
        <w:trPr/>
        <w:tc>
          <w:tcPr>
            <w:tcW w:w="7121"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spacing w:before="0" w:after="283"/>
              <w:rPr/>
            </w:pPr>
            <w:r>
              <w:rPr/>
              <w:t> </w:t>
            </w:r>
          </w:p>
        </w:tc>
        <w:tc>
          <w:tcPr>
            <w:tcW w:w="21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6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20,057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6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15,992</w:t>
            </w:r>
          </w:p>
        </w:tc>
        <w:tc>
          <w:tcPr>
            <w:tcW w:w="113" w:type="dxa"/>
            <w:tcBorders/>
            <w:shd w:fill="CCEEFF" w:val="clear"/>
            <w:vAlign w:val="center"/>
          </w:tcPr>
          <w:p>
            <w:pPr>
              <w:pStyle w:val="TableContents"/>
              <w:spacing w:before="0" w:after="283"/>
              <w:jc w:val="left"/>
              <w:rPr/>
            </w:pPr>
            <w:r>
              <w:rPr/>
              <w:t> </w:t>
            </w:r>
          </w:p>
        </w:tc>
      </w:tr>
      <w:tr>
        <w:trPr/>
        <w:tc>
          <w:tcPr>
            <w:tcW w:w="712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113" w:type="dxa"/>
            <w:tcBorders/>
            <w:shd w:fill="FFFFFF" w:val="clear"/>
            <w:vAlign w:val="center"/>
          </w:tcPr>
          <w:p>
            <w:pPr>
              <w:pStyle w:val="TableContents"/>
              <w:spacing w:before="0" w:after="283"/>
              <w:jc w:val="left"/>
              <w:rPr/>
            </w:pPr>
            <w:r>
              <w:rPr/>
              <w:t> </w:t>
            </w:r>
            <w:bookmarkStart w:id="65" w:name="xdx_40C_eus-gaap--LiabilitiesAndStockhol"/>
            <w:bookmarkEnd w:id="65"/>
          </w:p>
        </w:tc>
      </w:tr>
      <w:tr>
        <w:trPr/>
        <w:tc>
          <w:tcPr>
            <w:tcW w:w="7121"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113" w:type="dxa"/>
            <w:tcBorders/>
            <w:shd w:fill="CCEEFF" w:val="clear"/>
            <w:vAlign w:val="center"/>
          </w:tcPr>
          <w:p>
            <w:pPr>
              <w:pStyle w:val="TableContents"/>
              <w:spacing w:before="0" w:after="283"/>
              <w:jc w:val="left"/>
              <w:rPr/>
            </w:pPr>
            <w:r>
              <w:rPr/>
              <w:t> </w:t>
            </w:r>
            <w:bookmarkStart w:id="66" w:name="xdx_409_eus-gaap--LiabilitiesCurrentAbst"/>
            <w:bookmarkEnd w:id="66"/>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113" w:type="dxa"/>
            <w:tcBorders/>
            <w:shd w:fill="FFFFFF" w:val="clear"/>
            <w:vAlign w:val="center"/>
          </w:tcPr>
          <w:p>
            <w:pPr>
              <w:pStyle w:val="TableContents"/>
              <w:spacing w:before="0" w:after="283"/>
              <w:jc w:val="left"/>
              <w:rPr/>
            </w:pPr>
            <w:r>
              <w:rPr/>
              <w:t> </w:t>
            </w:r>
            <w:bookmarkStart w:id="67" w:name="xdx_40F_eus-gaap--AccountsPayableCurrent"/>
            <w:bookmarkEnd w:id="67"/>
          </w:p>
        </w:tc>
      </w:tr>
      <w:tr>
        <w:trPr/>
        <w:tc>
          <w:tcPr>
            <w:tcW w:w="712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6,746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5,357</w:t>
            </w:r>
          </w:p>
        </w:tc>
        <w:tc>
          <w:tcPr>
            <w:tcW w:w="113" w:type="dxa"/>
            <w:tcBorders/>
            <w:shd w:fill="CCEEFF" w:val="clear"/>
            <w:vAlign w:val="center"/>
          </w:tcPr>
          <w:p>
            <w:pPr>
              <w:pStyle w:val="TableContents"/>
              <w:spacing w:before="0" w:after="283"/>
              <w:jc w:val="left"/>
              <w:rPr/>
            </w:pPr>
            <w:r>
              <w:rPr/>
              <w:t> </w:t>
            </w:r>
            <w:bookmarkStart w:id="68" w:name="xdx_401_eus-gaap--DueToRelatedPartiesCur"/>
            <w:bookmarkEnd w:id="68"/>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Payable to related party</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557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182</w:t>
            </w:r>
          </w:p>
        </w:tc>
        <w:tc>
          <w:tcPr>
            <w:tcW w:w="113" w:type="dxa"/>
            <w:tcBorders/>
            <w:shd w:fill="FFFFFF" w:val="clear"/>
            <w:vAlign w:val="center"/>
          </w:tcPr>
          <w:p>
            <w:pPr>
              <w:pStyle w:val="TableContents"/>
              <w:spacing w:before="0" w:after="283"/>
              <w:jc w:val="left"/>
              <w:rPr/>
            </w:pPr>
            <w:r>
              <w:rPr/>
              <w:t> </w:t>
            </w:r>
            <w:bookmarkStart w:id="69" w:name="xdx_40E_eus-gaap--AccruedLiabilitiesCurr"/>
            <w:bookmarkEnd w:id="69"/>
          </w:p>
        </w:tc>
      </w:tr>
      <w:tr>
        <w:trPr/>
        <w:tc>
          <w:tcPr>
            <w:tcW w:w="712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895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646</w:t>
            </w:r>
          </w:p>
        </w:tc>
        <w:tc>
          <w:tcPr>
            <w:tcW w:w="113" w:type="dxa"/>
            <w:tcBorders/>
            <w:shd w:fill="CCEEFF" w:val="clear"/>
            <w:vAlign w:val="center"/>
          </w:tcPr>
          <w:p>
            <w:pPr>
              <w:pStyle w:val="TableContents"/>
              <w:spacing w:before="0" w:after="283"/>
              <w:jc w:val="left"/>
              <w:rPr/>
            </w:pPr>
            <w:r>
              <w:rPr/>
              <w:t> </w:t>
            </w:r>
            <w:bookmarkStart w:id="70" w:name="xdx_405_eus-gaap--LinesOfCreditCurrent_i"/>
            <w:bookmarkEnd w:id="70"/>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Revolving line of credit</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3,177</w:t>
            </w:r>
          </w:p>
        </w:tc>
        <w:tc>
          <w:tcPr>
            <w:tcW w:w="113" w:type="dxa"/>
            <w:tcBorders/>
            <w:shd w:fill="FFFFFF" w:val="clear"/>
            <w:vAlign w:val="center"/>
          </w:tcPr>
          <w:p>
            <w:pPr>
              <w:pStyle w:val="TableContents"/>
              <w:spacing w:before="0" w:after="283"/>
              <w:jc w:val="left"/>
              <w:rPr/>
            </w:pPr>
            <w:r>
              <w:rPr/>
              <w:t> </w:t>
            </w:r>
            <w:bookmarkStart w:id="71" w:name="xdx_408_eus-gaap--NotesPayableCurrent_i0"/>
            <w:bookmarkEnd w:id="71"/>
          </w:p>
        </w:tc>
      </w:tr>
      <w:tr>
        <w:trPr/>
        <w:tc>
          <w:tcPr>
            <w:tcW w:w="712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Current portion of note payable</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spacing w:before="0" w:after="283"/>
              <w:jc w:val="left"/>
              <w:rPr/>
            </w:pPr>
            <w:r>
              <w:rPr/>
              <w:t> </w:t>
            </w:r>
            <w:bookmarkStart w:id="72" w:name="xdx_405_eus-gaap--FinanceLeaseLiabilityC"/>
            <w:bookmarkEnd w:id="72"/>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Current portion of lease liabilities</w:t>
            </w:r>
          </w:p>
        </w:tc>
        <w:tc>
          <w:tcPr>
            <w:tcW w:w="60" w:type="dxa"/>
            <w:tcBorders/>
            <w:shd w:fill="FFFFFF" w:val="clear"/>
            <w:vAlign w:val="center"/>
          </w:tcPr>
          <w:p>
            <w:pPr>
              <w:pStyle w:val="TableContents"/>
              <w:spacing w:before="0" w:after="283"/>
              <w:rPr/>
            </w:pPr>
            <w:r>
              <w:rPr/>
              <w:t> </w:t>
            </w:r>
          </w:p>
        </w:tc>
        <w:tc>
          <w:tcPr>
            <w:tcW w:w="2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49</w:t>
            </w:r>
          </w:p>
        </w:tc>
        <w:tc>
          <w:tcPr>
            <w:tcW w:w="113" w:type="dxa"/>
            <w:tcBorders/>
            <w:shd w:fill="FFFFFF" w:val="clear"/>
            <w:vAlign w:val="center"/>
          </w:tcPr>
          <w:p>
            <w:pPr>
              <w:pStyle w:val="TableContents"/>
              <w:spacing w:before="0" w:after="283"/>
              <w:jc w:val="left"/>
              <w:rPr/>
            </w:pPr>
            <w:r>
              <w:rPr/>
              <w:t> </w:t>
            </w:r>
            <w:bookmarkStart w:id="73" w:name="xdx_402_eus-gaap--LiabilitiesCurrent_i02"/>
            <w:bookmarkEnd w:id="73"/>
          </w:p>
        </w:tc>
      </w:tr>
      <w:tr>
        <w:trPr/>
        <w:tc>
          <w:tcPr>
            <w:tcW w:w="7121" w:type="dxa"/>
            <w:tcBorders/>
            <w:shd w:fill="CCEEFF" w:val="clear"/>
            <w:vAlign w:val="center"/>
          </w:tcPr>
          <w:p>
            <w:pPr>
              <w:pStyle w:val="TableContents"/>
              <w:spacing w:before="0" w:after="283"/>
              <w:jc w:val="left"/>
              <w:rPr>
                <w:rFonts w:ascii="Times New Roman;Times;Serif" w:hAnsi="Times New Roman;Times;Serif"/>
                <w:i/>
              </w:rPr>
            </w:pPr>
            <w:r>
              <w:rPr>
                <w:rFonts w:ascii="Times New Roman;Times;Serif" w:hAnsi="Times New Roman;Times;Serif"/>
                <w:i/>
              </w:rPr>
              <w:t>Total current liabilities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8,927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9,411</w:t>
            </w:r>
          </w:p>
        </w:tc>
        <w:tc>
          <w:tcPr>
            <w:tcW w:w="113" w:type="dxa"/>
            <w:tcBorders/>
            <w:shd w:fill="CCEEFF" w:val="clear"/>
            <w:vAlign w:val="center"/>
          </w:tcPr>
          <w:p>
            <w:pPr>
              <w:pStyle w:val="TableContents"/>
              <w:spacing w:before="0" w:after="283"/>
              <w:jc w:val="left"/>
              <w:rPr/>
            </w:pPr>
            <w:r>
              <w:rPr/>
              <w:t> </w:t>
            </w:r>
          </w:p>
        </w:tc>
      </w:tr>
      <w:tr>
        <w:trPr/>
        <w:tc>
          <w:tcPr>
            <w:tcW w:w="712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113" w:type="dxa"/>
            <w:tcBorders/>
            <w:shd w:fill="FFFFFF" w:val="clear"/>
            <w:vAlign w:val="center"/>
          </w:tcPr>
          <w:p>
            <w:pPr>
              <w:pStyle w:val="TableContents"/>
              <w:spacing w:before="0" w:after="283"/>
              <w:jc w:val="left"/>
              <w:rPr/>
            </w:pPr>
            <w:r>
              <w:rPr/>
              <w:t> </w:t>
            </w:r>
            <w:bookmarkStart w:id="74" w:name="xdx_403_eus-gaap--FinanceLeaseLiabilityN"/>
            <w:bookmarkEnd w:id="74"/>
          </w:p>
        </w:tc>
      </w:tr>
      <w:tr>
        <w:trPr/>
        <w:tc>
          <w:tcPr>
            <w:tcW w:w="712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Lease liabilities, less current portion</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555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737</w:t>
            </w:r>
          </w:p>
        </w:tc>
        <w:tc>
          <w:tcPr>
            <w:tcW w:w="113" w:type="dxa"/>
            <w:tcBorders/>
            <w:shd w:fill="CCEEFF" w:val="clear"/>
            <w:vAlign w:val="center"/>
          </w:tcPr>
          <w:p>
            <w:pPr>
              <w:pStyle w:val="TableContents"/>
              <w:spacing w:before="0" w:after="283"/>
              <w:jc w:val="left"/>
              <w:rPr/>
            </w:pPr>
            <w:r>
              <w:rPr/>
              <w:t> </w:t>
            </w:r>
            <w:bookmarkStart w:id="75" w:name="xdx_40B_eus-gaap--LongTermNotesPayable_i"/>
            <w:bookmarkEnd w:id="75"/>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Note payable, less current portion</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113" w:type="dxa"/>
            <w:tcBorders/>
            <w:shd w:fill="FFFFFF" w:val="clear"/>
            <w:vAlign w:val="center"/>
          </w:tcPr>
          <w:p>
            <w:pPr>
              <w:pStyle w:val="TableContents"/>
              <w:spacing w:before="0" w:after="283"/>
              <w:jc w:val="left"/>
              <w:rPr/>
            </w:pPr>
            <w:r>
              <w:rPr/>
              <w:t> </w:t>
            </w:r>
            <w:bookmarkStart w:id="76" w:name="xdx_407_eus-gaap--ConvertibleDebtNoncurr"/>
            <w:bookmarkEnd w:id="76"/>
          </w:p>
        </w:tc>
      </w:tr>
      <w:tr>
        <w:trPr/>
        <w:tc>
          <w:tcPr>
            <w:tcW w:w="712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Convertible note to a related party</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4,689</w:t>
            </w:r>
          </w:p>
        </w:tc>
        <w:tc>
          <w:tcPr>
            <w:tcW w:w="113" w:type="dxa"/>
            <w:tcBorders/>
            <w:shd w:fill="CCEEFF" w:val="clear"/>
            <w:vAlign w:val="center"/>
          </w:tcPr>
          <w:p>
            <w:pPr>
              <w:pStyle w:val="TableContents"/>
              <w:spacing w:before="0" w:after="283"/>
              <w:jc w:val="left"/>
              <w:rPr/>
            </w:pPr>
            <w:r>
              <w:rPr/>
              <w:t> </w:t>
            </w:r>
            <w:bookmarkStart w:id="77" w:name="xdx_409_ecustom--WarrantLiabilityNoncurr"/>
            <w:bookmarkEnd w:id="77"/>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FFFFFF" w:val="clear"/>
            <w:vAlign w:val="center"/>
          </w:tcPr>
          <w:p>
            <w:pPr>
              <w:pStyle w:val="TableContents"/>
              <w:spacing w:before="0" w:after="283"/>
              <w:rPr/>
            </w:pPr>
            <w:r>
              <w:rPr/>
              <w:t> </w:t>
            </w:r>
          </w:p>
        </w:tc>
        <w:tc>
          <w:tcPr>
            <w:tcW w:w="2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FFFFFF" w:val="clear"/>
            <w:vAlign w:val="center"/>
          </w:tcPr>
          <w:p>
            <w:pPr>
              <w:pStyle w:val="TableContents"/>
              <w:spacing w:before="0" w:after="283"/>
              <w:jc w:val="left"/>
              <w:rPr/>
            </w:pPr>
            <w:r>
              <w:rPr/>
              <w:t> </w:t>
            </w:r>
            <w:bookmarkStart w:id="78" w:name="xdx_406_eus-gaap--Liabilities_i01TI_pn3n"/>
            <w:bookmarkEnd w:id="78"/>
          </w:p>
        </w:tc>
      </w:tr>
      <w:tr>
        <w:trPr/>
        <w:tc>
          <w:tcPr>
            <w:tcW w:w="7121"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spacing w:before="0" w:after="283"/>
              <w:rPr/>
            </w:pPr>
            <w:r>
              <w:rPr/>
              <w:t> </w:t>
            </w:r>
          </w:p>
        </w:tc>
        <w:tc>
          <w:tcPr>
            <w:tcW w:w="21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9,653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14,845</w:t>
            </w:r>
          </w:p>
        </w:tc>
        <w:tc>
          <w:tcPr>
            <w:tcW w:w="113" w:type="dxa"/>
            <w:tcBorders/>
            <w:shd w:fill="CCEEFF" w:val="clear"/>
            <w:vAlign w:val="center"/>
          </w:tcPr>
          <w:p>
            <w:pPr>
              <w:pStyle w:val="TableContents"/>
              <w:spacing w:before="0" w:after="283"/>
              <w:jc w:val="left"/>
              <w:rPr/>
            </w:pPr>
            <w:r>
              <w:rPr/>
              <w:t> </w:t>
            </w:r>
          </w:p>
        </w:tc>
      </w:tr>
      <w:tr>
        <w:trPr/>
        <w:tc>
          <w:tcPr>
            <w:tcW w:w="712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113" w:type="dxa"/>
            <w:tcBorders/>
            <w:shd w:fill="FFFFFF" w:val="clear"/>
            <w:vAlign w:val="center"/>
          </w:tcPr>
          <w:p>
            <w:pPr>
              <w:pStyle w:val="TableContents"/>
              <w:spacing w:before="0" w:after="283"/>
              <w:jc w:val="left"/>
              <w:rPr/>
            </w:pPr>
            <w:r>
              <w:rPr/>
              <w:t> </w:t>
            </w:r>
            <w:bookmarkStart w:id="79" w:name="xdx_402_eus-gaap--StockholdersEquityAbst"/>
            <w:bookmarkEnd w:id="79"/>
          </w:p>
        </w:tc>
      </w:tr>
      <w:tr>
        <w:trPr/>
        <w:tc>
          <w:tcPr>
            <w:tcW w:w="7121"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113" w:type="dxa"/>
            <w:tcBorders/>
            <w:shd w:fill="CCEEFF" w:val="clear"/>
            <w:vAlign w:val="center"/>
          </w:tcPr>
          <w:p>
            <w:pPr>
              <w:pStyle w:val="TableContents"/>
              <w:spacing w:before="0" w:after="283"/>
              <w:jc w:val="left"/>
              <w:rPr/>
            </w:pPr>
            <w:r>
              <w:rPr/>
              <w:t> </w:t>
            </w:r>
            <w:bookmarkStart w:id="80" w:name="xdx_408_eus-gaap--PreferredStockValue_i0"/>
            <w:bookmarkEnd w:id="80"/>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Series A Convertible Preferred stock, $</w:t>
            </w:r>
            <w:bookmarkStart w:id="81" w:name="xdx_902_eus-gaap--PreferredStockParOrSta"/>
            <w:bookmarkStart w:id="82" w:name="xdx_90A_eus-gaap--PreferredStockParOrSta"/>
            <w:bookmarkEnd w:id="81"/>
            <w:bookmarkEnd w:id="82"/>
            <w:r>
              <w:rPr>
                <w:rFonts w:ascii="Times New Roman;Times;Serif" w:hAnsi="Times New Roman;Times;Serif"/>
              </w:rPr>
              <w:t xml:space="preserve">10 par value, </w:t>
            </w:r>
            <w:bookmarkStart w:id="83" w:name="xdx_901_eus-gaap--PreferredStockSharesAu"/>
            <w:bookmarkStart w:id="84" w:name="xdx_903_eus-gaap--PreferredStockSharesAu"/>
            <w:bookmarkEnd w:id="83"/>
            <w:bookmarkEnd w:id="84"/>
            <w:r>
              <w:rPr>
                <w:rFonts w:ascii="Times New Roman;Times;Serif" w:hAnsi="Times New Roman;Times;Serif"/>
              </w:rPr>
              <w:t xml:space="preserve">500,000 shares authorized, </w:t>
            </w:r>
            <w:bookmarkStart w:id="85" w:name="xdx_902_eus-gaap--PreferredStockSharesOu"/>
            <w:bookmarkStart w:id="86" w:name="xdx_90C_eus-gaap--PreferredStockSharesOu"/>
            <w:bookmarkStart w:id="87" w:name="xdx_907_eus-gaap--PreferredStockSharesIs"/>
            <w:bookmarkStart w:id="88" w:name="xdx_908_eus-gaap--PreferredStockSharesIs"/>
            <w:bookmarkEnd w:id="85"/>
            <w:bookmarkEnd w:id="86"/>
            <w:bookmarkEnd w:id="87"/>
            <w:bookmarkEnd w:id="88"/>
            <w:r>
              <w:rPr>
                <w:rFonts w:ascii="Times New Roman;Times;Serif" w:hAnsi="Times New Roman;Times;Serif"/>
              </w:rPr>
              <w:t>9,411 shares issued and outstanding</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w:t>
            </w:r>
          </w:p>
        </w:tc>
        <w:tc>
          <w:tcPr>
            <w:tcW w:w="113" w:type="dxa"/>
            <w:tcBorders/>
            <w:shd w:fill="FFFFFF" w:val="clear"/>
            <w:vAlign w:val="center"/>
          </w:tcPr>
          <w:p>
            <w:pPr>
              <w:pStyle w:val="TableContents"/>
              <w:spacing w:before="0" w:after="283"/>
              <w:jc w:val="left"/>
              <w:rPr/>
            </w:pPr>
            <w:r>
              <w:rPr/>
              <w:t> </w:t>
            </w:r>
            <w:bookmarkStart w:id="89" w:name="xdx_400_eus-gaap--CommonStockValue_i02I_"/>
            <w:bookmarkEnd w:id="89"/>
          </w:p>
        </w:tc>
      </w:tr>
      <w:tr>
        <w:trPr/>
        <w:tc>
          <w:tcPr>
            <w:tcW w:w="712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Common stock, $</w:t>
            </w:r>
            <w:bookmarkStart w:id="90" w:name="xdx_902_eus-gaap--CommonStockParOrStated"/>
            <w:bookmarkStart w:id="91" w:name="xdx_90A_eus-gaap--CommonStockParOrStated"/>
            <w:bookmarkEnd w:id="90"/>
            <w:bookmarkEnd w:id="91"/>
            <w:r>
              <w:rPr>
                <w:rFonts w:ascii="Times New Roman;Times;Serif" w:hAnsi="Times New Roman;Times;Serif"/>
              </w:rPr>
              <w:t xml:space="preserve">.0001 par value, </w:t>
            </w:r>
            <w:bookmarkStart w:id="92" w:name="xdx_906_eus-gaap--CommonStockSharesAutho"/>
            <w:bookmarkEnd w:id="92"/>
            <w:r>
              <w:rPr>
                <w:rFonts w:ascii="Times New Roman;Times;Serif" w:hAnsi="Times New Roman;Times;Serif"/>
              </w:rPr>
              <w:t xml:space="preserve">120,000,000 and </w:t>
            </w:r>
            <w:bookmarkStart w:id="93" w:name="xdx_90E_eus-gaap--CommonStockSharesAutho"/>
            <w:bookmarkEnd w:id="93"/>
            <w:r>
              <w:rPr>
                <w:rFonts w:ascii="Times New Roman;Times;Serif" w:hAnsi="Times New Roman;Times;Serif"/>
              </w:rPr>
              <w:t xml:space="preserve">100,000,000 shares authorized, respectively; </w:t>
            </w:r>
            <w:bookmarkStart w:id="94" w:name="xdx_90F_eus-gaap--CommonStockSharesIssue"/>
            <w:bookmarkStart w:id="95" w:name="xdx_908_eus-gaap--CommonStockSharesOutst"/>
            <w:bookmarkEnd w:id="94"/>
            <w:bookmarkEnd w:id="95"/>
            <w:r>
              <w:rPr>
                <w:rFonts w:ascii="Times New Roman;Times;Serif" w:hAnsi="Times New Roman;Times;Serif"/>
              </w:rPr>
              <w:t xml:space="preserve">86,317,096 and </w:t>
            </w:r>
            <w:bookmarkStart w:id="96" w:name="xdx_907_eus-gaap--CommonStockSharesIssue"/>
            <w:bookmarkStart w:id="97" w:name="xdx_900_eus-gaap--CommonStockSharesOutst"/>
            <w:bookmarkEnd w:id="96"/>
            <w:bookmarkEnd w:id="97"/>
            <w:r>
              <w:rPr>
                <w:rFonts w:ascii="Times New Roman;Times;Serif" w:hAnsi="Times New Roman;Times;Serif"/>
              </w:rPr>
              <w:t>47,595,206 shares issued and outstanding, respectively</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113" w:type="dxa"/>
            <w:tcBorders/>
            <w:shd w:fill="CCEEFF" w:val="clear"/>
            <w:vAlign w:val="center"/>
          </w:tcPr>
          <w:p>
            <w:pPr>
              <w:pStyle w:val="TableContents"/>
              <w:spacing w:before="0" w:after="283"/>
              <w:jc w:val="left"/>
              <w:rPr/>
            </w:pPr>
            <w:r>
              <w:rPr/>
              <w:t> </w:t>
            </w:r>
            <w:bookmarkStart w:id="98" w:name="xdx_402_eus-gaap--AdditionalPaidInCapita"/>
            <w:bookmarkEnd w:id="98"/>
          </w:p>
        </w:tc>
      </w:tr>
      <w:tr>
        <w:trPr/>
        <w:tc>
          <w:tcPr>
            <w:tcW w:w="7121"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97,031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77,596</w:t>
            </w:r>
          </w:p>
        </w:tc>
        <w:tc>
          <w:tcPr>
            <w:tcW w:w="113" w:type="dxa"/>
            <w:tcBorders/>
            <w:shd w:fill="FFFFFF" w:val="clear"/>
            <w:vAlign w:val="center"/>
          </w:tcPr>
          <w:p>
            <w:pPr>
              <w:pStyle w:val="TableContents"/>
              <w:spacing w:before="0" w:after="283"/>
              <w:jc w:val="left"/>
              <w:rPr/>
            </w:pPr>
            <w:r>
              <w:rPr/>
              <w:t> </w:t>
            </w:r>
            <w:bookmarkStart w:id="99" w:name="xdx_404_eus-gaap--RetainedEarningsAccumu"/>
            <w:bookmarkEnd w:id="99"/>
          </w:p>
        </w:tc>
      </w:tr>
      <w:tr>
        <w:trPr/>
        <w:tc>
          <w:tcPr>
            <w:tcW w:w="712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spacing w:before="0" w:after="283"/>
              <w:rPr/>
            </w:pPr>
            <w:r>
              <w:rPr/>
              <w:t> </w:t>
            </w:r>
          </w:p>
        </w:tc>
        <w:tc>
          <w:tcPr>
            <w:tcW w:w="21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(86,730</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1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(76,548</w:t>
            </w:r>
          </w:p>
        </w:tc>
        <w:tc>
          <w:tcPr>
            <w:tcW w:w="11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100" w:name="xdx_406_eus-gaap--StockholdersEquity_i02"/>
            <w:bookmarkEnd w:id="100"/>
          </w:p>
        </w:tc>
      </w:tr>
      <w:tr>
        <w:trPr/>
        <w:tc>
          <w:tcPr>
            <w:tcW w:w="7121"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FFFFFF" w:val="clear"/>
            <w:vAlign w:val="center"/>
          </w:tcPr>
          <w:p>
            <w:pPr>
              <w:pStyle w:val="TableContents"/>
              <w:spacing w:before="0" w:after="283"/>
              <w:rPr/>
            </w:pPr>
            <w:r>
              <w:rPr/>
              <w:t> </w:t>
            </w:r>
          </w:p>
        </w:tc>
        <w:tc>
          <w:tcPr>
            <w:tcW w:w="2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10,404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1,147</w:t>
            </w:r>
          </w:p>
        </w:tc>
        <w:tc>
          <w:tcPr>
            <w:tcW w:w="113" w:type="dxa"/>
            <w:tcBorders/>
            <w:shd w:fill="FFFFFF" w:val="clear"/>
            <w:vAlign w:val="center"/>
          </w:tcPr>
          <w:p>
            <w:pPr>
              <w:pStyle w:val="TableContents"/>
              <w:spacing w:before="0" w:after="283"/>
              <w:jc w:val="left"/>
              <w:rPr/>
            </w:pPr>
            <w:r>
              <w:rPr/>
              <w:t> </w:t>
            </w:r>
            <w:bookmarkStart w:id="101" w:name="xdx_403_eus-gaap--LiabilitiesAndStockhol"/>
            <w:bookmarkEnd w:id="101"/>
          </w:p>
        </w:tc>
      </w:tr>
      <w:tr>
        <w:trPr/>
        <w:tc>
          <w:tcPr>
            <w:tcW w:w="7121"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CCEEFF" w:val="clear"/>
            <w:vAlign w:val="center"/>
          </w:tcPr>
          <w:p>
            <w:pPr>
              <w:pStyle w:val="TableContents"/>
              <w:spacing w:before="0" w:after="283"/>
              <w:rPr/>
            </w:pPr>
            <w:r>
              <w:rPr/>
              <w:t> </w:t>
            </w:r>
          </w:p>
        </w:tc>
        <w:tc>
          <w:tcPr>
            <w:tcW w:w="21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6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20,057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6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15,992</w:t>
            </w:r>
          </w:p>
        </w:tc>
        <w:tc>
          <w:tcPr>
            <w:tcW w:w="113" w:type="dxa"/>
            <w:tcBorders/>
            <w:shd w:fill="CCEEFF" w:val="clear"/>
            <w:vAlign w:val="center"/>
          </w:tcPr>
          <w:p>
            <w:pPr>
              <w:pStyle w:val="TableContents"/>
              <w:spacing w:before="0" w:after="283"/>
              <w:jc w:val="left"/>
              <w:rPr/>
            </w:pPr>
            <w:r>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F-2</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spacing w:before="0" w:after="0"/>
        <w:ind w:left="0" w:right="0" w:hanging="0"/>
        <w:jc w:val="center"/>
        <w:rPr>
          <w:rFonts w:ascii="Times New Roman;Times;Serif" w:hAnsi="Times New Roman;Times;Serif"/>
          <w:b/>
          <w:i w:val="false"/>
          <w:caps w:val="false"/>
          <w:smallCaps w:val="false"/>
          <w:sz w:val="20"/>
        </w:rPr>
      </w:pPr>
      <w:bookmarkStart w:id="102" w:name="c_003"/>
      <w:bookmarkEnd w:id="102"/>
      <w:r>
        <w:rPr>
          <w:rFonts w:ascii="Times New Roman;Times;Serif" w:hAnsi="Times New Roman;Times;Serif"/>
          <w:b/>
          <w:i w:val="false"/>
          <w:caps w:val="false"/>
          <w:smallCaps w:val="false"/>
          <w:sz w:val="20"/>
        </w:rPr>
        <w:t>STATEMENTS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2020 and 2019</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spacing w:before="0" w:after="0"/>
        <w:ind w:left="0" w:right="0" w:hanging="0"/>
        <w:jc w:val="center"/>
        <w:rPr>
          <w:caps w:val="false"/>
          <w:smallCaps w:val="false"/>
        </w:rPr>
      </w:pPr>
      <w:r>
        <w:rPr>
          <w:caps w:val="false"/>
          <w:smallCaps w:val="false"/>
        </w:rPr>
        <w:t> </w:t>
      </w:r>
    </w:p>
    <w:p>
      <w:pPr>
        <w:pStyle w:val="Normal"/>
        <w:spacing w:before="0" w:after="0"/>
        <w:rPr>
          <w:sz w:val="4"/>
          <w:szCs w:val="4"/>
        </w:rPr>
      </w:pPr>
      <w:r>
        <w:rPr>
          <w:sz w:val="4"/>
          <w:szCs w:val="4"/>
        </w:rPr>
      </w:r>
      <w:bookmarkStart w:id="103" w:name="xdx_30F_113_pn3n3_zwE5xBY5Pdq5"/>
      <w:bookmarkStart w:id="104" w:name="xdx_30F_113_pn3n3_zwE5xBY5Pdq5"/>
      <w:bookmarkEnd w:id="104"/>
    </w:p>
    <w:tbl>
      <w:tblPr>
        <w:tblW w:w="9297" w:type="dxa"/>
        <w:jc w:val="left"/>
        <w:tblInd w:w="0" w:type="dxa"/>
        <w:tblCellMar>
          <w:top w:w="0" w:type="dxa"/>
          <w:left w:w="0" w:type="dxa"/>
          <w:bottom w:w="0" w:type="dxa"/>
          <w:right w:w="0" w:type="dxa"/>
        </w:tblCellMar>
      </w:tblPr>
      <w:tblGrid>
        <w:gridCol w:w="6410"/>
        <w:gridCol w:w="60"/>
        <w:gridCol w:w="144"/>
        <w:gridCol w:w="1135"/>
        <w:gridCol w:w="98"/>
        <w:gridCol w:w="61"/>
        <w:gridCol w:w="144"/>
        <w:gridCol w:w="1135"/>
        <w:gridCol w:w="110"/>
      </w:tblGrid>
      <w:tr>
        <w:trPr/>
        <w:tc>
          <w:tcPr>
            <w:tcW w:w="64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05" w:name="xdx_492_20200101__20201231_zebr2DF7nbx4"/>
            <w:bookmarkEnd w:id="105"/>
          </w:p>
        </w:tc>
        <w:tc>
          <w:tcPr>
            <w:tcW w:w="127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9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bookmarkStart w:id="106" w:name="xdx_49B_20190101__20191231_z5GllR7446W3"/>
            <w:bookmarkEnd w:id="106"/>
          </w:p>
        </w:tc>
        <w:tc>
          <w:tcPr>
            <w:tcW w:w="127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110" w:type="dxa"/>
            <w:tcBorders/>
            <w:shd w:fill="auto" w:val="clear"/>
            <w:vAlign w:val="center"/>
          </w:tcPr>
          <w:p>
            <w:pPr>
              <w:pStyle w:val="TableContents"/>
              <w:spacing w:before="0" w:after="283"/>
              <w:rPr/>
            </w:pPr>
            <w:r>
              <w:rPr/>
              <w:t> </w:t>
            </w:r>
          </w:p>
        </w:tc>
      </w:tr>
      <w:tr>
        <w:trPr/>
        <w:tc>
          <w:tcPr>
            <w:tcW w:w="64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7"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shd w:fill="auto" w:val="clear"/>
            <w:vAlign w:val="center"/>
          </w:tcPr>
          <w:p>
            <w:pPr>
              <w:pStyle w:val="TableContents"/>
              <w:spacing w:before="0" w:after="283"/>
              <w:rPr/>
            </w:pPr>
            <w:r>
              <w:rPr/>
              <w:t> </w:t>
            </w:r>
          </w:p>
        </w:tc>
      </w:tr>
      <w:tr>
        <w:trPr/>
        <w:tc>
          <w:tcPr>
            <w:tcW w:w="64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9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7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110" w:type="dxa"/>
            <w:tcBorders/>
            <w:shd w:fill="auto" w:val="clear"/>
            <w:vAlign w:val="center"/>
          </w:tcPr>
          <w:p>
            <w:pPr>
              <w:pStyle w:val="TableContents"/>
              <w:spacing w:before="0" w:after="283"/>
              <w:rPr/>
            </w:pPr>
            <w:r>
              <w:rPr/>
              <w:t> </w:t>
            </w:r>
            <w:bookmarkStart w:id="107" w:name="xdx_408_eus-gaap--RevenueFromContractWit"/>
            <w:bookmarkEnd w:id="107"/>
          </w:p>
        </w:tc>
      </w:tr>
      <w:tr>
        <w:trPr/>
        <w:tc>
          <w:tcPr>
            <w:tcW w:w="641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Sales</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41,615</w:t>
            </w:r>
          </w:p>
        </w:tc>
        <w:tc>
          <w:tcPr>
            <w:tcW w:w="98"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33,820</w:t>
            </w:r>
          </w:p>
        </w:tc>
        <w:tc>
          <w:tcPr>
            <w:tcW w:w="110" w:type="dxa"/>
            <w:tcBorders/>
            <w:shd w:fill="CCEEFF" w:val="clear"/>
            <w:vAlign w:val="center"/>
          </w:tcPr>
          <w:p>
            <w:pPr>
              <w:pStyle w:val="TableContents"/>
              <w:spacing w:before="0" w:after="283"/>
              <w:jc w:val="left"/>
              <w:rPr/>
            </w:pPr>
            <w:r>
              <w:rPr/>
              <w:t> </w:t>
            </w:r>
            <w:bookmarkStart w:id="108" w:name="xdx_407_eus-gaap--CostOfGoodsAndServices"/>
            <w:bookmarkEnd w:id="108"/>
          </w:p>
        </w:tc>
      </w:tr>
      <w:tr>
        <w:trPr/>
        <w:tc>
          <w:tcPr>
            <w:tcW w:w="64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FFFFFF" w:val="clear"/>
            <w:vAlign w:val="center"/>
          </w:tcPr>
          <w:p>
            <w:pPr>
              <w:pStyle w:val="TableContents"/>
              <w:spacing w:before="0" w:after="283"/>
              <w:rPr/>
            </w:pPr>
            <w:r>
              <w:rPr/>
              <w:t> </w:t>
            </w:r>
          </w:p>
        </w:tc>
        <w:tc>
          <w:tcPr>
            <w:tcW w:w="14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28,849</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25,944</w:t>
            </w:r>
          </w:p>
        </w:tc>
        <w:tc>
          <w:tcPr>
            <w:tcW w:w="110" w:type="dxa"/>
            <w:tcBorders/>
            <w:shd w:fill="FFFFFF" w:val="clear"/>
            <w:vAlign w:val="center"/>
          </w:tcPr>
          <w:p>
            <w:pPr>
              <w:pStyle w:val="TableContents"/>
              <w:spacing w:before="0" w:after="283"/>
              <w:jc w:val="left"/>
              <w:rPr/>
            </w:pPr>
            <w:r>
              <w:rPr/>
              <w:t> </w:t>
            </w:r>
            <w:bookmarkStart w:id="109" w:name="xdx_40D_eus-gaap--GrossProfit_iT_pn3n3_m"/>
            <w:bookmarkEnd w:id="109"/>
          </w:p>
        </w:tc>
      </w:tr>
      <w:tr>
        <w:trPr/>
        <w:tc>
          <w:tcPr>
            <w:tcW w:w="641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12,766</w:t>
            </w:r>
          </w:p>
        </w:tc>
        <w:tc>
          <w:tcPr>
            <w:tcW w:w="98"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7,876</w:t>
            </w:r>
          </w:p>
        </w:tc>
        <w:tc>
          <w:tcPr>
            <w:tcW w:w="110" w:type="dxa"/>
            <w:tcBorders/>
            <w:shd w:fill="CCEEFF" w:val="clear"/>
            <w:vAlign w:val="center"/>
          </w:tcPr>
          <w:p>
            <w:pPr>
              <w:pStyle w:val="TableContents"/>
              <w:spacing w:before="0" w:after="283"/>
              <w:jc w:val="left"/>
              <w:rPr/>
            </w:pPr>
            <w:r>
              <w:rPr/>
              <w:t> </w:t>
            </w:r>
          </w:p>
        </w:tc>
      </w:tr>
      <w:tr>
        <w:trPr/>
        <w:tc>
          <w:tcPr>
            <w:tcW w:w="64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10" w:name="xdx_40A_eus-gaap--OperatingExpensesAbstr"/>
            <w:bookmarkEnd w:id="110"/>
          </w:p>
        </w:tc>
      </w:tr>
      <w:tr>
        <w:trPr/>
        <w:tc>
          <w:tcPr>
            <w:tcW w:w="641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pPr>
            <w:r>
              <w:rPr/>
              <w:t> </w:t>
            </w:r>
          </w:p>
        </w:tc>
        <w:tc>
          <w:tcPr>
            <w:tcW w:w="98"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111" w:name="xdx_40B_ecustom--DeliveryAndHandlingExpe"/>
            <w:bookmarkEnd w:id="111"/>
          </w:p>
        </w:tc>
      </w:tr>
      <w:tr>
        <w:trPr/>
        <w:tc>
          <w:tcPr>
            <w:tcW w:w="64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Delivery and handling expense</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6,856</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5,993</w:t>
            </w:r>
          </w:p>
        </w:tc>
        <w:tc>
          <w:tcPr>
            <w:tcW w:w="110" w:type="dxa"/>
            <w:tcBorders/>
            <w:shd w:fill="FFFFFF" w:val="clear"/>
            <w:vAlign w:val="center"/>
          </w:tcPr>
          <w:p>
            <w:pPr>
              <w:pStyle w:val="TableContents"/>
              <w:spacing w:before="0" w:after="283"/>
              <w:jc w:val="left"/>
              <w:rPr/>
            </w:pPr>
            <w:r>
              <w:rPr/>
              <w:t> </w:t>
            </w:r>
            <w:bookmarkStart w:id="112" w:name="xdx_40B_eus-gaap--SellingAndMarketingExp"/>
            <w:bookmarkEnd w:id="112"/>
          </w:p>
        </w:tc>
      </w:tr>
      <w:tr>
        <w:trPr/>
        <w:tc>
          <w:tcPr>
            <w:tcW w:w="64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Selling and marketing expense</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7,503</w:t>
            </w:r>
          </w:p>
        </w:tc>
        <w:tc>
          <w:tcPr>
            <w:tcW w:w="98"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9,188</w:t>
            </w:r>
          </w:p>
        </w:tc>
        <w:tc>
          <w:tcPr>
            <w:tcW w:w="110" w:type="dxa"/>
            <w:tcBorders/>
            <w:shd w:fill="CCEEFF" w:val="clear"/>
            <w:vAlign w:val="center"/>
          </w:tcPr>
          <w:p>
            <w:pPr>
              <w:pStyle w:val="TableContents"/>
              <w:spacing w:before="0" w:after="283"/>
              <w:jc w:val="left"/>
              <w:rPr/>
            </w:pPr>
            <w:r>
              <w:rPr/>
              <w:t> </w:t>
            </w:r>
            <w:bookmarkStart w:id="113" w:name="xdx_40C_eus-gaap--GeneralAndAdministrati"/>
            <w:bookmarkEnd w:id="113"/>
          </w:p>
        </w:tc>
      </w:tr>
      <w:tr>
        <w:trPr/>
        <w:tc>
          <w:tcPr>
            <w:tcW w:w="64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General and administrative expense</w:t>
            </w:r>
          </w:p>
        </w:tc>
        <w:tc>
          <w:tcPr>
            <w:tcW w:w="60" w:type="dxa"/>
            <w:tcBorders/>
            <w:shd w:fill="FFFFFF" w:val="clear"/>
            <w:vAlign w:val="center"/>
          </w:tcPr>
          <w:p>
            <w:pPr>
              <w:pStyle w:val="TableContents"/>
              <w:spacing w:before="0" w:after="283"/>
              <w:rPr/>
            </w:pPr>
            <w:r>
              <w:rPr/>
              <w:t> </w:t>
            </w:r>
          </w:p>
        </w:tc>
        <w:tc>
          <w:tcPr>
            <w:tcW w:w="14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7,023</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7,551</w:t>
            </w:r>
          </w:p>
        </w:tc>
        <w:tc>
          <w:tcPr>
            <w:tcW w:w="110" w:type="dxa"/>
            <w:tcBorders/>
            <w:shd w:fill="FFFFFF" w:val="clear"/>
            <w:vAlign w:val="center"/>
          </w:tcPr>
          <w:p>
            <w:pPr>
              <w:pStyle w:val="TableContents"/>
              <w:spacing w:before="0" w:after="283"/>
              <w:jc w:val="left"/>
              <w:rPr/>
            </w:pPr>
            <w:r>
              <w:rPr/>
              <w:t> </w:t>
            </w:r>
            <w:bookmarkStart w:id="114" w:name="xdx_408_eus-gaap--OperatingExpenses_i01T"/>
            <w:bookmarkEnd w:id="114"/>
          </w:p>
        </w:tc>
      </w:tr>
      <w:tr>
        <w:trPr/>
        <w:tc>
          <w:tcPr>
            <w:tcW w:w="641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21,382</w:t>
            </w:r>
          </w:p>
        </w:tc>
        <w:tc>
          <w:tcPr>
            <w:tcW w:w="98"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22,732</w:t>
            </w:r>
          </w:p>
        </w:tc>
        <w:tc>
          <w:tcPr>
            <w:tcW w:w="110" w:type="dxa"/>
            <w:tcBorders/>
            <w:shd w:fill="CCEEFF" w:val="clear"/>
            <w:vAlign w:val="center"/>
          </w:tcPr>
          <w:p>
            <w:pPr>
              <w:pStyle w:val="TableContents"/>
              <w:spacing w:before="0" w:after="283"/>
              <w:jc w:val="left"/>
              <w:rPr/>
            </w:pPr>
            <w:r>
              <w:rPr/>
              <w:t> </w:t>
            </w:r>
          </w:p>
        </w:tc>
      </w:tr>
      <w:tr>
        <w:trPr/>
        <w:tc>
          <w:tcPr>
            <w:tcW w:w="64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15" w:name="xdx_40B_eus-gaap--OperatingIncomeLoss_iT"/>
            <w:bookmarkEnd w:id="115"/>
          </w:p>
        </w:tc>
      </w:tr>
      <w:tr>
        <w:trPr/>
        <w:tc>
          <w:tcPr>
            <w:tcW w:w="641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(8,616</w:t>
            </w:r>
          </w:p>
        </w:tc>
        <w:tc>
          <w:tcPr>
            <w:tcW w:w="98"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(14,856</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4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16" w:name="xdx_402_eus-gaap--GainsLossesOnExtinguis"/>
            <w:bookmarkEnd w:id="116"/>
          </w:p>
        </w:tc>
      </w:tr>
      <w:tr>
        <w:trPr/>
        <w:tc>
          <w:tcPr>
            <w:tcW w:w="64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Loss on extinguishment of debt</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(262</w:t>
            </w:r>
          </w:p>
        </w:tc>
        <w:tc>
          <w:tcPr>
            <w:tcW w:w="98"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bookmarkStart w:id="117" w:name="xdx_401_eus-gaap--InterestExpense_iN_pn3"/>
            <w:bookmarkEnd w:id="117"/>
          </w:p>
        </w:tc>
      </w:tr>
      <w:tr>
        <w:trPr/>
        <w:tc>
          <w:tcPr>
            <w:tcW w:w="64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(1,307</w:t>
            </w:r>
          </w:p>
        </w:tc>
        <w:tc>
          <w:tcPr>
            <w:tcW w:w="98"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(1,286</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118" w:name="xdx_40A_eus-gaap--FairValueAdjustmentOfW"/>
            <w:bookmarkEnd w:id="118"/>
          </w:p>
        </w:tc>
      </w:tr>
      <w:tr>
        <w:trPr/>
        <w:tc>
          <w:tcPr>
            <w:tcW w:w="64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w:t>
            </w:r>
          </w:p>
        </w:tc>
        <w:tc>
          <w:tcPr>
            <w:tcW w:w="98"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w:t>
            </w:r>
          </w:p>
        </w:tc>
        <w:tc>
          <w:tcPr>
            <w:tcW w:w="110" w:type="dxa"/>
            <w:tcBorders/>
            <w:shd w:fill="CCEEFF" w:val="clear"/>
            <w:vAlign w:val="center"/>
          </w:tcPr>
          <w:p>
            <w:pPr>
              <w:pStyle w:val="TableContents"/>
              <w:spacing w:before="0" w:after="283"/>
              <w:jc w:val="left"/>
              <w:rPr/>
            </w:pPr>
            <w:r>
              <w:rPr/>
              <w:t> </w:t>
            </w:r>
          </w:p>
        </w:tc>
      </w:tr>
      <w:tr>
        <w:trPr/>
        <w:tc>
          <w:tcPr>
            <w:tcW w:w="64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19" w:name="xdx_407_eus-gaap--NetIncomeLoss_iT_pn3n3"/>
            <w:bookmarkEnd w:id="119"/>
          </w:p>
        </w:tc>
      </w:tr>
      <w:tr>
        <w:trPr/>
        <w:tc>
          <w:tcPr>
            <w:tcW w:w="641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(10,177</w:t>
            </w:r>
          </w:p>
        </w:tc>
        <w:tc>
          <w:tcPr>
            <w:tcW w:w="98"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(16,112</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4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20" w:name="xdx_402_eus-gaap--PreferredStockDividend"/>
            <w:bookmarkEnd w:id="120"/>
          </w:p>
        </w:tc>
      </w:tr>
      <w:tr>
        <w:trPr/>
        <w:tc>
          <w:tcPr>
            <w:tcW w:w="641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Dividends on Series A Convertible Preferred Stock</w:t>
            </w:r>
          </w:p>
        </w:tc>
        <w:tc>
          <w:tcPr>
            <w:tcW w:w="60"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98"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1" w:type="dxa"/>
            <w:tcBorders/>
            <w:shd w:fill="CCEEFF" w:val="clear"/>
            <w:vAlign w:val="center"/>
          </w:tcPr>
          <w:p>
            <w:pPr>
              <w:pStyle w:val="TableContents"/>
              <w:spacing w:before="0" w:after="283"/>
              <w:rPr/>
            </w:pPr>
            <w:r>
              <w:rPr/>
              <w:t> </w:t>
            </w:r>
          </w:p>
        </w:tc>
        <w:tc>
          <w:tcPr>
            <w:tcW w:w="14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4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21" w:name="xdx_40D_eus-gaap--NetIncomeLossAvailable"/>
            <w:bookmarkEnd w:id="121"/>
          </w:p>
        </w:tc>
      </w:tr>
      <w:tr>
        <w:trPr/>
        <w:tc>
          <w:tcPr>
            <w:tcW w:w="641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loss attributable to common stockholders</w:t>
            </w:r>
          </w:p>
        </w:tc>
        <w:tc>
          <w:tcPr>
            <w:tcW w:w="60" w:type="dxa"/>
            <w:tcBorders/>
            <w:shd w:fill="CCEEFF" w:val="clear"/>
            <w:vAlign w:val="center"/>
          </w:tcPr>
          <w:p>
            <w:pPr>
              <w:pStyle w:val="TableContents"/>
              <w:spacing w:before="0" w:after="283"/>
              <w:rPr/>
            </w:pPr>
            <w:r>
              <w:rPr/>
              <w:t> </w:t>
            </w:r>
          </w:p>
        </w:tc>
        <w:tc>
          <w:tcPr>
            <w:tcW w:w="14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(10,182</w:t>
            </w:r>
          </w:p>
        </w:tc>
        <w:tc>
          <w:tcPr>
            <w:tcW w:w="98"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1" w:type="dxa"/>
            <w:tcBorders/>
            <w:shd w:fill="CCEEFF" w:val="clear"/>
            <w:vAlign w:val="center"/>
          </w:tcPr>
          <w:p>
            <w:pPr>
              <w:pStyle w:val="TableContents"/>
              <w:spacing w:before="0" w:after="283"/>
              <w:rPr/>
            </w:pPr>
            <w:r>
              <w:rPr/>
              <w:t> </w:t>
            </w:r>
          </w:p>
        </w:tc>
        <w:tc>
          <w:tcPr>
            <w:tcW w:w="14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(16,117</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4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22" w:name="xdx_401_eus-gaap--EarningsPerShareBasicA"/>
            <w:bookmarkEnd w:id="122"/>
          </w:p>
        </w:tc>
      </w:tr>
      <w:tr>
        <w:trPr/>
        <w:tc>
          <w:tcPr>
            <w:tcW w:w="641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Loss per share – basic and diluted</w:t>
            </w:r>
          </w:p>
        </w:tc>
        <w:tc>
          <w:tcPr>
            <w:tcW w:w="60" w:type="dxa"/>
            <w:tcBorders/>
            <w:shd w:fill="CCEEFF" w:val="clear"/>
            <w:vAlign w:val="center"/>
          </w:tcPr>
          <w:p>
            <w:pPr>
              <w:pStyle w:val="TableContents"/>
              <w:spacing w:before="0" w:after="283"/>
              <w:rPr/>
            </w:pPr>
            <w:r>
              <w:rPr/>
              <w:t> </w:t>
            </w:r>
          </w:p>
        </w:tc>
        <w:tc>
          <w:tcPr>
            <w:tcW w:w="14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(0.17</w:t>
            </w:r>
          </w:p>
        </w:tc>
        <w:tc>
          <w:tcPr>
            <w:tcW w:w="98"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1" w:type="dxa"/>
            <w:tcBorders/>
            <w:shd w:fill="CCEEFF" w:val="clear"/>
            <w:vAlign w:val="center"/>
          </w:tcPr>
          <w:p>
            <w:pPr>
              <w:pStyle w:val="TableContents"/>
              <w:spacing w:before="0" w:after="283"/>
              <w:rPr/>
            </w:pPr>
            <w:r>
              <w:rPr/>
              <w:t> </w:t>
            </w:r>
          </w:p>
        </w:tc>
        <w:tc>
          <w:tcPr>
            <w:tcW w:w="14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(0.46</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4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113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23" w:name="xdx_40E_eus-gaap--WeightedAverageNumberO"/>
            <w:bookmarkEnd w:id="123"/>
          </w:p>
        </w:tc>
      </w:tr>
      <w:tr>
        <w:trPr/>
        <w:tc>
          <w:tcPr>
            <w:tcW w:w="641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Weighted average number of shares outstanding – basic and diluted</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60,644,842</w:t>
            </w:r>
          </w:p>
        </w:tc>
        <w:tc>
          <w:tcPr>
            <w:tcW w:w="98"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11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35,058,004</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F-3</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spacing w:before="0" w:after="0"/>
        <w:ind w:left="0" w:right="0" w:hanging="0"/>
        <w:jc w:val="center"/>
        <w:rPr>
          <w:rFonts w:ascii="Times New Roman;Times;Serif" w:hAnsi="Times New Roman;Times;Serif"/>
          <w:b/>
          <w:i w:val="false"/>
          <w:caps w:val="false"/>
          <w:smallCaps w:val="false"/>
          <w:sz w:val="20"/>
        </w:rPr>
      </w:pPr>
      <w:bookmarkStart w:id="124" w:name="c_004"/>
      <w:bookmarkEnd w:id="124"/>
      <w:r>
        <w:rPr>
          <w:rFonts w:ascii="Times New Roman;Times;Serif" w:hAnsi="Times New Roman;Times;Serif"/>
          <w:b/>
          <w:i w:val="false"/>
          <w:caps w:val="false"/>
          <w:smallCaps w:val="false"/>
          <w:sz w:val="20"/>
        </w:rPr>
        <w:t>STATEMENTS OF CHANGES IN STOCKHOLDERS’ EQUITY (DEFICIT)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2020 and 2019</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spacing w:before="0" w:after="0"/>
        <w:ind w:left="0" w:right="0" w:hanging="0"/>
        <w:jc w:val="center"/>
        <w:rPr>
          <w:caps w:val="false"/>
          <w:smallCaps w:val="false"/>
        </w:rPr>
      </w:pPr>
      <w:r>
        <w:rPr>
          <w:caps w:val="false"/>
          <w:smallCaps w:val="false"/>
        </w:rPr>
        <w:t> </w:t>
      </w:r>
    </w:p>
    <w:p>
      <w:pPr>
        <w:pStyle w:val="Normal"/>
        <w:spacing w:before="0" w:after="0"/>
        <w:rPr>
          <w:sz w:val="4"/>
          <w:szCs w:val="4"/>
        </w:rPr>
      </w:pPr>
      <w:r>
        <w:rPr>
          <w:sz w:val="4"/>
          <w:szCs w:val="4"/>
        </w:rPr>
      </w:r>
      <w:bookmarkStart w:id="125" w:name="xdx_304_114_pn3n3_zwybDVjvbjQf"/>
      <w:bookmarkStart w:id="126" w:name="xdx_304_114_pn3n3_zwybDVjvbjQf"/>
      <w:bookmarkEnd w:id="126"/>
    </w:p>
    <w:tbl>
      <w:tblPr>
        <w:tblW w:w="10205" w:type="dxa"/>
        <w:jc w:val="left"/>
        <w:tblInd w:w="0" w:type="dxa"/>
        <w:tblCellMar>
          <w:top w:w="0" w:type="dxa"/>
          <w:left w:w="0" w:type="dxa"/>
          <w:bottom w:w="0" w:type="dxa"/>
          <w:right w:w="0" w:type="dxa"/>
        </w:tblCellMar>
      </w:tblPr>
      <w:tblGrid>
        <w:gridCol w:w="2070"/>
        <w:gridCol w:w="60"/>
        <w:gridCol w:w="60"/>
        <w:gridCol w:w="1100"/>
        <w:gridCol w:w="60"/>
        <w:gridCol w:w="60"/>
        <w:gridCol w:w="400"/>
        <w:gridCol w:w="400"/>
        <w:gridCol w:w="60"/>
        <w:gridCol w:w="60"/>
        <w:gridCol w:w="62"/>
        <w:gridCol w:w="588"/>
        <w:gridCol w:w="60"/>
        <w:gridCol w:w="60"/>
        <w:gridCol w:w="280"/>
        <w:gridCol w:w="520"/>
        <w:gridCol w:w="60"/>
        <w:gridCol w:w="60"/>
        <w:gridCol w:w="185"/>
        <w:gridCol w:w="902"/>
        <w:gridCol w:w="60"/>
        <w:gridCol w:w="60"/>
        <w:gridCol w:w="200"/>
        <w:gridCol w:w="1080"/>
        <w:gridCol w:w="95"/>
        <w:gridCol w:w="60"/>
        <w:gridCol w:w="223"/>
        <w:gridCol w:w="1208"/>
        <w:gridCol w:w="112"/>
      </w:tblGrid>
      <w:tr>
        <w:trPr/>
        <w:tc>
          <w:tcPr>
            <w:tcW w:w="20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27" w:name="xdx_4B1_us-gaap--StatementEquityComponen"/>
            <w:bookmarkEnd w:id="127"/>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28" w:name="xdx_4B0_us-gaap--StatementEquityComponen"/>
            <w:bookmarkEnd w:id="128"/>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29" w:name="xdx_4B8_us-gaap--StatementEquityComponen"/>
            <w:bookmarkEnd w:id="129"/>
          </w:p>
        </w:tc>
        <w:tc>
          <w:tcPr>
            <w:tcW w:w="108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30" w:name="xdx_4BF_us-gaap--StatementEquityComponen"/>
            <w:bookmarkEnd w:id="130"/>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31" w:name="xdx_4B0_zftVnAkWQH47"/>
            <w:bookmarkEnd w:id="131"/>
          </w:p>
        </w:tc>
        <w:tc>
          <w:tcPr>
            <w:tcW w:w="143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Total</w:t>
            </w:r>
          </w:p>
        </w:tc>
        <w:tc>
          <w:tcPr>
            <w:tcW w:w="112" w:type="dxa"/>
            <w:tcBorders/>
            <w:shd w:fill="auto" w:val="clear"/>
            <w:vAlign w:val="center"/>
          </w:tcPr>
          <w:p>
            <w:pPr>
              <w:pStyle w:val="TableContents"/>
              <w:spacing w:before="0" w:after="283"/>
              <w:rPr/>
            </w:pPr>
            <w:r>
              <w:rPr/>
              <w:t> </w:t>
            </w:r>
          </w:p>
        </w:tc>
      </w:tr>
      <w:tr>
        <w:trPr/>
        <w:tc>
          <w:tcPr>
            <w:tcW w:w="20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8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7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Preferred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7" w:type="dxa"/>
            <w:gridSpan w:val="2"/>
            <w:tcBorders/>
            <w:shd w:fill="auto"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Additional Paid 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1" w:type="dxa"/>
            <w:gridSpan w:val="2"/>
            <w:tcBorders/>
            <w:shd w:fill="auto"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Total Stockholders’ Equity</w:t>
            </w:r>
          </w:p>
        </w:tc>
        <w:tc>
          <w:tcPr>
            <w:tcW w:w="112" w:type="dxa"/>
            <w:tcBorders/>
            <w:shd w:fill="auto" w:val="clear"/>
            <w:vAlign w:val="center"/>
          </w:tcPr>
          <w:p>
            <w:pPr>
              <w:pStyle w:val="TableContents"/>
              <w:spacing w:before="0" w:after="283"/>
              <w:rPr/>
            </w:pPr>
            <w:r>
              <w:rPr/>
              <w:t> </w:t>
            </w:r>
          </w:p>
        </w:tc>
      </w:tr>
      <w:tr>
        <w:trPr/>
        <w:tc>
          <w:tcPr>
            <w:tcW w:w="20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(Deficit)</w:t>
            </w:r>
          </w:p>
        </w:tc>
        <w:tc>
          <w:tcPr>
            <w:tcW w:w="112" w:type="dxa"/>
            <w:tcBorders/>
            <w:shd w:fill="auto" w:val="clear"/>
            <w:vAlign w:val="center"/>
          </w:tcPr>
          <w:p>
            <w:pPr>
              <w:pStyle w:val="TableContents"/>
              <w:spacing w:before="0" w:after="283"/>
              <w:rPr/>
            </w:pPr>
            <w:r>
              <w:rPr/>
              <w:t> </w:t>
            </w:r>
            <w:bookmarkStart w:id="132" w:name="xdx_43A_c20190101__20191231_eus-gaap--St"/>
            <w:bookmarkEnd w:id="132"/>
          </w:p>
        </w:tc>
      </w:tr>
      <w:tr>
        <w:trPr/>
        <w:tc>
          <w:tcPr>
            <w:tcW w:w="2070"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Balance, December 31, 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33" w:name="xdx_98E_eus-gaap--SharesOutstanding_iS_p"/>
            <w:bookmarkEnd w:id="133"/>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25,729,461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4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bookmarkStart w:id="134" w:name="xdx_982_eus-gaap--SharesOutstanding_c201"/>
            <w:bookmarkEnd w:id="134"/>
          </w:p>
        </w:tc>
        <w:tc>
          <w:tcPr>
            <w:tcW w:w="5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53,591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(60,431</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(6,743</w:t>
            </w:r>
          </w:p>
        </w:tc>
        <w:tc>
          <w:tcPr>
            <w:tcW w:w="112"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135" w:name="xdx_40D_ecustom--AdjustmentsToAdditional"/>
            <w:bookmarkEnd w:id="135"/>
          </w:p>
        </w:tc>
      </w:tr>
      <w:tr>
        <w:trPr/>
        <w:tc>
          <w:tcPr>
            <w:tcW w:w="207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Fair value of vested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790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20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790</w:t>
            </w:r>
          </w:p>
        </w:tc>
        <w:tc>
          <w:tcPr>
            <w:tcW w:w="112" w:type="dxa"/>
            <w:tcBorders/>
            <w:shd w:fill="FFFFFF" w:val="clear"/>
            <w:vAlign w:val="center"/>
          </w:tcPr>
          <w:p>
            <w:pPr>
              <w:pStyle w:val="TableContents"/>
              <w:spacing w:before="0" w:after="283"/>
              <w:jc w:val="left"/>
              <w:rPr/>
            </w:pPr>
            <w:r>
              <w:rPr/>
              <w:t> </w:t>
            </w:r>
            <w:bookmarkStart w:id="136" w:name="xdx_40D_ecustom--StockIssuedDuringPeriod"/>
            <w:bookmarkEnd w:id="136"/>
          </w:p>
        </w:tc>
      </w:tr>
      <w:tr>
        <w:trPr/>
        <w:tc>
          <w:tcPr>
            <w:tcW w:w="207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Fair value of vested restricted shares granted to Directors for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37" w:name="xdx_988_ecustom--StockIssuedDuringPeriod"/>
            <w:bookmarkEnd w:id="137"/>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46,035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132</w:t>
            </w:r>
          </w:p>
        </w:tc>
        <w:tc>
          <w:tcPr>
            <w:tcW w:w="112" w:type="dxa"/>
            <w:tcBorders/>
            <w:shd w:fill="CCEEFF" w:val="clear"/>
            <w:vAlign w:val="center"/>
          </w:tcPr>
          <w:p>
            <w:pPr>
              <w:pStyle w:val="TableContents"/>
              <w:spacing w:before="0" w:after="283"/>
              <w:jc w:val="left"/>
              <w:rPr/>
            </w:pPr>
            <w:r>
              <w:rPr/>
              <w:t> </w:t>
            </w:r>
            <w:bookmarkStart w:id="138" w:name="xdx_40C_eus-gaap--StockIssuedDuringPerio"/>
            <w:bookmarkEnd w:id="138"/>
          </w:p>
        </w:tc>
      </w:tr>
      <w:tr>
        <w:trPr/>
        <w:tc>
          <w:tcPr>
            <w:tcW w:w="207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Fair value of vested restricted shares granted to a former officer for services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39" w:name="xdx_98E_eus-gaap--StockIssuedDuringPerio"/>
            <w:bookmarkEnd w:id="139"/>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442,002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20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374</w:t>
            </w:r>
          </w:p>
        </w:tc>
        <w:tc>
          <w:tcPr>
            <w:tcW w:w="112" w:type="dxa"/>
            <w:tcBorders/>
            <w:shd w:fill="FFFFFF" w:val="clear"/>
            <w:vAlign w:val="center"/>
          </w:tcPr>
          <w:p>
            <w:pPr>
              <w:pStyle w:val="TableContents"/>
              <w:spacing w:before="0" w:after="283"/>
              <w:jc w:val="left"/>
              <w:rPr/>
            </w:pPr>
            <w:r>
              <w:rPr/>
              <w:t> </w:t>
            </w:r>
            <w:bookmarkStart w:id="140" w:name="xdx_404_ecustom--StockIssuedDuringPeriod"/>
            <w:bookmarkEnd w:id="140"/>
          </w:p>
        </w:tc>
      </w:tr>
      <w:tr>
        <w:trPr/>
        <w:tc>
          <w:tcPr>
            <w:tcW w:w="207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Fair value of vested restricted shares granted to Directors and officers for services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208" w:type="dxa"/>
            <w:tcBorders/>
            <w:shd w:fill="FFFFFF" w:val="clear"/>
            <w:vAlign w:val="center"/>
          </w:tcPr>
          <w:p>
            <w:pPr>
              <w:pStyle w:val="TableContents"/>
              <w:spacing w:before="0" w:after="283"/>
              <w:jc w:val="right"/>
              <w:rPr/>
            </w:pPr>
            <w:r>
              <w:rPr/>
              <w:t> </w:t>
            </w:r>
          </w:p>
        </w:tc>
        <w:tc>
          <w:tcPr>
            <w:tcW w:w="112" w:type="dxa"/>
            <w:tcBorders/>
            <w:shd w:fill="FFFFFF" w:val="clear"/>
            <w:vAlign w:val="center"/>
          </w:tcPr>
          <w:p>
            <w:pPr>
              <w:pStyle w:val="TableContents"/>
              <w:spacing w:before="0" w:after="283"/>
              <w:jc w:val="left"/>
              <w:rPr/>
            </w:pPr>
            <w:r>
              <w:rPr/>
              <w:t> </w:t>
            </w:r>
            <w:bookmarkStart w:id="141" w:name="xdx_40F_ecustom--StockIssuedDuringPeriod"/>
            <w:bookmarkEnd w:id="141"/>
          </w:p>
        </w:tc>
      </w:tr>
      <w:tr>
        <w:trPr/>
        <w:tc>
          <w:tcPr>
            <w:tcW w:w="207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Fair value of vested restricted shares granted to Directors and officers for services, 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208" w:type="dxa"/>
            <w:tcBorders/>
            <w:shd w:fill="FFFFFF" w:val="clear"/>
            <w:vAlign w:val="center"/>
          </w:tcPr>
          <w:p>
            <w:pPr>
              <w:pStyle w:val="TableContents"/>
              <w:spacing w:before="0" w:after="283"/>
              <w:jc w:val="right"/>
              <w:rPr/>
            </w:pPr>
            <w:r>
              <w:rPr/>
              <w:t> </w:t>
            </w:r>
          </w:p>
        </w:tc>
        <w:tc>
          <w:tcPr>
            <w:tcW w:w="112" w:type="dxa"/>
            <w:tcBorders/>
            <w:shd w:fill="FFFFFF" w:val="clear"/>
            <w:vAlign w:val="center"/>
          </w:tcPr>
          <w:p>
            <w:pPr>
              <w:pStyle w:val="TableContents"/>
              <w:spacing w:before="0" w:after="283"/>
              <w:jc w:val="left"/>
              <w:rPr/>
            </w:pPr>
            <w:r>
              <w:rPr/>
              <w:t> </w:t>
            </w:r>
            <w:bookmarkStart w:id="142" w:name="xdx_40E_ecustom--DividendsOnSeriesConver"/>
            <w:bookmarkEnd w:id="142"/>
          </w:p>
        </w:tc>
      </w:tr>
      <w:tr>
        <w:trPr/>
        <w:tc>
          <w:tcPr>
            <w:tcW w:w="207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Dividends on Series A Convertible Preferred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43" w:name="xdx_98C_ecustom--DividendsOnSeriesConver"/>
            <w:bookmarkEnd w:id="143"/>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4,254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spacing w:before="0" w:after="283"/>
              <w:jc w:val="left"/>
              <w:rPr/>
            </w:pPr>
            <w:r>
              <w:rPr/>
              <w:t> </w:t>
            </w:r>
            <w:bookmarkStart w:id="144" w:name="xdx_407_eus-gaap--StockIssuedDuringPerio"/>
            <w:bookmarkEnd w:id="144"/>
          </w:p>
        </w:tc>
      </w:tr>
      <w:tr>
        <w:trPr/>
        <w:tc>
          <w:tcPr>
            <w:tcW w:w="207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Common shares issued pursuant to the rights offerings, net of offering costs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45" w:name="xdx_989_eus-gaap--StockIssuedDuringPerio"/>
            <w:bookmarkEnd w:id="145"/>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21,150,417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22,339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20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22,341</w:t>
            </w:r>
          </w:p>
        </w:tc>
        <w:tc>
          <w:tcPr>
            <w:tcW w:w="112" w:type="dxa"/>
            <w:tcBorders/>
            <w:shd w:fill="FFFFFF" w:val="clear"/>
            <w:vAlign w:val="center"/>
          </w:tcPr>
          <w:p>
            <w:pPr>
              <w:pStyle w:val="TableContents"/>
              <w:spacing w:before="0" w:after="283"/>
              <w:jc w:val="left"/>
              <w:rPr/>
            </w:pPr>
            <w:r>
              <w:rPr/>
              <w:t> </w:t>
            </w:r>
            <w:bookmarkStart w:id="146" w:name="xdx_407_ecustom--CommonSharesIssuedUponE"/>
            <w:bookmarkEnd w:id="146"/>
          </w:p>
        </w:tc>
      </w:tr>
      <w:tr>
        <w:trPr/>
        <w:tc>
          <w:tcPr>
            <w:tcW w:w="207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47" w:name="xdx_988_ecustom--CommonSharesIssuedUponE"/>
            <w:bookmarkEnd w:id="147"/>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223,037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365</w:t>
            </w:r>
          </w:p>
        </w:tc>
        <w:tc>
          <w:tcPr>
            <w:tcW w:w="112" w:type="dxa"/>
            <w:tcBorders/>
            <w:shd w:fill="CCEEFF" w:val="clear"/>
            <w:vAlign w:val="center"/>
          </w:tcPr>
          <w:p>
            <w:pPr>
              <w:pStyle w:val="TableContents"/>
              <w:spacing w:before="0" w:after="283"/>
              <w:jc w:val="left"/>
              <w:rPr/>
            </w:pPr>
            <w:r>
              <w:rPr/>
              <w:t> </w:t>
            </w:r>
            <w:bookmarkStart w:id="148" w:name="xdx_40A_eus-gaap--AdjustmentsToAdditiona"/>
            <w:bookmarkEnd w:id="148"/>
          </w:p>
        </w:tc>
      </w:tr>
      <w:tr>
        <w:trPr/>
        <w:tc>
          <w:tcPr>
            <w:tcW w:w="207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Fair value of warrants issued on extinguishment of debt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pPr>
            <w:r>
              <w:rPr/>
              <w:t> </w:t>
            </w:r>
          </w:p>
        </w:tc>
        <w:tc>
          <w:tcPr>
            <w:tcW w:w="112" w:type="dxa"/>
            <w:tcBorders/>
            <w:shd w:fill="CCEEFF" w:val="clear"/>
            <w:vAlign w:val="center"/>
          </w:tcPr>
          <w:p>
            <w:pPr>
              <w:pStyle w:val="TableContents"/>
              <w:spacing w:before="0" w:after="283"/>
              <w:jc w:val="left"/>
              <w:rPr/>
            </w:pPr>
            <w:r>
              <w:rPr/>
              <w:t> </w:t>
            </w:r>
            <w:bookmarkStart w:id="149" w:name="xdx_408_eus-gaap--StockIssuedDuringPerio"/>
            <w:bookmarkEnd w:id="149"/>
          </w:p>
        </w:tc>
      </w:tr>
      <w:tr>
        <w:trPr/>
        <w:tc>
          <w:tcPr>
            <w:tcW w:w="207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Common shares issued on conversion of note payable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pPr>
            <w:r>
              <w:rPr/>
              <w:t> </w:t>
            </w:r>
          </w:p>
        </w:tc>
        <w:tc>
          <w:tcPr>
            <w:tcW w:w="112" w:type="dxa"/>
            <w:tcBorders/>
            <w:shd w:fill="CCEEFF" w:val="clear"/>
            <w:vAlign w:val="center"/>
          </w:tcPr>
          <w:p>
            <w:pPr>
              <w:pStyle w:val="TableContents"/>
              <w:spacing w:before="0" w:after="283"/>
              <w:jc w:val="left"/>
              <w:rPr/>
            </w:pPr>
            <w:r>
              <w:rPr/>
              <w:t> </w:t>
            </w:r>
            <w:bookmarkStart w:id="150" w:name="xdx_403_eus-gaap--StockIssuedDuringPerio"/>
            <w:bookmarkEnd w:id="150"/>
          </w:p>
        </w:tc>
      </w:tr>
      <w:tr>
        <w:trPr/>
        <w:tc>
          <w:tcPr>
            <w:tcW w:w="207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Common shares issued on conversion of note payable, shares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pPr>
            <w:r>
              <w:rPr/>
              <w:t> </w:t>
            </w:r>
          </w:p>
        </w:tc>
        <w:tc>
          <w:tcPr>
            <w:tcW w:w="112" w:type="dxa"/>
            <w:tcBorders/>
            <w:shd w:fill="CCEEFF" w:val="clear"/>
            <w:vAlign w:val="center"/>
          </w:tcPr>
          <w:p>
            <w:pPr>
              <w:pStyle w:val="TableContents"/>
              <w:spacing w:before="0" w:after="283"/>
              <w:jc w:val="left"/>
              <w:rPr/>
            </w:pPr>
            <w:r>
              <w:rPr/>
              <w:t> </w:t>
            </w:r>
            <w:bookmarkStart w:id="151" w:name="xdx_409_eus-gaap--StockIssuedDuringPerio"/>
            <w:bookmarkEnd w:id="151"/>
          </w:p>
        </w:tc>
      </w:tr>
      <w:tr>
        <w:trPr/>
        <w:tc>
          <w:tcPr>
            <w:tcW w:w="207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 of options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pPr>
            <w:r>
              <w:rPr/>
              <w:t> </w:t>
            </w:r>
          </w:p>
        </w:tc>
        <w:tc>
          <w:tcPr>
            <w:tcW w:w="112" w:type="dxa"/>
            <w:tcBorders/>
            <w:shd w:fill="CCEEFF" w:val="clear"/>
            <w:vAlign w:val="center"/>
          </w:tcPr>
          <w:p>
            <w:pPr>
              <w:pStyle w:val="TableContents"/>
              <w:spacing w:before="0" w:after="283"/>
              <w:jc w:val="left"/>
              <w:rPr/>
            </w:pPr>
            <w:r>
              <w:rPr/>
              <w:t> </w:t>
            </w:r>
            <w:bookmarkStart w:id="152" w:name="xdx_405_eus-gaap--StockIssuedDuringPerio"/>
            <w:bookmarkEnd w:id="152"/>
          </w:p>
        </w:tc>
      </w:tr>
      <w:tr>
        <w:trPr/>
        <w:tc>
          <w:tcPr>
            <w:tcW w:w="207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 of options, shares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pPr>
            <w:r>
              <w:rPr/>
              <w:t> </w:t>
            </w:r>
          </w:p>
        </w:tc>
        <w:tc>
          <w:tcPr>
            <w:tcW w:w="112" w:type="dxa"/>
            <w:tcBorders/>
            <w:shd w:fill="CCEEFF" w:val="clear"/>
            <w:vAlign w:val="center"/>
          </w:tcPr>
          <w:p>
            <w:pPr>
              <w:pStyle w:val="TableContents"/>
              <w:spacing w:before="0" w:after="283"/>
              <w:jc w:val="left"/>
              <w:rPr/>
            </w:pPr>
            <w:r>
              <w:rPr/>
              <w:t> </w:t>
            </w:r>
            <w:bookmarkStart w:id="153" w:name="xdx_406_eus-gaap--NetIncomeLoss_zG2jflHH"/>
            <w:bookmarkEnd w:id="153"/>
          </w:p>
        </w:tc>
      </w:tr>
      <w:tr>
        <w:trPr/>
        <w:tc>
          <w:tcPr>
            <w:tcW w:w="207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4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8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(16,112</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22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(16,112</w:t>
            </w:r>
          </w:p>
        </w:tc>
        <w:tc>
          <w:tcPr>
            <w:tcW w:w="112"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154" w:name="xdx_43B_c20190101__20191231_eus-gaap--St"/>
            <w:bookmarkEnd w:id="154"/>
          </w:p>
        </w:tc>
      </w:tr>
      <w:tr>
        <w:trPr/>
        <w:tc>
          <w:tcPr>
            <w:tcW w:w="2070"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Balance, December 31, 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55" w:name="xdx_981_eus-gaap--SharesOutstanding_iE_p"/>
            <w:bookmarkEnd w:id="155"/>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47,595,206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bookmarkStart w:id="156" w:name="xdx_988_eus-gaap--SharesOutstanding_iE_p"/>
            <w:bookmarkEnd w:id="156"/>
          </w:p>
        </w:tc>
        <w:tc>
          <w:tcPr>
            <w:tcW w:w="5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77,596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(76,548</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1,147</w:t>
            </w:r>
          </w:p>
        </w:tc>
        <w:tc>
          <w:tcPr>
            <w:tcW w:w="112" w:type="dxa"/>
            <w:tcBorders/>
            <w:shd w:fill="CCEEFF" w:val="clear"/>
            <w:vAlign w:val="center"/>
          </w:tcPr>
          <w:p>
            <w:pPr>
              <w:pStyle w:val="TableContents"/>
              <w:spacing w:before="0" w:after="283"/>
              <w:jc w:val="left"/>
              <w:rPr/>
            </w:pPr>
            <w:r>
              <w:rPr/>
              <w:t> </w:t>
            </w:r>
            <w:bookmarkStart w:id="157" w:name="xdx_43A_c20200101__20201231_eus-gaap--St"/>
            <w:bookmarkEnd w:id="157"/>
          </w:p>
        </w:tc>
      </w:tr>
      <w:tr>
        <w:trPr/>
        <w:tc>
          <w:tcPr>
            <w:tcW w:w="207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Balance, December 31, 2019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58" w:name="xdx_986_eus-gaap--SharesOutstanding_iS_p"/>
            <w:bookmarkEnd w:id="158"/>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47,595,206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bookmarkStart w:id="159" w:name="xdx_98E_eus-gaap--SharesOutstanding_iS_p"/>
            <w:bookmarkEnd w:id="159"/>
          </w:p>
        </w:tc>
        <w:tc>
          <w:tcPr>
            <w:tcW w:w="5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9,411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77,596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(76,548)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20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1,147</w:t>
            </w:r>
          </w:p>
        </w:tc>
        <w:tc>
          <w:tcPr>
            <w:tcW w:w="112" w:type="dxa"/>
            <w:tcBorders/>
            <w:shd w:fill="FFFFFF" w:val="clear"/>
            <w:vAlign w:val="center"/>
          </w:tcPr>
          <w:p>
            <w:pPr>
              <w:pStyle w:val="TableContents"/>
              <w:spacing w:before="0" w:after="283"/>
              <w:jc w:val="left"/>
              <w:rPr/>
            </w:pPr>
            <w:r>
              <w:rPr/>
              <w:t> </w:t>
            </w:r>
            <w:bookmarkStart w:id="160" w:name="xdx_40B_ecustom--AdjustmentsToAdditional"/>
            <w:bookmarkEnd w:id="160"/>
          </w:p>
        </w:tc>
      </w:tr>
      <w:tr>
        <w:trPr/>
        <w:tc>
          <w:tcPr>
            <w:tcW w:w="207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Fair value of vested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1,176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20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1,176</w:t>
            </w:r>
          </w:p>
        </w:tc>
        <w:tc>
          <w:tcPr>
            <w:tcW w:w="112" w:type="dxa"/>
            <w:tcBorders/>
            <w:shd w:fill="FFFFFF" w:val="clear"/>
            <w:vAlign w:val="center"/>
          </w:tcPr>
          <w:p>
            <w:pPr>
              <w:pStyle w:val="TableContents"/>
              <w:spacing w:before="0" w:after="283"/>
              <w:jc w:val="left"/>
              <w:rPr/>
            </w:pPr>
            <w:r>
              <w:rPr/>
              <w:t> </w:t>
            </w:r>
            <w:bookmarkStart w:id="161" w:name="xdx_408_ecustom--StockIssuedDuringPeriod"/>
            <w:bookmarkEnd w:id="161"/>
          </w:p>
        </w:tc>
      </w:tr>
      <w:tr>
        <w:trPr/>
        <w:tc>
          <w:tcPr>
            <w:tcW w:w="207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Fair value of vested restricted shares granted to Directors and officers for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62" w:name="xdx_98C_ecustom--StockIssuedDuringPeriod"/>
            <w:bookmarkEnd w:id="162"/>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444,740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416</w:t>
            </w:r>
          </w:p>
        </w:tc>
        <w:tc>
          <w:tcPr>
            <w:tcW w:w="112" w:type="dxa"/>
            <w:tcBorders/>
            <w:shd w:fill="CCEEFF" w:val="clear"/>
            <w:vAlign w:val="center"/>
          </w:tcPr>
          <w:p>
            <w:pPr>
              <w:pStyle w:val="TableContents"/>
              <w:spacing w:before="0" w:after="283"/>
              <w:jc w:val="left"/>
              <w:rPr/>
            </w:pPr>
            <w:r>
              <w:rPr/>
              <w:t> </w:t>
            </w:r>
            <w:bookmarkStart w:id="163" w:name="xdx_40A_eus-gaap--AdjustmentsToAdditiona"/>
            <w:bookmarkEnd w:id="163"/>
          </w:p>
        </w:tc>
      </w:tr>
      <w:tr>
        <w:trPr/>
        <w:tc>
          <w:tcPr>
            <w:tcW w:w="207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Fair value of warrants issued on extinguishment of debt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20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402</w:t>
            </w:r>
          </w:p>
        </w:tc>
        <w:tc>
          <w:tcPr>
            <w:tcW w:w="112" w:type="dxa"/>
            <w:tcBorders/>
            <w:shd w:fill="FFFFFF" w:val="clear"/>
            <w:vAlign w:val="center"/>
          </w:tcPr>
          <w:p>
            <w:pPr>
              <w:pStyle w:val="TableContents"/>
              <w:spacing w:before="0" w:after="283"/>
              <w:jc w:val="left"/>
              <w:rPr/>
            </w:pPr>
            <w:r>
              <w:rPr/>
              <w:t> </w:t>
            </w:r>
            <w:bookmarkStart w:id="164" w:name="xdx_401_ecustom--DividendsOnSeriesConver"/>
            <w:bookmarkEnd w:id="164"/>
          </w:p>
        </w:tc>
      </w:tr>
      <w:tr>
        <w:trPr/>
        <w:tc>
          <w:tcPr>
            <w:tcW w:w="207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Dividends on Series A Convertible Preferred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65" w:name="xdx_98F_ecustom--DividendsOnSeriesConver"/>
            <w:bookmarkEnd w:id="165"/>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4,530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spacing w:before="0" w:after="283"/>
              <w:jc w:val="left"/>
              <w:rPr/>
            </w:pPr>
            <w:r>
              <w:rPr/>
              <w:t> </w:t>
            </w:r>
            <w:bookmarkStart w:id="166" w:name="xdx_40E_eus-gaap--StockIssuedDuringPerio"/>
            <w:bookmarkEnd w:id="166"/>
          </w:p>
        </w:tc>
      </w:tr>
      <w:tr>
        <w:trPr/>
        <w:tc>
          <w:tcPr>
            <w:tcW w:w="207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Common shares issued pursuant to the rights offerings, net of offering costs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67" w:name="xdx_988_eus-gaap--StockIssuedDuringPerio"/>
            <w:bookmarkEnd w:id="167"/>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36,895,834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16,560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20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16,564</w:t>
            </w:r>
          </w:p>
        </w:tc>
        <w:tc>
          <w:tcPr>
            <w:tcW w:w="112" w:type="dxa"/>
            <w:tcBorders/>
            <w:shd w:fill="FFFFFF" w:val="clear"/>
            <w:vAlign w:val="center"/>
          </w:tcPr>
          <w:p>
            <w:pPr>
              <w:pStyle w:val="TableContents"/>
              <w:spacing w:before="0" w:after="283"/>
              <w:jc w:val="left"/>
              <w:rPr/>
            </w:pPr>
            <w:r>
              <w:rPr/>
              <w:t> </w:t>
            </w:r>
            <w:bookmarkStart w:id="168" w:name="xdx_40A_eus-gaap--StockIssuedDuringPerio"/>
            <w:bookmarkEnd w:id="168"/>
          </w:p>
        </w:tc>
      </w:tr>
      <w:tr>
        <w:trPr/>
        <w:tc>
          <w:tcPr>
            <w:tcW w:w="207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Common shares issued on conversion of note payable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69" w:name="xdx_98E_eus-gaap--StockIssuedDuringPerio"/>
            <w:bookmarkEnd w:id="169"/>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1,339,286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jc w:val="left"/>
              <w:rPr/>
            </w:pPr>
            <w:r>
              <w:rPr/>
              <w:t> </w:t>
            </w:r>
          </w:p>
        </w:tc>
        <w:tc>
          <w:tcPr>
            <w:tcW w:w="90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857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12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857</w:t>
            </w:r>
          </w:p>
        </w:tc>
        <w:tc>
          <w:tcPr>
            <w:tcW w:w="112" w:type="dxa"/>
            <w:tcBorders/>
            <w:shd w:fill="CCEEFF" w:val="clear"/>
            <w:vAlign w:val="center"/>
          </w:tcPr>
          <w:p>
            <w:pPr>
              <w:pStyle w:val="TableContents"/>
              <w:spacing w:before="0" w:after="283"/>
              <w:jc w:val="left"/>
              <w:rPr/>
            </w:pPr>
            <w:r>
              <w:rPr/>
              <w:t> </w:t>
            </w:r>
            <w:bookmarkStart w:id="170" w:name="xdx_40D_eus-gaap--StockIssuedDuringPerio"/>
            <w:bookmarkEnd w:id="170"/>
          </w:p>
        </w:tc>
      </w:tr>
      <w:tr>
        <w:trPr/>
        <w:tc>
          <w:tcPr>
            <w:tcW w:w="207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 of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71" w:name="xdx_988_eus-gaap--StockIssuedDuringPerio"/>
            <w:bookmarkEnd w:id="171"/>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37,500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jc w:val="left"/>
              <w:rPr/>
            </w:pPr>
            <w:r>
              <w:rPr/>
              <w:t> </w:t>
            </w:r>
          </w:p>
        </w:tc>
        <w:tc>
          <w:tcPr>
            <w:tcW w:w="90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3" w:type="dxa"/>
            <w:tcBorders/>
            <w:shd w:fill="FFFFFF" w:val="clear"/>
            <w:vAlign w:val="center"/>
          </w:tcPr>
          <w:p>
            <w:pPr>
              <w:pStyle w:val="TableContents"/>
              <w:spacing w:before="0" w:after="283"/>
              <w:jc w:val="left"/>
              <w:rPr/>
            </w:pPr>
            <w:r>
              <w:rPr/>
              <w:t> </w:t>
            </w:r>
          </w:p>
        </w:tc>
        <w:tc>
          <w:tcPr>
            <w:tcW w:w="120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w:t>
            </w:r>
          </w:p>
        </w:tc>
        <w:tc>
          <w:tcPr>
            <w:tcW w:w="112" w:type="dxa"/>
            <w:tcBorders/>
            <w:shd w:fill="FFFFFF" w:val="clear"/>
            <w:vAlign w:val="center"/>
          </w:tcPr>
          <w:p>
            <w:pPr>
              <w:pStyle w:val="TableContents"/>
              <w:spacing w:before="0" w:after="283"/>
              <w:jc w:val="left"/>
              <w:rPr/>
            </w:pPr>
            <w:r>
              <w:rPr/>
              <w:t> </w:t>
            </w:r>
            <w:bookmarkStart w:id="172" w:name="xdx_400_eus-gaap--NetIncomeLoss_zBDiPFWX"/>
            <w:bookmarkEnd w:id="172"/>
          </w:p>
        </w:tc>
      </w:tr>
      <w:tr>
        <w:trPr/>
        <w:tc>
          <w:tcPr>
            <w:tcW w:w="207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8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(10,177</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2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(10,177</w:t>
            </w:r>
          </w:p>
        </w:tc>
        <w:tc>
          <w:tcPr>
            <w:tcW w:w="112"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173" w:name="xdx_431_c20200101__20201231_eus-gaap--St"/>
            <w:bookmarkEnd w:id="173"/>
          </w:p>
        </w:tc>
      </w:tr>
      <w:tr>
        <w:trPr/>
        <w:tc>
          <w:tcPr>
            <w:tcW w:w="2070" w:type="dxa"/>
            <w:tcBorders/>
            <w:shd w:fill="FFFF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Balance, December 31, 2020</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174" w:name="xdx_988_eus-gaap--SharesOutstanding_iE_p"/>
            <w:bookmarkEnd w:id="174"/>
          </w:p>
        </w:tc>
        <w:tc>
          <w:tcPr>
            <w:tcW w:w="110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86,317,096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40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175" w:name="xdx_983_eus-gaap--SharesOutstanding_iE_p"/>
            <w:bookmarkEnd w:id="175"/>
          </w:p>
        </w:tc>
        <w:tc>
          <w:tcPr>
            <w:tcW w:w="58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9,411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2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97,031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8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(86,730</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22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0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10,404</w:t>
            </w:r>
          </w:p>
        </w:tc>
        <w:tc>
          <w:tcPr>
            <w:tcW w:w="112"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F-4</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spacing w:before="0" w:after="0"/>
        <w:ind w:left="0" w:right="0" w:hanging="0"/>
        <w:jc w:val="center"/>
        <w:rPr>
          <w:rFonts w:ascii="Times New Roman;Times;Serif" w:hAnsi="Times New Roman;Times;Serif"/>
          <w:b/>
          <w:i w:val="false"/>
          <w:caps w:val="false"/>
          <w:smallCaps w:val="false"/>
          <w:sz w:val="20"/>
        </w:rPr>
      </w:pPr>
      <w:bookmarkStart w:id="176" w:name="c_005"/>
      <w:bookmarkEnd w:id="176"/>
      <w:r>
        <w:rPr>
          <w:rFonts w:ascii="Times New Roman;Times;Serif" w:hAnsi="Times New Roman;Times;Serif"/>
          <w:b/>
          <w:i w:val="false"/>
          <w:caps w:val="false"/>
          <w:smallCaps w:val="false"/>
          <w:sz w:val="20"/>
        </w:rPr>
        <w:t>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2020 and 2019</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pacing w:before="0" w:after="0"/>
        <w:ind w:left="0" w:right="0" w:hanging="0"/>
        <w:jc w:val="center"/>
        <w:rPr>
          <w:caps w:val="false"/>
          <w:smallCaps w:val="false"/>
        </w:rPr>
      </w:pPr>
      <w:r>
        <w:rPr>
          <w:caps w:val="false"/>
          <w:smallCaps w:val="false"/>
        </w:rPr>
        <w:t> </w:t>
      </w:r>
    </w:p>
    <w:p>
      <w:pPr>
        <w:pStyle w:val="Normal"/>
        <w:spacing w:before="0" w:after="0"/>
        <w:rPr>
          <w:sz w:val="4"/>
          <w:szCs w:val="4"/>
        </w:rPr>
      </w:pPr>
      <w:r>
        <w:rPr>
          <w:sz w:val="4"/>
          <w:szCs w:val="4"/>
        </w:rPr>
      </w:r>
      <w:bookmarkStart w:id="177" w:name="xdx_303_112_pn3n3_zABTE0l8XGg9"/>
      <w:bookmarkStart w:id="178" w:name="xdx_303_112_pn3n3_zABTE0l8XGg9"/>
      <w:bookmarkEnd w:id="178"/>
    </w:p>
    <w:tbl>
      <w:tblPr>
        <w:tblW w:w="10193" w:type="dxa"/>
        <w:jc w:val="left"/>
        <w:tblInd w:w="0" w:type="dxa"/>
        <w:tblCellMar>
          <w:top w:w="0" w:type="dxa"/>
          <w:left w:w="0" w:type="dxa"/>
          <w:bottom w:w="0" w:type="dxa"/>
          <w:right w:w="0" w:type="dxa"/>
        </w:tblCellMar>
      </w:tblPr>
      <w:tblGrid>
        <w:gridCol w:w="6530"/>
        <w:gridCol w:w="60"/>
        <w:gridCol w:w="264"/>
        <w:gridCol w:w="1375"/>
        <w:gridCol w:w="125"/>
        <w:gridCol w:w="60"/>
        <w:gridCol w:w="264"/>
        <w:gridCol w:w="1375"/>
        <w:gridCol w:w="140"/>
      </w:tblGrid>
      <w:tr>
        <w:trPr/>
        <w:tc>
          <w:tcPr>
            <w:tcW w:w="65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79" w:name="xdx_494_20200101__20201231_zhs3iODVtWMj"/>
            <w:bookmarkEnd w:id="179"/>
          </w:p>
        </w:tc>
        <w:tc>
          <w:tcPr>
            <w:tcW w:w="16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2020</w:t>
            </w:r>
          </w:p>
        </w:tc>
        <w:tc>
          <w:tcPr>
            <w:tcW w:w="12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bookmarkStart w:id="180" w:name="xdx_49A_20190101__20191231_z1scvSpxHWI4"/>
            <w:bookmarkEnd w:id="180"/>
          </w:p>
        </w:tc>
        <w:tc>
          <w:tcPr>
            <w:tcW w:w="16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2019</w:t>
            </w:r>
          </w:p>
        </w:tc>
        <w:tc>
          <w:tcPr>
            <w:tcW w:w="140" w:type="dxa"/>
            <w:tcBorders/>
            <w:shd w:fill="auto" w:val="clear"/>
            <w:vAlign w:val="center"/>
          </w:tcPr>
          <w:p>
            <w:pPr>
              <w:pStyle w:val="TableContents"/>
              <w:spacing w:before="0" w:after="283"/>
              <w:rPr>
                <w:caps w:val="false"/>
                <w:smallCaps w:val="false"/>
              </w:rPr>
            </w:pPr>
            <w:r>
              <w:rPr>
                <w:caps w:val="false"/>
                <w:smallCaps w:val="false"/>
              </w:rPr>
              <w:t> </w:t>
            </w:r>
            <w:bookmarkStart w:id="181" w:name="xdx_40D_eus-gaap--NetCashProvidedByUsedI"/>
            <w:bookmarkEnd w:id="181"/>
          </w:p>
        </w:tc>
      </w:tr>
      <w:tr>
        <w:trPr/>
        <w:tc>
          <w:tcPr>
            <w:tcW w:w="6530" w:type="dxa"/>
            <w:tcBorders/>
            <w:shd w:fill="CCEEFF"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182" w:name="xdx_40E_eus-gaap--NetIncomeLoss_i01_pn3n"/>
            <w:bookmarkEnd w:id="182"/>
          </w:p>
        </w:tc>
      </w:tr>
      <w:tr>
        <w:trPr/>
        <w:tc>
          <w:tcPr>
            <w:tcW w:w="653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(10,177</w:t>
            </w:r>
          </w:p>
        </w:tc>
        <w:tc>
          <w:tcPr>
            <w:tcW w:w="1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(16,112</w:t>
            </w:r>
          </w:p>
        </w:tc>
        <w:tc>
          <w:tcPr>
            <w:tcW w:w="14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3" w:name="xdx_401_eus-gaap--AdjustmentsToReconcile"/>
            <w:bookmarkEnd w:id="183"/>
          </w:p>
        </w:tc>
      </w:tr>
      <w:tr>
        <w:trPr/>
        <w:tc>
          <w:tcPr>
            <w:tcW w:w="6530" w:type="dxa"/>
            <w:tcBorders/>
            <w:shd w:fill="CCEEFF"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Adjustments to reconcile net loss to net cash used in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184" w:name="xdx_40C_eus-gaap--DepreciationDepletionA"/>
            <w:bookmarkEnd w:id="184"/>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185" w:name="xdx_40B_eus-gaap--GainLossOnSaleOfProper"/>
            <w:bookmarkEnd w:id="185"/>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sale of property &amp; equipment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6" w:name="xdx_407_eus-gaap--GainLossOnTerminationO"/>
            <w:bookmarkEnd w:id="186"/>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termination of leases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187" w:name="xdx_408_eus-gaap--GainsLossesOnExtinguis"/>
            <w:bookmarkEnd w:id="187"/>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188" w:name="xdx_405_eus-gaap--AmortizationOfDebtDisc"/>
            <w:bookmarkEnd w:id="188"/>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discount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189" w:name="xdx_406_eus-gaap--OperatingLeaseRightOfU"/>
            <w:bookmarkEnd w:id="189"/>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right of use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190" w:name="xdx_409_ecustom--FairValueOfVestedOption"/>
            <w:bookmarkEnd w:id="190"/>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of vested options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191" w:name="xdx_40E_ecustom--FairValueOfVestedRestri"/>
            <w:bookmarkEnd w:id="191"/>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vested restricted shares granted to directors and officers for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192" w:name="xdx_402_ecustom--DecreaseInAllowanceForD"/>
            <w:bookmarkEnd w:id="192"/>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in accounts receivable allowance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1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14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3" w:name="xdx_40F_ecustom--IncreaseDecreaseInInven"/>
            <w:bookmarkEnd w:id="193"/>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inventory reserve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w:t>
            </w:r>
          </w:p>
        </w:tc>
        <w:tc>
          <w:tcPr>
            <w:tcW w:w="12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194" w:name="xdx_40E_eus-gaap--FairValueAdjustmentOfW"/>
            <w:bookmarkEnd w:id="194"/>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fair value of warrant liability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4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5" w:name="xdx_408_ecustom--AccrualOfInterestOnConv"/>
            <w:bookmarkEnd w:id="195"/>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interest on convertible note to a related party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196" w:name="xdx_407_eus-gaap--OperatingLeasePayments"/>
            <w:bookmarkEnd w:id="196"/>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197" w:name="xdx_40A_eus-gaap--IncreaseDecreaseInOper"/>
            <w:bookmarkEnd w:id="197"/>
          </w:p>
        </w:tc>
      </w:tr>
      <w:tr>
        <w:trPr/>
        <w:tc>
          <w:tcPr>
            <w:tcW w:w="6530" w:type="dxa"/>
            <w:tcBorders/>
            <w:shd w:fill="CCEEFF"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operating assets and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198" w:name="xdx_407_eus-gaap--IncreaseDecreaseInAcco"/>
            <w:bookmarkEnd w:id="198"/>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(2,478</w:t>
            </w:r>
          </w:p>
        </w:tc>
        <w:tc>
          <w:tcPr>
            <w:tcW w:w="1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199" w:name="xdx_404_eus-gaap--IncreaseDecreaseInInve"/>
            <w:bookmarkEnd w:id="199"/>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12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(3,575</w:t>
            </w:r>
          </w:p>
        </w:tc>
        <w:tc>
          <w:tcPr>
            <w:tcW w:w="1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0" w:name="xdx_40D_eus-gaap--IncreaseDecreaseInPrep"/>
            <w:bookmarkEnd w:id="200"/>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w:t>
            </w:r>
          </w:p>
        </w:tc>
        <w:tc>
          <w:tcPr>
            <w:tcW w:w="1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w:t>
            </w:r>
          </w:p>
        </w:tc>
        <w:tc>
          <w:tcPr>
            <w:tcW w:w="14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1" w:name="xdx_409_eus-gaap--IncreaseDecreaseInAcco"/>
            <w:bookmarkEnd w:id="201"/>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1,390</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1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2" w:name="xdx_406_eus-gaap--IncreaseDecreaseInAccr"/>
            <w:bookmarkEnd w:id="202"/>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bottom w:val="single" w:sz="12" w:space="0" w:color="000000"/>
            </w:tcBorders>
            <w:shd w:fill="FFFFFF" w:val="clear"/>
            <w:tcMar>
              <w:bottom w:w="28" w:type="dxa"/>
            </w:tcMar>
            <w:vAlign w:val="center"/>
          </w:tcPr>
          <w:p>
            <w:pPr>
              <w:pStyle w:val="TableContents"/>
              <w:spacing w:before="0" w:after="283"/>
              <w:rPr>
                <w:caps w:val="false"/>
                <w:smallCaps w:val="false"/>
              </w:rPr>
            </w:pPr>
            <w:r>
              <w:rPr>
                <w:caps w:val="false"/>
                <w:smallCaps w:val="false"/>
              </w:rPr>
              <w:t> </w:t>
            </w:r>
          </w:p>
        </w:tc>
        <w:tc>
          <w:tcPr>
            <w:tcW w:w="137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bottom w:val="single" w:sz="12" w:space="0" w:color="000000"/>
            </w:tcBorders>
            <w:shd w:fill="FFFFFF" w:val="clear"/>
            <w:tcMar>
              <w:bottom w:w="28" w:type="dxa"/>
            </w:tcMar>
            <w:vAlign w:val="center"/>
          </w:tcPr>
          <w:p>
            <w:pPr>
              <w:pStyle w:val="TableContents"/>
              <w:spacing w:before="0" w:after="283"/>
              <w:rPr>
                <w:caps w:val="false"/>
                <w:smallCaps w:val="false"/>
              </w:rPr>
            </w:pPr>
            <w:r>
              <w:rPr>
                <w:caps w:val="false"/>
                <w:smallCaps w:val="false"/>
              </w:rPr>
              <w:t> </w:t>
            </w:r>
          </w:p>
        </w:tc>
        <w:tc>
          <w:tcPr>
            <w:tcW w:w="137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w:t>
            </w:r>
          </w:p>
        </w:tc>
        <w:tc>
          <w:tcPr>
            <w:tcW w:w="14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bookmarkStart w:id="203" w:name="xdx_403_eus-gaap--NetCashProvidedByUsedI"/>
            <w:bookmarkEnd w:id="203"/>
          </w:p>
        </w:tc>
      </w:tr>
      <w:tr>
        <w:trPr/>
        <w:tc>
          <w:tcPr>
            <w:tcW w:w="653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(9,496</w:t>
            </w:r>
          </w:p>
        </w:tc>
        <w:tc>
          <w:tcPr>
            <w:tcW w:w="12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(18,161</w:t>
            </w:r>
          </w:p>
        </w:tc>
        <w:tc>
          <w:tcPr>
            <w:tcW w:w="1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4" w:name="xdx_40E_eus-gaap--NetCashProvidedByUsedI"/>
            <w:bookmarkEnd w:id="204"/>
          </w:p>
        </w:tc>
      </w:tr>
      <w:tr>
        <w:trPr/>
        <w:tc>
          <w:tcPr>
            <w:tcW w:w="6530" w:type="dxa"/>
            <w:tcBorders/>
            <w:shd w:fill="FFFFFF"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205" w:name="xdx_40E_ecustom--PaymentsForTrademarkCos"/>
            <w:bookmarkEnd w:id="205"/>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 trademark costs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2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06" w:name="xdx_40B_eus-gaap--ProceedsFromSaleOfProp"/>
            <w:bookmarkEnd w:id="206"/>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property and equipment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207" w:name="xdx_40C_eus-gaap--PaymentsToAcquirePrope"/>
            <w:bookmarkEnd w:id="207"/>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bottom w:val="single" w:sz="12"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3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2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bottom w:val="single" w:sz="12"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3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1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8" w:name="xdx_408_eus-gaap--NetCashProvidedByUsedI"/>
            <w:bookmarkEnd w:id="208"/>
          </w:p>
        </w:tc>
      </w:tr>
      <w:tr>
        <w:trPr/>
        <w:tc>
          <w:tcPr>
            <w:tcW w:w="653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1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14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9" w:name="xdx_40F_eus-gaap--NetCashProvidedByUsedI"/>
            <w:bookmarkEnd w:id="209"/>
          </w:p>
        </w:tc>
      </w:tr>
      <w:tr>
        <w:trPr/>
        <w:tc>
          <w:tcPr>
            <w:tcW w:w="6530" w:type="dxa"/>
            <w:tcBorders/>
            <w:shd w:fill="CCEEFF"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10" w:name="xdx_406_eus-gaap--ProceedsFromLinesOfCre"/>
            <w:bookmarkEnd w:id="210"/>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revolving line of credit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50,975</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54,831</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211" w:name="xdx_40B_eus-gaap--RepaymentsOfLinesOfCre"/>
            <w:bookmarkEnd w:id="211"/>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of revolving line of credit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(54,636</w:t>
            </w:r>
          </w:p>
        </w:tc>
        <w:tc>
          <w:tcPr>
            <w:tcW w:w="12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(58,827</w:t>
            </w:r>
          </w:p>
        </w:tc>
        <w:tc>
          <w:tcPr>
            <w:tcW w:w="14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2" w:name="xdx_40D_ecustom--PaymentsForCapitalizati"/>
            <w:bookmarkEnd w:id="212"/>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of financing costs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1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14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3" w:name="xdx_40B_eus-gaap--ProceedsFromIssuanceOf"/>
            <w:bookmarkEnd w:id="213"/>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loan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14" w:name="xdx_40E_eus-gaap--ProceedsFromRepayments"/>
            <w:bookmarkEnd w:id="214"/>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from related party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215" w:name="xdx_40F_eus-gaap--RepaymentsOfConvertibl"/>
            <w:bookmarkEnd w:id="215"/>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convertible note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w:t>
            </w:r>
          </w:p>
        </w:tc>
        <w:tc>
          <w:tcPr>
            <w:tcW w:w="12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16" w:name="xdx_400_eus-gaap--RepaymentsOfLongTermCa"/>
            <w:bookmarkEnd w:id="216"/>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repayments on finance lease obligation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14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7" w:name="xdx_406_eus-gaap--ProceedsFromStockOptio"/>
            <w:bookmarkEnd w:id="217"/>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options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18" w:name="xdx_403_eus-gaap--ProceedsFromWarrantExe"/>
            <w:bookmarkEnd w:id="218"/>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warrants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219" w:name="xdx_406_eus-gaap--ProceedsFromIssuanceOf"/>
            <w:bookmarkEnd w:id="219"/>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common stock</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bottom w:val="single" w:sz="12"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3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16,564</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bottom w:val="single" w:sz="12"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3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22,341</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20" w:name="xdx_407_eus-gaap--NetCashProvidedByUsedI"/>
            <w:bookmarkEnd w:id="220"/>
          </w:p>
        </w:tc>
      </w:tr>
      <w:tr>
        <w:trPr/>
        <w:tc>
          <w:tcPr>
            <w:tcW w:w="653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bottom w:val="single" w:sz="12" w:space="0" w:color="000000"/>
            </w:tcBorders>
            <w:shd w:fill="FFFFFF" w:val="clear"/>
            <w:tcMar>
              <w:bottom w:w="28" w:type="dxa"/>
            </w:tcMar>
            <w:vAlign w:val="center"/>
          </w:tcPr>
          <w:p>
            <w:pPr>
              <w:pStyle w:val="TableContents"/>
              <w:spacing w:before="0" w:after="283"/>
              <w:rPr>
                <w:caps w:val="false"/>
                <w:smallCaps w:val="false"/>
              </w:rPr>
            </w:pPr>
            <w:r>
              <w:rPr>
                <w:caps w:val="false"/>
                <w:smallCaps w:val="false"/>
              </w:rPr>
              <w:t> </w:t>
            </w:r>
          </w:p>
        </w:tc>
        <w:tc>
          <w:tcPr>
            <w:tcW w:w="137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9,339</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bottom w:val="single" w:sz="12" w:space="0" w:color="000000"/>
            </w:tcBorders>
            <w:shd w:fill="FFFFFF" w:val="clear"/>
            <w:tcMar>
              <w:bottom w:w="28" w:type="dxa"/>
            </w:tcMar>
            <w:vAlign w:val="center"/>
          </w:tcPr>
          <w:p>
            <w:pPr>
              <w:pStyle w:val="TableContents"/>
              <w:spacing w:before="0" w:after="283"/>
              <w:rPr>
                <w:caps w:val="false"/>
                <w:smallCaps w:val="false"/>
              </w:rPr>
            </w:pPr>
            <w:r>
              <w:rPr>
                <w:caps w:val="false"/>
                <w:smallCaps w:val="false"/>
              </w:rPr>
              <w:t> </w:t>
            </w:r>
          </w:p>
        </w:tc>
        <w:tc>
          <w:tcPr>
            <w:tcW w:w="137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18,727</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p>
        </w:tc>
      </w:tr>
      <w:tr>
        <w:trPr/>
        <w:tc>
          <w:tcPr>
            <w:tcW w:w="653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21" w:name="xdx_40B_eus-gaap--CashCashEquivalentsRes"/>
            <w:bookmarkEnd w:id="221"/>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12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222" w:name="xdx_405_eus-gaap--CashCashEquivalentsRes"/>
            <w:bookmarkEnd w:id="222"/>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beginning of period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bottom w:val="single" w:sz="12"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3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bottom w:val="single" w:sz="12"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3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23" w:name="xdx_402_eus-gaap--CashCashEquivalentsRes"/>
            <w:bookmarkEnd w:id="223"/>
          </w:p>
        </w:tc>
      </w:tr>
      <w:tr>
        <w:trPr/>
        <w:tc>
          <w:tcPr>
            <w:tcW w:w="653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at end of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p>
        </w:tc>
      </w:tr>
      <w:tr>
        <w:trPr/>
        <w:tc>
          <w:tcPr>
            <w:tcW w:w="653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caps w:val="false"/>
                <w:smallCaps w:val="false"/>
              </w:rPr>
            </w:pPr>
            <w:r>
              <w:rPr>
                <w:caps w:val="false"/>
                <w:smallCaps w:val="false"/>
              </w:rPr>
              <w:t> </w:t>
            </w:r>
          </w:p>
        </w:tc>
        <w:tc>
          <w:tcPr>
            <w:tcW w:w="137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24" w:name="xdx_403_eus-gaap--SupplementalCashFlowIn"/>
            <w:bookmarkEnd w:id="224"/>
          </w:p>
        </w:tc>
      </w:tr>
      <w:tr>
        <w:trPr/>
        <w:tc>
          <w:tcPr>
            <w:tcW w:w="653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of cash flow information: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225" w:name="xdx_403_eus-gaap--InterestPaidNet_i01_pn"/>
            <w:bookmarkEnd w:id="225"/>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interest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26" w:name="xdx_40A_eus-gaap--CashFlowNoncashInvesti"/>
            <w:bookmarkEnd w:id="226"/>
          </w:p>
        </w:tc>
      </w:tr>
      <w:tr>
        <w:trPr/>
        <w:tc>
          <w:tcPr>
            <w:tcW w:w="653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investing and financing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caps w:val="false"/>
                <w:smallCaps w:val="false"/>
              </w:rPr>
            </w:pPr>
            <w:r>
              <w:rPr>
                <w:caps w:val="false"/>
                <w:smallCaps w:val="false"/>
              </w:rPr>
              <w:t> </w:t>
            </w:r>
          </w:p>
        </w:tc>
        <w:tc>
          <w:tcPr>
            <w:tcW w:w="137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bookmarkStart w:id="227" w:name="xdx_409_ecustom--OffsetAccountsReceivabl"/>
            <w:bookmarkEnd w:id="227"/>
          </w:p>
        </w:tc>
      </w:tr>
      <w:tr>
        <w:trPr/>
        <w:tc>
          <w:tcPr>
            <w:tcW w:w="65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 accounts receivable related party and accounts payable related party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12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4"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140" w:type="dxa"/>
            <w:tcBorders/>
            <w:shd w:fill="CCEEFF" w:val="clear"/>
            <w:vAlign w:val="center"/>
          </w:tcPr>
          <w:p>
            <w:pPr>
              <w:pStyle w:val="TableContents"/>
              <w:spacing w:before="0" w:after="283"/>
              <w:rPr>
                <w:caps w:val="false"/>
                <w:smallCaps w:val="false"/>
              </w:rPr>
            </w:pPr>
            <w:r>
              <w:rPr>
                <w:caps w:val="false"/>
                <w:smallCaps w:val="false"/>
              </w:rPr>
              <w:t> </w:t>
            </w:r>
            <w:bookmarkStart w:id="228" w:name="xdx_409_ecustom--DividendsOnSeriesAConve"/>
            <w:bookmarkEnd w:id="228"/>
          </w:p>
        </w:tc>
      </w:tr>
      <w:tr>
        <w:trPr/>
        <w:tc>
          <w:tcPr>
            <w:tcW w:w="65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Series A Convertible Preferred Stock</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2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64"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40" w:type="dxa"/>
            <w:tcBorders/>
            <w:shd w:fill="FFFFFF" w:val="cle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F-5</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spacing w:before="0" w:after="0"/>
        <w:ind w:left="0" w:right="0" w:hanging="0"/>
        <w:jc w:val="center"/>
        <w:rPr>
          <w:rFonts w:ascii="Times New Roman;Times;Serif" w:hAnsi="Times New Roman;Times;Serif"/>
          <w:b/>
          <w:i w:val="false"/>
          <w:caps w:val="false"/>
          <w:smallCaps w:val="false"/>
          <w:sz w:val="20"/>
        </w:rPr>
      </w:pPr>
      <w:bookmarkStart w:id="229" w:name="c_006"/>
      <w:bookmarkEnd w:id="229"/>
      <w:r>
        <w:rPr>
          <w:rFonts w:ascii="Times New Roman;Times;Serif" w:hAnsi="Times New Roman;Times;Serif"/>
          <w:b/>
          <w:i w:val="false"/>
          <w:caps w:val="false"/>
          <w:smallCaps w:val="false"/>
          <w:sz w:val="20"/>
        </w:rPr>
        <w:t>NOTES TO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2020 and 2019</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30" w:name="xdx_801_eus-gaap--NatureOfOperations_zRP"/>
      <w:bookmarkEnd w:id="230"/>
      <w:r>
        <w:rPr>
          <w:rFonts w:ascii="Times New Roman;Times;Serif" w:hAnsi="Times New Roman;Times;Serif"/>
          <w:b/>
          <w:i w:val="false"/>
          <w:caps w:val="false"/>
          <w:smallCaps w:val="false"/>
          <w:sz w:val="20"/>
        </w:rPr>
        <w:t xml:space="preserve">1. </w:t>
      </w:r>
      <w:bookmarkStart w:id="231" w:name="xdx_820_z7iqDqefEJqk"/>
      <w:bookmarkEnd w:id="231"/>
      <w:r>
        <w:rPr>
          <w:rFonts w:ascii="Times New Roman;Times;Serif" w:hAnsi="Times New Roman;Times;Serif"/>
          <w:b/>
          <w:i w:val="false"/>
          <w:caps w:val="false"/>
          <w:smallCaps w:val="false"/>
          <w:sz w:val="20"/>
        </w:rPr>
        <w:t>Operations and Liquidity</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 (the “Company”) is the owner and maker of both Reed Craft Ginger Beer and Reed’s Real Ginger Ale and Virgil’s Handcrafted Sodas. Established in 1989, Reed’s is America’s best-selling Ginger Beer brand and has been the leader and innovator in the ginger beer category for decades. Virgil’s is America’s best-selling independent, full line of natural craft sodas. The Reed’s Inc. portfolio is sold in over 40,000 retail stores nationwide. Reed’s Ginger Beers are unique due to the proprietary process of using fresh ginger root combined with a Jamaican inspired recipe of natural spices and fruit juices. Reed’s uses this same handcrafted approach in its Reed’s Real Ginger Ale and Virgil’s line of great tasting, bold flavored craft sodas, including its award-winning Virgil’s Root Beer.</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COVID-19 Considerations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the COVID-19 pandemic did not have a material net impact on our operating results. In the future,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without significant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the year ended December 31, 2020,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2020, the COVID-19 pandemic has not negatively impacted the Company’s liquidity position as of such date. Net sales for the year ended December 31, 2020 were up 23% from the prior year period. Through December 31, 2020,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under the assumption that the Company will continue as a going concern. Such assumption contemplates the realization of assets and satisfaction of liabilities in the normal course of business. For the year ended December 31, 2020, the Company recorded a net loss of $</w:t>
      </w:r>
      <w:bookmarkStart w:id="232" w:name="xdx_901_eus-gaap--NetIncomeLoss_iN_pn3n3"/>
      <w:bookmarkEnd w:id="232"/>
      <w:r>
        <w:rPr>
          <w:rFonts w:ascii="Times New Roman;Times;Serif" w:hAnsi="Times New Roman;Times;Serif"/>
          <w:b w:val="false"/>
          <w:i w:val="false"/>
          <w:caps w:val="false"/>
          <w:smallCaps w:val="false"/>
          <w:sz w:val="20"/>
        </w:rPr>
        <w:t>10,177 and used cash in operations of $</w:t>
      </w:r>
      <w:bookmarkStart w:id="233" w:name="xdx_90F_eus-gaap--NetCashProvidedByUsedI"/>
      <w:bookmarkEnd w:id="233"/>
      <w:r>
        <w:rPr>
          <w:rFonts w:ascii="Times New Roman;Times;Serif" w:hAnsi="Times New Roman;Times;Serif"/>
          <w:b w:val="false"/>
          <w:i w:val="false"/>
          <w:caps w:val="false"/>
          <w:smallCaps w:val="false"/>
          <w:sz w:val="20"/>
        </w:rPr>
        <w:t>9,496. As of December 31, 2020, we had a cash balance of $</w:t>
      </w:r>
      <w:bookmarkStart w:id="234" w:name="xdx_90B_eus-gaap--Cash_c20201231_pn3n3"/>
      <w:bookmarkEnd w:id="234"/>
      <w:r>
        <w:rPr>
          <w:rFonts w:ascii="Times New Roman;Times;Serif" w:hAnsi="Times New Roman;Times;Serif"/>
          <w:b w:val="false"/>
          <w:i w:val="false"/>
          <w:caps w:val="false"/>
          <w:smallCaps w:val="false"/>
          <w:sz w:val="20"/>
        </w:rPr>
        <w:t>595 with borrowing capacity of $</w:t>
      </w:r>
      <w:bookmarkStart w:id="235" w:name="xdx_903_eus-gaap--LineOfCreditFacilityCu"/>
      <w:bookmarkEnd w:id="235"/>
      <w:r>
        <w:rPr>
          <w:rFonts w:ascii="Times New Roman;Times;Serif" w:hAnsi="Times New Roman;Times;Serif"/>
          <w:b w:val="false"/>
          <w:i w:val="false"/>
          <w:caps w:val="false"/>
          <w:smallCaps w:val="false"/>
          <w:sz w:val="20"/>
        </w:rPr>
        <w:t>5,166, stockholders’ equity of $</w:t>
      </w:r>
      <w:bookmarkStart w:id="236" w:name="xdx_90D_eus-gaap--StockholdersEquity_iI_"/>
      <w:bookmarkEnd w:id="236"/>
      <w:r>
        <w:rPr>
          <w:rFonts w:ascii="Times New Roman;Times;Serif" w:hAnsi="Times New Roman;Times;Serif"/>
          <w:b w:val="false"/>
          <w:i w:val="false"/>
          <w:caps w:val="false"/>
          <w:smallCaps w:val="false"/>
          <w:sz w:val="20"/>
        </w:rPr>
        <w:t>10,404 and a working capital of $</w:t>
      </w:r>
      <w:bookmarkStart w:id="237" w:name="xdx_904_ecustom--WorkingCapital_c2020123"/>
      <w:bookmarkEnd w:id="237"/>
      <w:r>
        <w:rPr>
          <w:rFonts w:ascii="Times New Roman;Times;Serif" w:hAnsi="Times New Roman;Times;Serif"/>
          <w:b w:val="false"/>
          <w:i w:val="false"/>
          <w:caps w:val="false"/>
          <w:smallCaps w:val="false"/>
          <w:sz w:val="20"/>
        </w:rPr>
        <w:t>9,528. Notwithstanding the net loss for 2020, management projects adequate cash from operations and available line of credit in 2021 to ensure continuation of the Company as a going concern for at least one year from the date the Company’s 2020 financial statements are issued.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2020, the Company conducted public offerings and sold </w:t>
      </w:r>
      <w:bookmarkStart w:id="238" w:name="xdx_90E_eus-gaap--SaleOfStockNumberOfSha"/>
      <w:bookmarkEnd w:id="238"/>
      <w:r>
        <w:rPr>
          <w:rFonts w:ascii="Times New Roman;Times;Serif" w:hAnsi="Times New Roman;Times;Serif"/>
          <w:b w:val="false"/>
          <w:i w:val="false"/>
          <w:caps w:val="false"/>
          <w:smallCaps w:val="false"/>
          <w:sz w:val="20"/>
        </w:rPr>
        <w:t>36.9 million of its common shares and received net proceeds of $</w:t>
      </w:r>
      <w:bookmarkStart w:id="239" w:name="xdx_909_eus-gaap--ProceedsFromIssuanceIn"/>
      <w:bookmarkEnd w:id="239"/>
      <w:r>
        <w:rPr>
          <w:rFonts w:ascii="Times New Roman;Times;Serif" w:hAnsi="Times New Roman;Times;Serif"/>
          <w:b w:val="false"/>
          <w:i w:val="false"/>
          <w:caps w:val="false"/>
          <w:smallCaps w:val="false"/>
          <w:sz w:val="20"/>
        </w:rPr>
        <w:t>16,564 (see Note 11).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F-6</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40" w:name="xdx_803_eus-gaap--SignificantAccountingP"/>
      <w:bookmarkEnd w:id="240"/>
      <w:r>
        <w:rPr>
          <w:rFonts w:ascii="Times New Roman;Times;Serif" w:hAnsi="Times New Roman;Times;Serif"/>
          <w:b/>
          <w:i w:val="false"/>
          <w:caps w:val="false"/>
          <w:smallCaps w:val="false"/>
          <w:sz w:val="20"/>
        </w:rPr>
        <w:t xml:space="preserve">2. </w:t>
      </w:r>
      <w:bookmarkStart w:id="241" w:name="xdx_822_zALHhGXcvHQe"/>
      <w:bookmarkEnd w:id="241"/>
      <w:r>
        <w:rPr>
          <w:rFonts w:ascii="Times New Roman;Times;Serif" w:hAnsi="Times New Roman;Times;Serif"/>
          <w:b/>
          <w:i w:val="false"/>
          <w:caps w:val="false"/>
          <w:smallCaps w:val="false"/>
          <w:sz w:val="20"/>
        </w:rPr>
        <w:t>Significant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42" w:name="xdx_861_ztsHQoFvX7y5"/>
      <w:bookmarkStart w:id="243" w:name="xdx_845_eus-gaap--UseOfEstimates_zH1s1I8"/>
      <w:bookmarkEnd w:id="242"/>
      <w:bookmarkEnd w:id="243"/>
      <w:r>
        <w:rPr>
          <w:rFonts w:ascii="Times New Roman;Times;Serif" w:hAnsi="Times New Roman;Times;Serif"/>
          <w:b/>
          <w:i w:val="false"/>
          <w:caps w:val="false"/>
          <w:smallCaps w:val="false"/>
          <w:sz w:val="20"/>
        </w:rPr>
        <w:t>Use of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receivables,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44" w:name="xdx_86F_zFBiSs7wrUf1"/>
      <w:bookmarkStart w:id="245" w:name="xdx_849_eus-gaap--TradeAndOtherAccountsR"/>
      <w:bookmarkEnd w:id="244"/>
      <w:bookmarkEnd w:id="245"/>
      <w:r>
        <w:rPr>
          <w:rFonts w:ascii="Times New Roman;Times;Serif" w:hAnsi="Times New Roman;Times;Serif"/>
          <w:b/>
          <w:i w:val="false"/>
          <w:caps w:val="false"/>
          <w:smallCaps w:val="false"/>
          <w:sz w:val="20"/>
        </w:rPr>
        <w:t>Accounts Receivable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generally recorded at the invoiced amounts net of an allowance for expected losses. 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accounts receivable is established through a provision reducing the carrying value of receivables. At December 31, 2020 and 2019, the allowance was $</w:t>
      </w:r>
      <w:bookmarkStart w:id="246" w:name="xdx_90D_eus-gaap--AllowanceForDoubtfulAc"/>
      <w:bookmarkEnd w:id="246"/>
      <w:r>
        <w:rPr>
          <w:rFonts w:ascii="Times New Roman;Times;Serif" w:hAnsi="Times New Roman;Times;Serif"/>
          <w:b w:val="false"/>
          <w:i w:val="false"/>
          <w:caps w:val="false"/>
          <w:smallCaps w:val="false"/>
          <w:sz w:val="20"/>
        </w:rPr>
        <w:t>234 and $</w:t>
      </w:r>
      <w:bookmarkStart w:id="247" w:name="xdx_90A_eus-gaap--AllowanceForDoubtfulAc"/>
      <w:bookmarkEnd w:id="247"/>
      <w:r>
        <w:rPr>
          <w:rFonts w:ascii="Times New Roman;Times;Serif" w:hAnsi="Times New Roman;Times;Serif"/>
          <w:b w:val="false"/>
          <w:i w:val="false"/>
          <w:caps w:val="false"/>
          <w:smallCaps w:val="false"/>
          <w:sz w:val="20"/>
        </w:rPr>
        <w:t>375,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48" w:name="xdx_86B_zWyOwn2gyoI5"/>
      <w:bookmarkStart w:id="249" w:name="xdx_84D_eus-gaap--InventoryPolicyTextBlo"/>
      <w:bookmarkEnd w:id="248"/>
      <w:bookmarkEnd w:id="249"/>
      <w:r>
        <w:rPr>
          <w:rFonts w:ascii="Times New Roman;Times;Serif" w:hAnsi="Times New Roman;Times;Serif"/>
          <w:b/>
          <w:i w:val="false"/>
          <w:caps w:val="false"/>
          <w:smallCaps w:val="false"/>
          <w:sz w:val="20"/>
        </w:rPr>
        <w:t>Inventory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or net realizable value, with cost determined on a first-in, first-out (“FIFO”) basis. We regularly review our inventory quantities on hand and record a provision for 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 At December 31, 2020 and 2019, the reserve for inventory obsolescence aggregated $</w:t>
      </w:r>
      <w:bookmarkStart w:id="250" w:name="xdx_901_eus-gaap--InventoryValuationRese"/>
      <w:bookmarkEnd w:id="250"/>
      <w:r>
        <w:rPr>
          <w:rFonts w:ascii="Times New Roman;Times;Serif" w:hAnsi="Times New Roman;Times;Serif"/>
          <w:b w:val="false"/>
          <w:i w:val="false"/>
          <w:caps w:val="false"/>
          <w:smallCaps w:val="false"/>
          <w:sz w:val="20"/>
        </w:rPr>
        <w:t>194 and $</w:t>
      </w:r>
      <w:bookmarkStart w:id="251" w:name="xdx_909_eus-gaap--InventoryValuationRese"/>
      <w:bookmarkEnd w:id="251"/>
      <w:r>
        <w:rPr>
          <w:rFonts w:ascii="Times New Roman;Times;Serif" w:hAnsi="Times New Roman;Times;Serif"/>
          <w:b w:val="false"/>
          <w:i w:val="false"/>
          <w:caps w:val="false"/>
          <w:smallCaps w:val="false"/>
          <w:sz w:val="20"/>
        </w:rPr>
        <w:t>646,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52" w:name="xdx_864_zY2IIxSMdb7h"/>
      <w:bookmarkStart w:id="253" w:name="xdx_846_eus-gaap--PropertyPlantAndEquipm"/>
      <w:bookmarkEnd w:id="252"/>
      <w:bookmarkEnd w:id="253"/>
      <w:r>
        <w:rPr>
          <w:rFonts w:ascii="Times New Roman;Times;Serif" w:hAnsi="Times New Roman;Times;Serif"/>
          <w:b/>
          <w:i w:val="false"/>
          <w:caps w:val="false"/>
          <w:smallCaps w:val="false"/>
          <w:sz w:val="20"/>
        </w:rPr>
        <w:t>Property and Equipment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is stated at cost. Expenditures for major renewals and improvements that extend the useful lives of property and equipment or increase production capacity are capitalized, and expenditures for repairs and maintenance are charged to expense as incurred. Depreciation is calculated using accelerated and straight-line methods over the estimated useful lives of the assets as follows:</w:t>
      </w:r>
    </w:p>
    <w:p>
      <w:pPr>
        <w:pStyle w:val="TextBody"/>
        <w:spacing w:before="0" w:after="0"/>
        <w:ind w:left="0" w:right="0" w:firstLine="720"/>
        <w:jc w:val="both"/>
        <w:rPr>
          <w:rFonts w:ascii="Times New Roman;Times;Serif" w:hAnsi="Times New Roman;Times;Serif"/>
          <w:b w:val="false"/>
          <w:i w:val="false"/>
          <w:caps w:val="false"/>
          <w:smallCaps w:val="false"/>
          <w:sz w:val="20"/>
        </w:rPr>
      </w:pPr>
      <w:bookmarkStart w:id="254" w:name="xdx_8BB_zbWCerA0jTv2"/>
      <w:bookmarkStart w:id="255" w:name="xdx_89E_ecustom--ScheduleOfEstimatedUsef"/>
      <w:bookmarkEnd w:id="254"/>
      <w:bookmarkEnd w:id="255"/>
      <w:r>
        <w:rPr>
          <w:rFonts w:ascii="Times New Roman;Times;Serif" w:hAnsi="Times New Roman;Times;Serif"/>
          <w:b w:val="false"/>
          <w:i w:val="false"/>
          <w:caps w:val="false"/>
          <w:smallCaps w:val="false"/>
          <w:sz w:val="20"/>
        </w:rPr>
        <w:t>Schedule of Estimated Useful Lives of Property and Equipment and Related Depreciation</w:t>
      </w:r>
    </w:p>
    <w:tbl>
      <w:tblPr>
        <w:tblW w:w="4585" w:type="dxa"/>
        <w:jc w:val="left"/>
        <w:tblInd w:w="0" w:type="dxa"/>
        <w:tblCellMar>
          <w:top w:w="0" w:type="dxa"/>
          <w:left w:w="0" w:type="dxa"/>
          <w:bottom w:w="28" w:type="dxa"/>
          <w:right w:w="0" w:type="dxa"/>
        </w:tblCellMar>
      </w:tblPr>
      <w:tblGrid>
        <w:gridCol w:w="2690"/>
        <w:gridCol w:w="60"/>
        <w:gridCol w:w="1835"/>
      </w:tblGrid>
      <w:tr>
        <w:trPr/>
        <w:tc>
          <w:tcPr>
            <w:tcW w:w="2690"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Type</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1835"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Years of Depreciation </w:t>
            </w:r>
          </w:p>
        </w:tc>
      </w:tr>
      <w:tr>
        <w:trPr/>
        <w:tc>
          <w:tcPr>
            <w:tcW w:w="269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hardware and software</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183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bookmarkStart w:id="256" w:name="xdx_908_eus-gaap--PropertyPlantAndEquipm"/>
            <w:bookmarkEnd w:id="256"/>
            <w:r>
              <w:rPr>
                <w:rFonts w:ascii="Times New Roman;Times;Serif" w:hAnsi="Times New Roman;Times;Serif"/>
                <w:b w:val="false"/>
                <w:i w:val="false"/>
                <w:caps w:val="false"/>
                <w:smallCaps w:val="false"/>
                <w:sz w:val="20"/>
              </w:rPr>
              <w:t>3-</w:t>
            </w:r>
            <w:bookmarkStart w:id="257" w:name="xdx_904_eus-gaap--PropertyPlantAndEquipm"/>
            <w:bookmarkEnd w:id="257"/>
            <w:r>
              <w:rPr>
                <w:rFonts w:ascii="Times New Roman;Times;Serif" w:hAnsi="Times New Roman;Times;Serif"/>
                <w:b w:val="false"/>
                <w:i w:val="false"/>
                <w:caps w:val="false"/>
                <w:smallCaps w:val="false"/>
                <w:sz w:val="20"/>
              </w:rPr>
              <w:t>7 years</w:t>
            </w:r>
          </w:p>
        </w:tc>
      </w:tr>
      <w:tr>
        <w:trPr/>
        <w:tc>
          <w:tcPr>
            <w:tcW w:w="269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Machinery and equipment </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183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bookmarkStart w:id="258" w:name="xdx_90E_eus-gaap--PropertyPlantAndEquipm"/>
            <w:bookmarkEnd w:id="258"/>
            <w:r>
              <w:rPr>
                <w:rFonts w:ascii="Times New Roman;Times;Serif" w:hAnsi="Times New Roman;Times;Serif"/>
                <w:b w:val="false"/>
                <w:i w:val="false"/>
                <w:caps w:val="false"/>
                <w:smallCaps w:val="false"/>
                <w:sz w:val="20"/>
              </w:rPr>
              <w:t>5 years</w:t>
            </w:r>
          </w:p>
        </w:tc>
      </w:tr>
    </w:tbl>
    <w:p>
      <w:pPr>
        <w:pStyle w:val="TextBody"/>
        <w:spacing w:before="0" w:after="0"/>
        <w:ind w:left="0" w:right="0" w:hanging="0"/>
        <w:jc w:val="both"/>
        <w:rPr>
          <w:caps w:val="false"/>
          <w:smallCaps w:val="false"/>
        </w:rPr>
      </w:pPr>
      <w:bookmarkStart w:id="259" w:name="xdx_8A4_zHiUpG58Zupj"/>
      <w:bookmarkEnd w:id="259"/>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F-7</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assesses the carrying value of property and equipment whenever events or changes in circumstances indicate that the carrying value may not be recoverable. If there is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 For the years ended December 31, 2020 and 2019, the Company determined there were no indicators of impairment of its property and equipment.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60" w:name="xdx_863_zXWTD2vgObD7"/>
      <w:bookmarkStart w:id="261" w:name="xdx_84F_eus-gaap--GoodwillAndIntangibleA"/>
      <w:bookmarkEnd w:id="260"/>
      <w:bookmarkEnd w:id="261"/>
      <w:r>
        <w:rPr>
          <w:rFonts w:ascii="Times New Roman;Times;Serif" w:hAnsi="Times New Roman;Times;Serif"/>
          <w:b/>
          <w:i w:val="false"/>
          <w:caps w:val="false"/>
          <w:smallCaps w:val="false"/>
          <w:sz w:val="20"/>
        </w:rPr>
        <w:t>Intangible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comprised of indefinite-lived brand names acquired, so classified because we anticipate that these brand names will contribute cash flows to the Company perpetually. Indefinite-lived intangible assets are not amortized but are assessed for impairment annually, or more frequently if events or circumstances indicate that assets might be impaired, and evaluated annually to determine whether the indefinite useful life is appropriate. As part of our impairment test, we first assess qualitative factors to determine whether it is more likely than not the asset is impaired. If further testing is necessary, we compare the estimated fair value of our asset with its book value. If the carrying amount of the asset exceeds its fair value, as determined by its discounted cash flows, an impairment loss is recognized in an amount equal to that excess. For the years ended December 31, 2020 and 2019, the Company determined there was </w:t>
      </w:r>
      <w:bookmarkStart w:id="262" w:name="xdx_90A_eus-gaap--ImpairmentOfIntangible"/>
      <w:bookmarkEnd w:id="262"/>
      <w:r>
        <w:rPr>
          <w:rFonts w:ascii="Times New Roman;Times;Serif" w:hAnsi="Times New Roman;Times;Serif"/>
          <w:b w:val="false"/>
          <w:i w:val="false"/>
          <w:caps w:val="false"/>
          <w:smallCaps w:val="false"/>
          <w:sz w:val="20"/>
        </w:rPr>
        <w:t>no impairment of its indefinite-lived brand names.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63" w:name="xdx_865_zAtXSMlSZ3kj"/>
      <w:bookmarkStart w:id="264" w:name="xdx_84F_ecustom--WarrantLiabilitiesPolic"/>
      <w:bookmarkEnd w:id="263"/>
      <w:bookmarkEnd w:id="264"/>
      <w:r>
        <w:rPr>
          <w:rFonts w:ascii="Times New Roman;Times;Serif" w:hAnsi="Times New Roman;Times;Serif"/>
          <w:b/>
          <w:i w:val="false"/>
          <w:caps w:val="false"/>
          <w:smallCaps w:val="false"/>
          <w:sz w:val="20"/>
        </w:rPr>
        <w:t>Warrant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Various stock sales made by the Company to finance operations have been accompanied by the issuance of warrants. Some of these warrant agreements contain fundamental transaction provisions which may give rise to an obligation of the Company to pay cash to the warrant holders in the event that a fundamental transaction occurs (such as a merger or change in control of the Company) and such cash payment is elected by the holder. For accounting purposes, in accordance with </w:t>
      </w:r>
      <w:r>
        <w:rPr>
          <w:rFonts w:ascii="Times New Roman;Times;Serif" w:hAnsi="Times New Roman;Times;Serif"/>
          <w:b w:val="false"/>
          <w:i/>
          <w:caps w:val="false"/>
          <w:smallCaps w:val="false"/>
          <w:sz w:val="20"/>
        </w:rPr>
        <w:t>ASC 480, Distinguishing Liabilities from Equity</w:t>
      </w:r>
      <w:r>
        <w:rPr>
          <w:rFonts w:ascii="Times New Roman;Times;Serif" w:hAnsi="Times New Roman;Times;Serif"/>
          <w:b w:val="false"/>
          <w:i w:val="false"/>
          <w:caps w:val="false"/>
          <w:smallCaps w:val="false"/>
          <w:sz w:val="20"/>
        </w:rPr>
        <w:t>, those warrants with fundamental transaction terms are accounted for as liabilities given the terms may give rise to an obligation of the Company to the warrant holders. These liabilities are measured at fair value at each reporting period and the change in the fair value is recognized in earnings in the accompanying Statements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estimated using the Black-Scholes-Merton Option Pricing model, which uses certain assumptions related to risk-free interest rates, expected volatility, expected life of the stock options or restricted stock, and future dividends. Expense is recorded based upon the value derived from the Black-Scholes-Merton Option Pricing model and based on actual experience. The assumptions used in the Black-Scholes-Merton Option Pricing model could materially affect the amount of expense recorded in future periods.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65" w:name="xdx_860_zeSel43fxqq9"/>
      <w:bookmarkStart w:id="266" w:name="xdx_849_eus-gaap--RevenueFromContractWit"/>
      <w:bookmarkEnd w:id="265"/>
      <w:bookmarkEnd w:id="266"/>
      <w:r>
        <w:rPr>
          <w:rFonts w:ascii="Times New Roman;Times;Serif" w:hAnsi="Times New Roman;Times;Serif"/>
          <w:b/>
          <w:i w:val="false"/>
          <w:caps w:val="false"/>
          <w:smallCaps w:val="false"/>
          <w:sz w:val="20"/>
        </w:rPr>
        <w:t>Revenue Recognition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F-8</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products are offered for sale as finished goods only, and there are no performance obligations required post-shipment for customers to derive the expected value from them.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67" w:name="xdx_864_zdufucB4Uns9"/>
      <w:bookmarkStart w:id="268" w:name="xdx_84A_ecustom--CostOfGoodsSoldPolicyTe"/>
      <w:bookmarkEnd w:id="267"/>
      <w:bookmarkEnd w:id="268"/>
      <w:r>
        <w:rPr>
          <w:rFonts w:ascii="Times New Roman;Times;Serif" w:hAnsi="Times New Roman;Times;Serif"/>
          <w:b/>
          <w:i w:val="false"/>
          <w:caps w:val="false"/>
          <w:smallCaps w:val="false"/>
          <w:sz w:val="20"/>
        </w:rPr>
        <w:t>Cost of Goods Sold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is comprised of the costs of raw materials and packaging utilized in the manufacture of products, co-packing fees, repacking fees, in-bound freight charges, as well as certain internal transfer costs. Additionally, cost of goods sold includes direct production costs in excess of charges allocated to finished goods in production. Plant costs include labor costs, production supplies, repairs and maintenance, depreciation, direct inventory write-off charges and adjustments to the inventory reserve. Charges for labor and overhead allocated to finished goods are determined on a market cost basis, which may be lower than the actual costs incurred. Plant costs in excess of production allocations are expensed in the period incurred rather than added to the cost of finished goods produced. Expenses not related to the production of our products are classified as operating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69" w:name="xdx_868_z0slbZfLFsp"/>
      <w:bookmarkStart w:id="270" w:name="xdx_84F_ecustom--DeliveryAndHandlingExpe"/>
      <w:bookmarkEnd w:id="269"/>
      <w:bookmarkEnd w:id="270"/>
      <w:r>
        <w:rPr>
          <w:rFonts w:ascii="Times New Roman;Times;Serif" w:hAnsi="Times New Roman;Times;Serif"/>
          <w:b/>
          <w:i w:val="false"/>
          <w:caps w:val="false"/>
          <w:smallCaps w:val="false"/>
          <w:sz w:val="20"/>
        </w:rPr>
        <w:t>Delivery and Handling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costs are comprised of purchasing and receiving, inspection, warehousing, transfer freight, and other costs associated with product distribution after manufacture and are included as part of operating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71" w:name="xdx_86D_zPiCjxMpsrv2"/>
      <w:bookmarkStart w:id="272" w:name="xdx_849_eus-gaap--AdvertisingCostsPolicy"/>
      <w:bookmarkEnd w:id="271"/>
      <w:bookmarkEnd w:id="272"/>
      <w:r>
        <w:rPr>
          <w:rFonts w:ascii="Times New Roman;Times;Serif" w:hAnsi="Times New Roman;Times;Serif"/>
          <w:b/>
          <w:i w:val="false"/>
          <w:caps w:val="false"/>
          <w:smallCaps w:val="false"/>
          <w:sz w:val="20"/>
        </w:rPr>
        <w:t>Advertising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selling and marketing expense. Advertising costs aggregated $</w:t>
      </w:r>
      <w:bookmarkStart w:id="273" w:name="xdx_903_eus-gaap--AdvertisingExpense_c20"/>
      <w:bookmarkEnd w:id="273"/>
      <w:r>
        <w:rPr>
          <w:rFonts w:ascii="Times New Roman;Times;Serif" w:hAnsi="Times New Roman;Times;Serif"/>
          <w:b w:val="false"/>
          <w:i w:val="false"/>
          <w:caps w:val="false"/>
          <w:smallCaps w:val="false"/>
          <w:sz w:val="20"/>
        </w:rPr>
        <w:t>1,518 and $</w:t>
      </w:r>
      <w:bookmarkStart w:id="274" w:name="xdx_902_eus-gaap--AdvertisingExpense_c20"/>
      <w:bookmarkEnd w:id="274"/>
      <w:r>
        <w:rPr>
          <w:rFonts w:ascii="Times New Roman;Times;Serif" w:hAnsi="Times New Roman;Times;Serif"/>
          <w:b w:val="false"/>
          <w:i w:val="false"/>
          <w:caps w:val="false"/>
          <w:smallCaps w:val="false"/>
          <w:sz w:val="20"/>
        </w:rPr>
        <w:t>2,570 for the years ended December 31, 2020 and 2019,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75" w:name="xdx_865_zN0mhe62TR47"/>
      <w:bookmarkStart w:id="276" w:name="xdx_84F_eus-gaap--ShareBasedCompensation"/>
      <w:bookmarkEnd w:id="275"/>
      <w:bookmarkEnd w:id="276"/>
      <w:r>
        <w:rPr>
          <w:rFonts w:ascii="Times New Roman;Times;Serif" w:hAnsi="Times New Roman;Times;Serif"/>
          <w:b/>
          <w:i w:val="false"/>
          <w:caps w:val="false"/>
          <w:smallCaps w:val="false"/>
          <w:sz w:val="20"/>
        </w:rPr>
        <w:t>Stock Compensation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F-9</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77" w:name="xdx_86B_zLBjK9mbbiM1"/>
      <w:bookmarkStart w:id="278" w:name="xdx_842_eus-gaap--IncomeTaxPolicyTextBlo"/>
      <w:bookmarkEnd w:id="277"/>
      <w:bookmarkEnd w:id="278"/>
      <w:r>
        <w:rPr>
          <w:rFonts w:ascii="Times New Roman;Times;Serif" w:hAnsi="Times New Roman;Times;Serif"/>
          <w:b/>
          <w:i w:val="false"/>
          <w:caps w:val="false"/>
          <w:smallCaps w:val="false"/>
          <w:sz w:val="20"/>
        </w:rPr>
        <w:t>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an asset and liability approach for accounting and reporting for income taxes that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that future deductibility is uncertain. The Company’s policy is to recognize interest and/or penalties related to income tax matters in income tax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79" w:name="xdx_863_zx3eud6bx3Ui"/>
      <w:bookmarkStart w:id="280" w:name="xdx_843_eus-gaap--EarningsPerSharePolicy"/>
      <w:bookmarkEnd w:id="279"/>
      <w:bookmarkEnd w:id="280"/>
      <w:r>
        <w:rPr>
          <w:rFonts w:ascii="Times New Roman;Times;Serif" w:hAnsi="Times New Roman;Times;Serif"/>
          <w:b/>
          <w:i w:val="false"/>
          <w:caps w:val="false"/>
          <w:smallCaps w:val="false"/>
          <w:sz w:val="20"/>
        </w:rPr>
        <w:t>Loss per Common Share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the net income (loss) applicable to common stockholders by the weighted average number of shares of common stock outstanding during the year.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2020 and 2019, the calculations of basic and diluted loss per share are the same because potential dilutive securities would have had an anti-dilutive effect. The potentially dilutive securities consisted of the following:</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81" w:name="xdx_8B3_zYuHkvxssxh1"/>
      <w:bookmarkStart w:id="282" w:name="xdx_89D_eus-gaap--ScheduleOfAntidilutive"/>
      <w:bookmarkEnd w:id="281"/>
      <w:bookmarkEnd w:id="282"/>
      <w:r>
        <w:rPr>
          <w:rFonts w:ascii="Times New Roman;Times;Serif" w:hAnsi="Times New Roman;Times;Serif"/>
          <w:b w:val="false"/>
          <w:i w:val="false"/>
          <w:caps w:val="false"/>
          <w:smallCaps w:val="false"/>
          <w:sz w:val="20"/>
        </w:rPr>
        <w:t>Schedule of Potentially Dilutive Securities</w:t>
      </w:r>
    </w:p>
    <w:tbl>
      <w:tblPr>
        <w:tblW w:w="9418" w:type="dxa"/>
        <w:jc w:val="left"/>
        <w:tblInd w:w="0" w:type="dxa"/>
        <w:tblCellMar>
          <w:top w:w="0" w:type="dxa"/>
          <w:left w:w="0" w:type="dxa"/>
          <w:bottom w:w="0" w:type="dxa"/>
          <w:right w:w="0" w:type="dxa"/>
        </w:tblCellMar>
      </w:tblPr>
      <w:tblGrid>
        <w:gridCol w:w="6335"/>
        <w:gridCol w:w="60"/>
        <w:gridCol w:w="73"/>
        <w:gridCol w:w="1341"/>
        <w:gridCol w:w="60"/>
        <w:gridCol w:w="60"/>
        <w:gridCol w:w="73"/>
        <w:gridCol w:w="1341"/>
        <w:gridCol w:w="75"/>
      </w:tblGrid>
      <w:tr>
        <w:trPr/>
        <w:tc>
          <w:tcPr>
            <w:tcW w:w="6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75" w:type="dxa"/>
            <w:tcBorders/>
            <w:shd w:fill="auto" w:val="clear"/>
            <w:vAlign w:val="center"/>
          </w:tcPr>
          <w:p>
            <w:pPr>
              <w:pStyle w:val="TableContents"/>
              <w:spacing w:before="0" w:after="283"/>
              <w:rPr/>
            </w:pPr>
            <w:r>
              <w:rPr/>
              <w:t> </w:t>
            </w:r>
          </w:p>
        </w:tc>
      </w:tr>
      <w:tr>
        <w:trPr/>
        <w:tc>
          <w:tcPr>
            <w:tcW w:w="633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Convertible note to a related party</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jc w:val="left"/>
              <w:rPr/>
            </w:pPr>
            <w:r>
              <w:rPr/>
              <w:t> </w:t>
            </w:r>
            <w:bookmarkStart w:id="283" w:name="xdx_98C_eus-gaap--AntidilutiveSecurities"/>
            <w:bookmarkEnd w:id="283"/>
          </w:p>
        </w:tc>
        <w:tc>
          <w:tcPr>
            <w:tcW w:w="134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jc w:val="left"/>
              <w:rPr/>
            </w:pPr>
            <w:r>
              <w:rPr/>
              <w:t> </w:t>
            </w:r>
            <w:bookmarkStart w:id="284" w:name="xdx_98D_eus-gaap--AntidilutiveSecurities"/>
            <w:bookmarkEnd w:id="284"/>
          </w:p>
        </w:tc>
        <w:tc>
          <w:tcPr>
            <w:tcW w:w="134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2,266,667</w:t>
            </w:r>
          </w:p>
        </w:tc>
        <w:tc>
          <w:tcPr>
            <w:tcW w:w="75" w:type="dxa"/>
            <w:tcBorders/>
            <w:shd w:fill="CCEEFF" w:val="clear"/>
            <w:vAlign w:val="center"/>
          </w:tcPr>
          <w:p>
            <w:pPr>
              <w:pStyle w:val="TableContents"/>
              <w:spacing w:before="0" w:after="283"/>
              <w:jc w:val="left"/>
              <w:rPr/>
            </w:pPr>
            <w:r>
              <w:rPr/>
              <w:t> </w:t>
            </w:r>
          </w:p>
        </w:tc>
      </w:tr>
      <w:tr>
        <w:trPr/>
        <w:tc>
          <w:tcPr>
            <w:tcW w:w="633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Warrants</w:t>
            </w:r>
          </w:p>
        </w:tc>
        <w:tc>
          <w:tcPr>
            <w:tcW w:w="60"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jc w:val="left"/>
              <w:rPr/>
            </w:pPr>
            <w:r>
              <w:rPr/>
              <w:t> </w:t>
            </w:r>
            <w:bookmarkStart w:id="285" w:name="xdx_98D_eus-gaap--AntidilutiveSecurities"/>
            <w:bookmarkEnd w:id="285"/>
          </w:p>
        </w:tc>
        <w:tc>
          <w:tcPr>
            <w:tcW w:w="134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3,362,241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jc w:val="left"/>
              <w:rPr/>
            </w:pPr>
            <w:r>
              <w:rPr/>
              <w:t> </w:t>
            </w:r>
            <w:bookmarkStart w:id="286" w:name="xdx_98E_eus-gaap--AntidilutiveSecurities"/>
            <w:bookmarkEnd w:id="286"/>
          </w:p>
        </w:tc>
        <w:tc>
          <w:tcPr>
            <w:tcW w:w="134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6,413,782</w:t>
            </w:r>
          </w:p>
        </w:tc>
        <w:tc>
          <w:tcPr>
            <w:tcW w:w="75" w:type="dxa"/>
            <w:tcBorders/>
            <w:shd w:fill="FFFFFF" w:val="clear"/>
            <w:vAlign w:val="center"/>
          </w:tcPr>
          <w:p>
            <w:pPr>
              <w:pStyle w:val="TableContents"/>
              <w:spacing w:before="0" w:after="283"/>
              <w:jc w:val="left"/>
              <w:rPr/>
            </w:pPr>
            <w:r>
              <w:rPr/>
              <w:t> </w:t>
            </w:r>
          </w:p>
        </w:tc>
      </w:tr>
      <w:tr>
        <w:trPr/>
        <w:tc>
          <w:tcPr>
            <w:tcW w:w="633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Common stock equivalent of Series A Convertible Preferred Stock</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jc w:val="left"/>
              <w:rPr/>
            </w:pPr>
            <w:r>
              <w:rPr/>
              <w:t> </w:t>
            </w:r>
            <w:bookmarkStart w:id="287" w:name="xdx_982_eus-gaap--AntidilutiveSecurities"/>
            <w:bookmarkEnd w:id="287"/>
          </w:p>
        </w:tc>
        <w:tc>
          <w:tcPr>
            <w:tcW w:w="134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37,644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jc w:val="left"/>
              <w:rPr/>
            </w:pPr>
            <w:r>
              <w:rPr/>
              <w:t> </w:t>
            </w:r>
            <w:bookmarkStart w:id="288" w:name="xdx_980_eus-gaap--AntidilutiveSecurities"/>
            <w:bookmarkEnd w:id="288"/>
          </w:p>
        </w:tc>
        <w:tc>
          <w:tcPr>
            <w:tcW w:w="134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37,644</w:t>
            </w:r>
          </w:p>
        </w:tc>
        <w:tc>
          <w:tcPr>
            <w:tcW w:w="75" w:type="dxa"/>
            <w:tcBorders/>
            <w:shd w:fill="CCEEFF" w:val="clear"/>
            <w:vAlign w:val="center"/>
          </w:tcPr>
          <w:p>
            <w:pPr>
              <w:pStyle w:val="TableContents"/>
              <w:spacing w:before="0" w:after="283"/>
              <w:jc w:val="left"/>
              <w:rPr/>
            </w:pPr>
            <w:r>
              <w:rPr/>
              <w:t> </w:t>
            </w:r>
          </w:p>
        </w:tc>
      </w:tr>
      <w:tr>
        <w:trPr/>
        <w:tc>
          <w:tcPr>
            <w:tcW w:w="633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Unvested restricted common stock</w:t>
            </w:r>
          </w:p>
        </w:tc>
        <w:tc>
          <w:tcPr>
            <w:tcW w:w="60"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jc w:val="left"/>
              <w:rPr/>
            </w:pPr>
            <w:r>
              <w:rPr/>
              <w:t> </w:t>
            </w:r>
            <w:bookmarkStart w:id="289" w:name="xdx_98E_eus-gaap--AntidilutiveSecurities"/>
            <w:bookmarkEnd w:id="289"/>
          </w:p>
        </w:tc>
        <w:tc>
          <w:tcPr>
            <w:tcW w:w="134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jc w:val="left"/>
              <w:rPr/>
            </w:pPr>
            <w:r>
              <w:rPr/>
              <w:t> </w:t>
            </w:r>
            <w:bookmarkStart w:id="290" w:name="xdx_980_eus-gaap--AntidilutiveSecurities"/>
            <w:bookmarkEnd w:id="290"/>
          </w:p>
        </w:tc>
        <w:tc>
          <w:tcPr>
            <w:tcW w:w="134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633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spacing w:before="0" w:after="283"/>
              <w:rPr/>
            </w:pPr>
            <w:r>
              <w:rPr/>
              <w:t> </w:t>
            </w:r>
          </w:p>
        </w:tc>
        <w:tc>
          <w:tcPr>
            <w:tcW w:w="73"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291" w:name="xdx_984_eus-gaap--AntidilutiveSecurities"/>
            <w:bookmarkEnd w:id="291"/>
          </w:p>
        </w:tc>
        <w:tc>
          <w:tcPr>
            <w:tcW w:w="134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9,417,898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3"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292" w:name="xdx_983_eus-gaap--AntidilutiveSecurities"/>
            <w:bookmarkEnd w:id="292"/>
          </w:p>
        </w:tc>
        <w:tc>
          <w:tcPr>
            <w:tcW w:w="134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3,265,580</w:t>
            </w:r>
          </w:p>
        </w:tc>
        <w:tc>
          <w:tcPr>
            <w:tcW w:w="75" w:type="dxa"/>
            <w:tcBorders/>
            <w:shd w:fill="CCEEFF" w:val="clear"/>
            <w:vAlign w:val="center"/>
          </w:tcPr>
          <w:p>
            <w:pPr>
              <w:pStyle w:val="TableContents"/>
              <w:spacing w:before="0" w:after="283"/>
              <w:jc w:val="left"/>
              <w:rPr/>
            </w:pPr>
            <w:r>
              <w:rPr/>
              <w:t> </w:t>
            </w:r>
          </w:p>
        </w:tc>
      </w:tr>
      <w:tr>
        <w:trPr/>
        <w:tc>
          <w:tcPr>
            <w:tcW w:w="633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spacing w:before="0" w:after="283"/>
              <w:rPr/>
            </w:pPr>
            <w:r>
              <w:rPr/>
              <w:t> </w:t>
            </w:r>
          </w:p>
        </w:tc>
        <w:tc>
          <w:tcPr>
            <w:tcW w:w="73"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293" w:name="xdx_983_eus-gaap--AntidilutiveSecurities"/>
            <w:bookmarkEnd w:id="293"/>
          </w:p>
        </w:tc>
        <w:tc>
          <w:tcPr>
            <w:tcW w:w="134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12,967,783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3"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294" w:name="xdx_982_eus-gaap--AntidilutiveSecurities"/>
            <w:bookmarkEnd w:id="294"/>
          </w:p>
        </w:tc>
        <w:tc>
          <w:tcPr>
            <w:tcW w:w="134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11,983,673</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295" w:name="xdx_8AC_z6lx7iirjbx6"/>
      <w:bookmarkEnd w:id="295"/>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296" w:name="xdx_908_eus-gaap--ConvertiblePreferredSt"/>
      <w:bookmarkEnd w:id="296"/>
      <w:r>
        <w:rPr>
          <w:rFonts w:ascii="Times New Roman;Times;Serif" w:hAnsi="Times New Roman;Times;Serif"/>
          <w:b w:val="false"/>
          <w:i w:val="false"/>
          <w:caps w:val="false"/>
          <w:smallCaps w:val="false"/>
          <w:sz w:val="20"/>
        </w:rPr>
        <w:t>The Series A Convertible Preferred Stock is convertible into Common shares at the rate of 1:4.</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i w:val="false"/>
          <w:caps w:val="false"/>
          <w:smallCaps w:val="false"/>
          <w:sz w:val="20"/>
        </w:rPr>
      </w:pPr>
      <w:bookmarkStart w:id="297" w:name="xdx_86F_zXAARqQox4si"/>
      <w:bookmarkStart w:id="298" w:name="xdx_848_eus-gaap--FairValueOfFinancialIn"/>
      <w:bookmarkEnd w:id="297"/>
      <w:bookmarkEnd w:id="298"/>
      <w:r>
        <w:rPr>
          <w:rFonts w:ascii="Times New Roman;Times;Serif" w:hAnsi="Times New Roman;Times;Serif"/>
          <w:b/>
          <w:i w:val="false"/>
          <w:caps w:val="false"/>
          <w:smallCaps w:val="false"/>
          <w:sz w:val="20"/>
        </w:rPr>
        <w:t>Fair Value of Financial Instruments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the quoted prices in active markets, that are observable either directly or indirectly.</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based on the Company’s assumptions.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and 2019, the Company’s balance sheets included Level 2 liabilities comprised of the fair value of warrant liabilities aggregating $</w:t>
      </w:r>
      <w:bookmarkStart w:id="299" w:name="xdx_903_ecustom--WarrantLiabilityNoncurr"/>
      <w:bookmarkEnd w:id="299"/>
      <w:r>
        <w:rPr>
          <w:rFonts w:ascii="Times New Roman;Times;Serif" w:hAnsi="Times New Roman;Times;Serif"/>
          <w:b w:val="false"/>
          <w:i w:val="false"/>
          <w:caps w:val="false"/>
          <w:smallCaps w:val="false"/>
          <w:sz w:val="20"/>
        </w:rPr>
        <w:t>0 and $</w:t>
      </w:r>
      <w:bookmarkStart w:id="300" w:name="xdx_90B_ecustom--WarrantLiabilityNoncurr"/>
      <w:bookmarkEnd w:id="300"/>
      <w:r>
        <w:rPr>
          <w:rFonts w:ascii="Times New Roman;Times;Serif" w:hAnsi="Times New Roman;Times;Serif"/>
          <w:b w:val="false"/>
          <w:i w:val="false"/>
          <w:caps w:val="false"/>
          <w:smallCaps w:val="false"/>
          <w:sz w:val="20"/>
        </w:rPr>
        <w:t>8, respectively (see Note 10).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01" w:name="xdx_86A_zP2rJty5neej"/>
      <w:bookmarkStart w:id="302" w:name="xdx_84F_eus-gaap--SegmentReportingPolicy"/>
      <w:bookmarkEnd w:id="301"/>
      <w:bookmarkEnd w:id="302"/>
      <w:r>
        <w:rPr>
          <w:rFonts w:ascii="Times New Roman;Times;Serif" w:hAnsi="Times New Roman;Times;Serif"/>
          <w:b/>
          <w:i w:val="false"/>
          <w:caps w:val="false"/>
          <w:smallCaps w:val="false"/>
          <w:sz w:val="20"/>
        </w:rPr>
        <w:t>Segments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segment for the manufacture and distribution of our products. In accordance with the “Segment Reporting” Topic of the ASC, the Company’s chief operating decision maker has been identified as the Chief Executive Officer and President, who reviews operating results to make decisions about allocating resources and assessing performance for the entire Company. Existing guidance, which is based on a management approach to segment reporting, establishes requirements to report selected segment information quarterly and to report annually entity-wide disclosures about products and services, major customers, and the countries in which the entity holds material assets and reports revenue. All material operating units qualify for aggregation under “Segment Reporting” due to their similar customer base and similarities in: economic characteristics; nature of products and services; and procurement, manufacturing and distribution processes. Since the Company operates in one segment, all financial information required by “Segment Reporting” can be found in the accompanying financial statements.</w:t>
      </w:r>
    </w:p>
    <w:p>
      <w:pPr>
        <w:pStyle w:val="TextBody"/>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F-10</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03" w:name="xdx_862_zuygERFimdok"/>
      <w:bookmarkStart w:id="304" w:name="xdx_845_eus-gaap--ConcentrationRiskCredi"/>
      <w:bookmarkEnd w:id="303"/>
      <w:bookmarkEnd w:id="304"/>
      <w:r>
        <w:rPr>
          <w:rFonts w:ascii="Times New Roman;Times;Serif" w:hAnsi="Times New Roman;Times;Serif"/>
          <w:b/>
          <w:i w:val="false"/>
          <w:caps w:val="false"/>
          <w:smallCaps w:val="false"/>
          <w:sz w:val="20"/>
        </w:rPr>
        <w:t>Concentrations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balances on deposit with banks are guaranteed by the Federal Deposit Insurance Corporation (FDIC) up to $</w:t>
      </w:r>
      <w:bookmarkStart w:id="305" w:name="xdx_90E_eus-gaap--CashFDICInsuredAmount_"/>
      <w:bookmarkEnd w:id="305"/>
      <w:r>
        <w:rPr>
          <w:rFonts w:ascii="Times New Roman;Times;Serif" w:hAnsi="Times New Roman;Times;Serif"/>
          <w:b w:val="false"/>
          <w:i w:val="false"/>
          <w:caps w:val="false"/>
          <w:smallCaps w:val="false"/>
          <w:sz w:val="20"/>
        </w:rPr>
        <w:t>250. Generally, the Company’s policy is to minimize borrowing costs by immediately applying cash receipts to borrowings against its credit facility. From time to time, however, the Company may be exposed to risk for the amounts of funds held in bank accounts in excess of the FDIC limit. To minimize the risk, the Company’s policy is to maintain cash balances with high quality financial institutions.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sales.</w:t>
      </w:r>
      <w:r>
        <w:rPr>
          <w:rFonts w:ascii="Times New Roman;Times;Serif" w:hAnsi="Times New Roman;Times;Serif"/>
          <w:b w:val="false"/>
          <w:i w:val="false"/>
          <w:caps w:val="false"/>
          <w:smallCaps w:val="false"/>
          <w:sz w:val="20"/>
        </w:rPr>
        <w:t xml:space="preserve"> During the year ended December 31, 2020, the Company’s largest two customers accounted for </w:t>
      </w:r>
      <w:bookmarkStart w:id="306" w:name="xdx_908_eus-gaap--ConcentrationRiskPerce"/>
      <w:bookmarkEnd w:id="306"/>
      <w:r>
        <w:rPr>
          <w:rFonts w:ascii="Times New Roman;Times;Serif" w:hAnsi="Times New Roman;Times;Serif"/>
          <w:b w:val="false"/>
          <w:i w:val="false"/>
          <w:caps w:val="false"/>
          <w:smallCaps w:val="false"/>
          <w:sz w:val="20"/>
        </w:rPr>
        <w:t xml:space="preserve">25% and </w:t>
      </w:r>
      <w:bookmarkStart w:id="307" w:name="xdx_909_eus-gaap--ConcentrationRiskPerce"/>
      <w:bookmarkEnd w:id="307"/>
      <w:r>
        <w:rPr>
          <w:rFonts w:ascii="Times New Roman;Times;Serif" w:hAnsi="Times New Roman;Times;Serif"/>
          <w:b w:val="false"/>
          <w:i w:val="false"/>
          <w:caps w:val="false"/>
          <w:smallCaps w:val="false"/>
          <w:sz w:val="20"/>
        </w:rPr>
        <w:t xml:space="preserve">12% of gross sales, respectively. During the year ended December 31, 2019, the Company’s largest two customers accounted for </w:t>
      </w:r>
      <w:bookmarkStart w:id="308" w:name="xdx_907_eus-gaap--ConcentrationRiskPerce"/>
      <w:bookmarkEnd w:id="308"/>
      <w:r>
        <w:rPr>
          <w:rFonts w:ascii="Times New Roman;Times;Serif" w:hAnsi="Times New Roman;Times;Serif"/>
          <w:b w:val="false"/>
          <w:i w:val="false"/>
          <w:caps w:val="false"/>
          <w:smallCaps w:val="false"/>
          <w:sz w:val="20"/>
        </w:rPr>
        <w:t xml:space="preserve">12% and </w:t>
      </w:r>
      <w:bookmarkStart w:id="309" w:name="xdx_90E_eus-gaap--ConcentrationRiskPerce"/>
      <w:bookmarkEnd w:id="309"/>
      <w:r>
        <w:rPr>
          <w:rFonts w:ascii="Times New Roman;Times;Serif" w:hAnsi="Times New Roman;Times;Serif"/>
          <w:b w:val="false"/>
          <w:i w:val="false"/>
          <w:caps w:val="false"/>
          <w:smallCaps w:val="false"/>
          <w:sz w:val="20"/>
        </w:rPr>
        <w:t>11% of gross sales,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receivable.</w:t>
      </w:r>
      <w:r>
        <w:rPr>
          <w:rFonts w:ascii="Times New Roman;Times;Serif" w:hAnsi="Times New Roman;Times;Serif"/>
          <w:b w:val="false"/>
          <w:i w:val="false"/>
          <w:caps w:val="false"/>
          <w:smallCaps w:val="false"/>
          <w:sz w:val="20"/>
        </w:rPr>
        <w:t xml:space="preserve"> As of December 31, 2020, the Company had accounts receivable from one customer which comprised </w:t>
      </w:r>
      <w:bookmarkStart w:id="310" w:name="xdx_906_eus-gaap--ConcentrationRiskPerce"/>
      <w:bookmarkEnd w:id="310"/>
      <w:r>
        <w:rPr>
          <w:rFonts w:ascii="Times New Roman;Times;Serif" w:hAnsi="Times New Roman;Times;Serif"/>
          <w:b w:val="false"/>
          <w:i w:val="false"/>
          <w:caps w:val="false"/>
          <w:smallCaps w:val="false"/>
          <w:sz w:val="20"/>
        </w:rPr>
        <w:t xml:space="preserve">23% of its gross accounts receivable. As of December 31, 2019, the Company had accounts receivable from one customer which comprised </w:t>
      </w:r>
      <w:bookmarkStart w:id="311" w:name="xdx_90F_eus-gaap--ConcentrationRiskPerce"/>
      <w:bookmarkEnd w:id="311"/>
      <w:r>
        <w:rPr>
          <w:rFonts w:ascii="Times New Roman;Times;Serif" w:hAnsi="Times New Roman;Times;Serif"/>
          <w:b w:val="false"/>
          <w:i w:val="false"/>
          <w:caps w:val="false"/>
          <w:smallCaps w:val="false"/>
          <w:sz w:val="20"/>
        </w:rPr>
        <w:t>14% of its gross accounts receivable.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years ended December 31, 2020 and 2019, respectively, the Company utilized six and four, respectively, separate, co-packers for most its production and bottling of beverage products in the United States. With the December 31, 2018 sale of its manufacturing plant, the Company no longer conducts a manufacturing operation, accordingly it utilizes co-packers to produce </w:t>
      </w:r>
      <w:bookmarkStart w:id="312" w:name="xdx_90F_ecustom--PercentageOfCoPackersPr"/>
      <w:bookmarkEnd w:id="312"/>
      <w:r>
        <w:rPr>
          <w:rFonts w:ascii="Times New Roman;Times;Serif" w:hAnsi="Times New Roman;Times;Serif"/>
          <w:b w:val="false"/>
          <w:i w:val="false"/>
          <w:caps w:val="false"/>
          <w:smallCaps w:val="false"/>
          <w:sz w:val="20"/>
        </w:rPr>
        <w:t xml:space="preserve">100% of its products as of those dates. The Company has long-standing relationships with two different co-packers, and in conjunction with the sale of its manufacturing plant we entered into a third co-packing agreement with California Custom Beverage LLC (“CCB”), the purchaser of the plant (see Note 15). CCB is </w:t>
      </w:r>
      <w:bookmarkStart w:id="313" w:name="xdx_90B_eus-gaap--ConcentrationRiskPerce"/>
      <w:bookmarkEnd w:id="313"/>
      <w:r>
        <w:rPr>
          <w:rFonts w:ascii="Times New Roman;Times;Serif" w:hAnsi="Times New Roman;Times;Serif"/>
          <w:b w:val="false"/>
          <w:i w:val="false"/>
          <w:caps w:val="false"/>
          <w:smallCaps w:val="false"/>
          <w:sz w:val="20"/>
        </w:rPr>
        <w:t>100% owned by Chris Reed, founder of the Company and current Chief Information Officer and director. Although there are other packers, a change in co-packers may cause a delay in the production process, which could ultimately affect operating results.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Purchases from vendors.</w:t>
      </w:r>
      <w:r>
        <w:rPr>
          <w:rFonts w:ascii="Times New Roman;Times;Serif" w:hAnsi="Times New Roman;Times;Serif"/>
          <w:b w:val="false"/>
          <w:i w:val="false"/>
          <w:caps w:val="false"/>
          <w:smallCaps w:val="false"/>
          <w:sz w:val="20"/>
        </w:rPr>
        <w:t xml:space="preserve"> During the year ended December 31, 2020, the Company’s largest two vendors accounted for approximately </w:t>
      </w:r>
      <w:bookmarkStart w:id="314" w:name="xdx_900_eus-gaap--ConcentrationRiskPerce"/>
      <w:bookmarkEnd w:id="314"/>
      <w:r>
        <w:rPr>
          <w:rFonts w:ascii="Times New Roman;Times;Serif" w:hAnsi="Times New Roman;Times;Serif"/>
          <w:b w:val="false"/>
          <w:i w:val="false"/>
          <w:caps w:val="false"/>
          <w:smallCaps w:val="false"/>
          <w:sz w:val="20"/>
        </w:rPr>
        <w:t xml:space="preserve">12% and </w:t>
      </w:r>
      <w:bookmarkStart w:id="315" w:name="xdx_90C_eus-gaap--ConcentrationRiskPerce"/>
      <w:bookmarkEnd w:id="315"/>
      <w:r>
        <w:rPr>
          <w:rFonts w:ascii="Times New Roman;Times;Serif" w:hAnsi="Times New Roman;Times;Serif"/>
          <w:b w:val="false"/>
          <w:i w:val="false"/>
          <w:caps w:val="false"/>
          <w:smallCaps w:val="false"/>
          <w:sz w:val="20"/>
        </w:rPr>
        <w:t xml:space="preserve">11% of all purchases, respectively. During the year ended December 31, 2019, the Company’s largest three vendors accounted for approximately </w:t>
      </w:r>
      <w:bookmarkStart w:id="316" w:name="xdx_906_eus-gaap--ConcentrationRiskPerce"/>
      <w:bookmarkEnd w:id="316"/>
      <w:r>
        <w:rPr>
          <w:rFonts w:ascii="Times New Roman;Times;Serif" w:hAnsi="Times New Roman;Times;Serif"/>
          <w:b w:val="false"/>
          <w:i w:val="false"/>
          <w:caps w:val="false"/>
          <w:smallCaps w:val="false"/>
          <w:sz w:val="20"/>
        </w:rPr>
        <w:t xml:space="preserve">12%, </w:t>
      </w:r>
      <w:bookmarkStart w:id="317" w:name="xdx_90E_eus-gaap--ConcentrationRiskPerce"/>
      <w:bookmarkEnd w:id="317"/>
      <w:r>
        <w:rPr>
          <w:rFonts w:ascii="Times New Roman;Times;Serif" w:hAnsi="Times New Roman;Times;Serif"/>
          <w:b w:val="false"/>
          <w:i w:val="false"/>
          <w:caps w:val="false"/>
          <w:smallCaps w:val="false"/>
          <w:sz w:val="20"/>
        </w:rPr>
        <w:t xml:space="preserve">11%, and </w:t>
      </w:r>
      <w:bookmarkStart w:id="318" w:name="xdx_900_eus-gaap--ConcentrationRiskPerce"/>
      <w:bookmarkEnd w:id="318"/>
      <w:r>
        <w:rPr>
          <w:rFonts w:ascii="Times New Roman;Times;Serif" w:hAnsi="Times New Roman;Times;Serif"/>
          <w:b w:val="false"/>
          <w:i w:val="false"/>
          <w:caps w:val="false"/>
          <w:smallCaps w:val="false"/>
          <w:sz w:val="20"/>
        </w:rPr>
        <w:t>10% of all purchases,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payable.</w:t>
      </w:r>
      <w:r>
        <w:rPr>
          <w:rFonts w:ascii="Times New Roman;Times;Serif" w:hAnsi="Times New Roman;Times;Serif"/>
          <w:b w:val="false"/>
          <w:i w:val="false"/>
          <w:caps w:val="false"/>
          <w:smallCaps w:val="false"/>
          <w:sz w:val="20"/>
        </w:rPr>
        <w:t xml:space="preserve"> As of December 31, 20120 the Company’s largest two vendors accounted for </w:t>
      </w:r>
      <w:bookmarkStart w:id="319" w:name="xdx_902_eus-gaap--ConcentrationRiskPerce"/>
      <w:bookmarkEnd w:id="319"/>
      <w:r>
        <w:rPr>
          <w:rFonts w:ascii="Times New Roman;Times;Serif" w:hAnsi="Times New Roman;Times;Serif"/>
          <w:b w:val="false"/>
          <w:i w:val="false"/>
          <w:caps w:val="false"/>
          <w:smallCaps w:val="false"/>
          <w:sz w:val="20"/>
        </w:rPr>
        <w:t xml:space="preserve">12% and </w:t>
      </w:r>
      <w:bookmarkStart w:id="320" w:name="xdx_901_eus-gaap--ConcentrationRiskPerce"/>
      <w:bookmarkEnd w:id="320"/>
      <w:r>
        <w:rPr>
          <w:rFonts w:ascii="Times New Roman;Times;Serif" w:hAnsi="Times New Roman;Times;Serif"/>
          <w:b w:val="false"/>
          <w:i w:val="false"/>
          <w:caps w:val="false"/>
          <w:smallCaps w:val="false"/>
          <w:sz w:val="20"/>
        </w:rPr>
        <w:t xml:space="preserve">10% of the total accounts payable, respectively. As of December 31, 2019, the Company’s largest three vendors accounted for </w:t>
      </w:r>
      <w:bookmarkStart w:id="321" w:name="xdx_901_eus-gaap--ConcentrationRiskPerce"/>
      <w:bookmarkEnd w:id="321"/>
      <w:r>
        <w:rPr>
          <w:rFonts w:ascii="Times New Roman;Times;Serif" w:hAnsi="Times New Roman;Times;Serif"/>
          <w:b w:val="false"/>
          <w:i w:val="false"/>
          <w:caps w:val="false"/>
          <w:smallCaps w:val="false"/>
          <w:sz w:val="20"/>
        </w:rPr>
        <w:t xml:space="preserve">19%, </w:t>
      </w:r>
      <w:bookmarkStart w:id="322" w:name="xdx_90F_eus-gaap--ConcentrationRiskPerce"/>
      <w:bookmarkEnd w:id="322"/>
      <w:r>
        <w:rPr>
          <w:rFonts w:ascii="Times New Roman;Times;Serif" w:hAnsi="Times New Roman;Times;Serif"/>
          <w:b w:val="false"/>
          <w:i w:val="false"/>
          <w:caps w:val="false"/>
          <w:smallCaps w:val="false"/>
          <w:sz w:val="20"/>
        </w:rPr>
        <w:t xml:space="preserve">15% and </w:t>
      </w:r>
      <w:bookmarkStart w:id="323" w:name="xdx_90A_eus-gaap--ConcentrationRiskPerce"/>
      <w:bookmarkEnd w:id="323"/>
      <w:r>
        <w:rPr>
          <w:rFonts w:ascii="Times New Roman;Times;Serif" w:hAnsi="Times New Roman;Times;Serif"/>
          <w:b w:val="false"/>
          <w:i w:val="false"/>
          <w:caps w:val="false"/>
          <w:smallCaps w:val="false"/>
          <w:sz w:val="20"/>
        </w:rPr>
        <w:t>14% of the total accounts payable,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24" w:name="xdx_86D_zj6gbuLGlSPg"/>
      <w:bookmarkStart w:id="325" w:name="xdx_84D_eus-gaap--NewAccountingPronounce"/>
      <w:bookmarkEnd w:id="324"/>
      <w:bookmarkEnd w:id="325"/>
      <w:r>
        <w:rPr>
          <w:rFonts w:ascii="Times New Roman;Times;Serif" w:hAnsi="Times New Roman;Times;Serif"/>
          <w:b/>
          <w:i w:val="false"/>
          <w:caps w:val="false"/>
          <w:smallCaps w:val="false"/>
          <w:sz w:val="20"/>
        </w:rPr>
        <w:t>Recent Accounting Pronouncements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2016, the FASB issued ASU 2016-13, </w:t>
      </w:r>
      <w:r>
        <w:rPr>
          <w:rFonts w:ascii="Times New Roman;Times;Serif" w:hAnsi="Times New Roman;Times;Serif"/>
          <w:b w:val="false"/>
          <w:i/>
          <w:caps w:val="false"/>
          <w:smallCaps w:val="false"/>
          <w:sz w:val="20"/>
        </w:rPr>
        <w:t>Measurement of Credit Losses on Financial Instruments</w:t>
      </w:r>
      <w:r>
        <w:rPr>
          <w:rFonts w:ascii="Times New Roman;Times;Serif" w:hAnsi="Times New Roman;Times;Serif"/>
          <w:b w:val="false"/>
          <w:i w:val="false"/>
          <w:caps w:val="false"/>
          <w:smallCaps w:val="false"/>
          <w:sz w:val="20"/>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No. 2020-06 (“ASU 2020-06”) “</w:t>
      </w:r>
      <w:r>
        <w:rPr>
          <w:rFonts w:ascii="Times New Roman;Times;Serif" w:hAnsi="Times New Roman;Times;Serif"/>
          <w:b w:val="false"/>
          <w:i/>
          <w:caps w:val="false"/>
          <w:smallCaps w:val="false"/>
          <w:sz w:val="20"/>
        </w:rPr>
        <w:t>Debt—Debt with Conversion and Other Options (Subtopic 470-20) and Derivatives and Hedging—Contracts in Entity’s Own Equity (Subtopic 815-40): Accounting for Convertible Instruments and Contracts in an Entity’s Own Equity</w:t>
      </w:r>
      <w:r>
        <w:rPr>
          <w:rFonts w:ascii="Times New Roman;Times;Serif" w:hAnsi="Times New Roman;Times;Serif"/>
          <w:b w:val="false"/>
          <w:i w:val="false"/>
          <w:caps w:val="false"/>
          <w:smallCaps w:val="false"/>
          <w:sz w:val="20"/>
        </w:rPr>
        <w:t>.” ASU 2020-06 will simplify the accounting for convertible instruments by reducing the number of accounting models for convertible debt instruments and convertible preferred stock. Limiting the accounting models will result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January 1, 2024. Early adoption is permitted, but no earlier than January 1, 2021, including interim periods within that year. Management is currently evaluating the effect of the adoption of ASU 2020-06 on the financial statements, but currently does not believe ASU 2020-06 will have a significant impact on the Company’s accounting for its convertible debt instruments. The effect will largely depend on the composition and terms of the financial instruments at the time of adoption.</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F-11</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26" w:name="xdx_804_eus-gaap--InventoryDisclosureTex"/>
      <w:bookmarkEnd w:id="326"/>
      <w:r>
        <w:rPr>
          <w:rFonts w:ascii="Times New Roman;Times;Serif" w:hAnsi="Times New Roman;Times;Serif"/>
          <w:b/>
          <w:i w:val="false"/>
          <w:caps w:val="false"/>
          <w:smallCaps w:val="false"/>
          <w:sz w:val="20"/>
        </w:rPr>
        <w:t xml:space="preserve">3. </w:t>
      </w:r>
      <w:bookmarkStart w:id="327" w:name="xdx_82B_z4aDbkbwE4d"/>
      <w:bookmarkEnd w:id="327"/>
      <w:r>
        <w:rPr>
          <w:rFonts w:ascii="Times New Roman;Times;Serif" w:hAnsi="Times New Roman;Times;Serif"/>
          <w:b/>
          <w:i w:val="false"/>
          <w:caps w:val="false"/>
          <w:smallCaps w:val="false"/>
          <w:sz w:val="20"/>
        </w:rPr>
        <w:t>Inventory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28" w:name="xdx_89C_eus-gaap--ScheduleOfInventoryCur"/>
      <w:bookmarkEnd w:id="328"/>
      <w:r>
        <w:rPr>
          <w:rFonts w:ascii="Times New Roman;Times;Serif" w:hAnsi="Times New Roman;Times;Serif"/>
          <w:b w:val="false"/>
          <w:i w:val="false"/>
          <w:caps w:val="false"/>
          <w:smallCaps w:val="false"/>
          <w:sz w:val="20"/>
        </w:rPr>
        <w:t>Inventory is valued at the lower of cost (first-in, first-out) or net realizable value, and net of reserves is comprised of the following (in thousands):</w:t>
      </w:r>
    </w:p>
    <w:p>
      <w:pPr>
        <w:pStyle w:val="TextBody"/>
        <w:spacing w:before="0" w:after="0"/>
        <w:ind w:left="0" w:right="0" w:hanging="0"/>
        <w:rPr>
          <w:rFonts w:ascii="Times New Roman;Times;Serif" w:hAnsi="Times New Roman;Times;Serif"/>
          <w:b w:val="false"/>
          <w:i w:val="false"/>
          <w:caps w:val="false"/>
          <w:smallCaps w:val="false"/>
          <w:sz w:val="20"/>
        </w:rPr>
      </w:pPr>
      <w:bookmarkStart w:id="329" w:name="xdx_8B7_zeb2K9YGYJP9"/>
      <w:bookmarkEnd w:id="329"/>
      <w:r>
        <w:rPr>
          <w:rFonts w:ascii="Times New Roman;Times;Serif" w:hAnsi="Times New Roman;Times;Serif"/>
          <w:b w:val="false"/>
          <w:i w:val="false"/>
          <w:caps w:val="false"/>
          <w:smallCaps w:val="false"/>
          <w:sz w:val="20"/>
        </w:rPr>
        <w:t>Schedule of Inventory</w:t>
      </w:r>
    </w:p>
    <w:tbl>
      <w:tblPr>
        <w:tblW w:w="5908" w:type="dxa"/>
        <w:jc w:val="left"/>
        <w:tblInd w:w="0" w:type="dxa"/>
        <w:tblCellMar>
          <w:top w:w="0" w:type="dxa"/>
          <w:left w:w="0" w:type="dxa"/>
          <w:bottom w:w="0" w:type="dxa"/>
          <w:right w:w="0" w:type="dxa"/>
        </w:tblCellMar>
      </w:tblPr>
      <w:tblGrid>
        <w:gridCol w:w="2825"/>
        <w:gridCol w:w="60"/>
        <w:gridCol w:w="241"/>
        <w:gridCol w:w="1173"/>
        <w:gridCol w:w="60"/>
        <w:gridCol w:w="60"/>
        <w:gridCol w:w="241"/>
        <w:gridCol w:w="1173"/>
        <w:gridCol w:w="75"/>
      </w:tblGrid>
      <w:tr>
        <w:trPr/>
        <w:tc>
          <w:tcPr>
            <w:tcW w:w="28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30" w:name="xdx_49C_20201231_zhohSVPZ93O"/>
            <w:bookmarkEnd w:id="330"/>
          </w:p>
        </w:tc>
        <w:tc>
          <w:tcPr>
            <w:tcW w:w="141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31" w:name="xdx_495_20191231_z1T75tgmJcQl"/>
            <w:bookmarkEnd w:id="331"/>
          </w:p>
        </w:tc>
        <w:tc>
          <w:tcPr>
            <w:tcW w:w="141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75" w:type="dxa"/>
            <w:tcBorders/>
            <w:shd w:fill="auto" w:val="clear"/>
            <w:vAlign w:val="center"/>
          </w:tcPr>
          <w:p>
            <w:pPr>
              <w:pStyle w:val="TableContents"/>
              <w:spacing w:before="0" w:after="283"/>
              <w:rPr/>
            </w:pPr>
            <w:r>
              <w:rPr/>
              <w:t> </w:t>
            </w:r>
            <w:bookmarkStart w:id="332" w:name="xdx_404_eus-gaap--InventoryRawMaterials_"/>
            <w:bookmarkEnd w:id="332"/>
          </w:p>
        </w:tc>
      </w:tr>
      <w:tr>
        <w:trPr/>
        <w:tc>
          <w:tcPr>
            <w:tcW w:w="282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Raw materials and packaging</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6,793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4,261</w:t>
            </w:r>
          </w:p>
        </w:tc>
        <w:tc>
          <w:tcPr>
            <w:tcW w:w="75" w:type="dxa"/>
            <w:tcBorders/>
            <w:shd w:fill="CCEEFF" w:val="clear"/>
            <w:vAlign w:val="center"/>
          </w:tcPr>
          <w:p>
            <w:pPr>
              <w:pStyle w:val="TableContents"/>
              <w:spacing w:before="0" w:after="283"/>
              <w:jc w:val="left"/>
              <w:rPr/>
            </w:pPr>
            <w:r>
              <w:rPr/>
              <w:t> </w:t>
            </w:r>
            <w:bookmarkStart w:id="333" w:name="xdx_409_eus-gaap--InventoryFinishedGoods"/>
            <w:bookmarkEnd w:id="333"/>
          </w:p>
        </w:tc>
      </w:tr>
      <w:tr>
        <w:trPr/>
        <w:tc>
          <w:tcPr>
            <w:tcW w:w="282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Finished products</w:t>
            </w:r>
          </w:p>
        </w:tc>
        <w:tc>
          <w:tcPr>
            <w:tcW w:w="60" w:type="dxa"/>
            <w:tcBorders/>
            <w:shd w:fill="FFFFFF" w:val="clear"/>
            <w:vAlign w:val="center"/>
          </w:tcPr>
          <w:p>
            <w:pPr>
              <w:pStyle w:val="TableContents"/>
              <w:spacing w:before="0" w:after="283"/>
              <w:rPr/>
            </w:pPr>
            <w:r>
              <w:rPr/>
              <w:t> </w:t>
            </w:r>
          </w:p>
        </w:tc>
        <w:tc>
          <w:tcPr>
            <w:tcW w:w="24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4,326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6,247</w:t>
            </w:r>
          </w:p>
        </w:tc>
        <w:tc>
          <w:tcPr>
            <w:tcW w:w="75" w:type="dxa"/>
            <w:tcBorders/>
            <w:shd w:fill="FFFFFF" w:val="clear"/>
            <w:vAlign w:val="center"/>
          </w:tcPr>
          <w:p>
            <w:pPr>
              <w:pStyle w:val="TableContents"/>
              <w:spacing w:before="0" w:after="283"/>
              <w:jc w:val="left"/>
              <w:rPr/>
            </w:pPr>
            <w:r>
              <w:rPr/>
              <w:t> </w:t>
            </w:r>
            <w:bookmarkStart w:id="334" w:name="xdx_40A_eus-gaap--InventoryNet_iTI_pn3n3"/>
            <w:bookmarkEnd w:id="334"/>
          </w:p>
        </w:tc>
      </w:tr>
      <w:tr>
        <w:trPr/>
        <w:tc>
          <w:tcPr>
            <w:tcW w:w="282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spacing w:before="0" w:after="283"/>
              <w:rPr/>
            </w:pPr>
            <w:r>
              <w:rPr/>
              <w:t> </w:t>
            </w:r>
          </w:p>
        </w:tc>
        <w:tc>
          <w:tcPr>
            <w:tcW w:w="24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11,119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10,508</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335" w:name="xdx_8AE_znexm6Mpaxyg"/>
      <w:bookmarkEnd w:id="335"/>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a reserve for slow moving and potentially obsolete inventory. The reserve at December 31, 2020 and 2019 was $</w:t>
      </w:r>
      <w:bookmarkStart w:id="336" w:name="xdx_907_eus-gaap--InventoryValuationRese"/>
      <w:bookmarkEnd w:id="336"/>
      <w:r>
        <w:rPr>
          <w:rFonts w:ascii="Times New Roman;Times;Serif" w:hAnsi="Times New Roman;Times;Serif"/>
          <w:b w:val="false"/>
          <w:i w:val="false"/>
          <w:caps w:val="false"/>
          <w:smallCaps w:val="false"/>
          <w:sz w:val="20"/>
        </w:rPr>
        <w:t>194 and $</w:t>
      </w:r>
      <w:bookmarkStart w:id="337" w:name="xdx_903_eus-gaap--InventoryValuationRese"/>
      <w:bookmarkEnd w:id="337"/>
      <w:r>
        <w:rPr>
          <w:rFonts w:ascii="Times New Roman;Times;Serif" w:hAnsi="Times New Roman;Times;Serif"/>
          <w:b w:val="false"/>
          <w:i w:val="false"/>
          <w:caps w:val="false"/>
          <w:smallCaps w:val="false"/>
          <w:sz w:val="20"/>
        </w:rPr>
        <w:t>646,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38" w:name="xdx_800_eus-gaap--PropertyPlantAndEquipm"/>
      <w:bookmarkEnd w:id="338"/>
      <w:r>
        <w:rPr>
          <w:rFonts w:ascii="Times New Roman;Times;Serif" w:hAnsi="Times New Roman;Times;Serif"/>
          <w:b/>
          <w:i w:val="false"/>
          <w:caps w:val="false"/>
          <w:smallCaps w:val="false"/>
          <w:sz w:val="20"/>
        </w:rPr>
        <w:t xml:space="preserve">4. </w:t>
      </w:r>
      <w:bookmarkStart w:id="339" w:name="xdx_82A_z4TdrDcNdxga"/>
      <w:bookmarkEnd w:id="339"/>
      <w:r>
        <w:rPr>
          <w:rFonts w:ascii="Times New Roman;Times;Serif" w:hAnsi="Times New Roman;Times;Serif"/>
          <w:b/>
          <w:i w:val="false"/>
          <w:caps w:val="false"/>
          <w:smallCaps w:val="false"/>
          <w:sz w:val="20"/>
        </w:rPr>
        <w:t>Property and Equipment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40" w:name="xdx_89A_eus-gaap--PropertyPlantAndEquipm"/>
      <w:bookmarkEnd w:id="340"/>
      <w:r>
        <w:rPr>
          <w:rFonts w:ascii="Times New Roman;Times;Serif" w:hAnsi="Times New Roman;Times;Serif"/>
          <w:b w:val="false"/>
          <w:i w:val="false"/>
          <w:caps w:val="false"/>
          <w:smallCaps w:val="false"/>
          <w:sz w:val="20"/>
        </w:rPr>
        <w:t>Property and equipment is comprised of the following (in thousands):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41" w:name="xdx_8B2_zqfbu6OnJDz6"/>
      <w:bookmarkEnd w:id="341"/>
      <w:r>
        <w:rPr>
          <w:rFonts w:ascii="Times New Roman;Times;Serif" w:hAnsi="Times New Roman;Times;Serif"/>
          <w:b w:val="false"/>
          <w:i w:val="false"/>
          <w:caps w:val="false"/>
          <w:smallCaps w:val="false"/>
          <w:sz w:val="20"/>
        </w:rPr>
        <w:t>Schedule of Property and Equipment</w:t>
      </w:r>
    </w:p>
    <w:tbl>
      <w:tblPr>
        <w:tblW w:w="7300" w:type="dxa"/>
        <w:jc w:val="left"/>
        <w:tblInd w:w="0" w:type="dxa"/>
        <w:tblCellMar>
          <w:top w:w="0" w:type="dxa"/>
          <w:left w:w="0" w:type="dxa"/>
          <w:bottom w:w="0" w:type="dxa"/>
          <w:right w:w="0" w:type="dxa"/>
        </w:tblCellMar>
      </w:tblPr>
      <w:tblGrid>
        <w:gridCol w:w="4145"/>
        <w:gridCol w:w="60"/>
        <w:gridCol w:w="283"/>
        <w:gridCol w:w="1132"/>
        <w:gridCol w:w="95"/>
        <w:gridCol w:w="60"/>
        <w:gridCol w:w="283"/>
        <w:gridCol w:w="1132"/>
        <w:gridCol w:w="110"/>
      </w:tblGrid>
      <w:tr>
        <w:trPr/>
        <w:tc>
          <w:tcPr>
            <w:tcW w:w="4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42" w:name="xdx_49F_20201231_zvjbOIqr1YOi"/>
            <w:bookmarkEnd w:id="342"/>
          </w:p>
        </w:tc>
        <w:tc>
          <w:tcPr>
            <w:tcW w:w="1415"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43" w:name="xdx_49E_20191231_zanUrfCq9vJ1"/>
            <w:bookmarkEnd w:id="343"/>
          </w:p>
        </w:tc>
        <w:tc>
          <w:tcPr>
            <w:tcW w:w="1415"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110" w:type="dxa"/>
            <w:tcBorders/>
            <w:shd w:fill="auto"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Right-of-use assets under operating leases</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344" w:name="xdx_989_eus-gaap--PropertyPlantAndEquipm"/>
            <w:bookmarkEnd w:id="344"/>
          </w:p>
        </w:tc>
        <w:tc>
          <w:tcPr>
            <w:tcW w:w="113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724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345" w:name="xdx_981_eus-gaap--PropertyPlantAndEquipm"/>
            <w:bookmarkEnd w:id="345"/>
          </w:p>
        </w:tc>
        <w:tc>
          <w:tcPr>
            <w:tcW w:w="113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730</w:t>
            </w:r>
          </w:p>
        </w:tc>
        <w:tc>
          <w:tcPr>
            <w:tcW w:w="110" w:type="dxa"/>
            <w:tcBorders/>
            <w:shd w:fill="CCEEFF" w:val="clear"/>
            <w:vAlign w:val="center"/>
          </w:tcPr>
          <w:p>
            <w:pPr>
              <w:pStyle w:val="TableContents"/>
              <w:spacing w:before="0" w:after="283"/>
              <w:jc w:val="left"/>
              <w:rPr/>
            </w:pPr>
            <w:r>
              <w:rPr/>
              <w:t> </w:t>
            </w:r>
          </w:p>
        </w:tc>
      </w:tr>
      <w:tr>
        <w:trPr/>
        <w:tc>
          <w:tcPr>
            <w:tcW w:w="414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Right-of-use assets under finance leases</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bookmarkStart w:id="346" w:name="xdx_987_eus-gaap--PropertyPlantAndEquipm"/>
            <w:bookmarkEnd w:id="346"/>
          </w:p>
        </w:tc>
        <w:tc>
          <w:tcPr>
            <w:tcW w:w="113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bookmarkStart w:id="347" w:name="xdx_98C_eus-gaap--PropertyPlantAndEquipm"/>
            <w:bookmarkEnd w:id="347"/>
          </w:p>
        </w:tc>
        <w:tc>
          <w:tcPr>
            <w:tcW w:w="113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179</w:t>
            </w:r>
          </w:p>
        </w:tc>
        <w:tc>
          <w:tcPr>
            <w:tcW w:w="110" w:type="dxa"/>
            <w:tcBorders/>
            <w:shd w:fill="FFFFFF" w:val="clear"/>
            <w:vAlign w:val="center"/>
          </w:tcPr>
          <w:p>
            <w:pPr>
              <w:pStyle w:val="TableContents"/>
              <w:spacing w:before="0" w:after="283"/>
              <w:jc w:val="left"/>
              <w:rPr/>
            </w:pPr>
            <w:r>
              <w:rPr/>
              <w:t> </w:t>
            </w:r>
          </w:p>
        </w:tc>
      </w:tr>
      <w:tr>
        <w:trPr/>
        <w:tc>
          <w:tcPr>
            <w:tcW w:w="414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Computer hardware and software</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bookmarkStart w:id="348" w:name="xdx_981_eus-gaap--PropertyPlantAndEquipm"/>
            <w:bookmarkEnd w:id="348"/>
          </w:p>
        </w:tc>
        <w:tc>
          <w:tcPr>
            <w:tcW w:w="113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bookmarkStart w:id="349" w:name="xdx_989_eus-gaap--PropertyPlantAndEquipm"/>
            <w:bookmarkEnd w:id="349"/>
          </w:p>
        </w:tc>
        <w:tc>
          <w:tcPr>
            <w:tcW w:w="113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543</w:t>
            </w:r>
          </w:p>
        </w:tc>
        <w:tc>
          <w:tcPr>
            <w:tcW w:w="110" w:type="dxa"/>
            <w:tcBorders/>
            <w:shd w:fill="CCEEFF" w:val="clear"/>
            <w:vAlign w:val="center"/>
          </w:tcPr>
          <w:p>
            <w:pPr>
              <w:pStyle w:val="TableContents"/>
              <w:spacing w:before="0" w:after="283"/>
              <w:jc w:val="left"/>
              <w:rPr/>
            </w:pPr>
            <w:r>
              <w:rPr/>
              <w:t> </w:t>
            </w:r>
          </w:p>
        </w:tc>
      </w:tr>
      <w:tr>
        <w:trPr/>
        <w:tc>
          <w:tcPr>
            <w:tcW w:w="414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Machinery and equipment</w:t>
            </w:r>
          </w:p>
        </w:tc>
        <w:tc>
          <w:tcPr>
            <w:tcW w:w="60" w:type="dxa"/>
            <w:tcBorders/>
            <w:shd w:fill="FFFFFF" w:val="clear"/>
            <w:vAlign w:val="center"/>
          </w:tcPr>
          <w:p>
            <w:pPr>
              <w:pStyle w:val="TableContents"/>
              <w:spacing w:before="0" w:after="283"/>
              <w:rPr/>
            </w:pPr>
            <w:r>
              <w:rPr/>
              <w:t> </w:t>
            </w:r>
          </w:p>
        </w:tc>
        <w:tc>
          <w:tcPr>
            <w:tcW w:w="283"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350" w:name="xdx_98A_eus-gaap--PropertyPlantAndEquipm"/>
            <w:bookmarkEnd w:id="350"/>
          </w:p>
        </w:tc>
        <w:tc>
          <w:tcPr>
            <w:tcW w:w="113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351" w:name="xdx_98D_eus-gaap--PropertyPlantAndEquipm"/>
            <w:bookmarkEnd w:id="351"/>
          </w:p>
        </w:tc>
        <w:tc>
          <w:tcPr>
            <w:tcW w:w="113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83</w:t>
            </w:r>
          </w:p>
        </w:tc>
        <w:tc>
          <w:tcPr>
            <w:tcW w:w="110" w:type="dxa"/>
            <w:tcBorders/>
            <w:shd w:fill="FFFFFF" w:val="clear"/>
            <w:vAlign w:val="center"/>
          </w:tcPr>
          <w:p>
            <w:pPr>
              <w:pStyle w:val="TableContents"/>
              <w:spacing w:before="0" w:after="283"/>
              <w:jc w:val="left"/>
              <w:rPr/>
            </w:pPr>
            <w:r>
              <w:rPr/>
              <w:t> </w:t>
            </w:r>
            <w:bookmarkStart w:id="352" w:name="xdx_401_eus-gaap--PropertyPlantAndEquipm"/>
            <w:bookmarkEnd w:id="352"/>
          </w:p>
        </w:tc>
      </w:tr>
      <w:tr>
        <w:trPr/>
        <w:tc>
          <w:tcPr>
            <w:tcW w:w="414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cost</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p>
        </w:tc>
        <w:tc>
          <w:tcPr>
            <w:tcW w:w="113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1,281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p>
        </w:tc>
        <w:tc>
          <w:tcPr>
            <w:tcW w:w="113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1,535</w:t>
            </w:r>
          </w:p>
        </w:tc>
        <w:tc>
          <w:tcPr>
            <w:tcW w:w="110" w:type="dxa"/>
            <w:tcBorders/>
            <w:shd w:fill="CCEEFF" w:val="clear"/>
            <w:vAlign w:val="center"/>
          </w:tcPr>
          <w:p>
            <w:pPr>
              <w:pStyle w:val="TableContents"/>
              <w:spacing w:before="0" w:after="283"/>
              <w:jc w:val="left"/>
              <w:rPr/>
            </w:pPr>
            <w:r>
              <w:rPr/>
              <w:t> </w:t>
            </w:r>
            <w:bookmarkStart w:id="353" w:name="xdx_409_eus-gaap--AccumulatedDepreciatio"/>
            <w:bookmarkEnd w:id="353"/>
          </w:p>
        </w:tc>
      </w:tr>
      <w:tr>
        <w:trPr/>
        <w:tc>
          <w:tcPr>
            <w:tcW w:w="414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Accumulated depreciation and amortization</w:t>
            </w:r>
          </w:p>
        </w:tc>
        <w:tc>
          <w:tcPr>
            <w:tcW w:w="60" w:type="dxa"/>
            <w:tcBorders/>
            <w:shd w:fill="FFFFFF" w:val="clear"/>
            <w:vAlign w:val="center"/>
          </w:tcPr>
          <w:p>
            <w:pPr>
              <w:pStyle w:val="TableContents"/>
              <w:spacing w:before="0" w:after="283"/>
              <w:rPr/>
            </w:pPr>
            <w:r>
              <w:rPr/>
              <w:t> </w:t>
            </w:r>
          </w:p>
        </w:tc>
        <w:tc>
          <w:tcPr>
            <w:tcW w:w="28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(361</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28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(482</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354" w:name="xdx_409_eus-gaap--PropertyPlantAndEquipm"/>
            <w:bookmarkEnd w:id="354"/>
          </w:p>
        </w:tc>
      </w:tr>
      <w:tr>
        <w:trPr/>
        <w:tc>
          <w:tcPr>
            <w:tcW w:w="414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Net book value</w:t>
            </w:r>
          </w:p>
        </w:tc>
        <w:tc>
          <w:tcPr>
            <w:tcW w:w="60" w:type="dxa"/>
            <w:tcBorders/>
            <w:shd w:fill="CCEEFF" w:val="clear"/>
            <w:vAlign w:val="center"/>
          </w:tcPr>
          <w:p>
            <w:pPr>
              <w:pStyle w:val="TableContents"/>
              <w:spacing w:before="0" w:after="283"/>
              <w:rPr/>
            </w:pPr>
            <w:r>
              <w:rPr/>
              <w:t> </w:t>
            </w:r>
          </w:p>
        </w:tc>
        <w:tc>
          <w:tcPr>
            <w:tcW w:w="28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920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1,053</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355" w:name="xdx_8A8_z5jPjKXLoxa8"/>
      <w:bookmarkEnd w:id="355"/>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December 31, 2020 and 2019 was $</w:t>
      </w:r>
      <w:bookmarkStart w:id="356" w:name="xdx_902_eus-gaap--Depreciation_c20200101"/>
      <w:bookmarkEnd w:id="356"/>
      <w:r>
        <w:rPr>
          <w:rFonts w:ascii="Times New Roman;Times;Serif" w:hAnsi="Times New Roman;Times;Serif"/>
          <w:b w:val="false"/>
          <w:i w:val="false"/>
          <w:caps w:val="false"/>
          <w:smallCaps w:val="false"/>
          <w:sz w:val="20"/>
        </w:rPr>
        <w:t>88 and $</w:t>
      </w:r>
      <w:bookmarkStart w:id="357" w:name="xdx_901_eus-gaap--Depreciation_c20190101"/>
      <w:bookmarkEnd w:id="357"/>
      <w:r>
        <w:rPr>
          <w:rFonts w:ascii="Times New Roman;Times;Serif" w:hAnsi="Times New Roman;Times;Serif"/>
          <w:b w:val="false"/>
          <w:i w:val="false"/>
          <w:caps w:val="false"/>
          <w:smallCaps w:val="false"/>
          <w:sz w:val="20"/>
        </w:rPr>
        <w:t>24, respectively, and amortization of right-of-use assets for the years ended December 31, 2020 and 2019 was $</w:t>
      </w:r>
      <w:bookmarkStart w:id="358" w:name="xdx_903_eus-gaap--OperatingLeaseRightOfU"/>
      <w:bookmarkEnd w:id="358"/>
      <w:r>
        <w:rPr>
          <w:rFonts w:ascii="Times New Roman;Times;Serif" w:hAnsi="Times New Roman;Times;Serif"/>
          <w:b w:val="false"/>
          <w:i w:val="false"/>
          <w:caps w:val="false"/>
          <w:smallCaps w:val="false"/>
          <w:sz w:val="20"/>
        </w:rPr>
        <w:t>116 and $</w:t>
      </w:r>
      <w:bookmarkStart w:id="359" w:name="xdx_900_eus-gaap--OperatingLeaseRightOfU"/>
      <w:bookmarkEnd w:id="359"/>
      <w:r>
        <w:rPr>
          <w:rFonts w:ascii="Times New Roman;Times;Serif" w:hAnsi="Times New Roman;Times;Serif"/>
          <w:b w:val="false"/>
          <w:i w:val="false"/>
          <w:caps w:val="false"/>
          <w:smallCaps w:val="false"/>
          <w:sz w:val="20"/>
        </w:rPr>
        <w:t>91, respectively. During the year ended December 31, 2020, the Company disposed of right-of-use assets under finance leases with a net book value of $</w:t>
      </w:r>
      <w:bookmarkStart w:id="360" w:name="xdx_90A_eus-gaap--PropertyPlantAndEquipm"/>
      <w:bookmarkEnd w:id="360"/>
      <w:r>
        <w:rPr>
          <w:rFonts w:ascii="Times New Roman;Times;Serif" w:hAnsi="Times New Roman;Times;Serif"/>
          <w:b w:val="false"/>
          <w:i w:val="false"/>
          <w:caps w:val="false"/>
          <w:smallCaps w:val="false"/>
          <w:sz w:val="20"/>
        </w:rPr>
        <w:t>51 and terminated $</w:t>
      </w:r>
      <w:bookmarkStart w:id="361" w:name="xdx_90F_eus-gaap--PropertyPlantAndEquipm"/>
      <w:bookmarkEnd w:id="361"/>
      <w:r>
        <w:rPr>
          <w:rFonts w:ascii="Times New Roman;Times;Serif" w:hAnsi="Times New Roman;Times;Serif"/>
          <w:b w:val="false"/>
          <w:i w:val="false"/>
          <w:caps w:val="false"/>
          <w:smallCaps w:val="false"/>
          <w:sz w:val="20"/>
        </w:rPr>
        <w:t>51 of related finance leases (see Note 9). Additionally, during the year ended December 31, 2020, the Company reclassified $</w:t>
      </w:r>
      <w:bookmarkStart w:id="362" w:name="xdx_901_eus-gaap--GainsLossesOnSalesOfAs"/>
      <w:bookmarkEnd w:id="362"/>
      <w:r>
        <w:rPr>
          <w:rFonts w:ascii="Times New Roman;Times;Serif" w:hAnsi="Times New Roman;Times;Serif"/>
          <w:b w:val="false"/>
          <w:i w:val="false"/>
          <w:caps w:val="false"/>
          <w:smallCaps w:val="false"/>
          <w:sz w:val="20"/>
        </w:rPr>
        <w:t>6 of right-of-use assets under operating leases to right-of-use assets under finance leases and disposed of fully depreciated computer hardware and software of $</w:t>
      </w:r>
      <w:bookmarkStart w:id="363" w:name="xdx_903_eus-gaap--PropertyPlantAndEquipm"/>
      <w:bookmarkEnd w:id="363"/>
      <w:r>
        <w:rPr>
          <w:rFonts w:ascii="Times New Roman;Times;Serif" w:hAnsi="Times New Roman;Times;Serif"/>
          <w:b w:val="false"/>
          <w:i w:val="false"/>
          <w:caps w:val="false"/>
          <w:smallCaps w:val="false"/>
          <w:sz w:val="20"/>
        </w:rPr>
        <w:t xml:space="preserve">244 with </w:t>
      </w:r>
      <w:bookmarkStart w:id="364" w:name="xdx_90F_eus-gaap--PropertyPlantAndEquipm"/>
      <w:bookmarkEnd w:id="364"/>
      <w:r>
        <w:rPr>
          <w:rFonts w:ascii="Times New Roman;Times;Serif" w:hAnsi="Times New Roman;Times;Serif"/>
          <w:b w:val="false"/>
          <w:i w:val="false"/>
          <w:caps w:val="false"/>
          <w:smallCaps w:val="false"/>
          <w:sz w:val="20"/>
        </w:rPr>
        <w:t>zero net book value.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65" w:name="xdx_896_eus-gaap--DisclosureOfLongLivedA"/>
      <w:bookmarkEnd w:id="365"/>
      <w:r>
        <w:rPr>
          <w:rFonts w:ascii="Times New Roman;Times;Serif" w:hAnsi="Times New Roman;Times;Serif"/>
          <w:b w:val="false"/>
          <w:i w:val="false"/>
          <w:caps w:val="false"/>
          <w:smallCaps w:val="false"/>
          <w:sz w:val="20"/>
        </w:rPr>
        <w:t>Equipment held for sale consists of the following (in thousands):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66" w:name="xdx_8B9_zdSrhLLmlNwj"/>
      <w:bookmarkEnd w:id="366"/>
      <w:r>
        <w:rPr>
          <w:rFonts w:ascii="Times New Roman;Times;Serif" w:hAnsi="Times New Roman;Times;Serif"/>
          <w:b w:val="false"/>
          <w:i w:val="false"/>
          <w:caps w:val="false"/>
          <w:smallCaps w:val="false"/>
          <w:sz w:val="20"/>
        </w:rPr>
        <w:t>Schedule of Equipment Held for Sale</w:t>
      </w:r>
    </w:p>
    <w:tbl>
      <w:tblPr>
        <w:tblW w:w="5438" w:type="dxa"/>
        <w:jc w:val="left"/>
        <w:tblInd w:w="0" w:type="dxa"/>
        <w:tblCellMar>
          <w:top w:w="0" w:type="dxa"/>
          <w:left w:w="0" w:type="dxa"/>
          <w:bottom w:w="0" w:type="dxa"/>
          <w:right w:w="0" w:type="dxa"/>
        </w:tblCellMar>
      </w:tblPr>
      <w:tblGrid>
        <w:gridCol w:w="2285"/>
        <w:gridCol w:w="60"/>
        <w:gridCol w:w="380"/>
        <w:gridCol w:w="1034"/>
        <w:gridCol w:w="95"/>
        <w:gridCol w:w="60"/>
        <w:gridCol w:w="380"/>
        <w:gridCol w:w="1034"/>
        <w:gridCol w:w="110"/>
      </w:tblGrid>
      <w:tr>
        <w:trPr/>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67" w:name="xdx_497_20201231_z4SJfUbGbwRk"/>
            <w:bookmarkEnd w:id="367"/>
          </w:p>
        </w:tc>
        <w:tc>
          <w:tcPr>
            <w:tcW w:w="141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68" w:name="xdx_494_20191231_zklHsbAcGh7b"/>
            <w:bookmarkEnd w:id="368"/>
          </w:p>
        </w:tc>
        <w:tc>
          <w:tcPr>
            <w:tcW w:w="141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110" w:type="dxa"/>
            <w:tcBorders/>
            <w:shd w:fill="auto" w:val="clear"/>
            <w:vAlign w:val="center"/>
          </w:tcPr>
          <w:p>
            <w:pPr>
              <w:pStyle w:val="TableContents"/>
              <w:spacing w:before="0" w:after="283"/>
              <w:rPr/>
            </w:pPr>
            <w:r>
              <w:rPr/>
              <w:t> </w:t>
            </w:r>
            <w:bookmarkStart w:id="369" w:name="xdx_40B_eus-gaap--DisposalGroupIncluding"/>
            <w:bookmarkEnd w:id="369"/>
          </w:p>
        </w:tc>
      </w:tr>
      <w:tr>
        <w:trPr/>
        <w:tc>
          <w:tcPr>
            <w:tcW w:w="22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Equipment held for sale</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163</w:t>
            </w:r>
          </w:p>
        </w:tc>
        <w:tc>
          <w:tcPr>
            <w:tcW w:w="110" w:type="dxa"/>
            <w:tcBorders/>
            <w:shd w:fill="CCEEFF" w:val="clear"/>
            <w:vAlign w:val="center"/>
          </w:tcPr>
          <w:p>
            <w:pPr>
              <w:pStyle w:val="TableContents"/>
              <w:spacing w:before="0" w:after="283"/>
              <w:jc w:val="left"/>
              <w:rPr/>
            </w:pPr>
            <w:r>
              <w:rPr/>
              <w:t> </w:t>
            </w:r>
            <w:bookmarkStart w:id="370" w:name="xdx_407_eus-gaap--RestructuringReserve_i"/>
            <w:bookmarkEnd w:id="370"/>
          </w:p>
        </w:tc>
      </w:tr>
      <w:tr>
        <w:trPr/>
        <w:tc>
          <w:tcPr>
            <w:tcW w:w="228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Reserve</w:t>
            </w:r>
          </w:p>
        </w:tc>
        <w:tc>
          <w:tcPr>
            <w:tcW w:w="60" w:type="dxa"/>
            <w:tcBorders/>
            <w:shd w:fill="FFFFFF" w:val="clear"/>
            <w:vAlign w:val="center"/>
          </w:tcPr>
          <w:p>
            <w:pPr>
              <w:pStyle w:val="TableContents"/>
              <w:spacing w:before="0" w:after="283"/>
              <w:rPr/>
            </w:pPr>
            <w:r>
              <w:rPr/>
              <w:t> </w:t>
            </w:r>
          </w:p>
        </w:tc>
        <w:tc>
          <w:tcPr>
            <w:tcW w:w="3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(96</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3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(96</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371" w:name="xdx_40E_eus-gaap--AssetsHeldForSaleNotPa"/>
            <w:bookmarkEnd w:id="371"/>
          </w:p>
        </w:tc>
      </w:tr>
      <w:tr>
        <w:trPr/>
        <w:tc>
          <w:tcPr>
            <w:tcW w:w="228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Net book value</w:t>
            </w:r>
          </w:p>
        </w:tc>
        <w:tc>
          <w:tcPr>
            <w:tcW w:w="60" w:type="dxa"/>
            <w:tcBorders/>
            <w:shd w:fill="CCEEFF" w:val="clear"/>
            <w:vAlign w:val="center"/>
          </w:tcPr>
          <w:p>
            <w:pPr>
              <w:pStyle w:val="TableContents"/>
              <w:spacing w:before="0" w:after="283"/>
              <w:rPr/>
            </w:pPr>
            <w:r>
              <w:rPr/>
              <w:t> </w:t>
            </w:r>
          </w:p>
        </w:tc>
        <w:tc>
          <w:tcPr>
            <w:tcW w:w="38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67</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372" w:name="xdx_8A5_zXXrQLcEMfAh"/>
      <w:bookmarkEnd w:id="372"/>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as of December 31, 2020 and 2019 consists of residual manufacturing equipment, at estimated net realizable value, which management anticipates selling during 2021.</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F-12</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73" w:name="xdx_806_eus-gaap--IntangibleAssetsDisclo"/>
      <w:bookmarkEnd w:id="373"/>
      <w:r>
        <w:rPr>
          <w:rFonts w:ascii="Times New Roman;Times;Serif" w:hAnsi="Times New Roman;Times;Serif"/>
          <w:b/>
          <w:i w:val="false"/>
          <w:caps w:val="false"/>
          <w:smallCaps w:val="false"/>
          <w:sz w:val="20"/>
        </w:rPr>
        <w:t xml:space="preserve">5. </w:t>
      </w:r>
      <w:bookmarkStart w:id="374" w:name="xdx_825_zJ0LG2pMaxCa"/>
      <w:bookmarkEnd w:id="374"/>
      <w:r>
        <w:rPr>
          <w:rFonts w:ascii="Times New Roman;Times;Serif" w:hAnsi="Times New Roman;Times;Serif"/>
          <w:b/>
          <w:i w:val="false"/>
          <w:caps w:val="false"/>
          <w:smallCaps w:val="false"/>
          <w:sz w:val="20"/>
        </w:rPr>
        <w:t>Intangible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comprised of brand names acquired, specifically Virgil’s, and costs related to trademarks. They have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assessment, there were </w:t>
      </w:r>
      <w:bookmarkStart w:id="375" w:name="xdx_900_eus-gaap--ImpairmentOfIntangible"/>
      <w:bookmarkEnd w:id="375"/>
      <w:r>
        <w:rPr>
          <w:rFonts w:ascii="Times New Roman;Times;Serif" w:hAnsi="Times New Roman;Times;Serif"/>
          <w:b w:val="false"/>
          <w:i w:val="false"/>
          <w:caps w:val="false"/>
          <w:smallCaps w:val="false"/>
          <w:sz w:val="20"/>
        </w:rPr>
        <w:t>no indications of impairment at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the Company capitalized costs of $</w:t>
      </w:r>
      <w:bookmarkStart w:id="376" w:name="xdx_908_eus-gaap--FiniteLivedIntangibleA"/>
      <w:bookmarkEnd w:id="376"/>
      <w:r>
        <w:rPr>
          <w:rFonts w:ascii="Times New Roman;Times;Serif" w:hAnsi="Times New Roman;Times;Serif"/>
          <w:b w:val="false"/>
          <w:i w:val="false"/>
          <w:caps w:val="false"/>
          <w:smallCaps w:val="false"/>
          <w:sz w:val="20"/>
        </w:rPr>
        <w:t>39 pertaining to legal and other fees incurred in applying for international trademarks for Reeds and Virgil’s brands.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77" w:name="xdx_894_eus-gaap--ScheduleOfIndefiniteLi"/>
      <w:bookmarkEnd w:id="377"/>
      <w:r>
        <w:rPr>
          <w:rFonts w:ascii="Times New Roman;Times;Serif" w:hAnsi="Times New Roman;Times;Serif"/>
          <w:b w:val="false"/>
          <w:i w:val="false"/>
          <w:caps w:val="false"/>
          <w:smallCaps w:val="false"/>
          <w:sz w:val="20"/>
        </w:rPr>
        <w:t>Intangible assets consist of the following (in thousands):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78" w:name="xdx_8B3_zPAPvBSziaKc"/>
      <w:bookmarkEnd w:id="378"/>
      <w:r>
        <w:rPr>
          <w:rFonts w:ascii="Times New Roman;Times;Serif" w:hAnsi="Times New Roman;Times;Serif"/>
          <w:b w:val="false"/>
          <w:i w:val="false"/>
          <w:caps w:val="false"/>
          <w:smallCaps w:val="false"/>
          <w:sz w:val="20"/>
        </w:rPr>
        <w:t>Summary of Intangible Assets</w:t>
      </w:r>
    </w:p>
    <w:tbl>
      <w:tblPr>
        <w:tblW w:w="4363" w:type="dxa"/>
        <w:jc w:val="left"/>
        <w:tblInd w:w="0" w:type="dxa"/>
        <w:tblCellMar>
          <w:top w:w="0" w:type="dxa"/>
          <w:left w:w="0" w:type="dxa"/>
          <w:bottom w:w="0" w:type="dxa"/>
          <w:right w:w="0" w:type="dxa"/>
        </w:tblCellMar>
      </w:tblPr>
      <w:tblGrid>
        <w:gridCol w:w="1280"/>
        <w:gridCol w:w="60"/>
        <w:gridCol w:w="380"/>
        <w:gridCol w:w="1034"/>
        <w:gridCol w:w="60"/>
        <w:gridCol w:w="60"/>
        <w:gridCol w:w="380"/>
        <w:gridCol w:w="1034"/>
        <w:gridCol w:w="75"/>
      </w:tblGrid>
      <w:tr>
        <w:trPr/>
        <w:tc>
          <w:tcPr>
            <w:tcW w:w="12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79" w:name="xdx_49C_20201231_zd13a8M9OXA2"/>
            <w:bookmarkEnd w:id="379"/>
          </w:p>
        </w:tc>
        <w:tc>
          <w:tcPr>
            <w:tcW w:w="141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80" w:name="xdx_490_20191231_z83udo6miI0h"/>
            <w:bookmarkEnd w:id="380"/>
          </w:p>
        </w:tc>
        <w:tc>
          <w:tcPr>
            <w:tcW w:w="141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75" w:type="dxa"/>
            <w:tcBorders/>
            <w:shd w:fill="auto" w:val="clear"/>
            <w:vAlign w:val="center"/>
          </w:tcPr>
          <w:p>
            <w:pPr>
              <w:pStyle w:val="TableContents"/>
              <w:spacing w:before="0" w:after="283"/>
              <w:rPr/>
            </w:pPr>
            <w:r>
              <w:rPr/>
              <w:t> </w:t>
            </w:r>
            <w:bookmarkStart w:id="381" w:name="xdx_404_eus-gaap--IndefiniteLivedTradeNa"/>
            <w:bookmarkEnd w:id="381"/>
          </w:p>
        </w:tc>
      </w:tr>
      <w:tr>
        <w:trPr/>
        <w:tc>
          <w:tcPr>
            <w:tcW w:w="128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Brand names</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576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576</w:t>
            </w:r>
          </w:p>
        </w:tc>
        <w:tc>
          <w:tcPr>
            <w:tcW w:w="75" w:type="dxa"/>
            <w:tcBorders/>
            <w:shd w:fill="CCEEFF" w:val="clear"/>
            <w:vAlign w:val="center"/>
          </w:tcPr>
          <w:p>
            <w:pPr>
              <w:pStyle w:val="TableContents"/>
              <w:spacing w:before="0" w:after="283"/>
              <w:jc w:val="left"/>
              <w:rPr/>
            </w:pPr>
            <w:r>
              <w:rPr/>
              <w:t> </w:t>
            </w:r>
            <w:bookmarkStart w:id="382" w:name="xdx_403_eus-gaap--IndefiniteLivedTradema"/>
            <w:bookmarkEnd w:id="382"/>
          </w:p>
        </w:tc>
      </w:tr>
      <w:tr>
        <w:trPr/>
        <w:tc>
          <w:tcPr>
            <w:tcW w:w="128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Trademarks</w:t>
            </w:r>
          </w:p>
        </w:tc>
        <w:tc>
          <w:tcPr>
            <w:tcW w:w="60" w:type="dxa"/>
            <w:tcBorders/>
            <w:shd w:fill="FFFFFF" w:val="clear"/>
            <w:vAlign w:val="center"/>
          </w:tcPr>
          <w:p>
            <w:pPr>
              <w:pStyle w:val="TableContents"/>
              <w:spacing w:before="0" w:after="283"/>
              <w:rPr/>
            </w:pPr>
            <w:r>
              <w:rPr/>
              <w:t> </w:t>
            </w:r>
          </w:p>
        </w:tc>
        <w:tc>
          <w:tcPr>
            <w:tcW w:w="3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bookmarkStart w:id="383" w:name="xdx_40F_eus-gaap--IndefiniteLivedIntangi"/>
            <w:bookmarkEnd w:id="383"/>
          </w:p>
        </w:tc>
      </w:tr>
      <w:tr>
        <w:trPr/>
        <w:tc>
          <w:tcPr>
            <w:tcW w:w="128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spacing w:before="0" w:after="283"/>
              <w:rPr/>
            </w:pPr>
            <w:r>
              <w:rPr/>
              <w:t> </w:t>
            </w:r>
          </w:p>
        </w:tc>
        <w:tc>
          <w:tcPr>
            <w:tcW w:w="38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576</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384" w:name="xdx_8A4_zZO1J7G4RCFg"/>
      <w:bookmarkEnd w:id="384"/>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85" w:name="xdx_800_ecustom--LineOfCreditTextBlock_z"/>
      <w:bookmarkEnd w:id="385"/>
      <w:r>
        <w:rPr>
          <w:rFonts w:ascii="Times New Roman;Times;Serif" w:hAnsi="Times New Roman;Times;Serif"/>
          <w:b/>
          <w:i w:val="false"/>
          <w:caps w:val="false"/>
          <w:smallCaps w:val="false"/>
          <w:sz w:val="20"/>
        </w:rPr>
        <w:t xml:space="preserve">6. </w:t>
      </w:r>
      <w:bookmarkStart w:id="386" w:name="xdx_827_zqsc5ZhBeEs"/>
      <w:bookmarkEnd w:id="386"/>
      <w:r>
        <w:rPr>
          <w:rFonts w:ascii="Times New Roman;Times;Serif" w:hAnsi="Times New Roman;Times;Serif"/>
          <w:b/>
          <w:i w:val="false"/>
          <w:caps w:val="false"/>
          <w:smallCaps w:val="false"/>
          <w:sz w:val="20"/>
        </w:rPr>
        <w:t>Line of Credit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87" w:name="xdx_891_eus-gaap--ScheduleOfLineOfCredit"/>
      <w:bookmarkEnd w:id="387"/>
      <w:r>
        <w:rPr>
          <w:rFonts w:ascii="Times New Roman;Times;Serif" w:hAnsi="Times New Roman;Times;Serif"/>
          <w:b w:val="false"/>
          <w:i w:val="false"/>
          <w:caps w:val="false"/>
          <w:smallCaps w:val="false"/>
          <w:sz w:val="20"/>
        </w:rPr>
        <w:t>Amounts outstanding under the Company’s credit facilities are as follows (in thousands):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88" w:name="xdx_8B0_zAORBZLut1Dj"/>
      <w:bookmarkEnd w:id="388"/>
      <w:r>
        <w:rPr>
          <w:rFonts w:ascii="Times New Roman;Times;Serif" w:hAnsi="Times New Roman;Times;Serif"/>
          <w:b w:val="false"/>
          <w:i w:val="false"/>
          <w:caps w:val="false"/>
          <w:smallCaps w:val="false"/>
          <w:sz w:val="20"/>
        </w:rPr>
        <w:t>Schedule of Amount Outstanding Under Credit Facilities</w:t>
      </w:r>
    </w:p>
    <w:tbl>
      <w:tblPr>
        <w:tblW w:w="5494" w:type="dxa"/>
        <w:jc w:val="left"/>
        <w:tblInd w:w="0" w:type="dxa"/>
        <w:tblCellMar>
          <w:top w:w="0" w:type="dxa"/>
          <w:left w:w="0" w:type="dxa"/>
          <w:bottom w:w="0" w:type="dxa"/>
          <w:right w:w="0" w:type="dxa"/>
        </w:tblCellMar>
      </w:tblPr>
      <w:tblGrid>
        <w:gridCol w:w="2375"/>
        <w:gridCol w:w="60"/>
        <w:gridCol w:w="276"/>
        <w:gridCol w:w="1138"/>
        <w:gridCol w:w="60"/>
        <w:gridCol w:w="60"/>
        <w:gridCol w:w="283"/>
        <w:gridCol w:w="1132"/>
        <w:gridCol w:w="110"/>
      </w:tblGrid>
      <w:tr>
        <w:trPr/>
        <w:tc>
          <w:tcPr>
            <w:tcW w:w="23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89" w:name="xdx_49F_20201231_zjmKW4PLOcEe"/>
            <w:bookmarkEnd w:id="389"/>
          </w:p>
        </w:tc>
        <w:tc>
          <w:tcPr>
            <w:tcW w:w="141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90" w:name="xdx_492_20191231_zWVi0o42p1z8"/>
            <w:bookmarkEnd w:id="390"/>
          </w:p>
        </w:tc>
        <w:tc>
          <w:tcPr>
            <w:tcW w:w="1415"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110" w:type="dxa"/>
            <w:tcBorders/>
            <w:shd w:fill="auto" w:val="clear"/>
            <w:vAlign w:val="center"/>
          </w:tcPr>
          <w:p>
            <w:pPr>
              <w:pStyle w:val="TableContents"/>
              <w:spacing w:before="0" w:after="283"/>
              <w:rPr/>
            </w:pPr>
            <w:r>
              <w:rPr/>
              <w:t> </w:t>
            </w:r>
            <w:bookmarkStart w:id="391" w:name="xdx_400_ecustom--LineOfCreditIncludingCa"/>
            <w:bookmarkEnd w:id="391"/>
          </w:p>
        </w:tc>
      </w:tr>
      <w:tr>
        <w:trPr/>
        <w:tc>
          <w:tcPr>
            <w:tcW w:w="237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Line of Credit</w:t>
            </w:r>
          </w:p>
        </w:tc>
        <w:tc>
          <w:tcPr>
            <w:tcW w:w="6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8" w:type="dxa"/>
            <w:tcBorders/>
            <w:shd w:fill="CCEEFF" w:val="clear"/>
            <w:vAlign w:val="center"/>
          </w:tcPr>
          <w:p>
            <w:pPr>
              <w:pStyle w:val="TableContents"/>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3,661</w:t>
            </w:r>
          </w:p>
        </w:tc>
        <w:tc>
          <w:tcPr>
            <w:tcW w:w="110" w:type="dxa"/>
            <w:tcBorders/>
            <w:shd w:fill="CCEEFF" w:val="clear"/>
            <w:vAlign w:val="center"/>
          </w:tcPr>
          <w:p>
            <w:pPr>
              <w:pStyle w:val="TableContents"/>
              <w:spacing w:before="0" w:after="283"/>
              <w:jc w:val="left"/>
              <w:rPr/>
            </w:pPr>
            <w:r>
              <w:rPr/>
              <w:t> </w:t>
            </w:r>
            <w:bookmarkStart w:id="392" w:name="xdx_409_ecustom--CapitalizedFinanceCosts"/>
            <w:bookmarkEnd w:id="392"/>
          </w:p>
        </w:tc>
      </w:tr>
      <w:tr>
        <w:trPr/>
        <w:tc>
          <w:tcPr>
            <w:tcW w:w="23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Capitalized finance costs</w:t>
            </w:r>
          </w:p>
        </w:tc>
        <w:tc>
          <w:tcPr>
            <w:tcW w:w="60" w:type="dxa"/>
            <w:tcBorders/>
            <w:shd w:fill="FFFFFF" w:val="clear"/>
            <w:vAlign w:val="center"/>
          </w:tcPr>
          <w:p>
            <w:pPr>
              <w:pStyle w:val="TableContents"/>
              <w:spacing w:before="0" w:after="283"/>
              <w:rPr/>
            </w:pPr>
            <w:r>
              <w:rPr/>
              <w:t> </w:t>
            </w:r>
          </w:p>
        </w:tc>
        <w:tc>
          <w:tcPr>
            <w:tcW w:w="27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(484</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393" w:name="xdx_403_eus-gaap--LinesOfCreditCurrent_i"/>
            <w:bookmarkEnd w:id="393"/>
          </w:p>
        </w:tc>
      </w:tr>
      <w:tr>
        <w:trPr/>
        <w:tc>
          <w:tcPr>
            <w:tcW w:w="23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balance</w:t>
            </w:r>
          </w:p>
        </w:tc>
        <w:tc>
          <w:tcPr>
            <w:tcW w:w="60" w:type="dxa"/>
            <w:tcBorders/>
            <w:shd w:fill="CCEEFF" w:val="clear"/>
            <w:vAlign w:val="center"/>
          </w:tcPr>
          <w:p>
            <w:pPr>
              <w:pStyle w:val="TableContents"/>
              <w:spacing w:before="0" w:after="283"/>
              <w:rPr/>
            </w:pPr>
            <w:r>
              <w:rPr/>
              <w:t> </w:t>
            </w:r>
          </w:p>
        </w:tc>
        <w:tc>
          <w:tcPr>
            <w:tcW w:w="276"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3,177</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394" w:name="xdx_8A3_z1nQSLEhMrDd"/>
      <w:bookmarkEnd w:id="394"/>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2018, the Company entered into a financing agreement with Rosenthal &amp; Rosenthal, Inc. The financing agreement provides a maximum borrowing capacity of $</w:t>
      </w:r>
      <w:bookmarkStart w:id="395" w:name="xdx_901_eus-gaap--LineOfCreditFacilityMa"/>
      <w:bookmarkEnd w:id="395"/>
      <w:r>
        <w:rPr>
          <w:rFonts w:ascii="Times New Roman;Times;Serif" w:hAnsi="Times New Roman;Times;Serif"/>
          <w:b w:val="false"/>
          <w:i w:val="false"/>
          <w:caps w:val="false"/>
          <w:smallCaps w:val="false"/>
          <w:sz w:val="20"/>
        </w:rPr>
        <w:t>13,000. Borrowings are based on a formula of eligible accounts receivable and inventories (the “permitted borrowings”) plus advances (an “over-advance” of up to $</w:t>
      </w:r>
      <w:bookmarkStart w:id="396" w:name="xdx_908_ecustom--LineOfCreditFacilityExc"/>
      <w:bookmarkEnd w:id="396"/>
      <w:r>
        <w:rPr>
          <w:rFonts w:ascii="Times New Roman;Times;Serif" w:hAnsi="Times New Roman;Times;Serif"/>
          <w:b w:val="false"/>
          <w:i w:val="false"/>
          <w:caps w:val="false"/>
          <w:smallCaps w:val="false"/>
          <w:sz w:val="20"/>
        </w:rPr>
        <w:t>4,000) in excess of permitted borrowings. At December 31, 2020, the unused borrowing capacity under the financing agreement was $</w:t>
      </w:r>
      <w:bookmarkStart w:id="397" w:name="xdx_90F_eus-gaap--LineOfCreditFacilityRe"/>
      <w:bookmarkEnd w:id="397"/>
      <w:r>
        <w:rPr>
          <w:rFonts w:ascii="Times New Roman;Times;Serif" w:hAnsi="Times New Roman;Times;Serif"/>
          <w:b w:val="false"/>
          <w:i w:val="false"/>
          <w:caps w:val="false"/>
          <w:smallCaps w:val="false"/>
          <w:sz w:val="20"/>
        </w:rPr>
        <w:t xml:space="preserve">5,166. The line of credit matures on </w:t>
      </w:r>
      <w:bookmarkStart w:id="398" w:name="xdx_901_eus-gaap--LineOfCreditFacilityEx"/>
      <w:bookmarkEnd w:id="398"/>
      <w:r>
        <w:rPr>
          <w:rFonts w:ascii="Times New Roman;Times;Serif" w:hAnsi="Times New Roman;Times;Serif"/>
          <w:b w:val="false"/>
          <w:i w:val="false"/>
          <w:caps w:val="false"/>
          <w:smallCaps w:val="false"/>
          <w:sz w:val="20"/>
        </w:rPr>
        <w:t>March 30, 2021, with automatic yearly renewals thereafter until terminated.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Borrowings under the Rosenthal financing agreement bear interest at the greater of prime or </w:t>
      </w:r>
      <w:bookmarkStart w:id="399" w:name="xdx_908_eus-gaap--LineOfCreditFacilityIn"/>
      <w:bookmarkEnd w:id="399"/>
      <w:r>
        <w:rPr>
          <w:rFonts w:ascii="Times New Roman;Times;Serif" w:hAnsi="Times New Roman;Times;Serif"/>
          <w:b w:val="false"/>
          <w:i w:val="false"/>
          <w:caps w:val="false"/>
          <w:smallCaps w:val="false"/>
          <w:sz w:val="20"/>
        </w:rPr>
        <w:t xml:space="preserve">4.75%, plus an additional </w:t>
      </w:r>
      <w:bookmarkStart w:id="400" w:name="xdx_901_eus-gaap--LineOfCreditFacilityIn"/>
      <w:bookmarkEnd w:id="400"/>
      <w:r>
        <w:rPr>
          <w:rFonts w:ascii="Times New Roman;Times;Serif" w:hAnsi="Times New Roman;Times;Serif"/>
          <w:b w:val="false"/>
          <w:i w:val="false"/>
          <w:caps w:val="false"/>
          <w:smallCaps w:val="false"/>
          <w:sz w:val="20"/>
        </w:rPr>
        <w:t xml:space="preserve">2.0% to </w:t>
      </w:r>
      <w:bookmarkStart w:id="401" w:name="xdx_90C_eus-gaap--LineOfCreditFacilityIn"/>
      <w:bookmarkEnd w:id="401"/>
      <w:r>
        <w:rPr>
          <w:rFonts w:ascii="Times New Roman;Times;Serif" w:hAnsi="Times New Roman;Times;Serif"/>
          <w:b w:val="false"/>
          <w:i w:val="false"/>
          <w:caps w:val="false"/>
          <w:smallCaps w:val="false"/>
          <w:sz w:val="20"/>
        </w:rPr>
        <w:t>3.5% depending on whether the borrowing is based upon receivables, inventory or is an over-advance. Additionally, the line of credit is subject to monthly facility and administration fees, and aggregate minimum monthly fees (including interest) of $</w:t>
      </w:r>
      <w:bookmarkStart w:id="402" w:name="xdx_909_ecustom--MinimumMonthlyFees_c202"/>
      <w:bookmarkEnd w:id="402"/>
      <w:r>
        <w:rPr>
          <w:rFonts w:ascii="Times New Roman;Times;Serif" w:hAnsi="Times New Roman;Times;Serif"/>
          <w:b w:val="false"/>
          <w:i w:val="false"/>
          <w:caps w:val="false"/>
          <w:smallCaps w:val="false"/>
          <w:sz w:val="20"/>
        </w:rPr>
        <w:t>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line of credit is secured by substantially all of the assets, excluding intellectual property, of the Company. The over-advance is secured by all of Reed’s intellectual property collateral. Additionally, any over-advance is guaranteed by an irrevocable stand-by letter of credit in the amount of $</w:t>
      </w:r>
      <w:bookmarkStart w:id="403" w:name="xdx_90E_ecustom--LetterOfCredit_c2018100"/>
      <w:bookmarkEnd w:id="403"/>
      <w:r>
        <w:rPr>
          <w:rFonts w:ascii="Times New Roman;Times;Serif" w:hAnsi="Times New Roman;Times;Serif"/>
          <w:b w:val="false"/>
          <w:i w:val="false"/>
          <w:caps w:val="false"/>
          <w:smallCaps w:val="false"/>
          <w:sz w:val="20"/>
        </w:rPr>
        <w:t xml:space="preserve">1,500, issued by Daniel J. Doherty III and the Daniel J. Doherty, III 2002 Family Trust, affiliates of Raptor/Harbor Reeds SPV LLC (“Raptor”). As of December 31, 2020, Raptor beneficially owns </w:t>
      </w:r>
      <w:bookmarkStart w:id="404" w:name="xdx_90B_eus-gaap--MinorityInterestOwners"/>
      <w:bookmarkEnd w:id="404"/>
      <w:r>
        <w:rPr>
          <w:rFonts w:ascii="Times New Roman;Times;Serif" w:hAnsi="Times New Roman;Times;Serif"/>
          <w:b w:val="false"/>
          <w:i w:val="false"/>
          <w:caps w:val="false"/>
          <w:smallCaps w:val="false"/>
          <w:sz w:val="20"/>
        </w:rPr>
        <w:t>7.4% of the Company’s outstanding common stock. In the event of a default under the financing agreement, Raptor has a put option to purchase from Rosenthal the entire amount of any outstanding over-advance plus accrued interest, prior to Rosenthal declaring an event of default under the financing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agreement with Rosenthal includes customary restrictions that limit our ability to engage in certain types of transactions, including our ability to utilize tangible and intangible assets as collateral for other indebtedness. Additionally, the agreement contains a financial covenant that requires us to meet certain minimum working capital and tangible net worth thresholds as of the end of each quarter. We were in compliance with the terms of our agreement with Rosenthal as of December 31, 2020.</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F-13</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annually incurs an additional $</w:t>
      </w:r>
      <w:bookmarkStart w:id="405" w:name="xdx_905_eus-gaap--DebtInstrumentFeeAmoun"/>
      <w:bookmarkEnd w:id="405"/>
      <w:r>
        <w:rPr>
          <w:rFonts w:ascii="Times New Roman;Times;Serif" w:hAnsi="Times New Roman;Times;Serif"/>
          <w:b w:val="false"/>
          <w:i w:val="false"/>
          <w:caps w:val="false"/>
          <w:smallCaps w:val="false"/>
          <w:sz w:val="20"/>
        </w:rPr>
        <w:t xml:space="preserve">130 of fees from the bank, which is equal to </w:t>
      </w:r>
      <w:bookmarkStart w:id="406" w:name="xdx_907_ecustom--PercentageOfFeesOnBorro"/>
      <w:bookmarkEnd w:id="406"/>
      <w:r>
        <w:rPr>
          <w:rFonts w:ascii="Times New Roman;Times;Serif" w:hAnsi="Times New Roman;Times;Serif"/>
          <w:b w:val="false"/>
          <w:i w:val="false"/>
          <w:caps w:val="false"/>
          <w:smallCaps w:val="false"/>
          <w:sz w:val="20"/>
        </w:rPr>
        <w:t>1% of the $13,000 borrowing limit. These costs have been capitalized and recorded as a debt discount and are amortized over the remaining life of the Rosenthal agreement. Amortization of debt discount was $</w:t>
      </w:r>
      <w:bookmarkStart w:id="407" w:name="xdx_908_eus-gaap--AmortizationOfDebtDisc"/>
      <w:bookmarkEnd w:id="407"/>
      <w:r>
        <w:rPr>
          <w:rFonts w:ascii="Times New Roman;Times;Serif" w:hAnsi="Times New Roman;Times;Serif"/>
          <w:b w:val="false"/>
          <w:i w:val="false"/>
          <w:caps w:val="false"/>
          <w:smallCaps w:val="false"/>
          <w:sz w:val="20"/>
        </w:rPr>
        <w:t>452 and $</w:t>
      </w:r>
      <w:bookmarkStart w:id="408" w:name="xdx_909_eus-gaap--AmortizationOfDebtDisc"/>
      <w:bookmarkEnd w:id="408"/>
      <w:r>
        <w:rPr>
          <w:rFonts w:ascii="Times New Roman;Times;Serif" w:hAnsi="Times New Roman;Times;Serif"/>
          <w:b w:val="false"/>
          <w:i w:val="false"/>
          <w:caps w:val="false"/>
          <w:smallCaps w:val="false"/>
          <w:sz w:val="20"/>
        </w:rPr>
        <w:t>323 for the year ended December 31, 2020 and 2019, respectively. On December 31, 2020, the remaining unamortized debt discount of $</w:t>
      </w:r>
      <w:bookmarkStart w:id="409" w:name="xdx_908_eus-gaap--DebtInstrumentUnamorti"/>
      <w:bookmarkEnd w:id="409"/>
      <w:r>
        <w:rPr>
          <w:rFonts w:ascii="Times New Roman;Times;Serif" w:hAnsi="Times New Roman;Times;Serif"/>
          <w:b w:val="false"/>
          <w:i w:val="false"/>
          <w:caps w:val="false"/>
          <w:smallCaps w:val="false"/>
          <w:sz w:val="20"/>
        </w:rPr>
        <w:t>162 is included in prepaid expense and other current assets on the balance sheet.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10" w:name="xdx_80A_ecustom--ConvertibleNoteToARelat"/>
      <w:bookmarkEnd w:id="410"/>
      <w:r>
        <w:rPr>
          <w:rFonts w:ascii="Times New Roman;Times;Serif" w:hAnsi="Times New Roman;Times;Serif"/>
          <w:b/>
          <w:i w:val="false"/>
          <w:caps w:val="false"/>
          <w:smallCaps w:val="false"/>
          <w:sz w:val="20"/>
        </w:rPr>
        <w:t xml:space="preserve">7. </w:t>
      </w:r>
      <w:bookmarkStart w:id="411" w:name="xdx_829_zkxEFtNh7HXg"/>
      <w:bookmarkEnd w:id="411"/>
      <w:r>
        <w:rPr>
          <w:rFonts w:ascii="Times New Roman;Times;Serif" w:hAnsi="Times New Roman;Times;Serif"/>
          <w:b/>
          <w:i w:val="false"/>
          <w:caps w:val="false"/>
          <w:smallCaps w:val="false"/>
          <w:sz w:val="20"/>
        </w:rPr>
        <w:t>Convertible Note to a Related Party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12" w:name="xdx_896_eus-gaap--ConvertibleDebtTableTe"/>
      <w:bookmarkEnd w:id="412"/>
      <w:r>
        <w:rPr>
          <w:rFonts w:ascii="Times New Roman;Times;Serif" w:hAnsi="Times New Roman;Times;Serif"/>
          <w:b w:val="false"/>
          <w:i w:val="false"/>
          <w:caps w:val="false"/>
          <w:smallCaps w:val="false"/>
          <w:sz w:val="20"/>
        </w:rPr>
        <w:t>The Convertible Note to a Related Party consists of the following (in thousands):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13" w:name="xdx_8B8_z4GX1L9ZoS8a"/>
      <w:bookmarkEnd w:id="413"/>
      <w:r>
        <w:rPr>
          <w:rFonts w:ascii="Times New Roman;Times;Serif" w:hAnsi="Times New Roman;Times;Serif"/>
          <w:b w:val="false"/>
          <w:i w:val="false"/>
          <w:caps w:val="false"/>
          <w:smallCaps w:val="false"/>
          <w:sz w:val="20"/>
        </w:rPr>
        <w:t>Schedule of Convertible Notes</w:t>
      </w:r>
    </w:p>
    <w:tbl>
      <w:tblPr>
        <w:tblW w:w="6059" w:type="dxa"/>
        <w:jc w:val="left"/>
        <w:tblInd w:w="0" w:type="dxa"/>
        <w:tblCellMar>
          <w:top w:w="0" w:type="dxa"/>
          <w:left w:w="0" w:type="dxa"/>
          <w:bottom w:w="0" w:type="dxa"/>
          <w:right w:w="0" w:type="dxa"/>
        </w:tblCellMar>
      </w:tblPr>
      <w:tblGrid>
        <w:gridCol w:w="2975"/>
        <w:gridCol w:w="60"/>
        <w:gridCol w:w="301"/>
        <w:gridCol w:w="1113"/>
        <w:gridCol w:w="60"/>
        <w:gridCol w:w="60"/>
        <w:gridCol w:w="283"/>
        <w:gridCol w:w="1132"/>
        <w:gridCol w:w="75"/>
      </w:tblGrid>
      <w:tr>
        <w:trPr/>
        <w:tc>
          <w:tcPr>
            <w:tcW w:w="29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414" w:name="xdx_49E_20201231_ztJn7IAfccL3"/>
            <w:bookmarkEnd w:id="414"/>
          </w:p>
        </w:tc>
        <w:tc>
          <w:tcPr>
            <w:tcW w:w="141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415" w:name="xdx_49B_20191231_zOsk3oxu7rDc"/>
            <w:bookmarkEnd w:id="415"/>
          </w:p>
        </w:tc>
        <w:tc>
          <w:tcPr>
            <w:tcW w:w="1415"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December 31,</w:t>
            </w:r>
          </w:p>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75" w:type="dxa"/>
            <w:tcBorders/>
            <w:shd w:fill="auto" w:val="clear"/>
            <w:vAlign w:val="center"/>
          </w:tcPr>
          <w:p>
            <w:pPr>
              <w:pStyle w:val="TableContents"/>
              <w:spacing w:before="0" w:after="283"/>
              <w:rPr/>
            </w:pPr>
            <w:r>
              <w:rPr/>
              <w:t> </w:t>
            </w:r>
            <w:bookmarkStart w:id="416" w:name="xdx_406_eus-gaap--ConvertibleNotesPayabl"/>
            <w:bookmarkEnd w:id="416"/>
          </w:p>
        </w:tc>
      </w:tr>
      <w:tr>
        <w:trPr/>
        <w:tc>
          <w:tcPr>
            <w:tcW w:w="29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12% Convertible Note Payable</w:t>
            </w:r>
          </w:p>
        </w:tc>
        <w:tc>
          <w:tcPr>
            <w:tcW w:w="60" w:type="dxa"/>
            <w:tcBorders/>
            <w:shd w:fill="CCEEFF" w:val="clear"/>
            <w:vAlign w:val="center"/>
          </w:tcPr>
          <w:p>
            <w:pPr>
              <w:pStyle w:val="TableContents"/>
              <w:spacing w:before="0" w:after="283"/>
              <w:rPr/>
            </w:pPr>
            <w:r>
              <w:rPr/>
              <w:t> </w:t>
            </w:r>
          </w:p>
        </w:tc>
        <w:tc>
          <w:tcPr>
            <w:tcW w:w="30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13" w:type="dxa"/>
            <w:tcBorders/>
            <w:shd w:fill="CCEEFF" w:val="clear"/>
            <w:vAlign w:val="center"/>
          </w:tcPr>
          <w:p>
            <w:pPr>
              <w:pStyle w:val="TableContents"/>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3,400</w:t>
            </w:r>
          </w:p>
        </w:tc>
        <w:tc>
          <w:tcPr>
            <w:tcW w:w="75" w:type="dxa"/>
            <w:tcBorders/>
            <w:shd w:fill="CCEEFF" w:val="clear"/>
            <w:vAlign w:val="center"/>
          </w:tcPr>
          <w:p>
            <w:pPr>
              <w:pStyle w:val="TableContents"/>
              <w:spacing w:before="0" w:after="283"/>
              <w:jc w:val="left"/>
              <w:rPr/>
            </w:pPr>
            <w:r>
              <w:rPr/>
              <w:t> </w:t>
            </w:r>
            <w:bookmarkStart w:id="417" w:name="xdx_402_eus-gaap--InterestPayableCurrent"/>
            <w:bookmarkEnd w:id="417"/>
          </w:p>
        </w:tc>
      </w:tr>
      <w:tr>
        <w:trPr/>
        <w:tc>
          <w:tcPr>
            <w:tcW w:w="29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spacing w:before="0" w:after="283"/>
              <w:rPr/>
            </w:pPr>
            <w:r>
              <w:rPr/>
              <w:t> </w:t>
            </w:r>
          </w:p>
        </w:tc>
        <w:tc>
          <w:tcPr>
            <w:tcW w:w="30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1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1,289</w:t>
            </w:r>
          </w:p>
        </w:tc>
        <w:tc>
          <w:tcPr>
            <w:tcW w:w="75" w:type="dxa"/>
            <w:tcBorders/>
            <w:shd w:fill="FFFFFF" w:val="clear"/>
            <w:vAlign w:val="center"/>
          </w:tcPr>
          <w:p>
            <w:pPr>
              <w:pStyle w:val="TableContents"/>
              <w:spacing w:before="0" w:after="283"/>
              <w:jc w:val="left"/>
              <w:rPr/>
            </w:pPr>
            <w:r>
              <w:rPr/>
              <w:t> </w:t>
            </w:r>
            <w:bookmarkStart w:id="418" w:name="xdx_402_eus-gaap--ConvertibleDebt_iTI_pn"/>
            <w:bookmarkEnd w:id="418"/>
          </w:p>
        </w:tc>
      </w:tr>
      <w:tr>
        <w:trPr/>
        <w:tc>
          <w:tcPr>
            <w:tcW w:w="29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obligation</w:t>
            </w:r>
          </w:p>
        </w:tc>
        <w:tc>
          <w:tcPr>
            <w:tcW w:w="60" w:type="dxa"/>
            <w:tcBorders/>
            <w:shd w:fill="CCEEFF" w:val="clear"/>
            <w:vAlign w:val="center"/>
          </w:tcPr>
          <w:p>
            <w:pPr>
              <w:pStyle w:val="TableContents"/>
              <w:spacing w:before="0" w:after="283"/>
              <w:rPr/>
            </w:pPr>
            <w:r>
              <w:rPr/>
              <w:t> </w:t>
            </w:r>
          </w:p>
        </w:tc>
        <w:tc>
          <w:tcPr>
            <w:tcW w:w="30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1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4,689</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419" w:name="xdx_8AC_zZwkNFuUNQzk"/>
      <w:bookmarkEnd w:id="419"/>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2017, pursuant to a Securities Purchase Agreement, the Company issued a secured, convertible, subordinated, non-redeemable note in the principal amount of $</w:t>
      </w:r>
      <w:bookmarkStart w:id="420" w:name="xdx_900_eus-gaap--ConvertibleDebt_c20170"/>
      <w:bookmarkEnd w:id="420"/>
      <w:r>
        <w:rPr>
          <w:rFonts w:ascii="Times New Roman;Times;Serif" w:hAnsi="Times New Roman;Times;Serif"/>
          <w:b w:val="false"/>
          <w:i w:val="false"/>
          <w:caps w:val="false"/>
          <w:smallCaps w:val="false"/>
          <w:sz w:val="20"/>
        </w:rPr>
        <w:t xml:space="preserve">3,400 (the “Raptor Note”) and warrants to purchase </w:t>
      </w:r>
      <w:bookmarkStart w:id="421" w:name="xdx_900_eus-gaap--ClassOfWarrantOrRightN"/>
      <w:bookmarkEnd w:id="421"/>
      <w:r>
        <w:rPr>
          <w:rFonts w:ascii="Times New Roman;Times;Serif" w:hAnsi="Times New Roman;Times;Serif"/>
          <w:b w:val="false"/>
          <w:i w:val="false"/>
          <w:caps w:val="false"/>
          <w:smallCaps w:val="false"/>
          <w:sz w:val="20"/>
        </w:rPr>
        <w:t>1,416,667 shares of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Raptor Note bears interest at a rate of </w:t>
      </w:r>
      <w:bookmarkStart w:id="422" w:name="xdx_903_eus-gaap--DebtInstrumentInterest"/>
      <w:bookmarkEnd w:id="422"/>
      <w:r>
        <w:rPr>
          <w:rFonts w:ascii="Times New Roman;Times;Serif" w:hAnsi="Times New Roman;Times;Serif"/>
          <w:b w:val="false"/>
          <w:i w:val="false"/>
          <w:caps w:val="false"/>
          <w:smallCaps w:val="false"/>
          <w:sz w:val="20"/>
        </w:rPr>
        <w:t xml:space="preserve">12% per annum, compounded monthly. It is secured by the Company’s assets, subordinate to the first priority security interest of Rosenthal &amp; Rosenthal (see Note 6). The note may not be prepaid and matures on </w:t>
      </w:r>
      <w:bookmarkStart w:id="423" w:name="xdx_90C_eus-gaap--DebtInstrumentMaturity"/>
      <w:bookmarkEnd w:id="423"/>
      <w:r>
        <w:rPr>
          <w:rFonts w:ascii="Times New Roman;Times;Serif" w:hAnsi="Times New Roman;Times;Serif"/>
          <w:b w:val="false"/>
          <w:i w:val="false"/>
          <w:caps w:val="false"/>
          <w:smallCaps w:val="false"/>
          <w:sz w:val="20"/>
        </w:rPr>
        <w:t>April 21, 2021. It may be converted, at any time and from time to time, into shares of common stock of the Company, at a revised conversion price of $</w:t>
      </w:r>
      <w:bookmarkStart w:id="424" w:name="xdx_902_eus-gaap--DebtInstrumentConverti"/>
      <w:bookmarkEnd w:id="424"/>
      <w:r>
        <w:rPr>
          <w:rFonts w:ascii="Times New Roman;Times;Serif" w:hAnsi="Times New Roman;Times;Serif"/>
          <w:b w:val="false"/>
          <w:i w:val="false"/>
          <w:caps w:val="false"/>
          <w:smallCaps w:val="false"/>
          <w:sz w:val="20"/>
        </w:rPr>
        <w:t>1.50.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 will expire on </w:t>
      </w:r>
      <w:bookmarkStart w:id="425" w:name="xdx_903_eus-gaap--WarrantsAndRightsOutst"/>
      <w:bookmarkEnd w:id="425"/>
      <w:r>
        <w:rPr>
          <w:rFonts w:ascii="Times New Roman;Times;Serif" w:hAnsi="Times New Roman;Times;Serif"/>
          <w:b w:val="false"/>
          <w:i w:val="false"/>
          <w:caps w:val="false"/>
          <w:smallCaps w:val="false"/>
          <w:sz w:val="20"/>
        </w:rPr>
        <w:t>April 21, 2022 and has an adjusted exercise price of $</w:t>
      </w:r>
      <w:bookmarkStart w:id="426" w:name="xdx_906_eus-gaap--ClassOfWarrantOrRightE"/>
      <w:bookmarkEnd w:id="426"/>
      <w:r>
        <w:rPr>
          <w:rFonts w:ascii="Times New Roman;Times;Serif" w:hAnsi="Times New Roman;Times;Serif"/>
          <w:b w:val="false"/>
          <w:i w:val="false"/>
          <w:caps w:val="false"/>
          <w:smallCaps w:val="false"/>
          <w:sz w:val="20"/>
        </w:rPr>
        <w:t xml:space="preserve">1.50 per share. The note and warrant contain customary anti-dilution provisions, and the shares of common stock issuable upon conversion of the note and exercise of the warrant have been registered on Form S-3. The investor was also granted the right to participate in future financing transactions of the Company for a term of </w:t>
      </w:r>
      <w:bookmarkStart w:id="427" w:name="xdx_907_eus-gaap--DebtInstrumentTerm_dtY"/>
      <w:bookmarkEnd w:id="427"/>
      <w:r>
        <w:rPr>
          <w:rFonts w:ascii="Times New Roman;Times;Serif" w:hAnsi="Times New Roman;Times;Serif"/>
          <w:b w:val="false"/>
          <w:i w:val="false"/>
          <w:caps w:val="false"/>
          <w:smallCaps w:val="false"/>
          <w:sz w:val="20"/>
        </w:rPr>
        <w:t>two years.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11, 2020, the Company entered into a Satisfaction, Settlement and Release Agreement with Raptor satisfying all of its obligations to Raptor as its junior secured lender. In full satisfaction of the Raptor Note, including release of collateral, and termination of related junior lender documentation, the Company (a) paid Raptor $</w:t>
      </w:r>
      <w:bookmarkStart w:id="428" w:name="xdx_907_eus-gaap--RepaymentsOfConvertibl"/>
      <w:bookmarkEnd w:id="428"/>
      <w:r>
        <w:rPr>
          <w:rFonts w:ascii="Times New Roman;Times;Serif" w:hAnsi="Times New Roman;Times;Serif"/>
          <w:b w:val="false"/>
          <w:i w:val="false"/>
          <w:caps w:val="false"/>
          <w:smallCaps w:val="false"/>
          <w:sz w:val="20"/>
        </w:rPr>
        <w:t xml:space="preserve">4,250 in cash, (b) issued to Raptor a </w:t>
      </w:r>
      <w:bookmarkStart w:id="429" w:name="xdx_901_eus-gaap--WarrantsAndRightsOutst"/>
      <w:bookmarkEnd w:id="429"/>
      <w:r>
        <w:rPr>
          <w:rFonts w:ascii="Times New Roman;Times;Serif" w:hAnsi="Times New Roman;Times;Serif"/>
          <w:b w:val="false"/>
          <w:i w:val="false"/>
          <w:caps w:val="false"/>
          <w:smallCaps w:val="false"/>
          <w:sz w:val="20"/>
        </w:rPr>
        <w:t>5-year warrant with a fair value of $</w:t>
      </w:r>
      <w:bookmarkStart w:id="430" w:name="xdx_90E_eus-gaap--FairValueAdjustmentOfW"/>
      <w:bookmarkEnd w:id="430"/>
      <w:r>
        <w:rPr>
          <w:rFonts w:ascii="Times New Roman;Times;Serif" w:hAnsi="Times New Roman;Times;Serif"/>
          <w:b w:val="false"/>
          <w:i w:val="false"/>
          <w:caps w:val="false"/>
          <w:smallCaps w:val="false"/>
          <w:sz w:val="20"/>
        </w:rPr>
        <w:t xml:space="preserve">402 to purchase </w:t>
      </w:r>
      <w:bookmarkStart w:id="431" w:name="xdx_90B_eus-gaap--ClassOfWarrantOrRightN"/>
      <w:bookmarkEnd w:id="431"/>
      <w:r>
        <w:rPr>
          <w:rFonts w:ascii="Times New Roman;Times;Serif" w:hAnsi="Times New Roman;Times;Serif"/>
          <w:b w:val="false"/>
          <w:i w:val="false"/>
          <w:caps w:val="false"/>
          <w:smallCaps w:val="false"/>
          <w:sz w:val="20"/>
        </w:rPr>
        <w:t>1,000,000 shares of the Company common stock with an exercise price of $</w:t>
      </w:r>
      <w:bookmarkStart w:id="432" w:name="xdx_904_eus-gaap--ClassOfWarrantOrRightE"/>
      <w:bookmarkEnd w:id="432"/>
      <w:r>
        <w:rPr>
          <w:rFonts w:ascii="Times New Roman;Times;Serif" w:hAnsi="Times New Roman;Times;Serif"/>
          <w:b w:val="false"/>
          <w:i w:val="false"/>
          <w:caps w:val="false"/>
          <w:smallCaps w:val="false"/>
          <w:sz w:val="20"/>
        </w:rPr>
        <w:t xml:space="preserve">0.644 per share, and (c) issued to Raptor </w:t>
      </w:r>
      <w:bookmarkStart w:id="433" w:name="xdx_90A_eus-gaap--StockIssuedDuringPerio"/>
      <w:bookmarkEnd w:id="433"/>
      <w:r>
        <w:rPr>
          <w:rFonts w:ascii="Times New Roman;Times;Serif" w:hAnsi="Times New Roman;Times;Serif"/>
          <w:b w:val="false"/>
          <w:i w:val="false"/>
          <w:caps w:val="false"/>
          <w:smallCaps w:val="false"/>
          <w:sz w:val="20"/>
        </w:rPr>
        <w:t>1,339,286 shares of Common Stock with a fair value of $</w:t>
      </w:r>
      <w:bookmarkStart w:id="434" w:name="xdx_903_eus-gaap--StockIssuedDuringPerio"/>
      <w:bookmarkEnd w:id="434"/>
      <w:r>
        <w:rPr>
          <w:rFonts w:ascii="Times New Roman;Times;Serif" w:hAnsi="Times New Roman;Times;Serif"/>
          <w:b w:val="false"/>
          <w:i w:val="false"/>
          <w:caps w:val="false"/>
          <w:smallCaps w:val="false"/>
          <w:sz w:val="20"/>
        </w:rPr>
        <w:t>857 upon conversion of $</w:t>
      </w:r>
      <w:bookmarkStart w:id="435" w:name="xdx_90B_eus-gaap--ConversionOfStockAmoun"/>
      <w:bookmarkEnd w:id="435"/>
      <w:r>
        <w:rPr>
          <w:rFonts w:ascii="Times New Roman;Times;Serif" w:hAnsi="Times New Roman;Times;Serif"/>
          <w:b w:val="false"/>
          <w:i w:val="false"/>
          <w:caps w:val="false"/>
          <w:smallCaps w:val="false"/>
          <w:sz w:val="20"/>
        </w:rPr>
        <w:t>750 of the Raptor Note at a reduced per share conversion price of $</w:t>
      </w:r>
      <w:bookmarkStart w:id="436" w:name="xdx_90A_eus-gaap--DebtInstrumentConverti"/>
      <w:bookmarkEnd w:id="436"/>
      <w:r>
        <w:rPr>
          <w:rFonts w:ascii="Times New Roman;Times;Serif" w:hAnsi="Times New Roman;Times;Serif"/>
          <w:b w:val="false"/>
          <w:i w:val="false"/>
          <w:caps w:val="false"/>
          <w:smallCaps w:val="false"/>
          <w:sz w:val="20"/>
        </w:rPr>
        <w:t>0.56 per share. The aggregate amount of the cash paid, the fair value of the warrants issued, and the fair value of shares issued upon conversion of the Raptor Note was approximately $</w:t>
      </w:r>
      <w:bookmarkStart w:id="437" w:name="xdx_901_eus-gaap--ConvertibleDebt_c20201"/>
      <w:bookmarkEnd w:id="437"/>
      <w:r>
        <w:rPr>
          <w:rFonts w:ascii="Times New Roman;Times;Serif" w:hAnsi="Times New Roman;Times;Serif"/>
          <w:b w:val="false"/>
          <w:i w:val="false"/>
          <w:caps w:val="false"/>
          <w:smallCaps w:val="false"/>
          <w:sz w:val="20"/>
        </w:rPr>
        <w:t>5,509. The carrying amount of the balance of the Raptor note, including accrued interest, was approximately $</w:t>
      </w:r>
      <w:bookmarkStart w:id="438" w:name="xdx_909_eus-gaap--DebtInstrumentCarrying"/>
      <w:bookmarkEnd w:id="438"/>
      <w:r>
        <w:rPr>
          <w:rFonts w:ascii="Times New Roman;Times;Serif" w:hAnsi="Times New Roman;Times;Serif"/>
          <w:b w:val="false"/>
          <w:i w:val="false"/>
          <w:caps w:val="false"/>
          <w:smallCaps w:val="false"/>
          <w:sz w:val="20"/>
        </w:rPr>
        <w:t>5,247, resulting in a loss on extinguishment of debt of $</w:t>
      </w:r>
      <w:bookmarkStart w:id="439" w:name="xdx_900_eus-gaap--GainsLossesOnExtinguis"/>
      <w:bookmarkEnd w:id="439"/>
      <w:r>
        <w:rPr>
          <w:rFonts w:ascii="Times New Roman;Times;Serif" w:hAnsi="Times New Roman;Times;Serif"/>
          <w:b w:val="false"/>
          <w:i w:val="false"/>
          <w:caps w:val="false"/>
          <w:smallCaps w:val="false"/>
          <w:sz w:val="20"/>
        </w:rPr>
        <w:t>262 recorded on the statements of operations during the year ended December 31, 2020.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40" w:name="xdx_80A_eus-gaap--DebtDisclosureTextBloc"/>
      <w:bookmarkEnd w:id="440"/>
      <w:r>
        <w:rPr>
          <w:rFonts w:ascii="Times New Roman;Times;Serif" w:hAnsi="Times New Roman;Times;Serif"/>
          <w:b/>
          <w:i w:val="false"/>
          <w:caps w:val="false"/>
          <w:smallCaps w:val="false"/>
          <w:sz w:val="20"/>
        </w:rPr>
        <w:t xml:space="preserve">8. </w:t>
      </w:r>
      <w:bookmarkStart w:id="441" w:name="xdx_828_zlsV7owpWiL6"/>
      <w:bookmarkEnd w:id="441"/>
      <w:r>
        <w:rPr>
          <w:rFonts w:ascii="Times New Roman;Times;Serif" w:hAnsi="Times New Roman;Times;Serif"/>
          <w:b/>
          <w:i w:val="false"/>
          <w:caps w:val="false"/>
          <w:smallCaps w:val="false"/>
          <w:sz w:val="20"/>
        </w:rPr>
        <w:t>Note Payable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2020, the Company was granted a loan (the “PPP loan”) from City National Bank in the aggregate amount of $</w:t>
      </w:r>
      <w:bookmarkStart w:id="442" w:name="xdx_90C_eus-gaap--DebtInstrumentFaceAmou"/>
      <w:bookmarkEnd w:id="442"/>
      <w:r>
        <w:rPr>
          <w:rFonts w:ascii="Times New Roman;Times;Serif" w:hAnsi="Times New Roman;Times;Serif"/>
          <w:b w:val="false"/>
          <w:i w:val="false"/>
          <w:caps w:val="false"/>
          <w:smallCaps w:val="false"/>
          <w:sz w:val="20"/>
        </w:rPr>
        <w:t>770, pursuant to the Paycheck Protection Program (the “PPP”) under the CARES Act. At December 31, 2020, the note payable balance was $</w:t>
      </w:r>
      <w:bookmarkStart w:id="443" w:name="xdx_90C_eus-gaap--NotesPayable_c20201231"/>
      <w:bookmarkEnd w:id="443"/>
      <w:r>
        <w:rPr>
          <w:rFonts w:ascii="Times New Roman;Times;Serif" w:hAnsi="Times New Roman;Times;Serif"/>
          <w:b w:val="false"/>
          <w:i w:val="false"/>
          <w:caps w:val="false"/>
          <w:smallCaps w:val="false"/>
          <w:sz w:val="20"/>
        </w:rPr>
        <w:t>770, of which $</w:t>
      </w:r>
      <w:bookmarkStart w:id="444" w:name="xdx_90B_eus-gaap--NotesPayableCurrent_c2"/>
      <w:bookmarkEnd w:id="444"/>
      <w:r>
        <w:rPr>
          <w:rFonts w:ascii="Times New Roman;Times;Serif" w:hAnsi="Times New Roman;Times;Serif"/>
          <w:b w:val="false"/>
          <w:i w:val="false"/>
          <w:caps w:val="false"/>
          <w:smallCaps w:val="false"/>
          <w:sz w:val="20"/>
        </w:rPr>
        <w:t>599 was reflected as the current portion of note payable.</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PPP loan agreement is dated April 20, 2020, matures on </w:t>
      </w:r>
      <w:bookmarkStart w:id="445" w:name="xdx_908_eus-gaap--DebtInstrumentMaturity"/>
      <w:bookmarkEnd w:id="445"/>
      <w:r>
        <w:rPr>
          <w:rFonts w:ascii="Times New Roman;Times;Serif" w:hAnsi="Times New Roman;Times;Serif"/>
          <w:b w:val="false"/>
          <w:i w:val="false"/>
          <w:caps w:val="false"/>
          <w:smallCaps w:val="false"/>
          <w:sz w:val="20"/>
        </w:rPr>
        <w:t xml:space="preserve">April 20, 2022, bears interest at a rate of </w:t>
      </w:r>
      <w:bookmarkStart w:id="446" w:name="xdx_906_eus-gaap--DebtInstrumentInterest"/>
      <w:bookmarkEnd w:id="446"/>
      <w:r>
        <w:rPr>
          <w:rFonts w:ascii="Times New Roman;Times;Serif" w:hAnsi="Times New Roman;Times;Serif"/>
          <w:b w:val="false"/>
          <w:i w:val="false"/>
          <w:caps w:val="false"/>
          <w:smallCaps w:val="false"/>
          <w:sz w:val="20"/>
        </w:rPr>
        <w:t xml:space="preserve">1% per annum, with the first six months of interest deferred, is payable monthly commencing on November 2020, and is unsecured and guaranteed by the U.S. Small Business Administration. We applied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to account for the PPP loan. Funds from the PPP loan may only be used for qualifying expenses as described in the CARES Act, including qualifying payroll costs, qualifying group health care benefits, qualifying rent and debt obligations, and qualifying utilities. The Company believes it used the entire loan amount for qualifying expenses. Under the terms of the PPP, certain amounts of the loan may be forgiven if they are used for qualifying expenses. The Company was in compliance with the terms of the PPP loan as of December 31, 2020.</w:t>
      </w:r>
    </w:p>
    <w:p>
      <w:pPr>
        <w:pStyle w:val="TextBody"/>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F-14</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outlined in the PPP loan program are adhered to by the Company, all or part of such loan could be forgiven. The Company believes that all or a substantial portion of the PPP loan is eligible for forgiveness. The Company applied for full forgiveness of the PPP loan on March 17, 2021. As for the potential loan forgiveness, once the PPP loan is, in part or wholly, forgiven and a legal release is received, the liability would be reduced by the amount forgiven and a gain on extinguishment would be recorded. However, the Company cannot provide any assurance whether the PPP loan will ultimately be forgiven by the SBA.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47" w:name="xdx_80B_eus-gaap--LeasesOfLesseeDisclosu"/>
      <w:bookmarkEnd w:id="447"/>
      <w:r>
        <w:rPr>
          <w:rFonts w:ascii="Times New Roman;Times;Serif" w:hAnsi="Times New Roman;Times;Serif"/>
          <w:b/>
          <w:i w:val="false"/>
          <w:caps w:val="false"/>
          <w:smallCaps w:val="false"/>
          <w:sz w:val="20"/>
        </w:rPr>
        <w:t xml:space="preserve">9. </w:t>
      </w:r>
      <w:bookmarkStart w:id="448" w:name="xdx_829_zMNl2Pcv0rMg"/>
      <w:bookmarkEnd w:id="448"/>
      <w:r>
        <w:rPr>
          <w:rFonts w:ascii="Times New Roman;Times;Serif" w:hAnsi="Times New Roman;Times;Serif"/>
          <w:b/>
          <w:i w:val="false"/>
          <w:caps w:val="false"/>
          <w:smallCaps w:val="false"/>
          <w:sz w:val="20"/>
        </w:rPr>
        <w:t>Leases Liabilities</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w:t>
      </w:r>
      <w:r>
        <w:rPr>
          <w:rFonts w:ascii="Times New Roman;Times;Serif" w:hAnsi="Times New Roman;Times;Serif"/>
          <w:b w:val="false"/>
          <w:i w:val="false"/>
          <w:caps w:val="false"/>
          <w:smallCaps w:val="false"/>
          <w:color w:val="222222"/>
          <w:sz w:val="20"/>
          <w:highlight w:val="white"/>
        </w:rPr>
        <w:t xml:space="preserve">The Company leases its headquarters </w:t>
      </w:r>
      <w:r>
        <w:rPr>
          <w:rFonts w:ascii="Times New Roman;Times;Serif" w:hAnsi="Times New Roman;Times;Serif"/>
          <w:b w:val="false"/>
          <w:i w:val="false"/>
          <w:caps w:val="false"/>
          <w:smallCaps w:val="false"/>
          <w:sz w:val="20"/>
        </w:rPr>
        <w:t>office</w:t>
      </w:r>
      <w:r>
        <w:rPr>
          <w:rFonts w:ascii="Times New Roman;Times;Serif" w:hAnsi="Times New Roman;Times;Serif"/>
          <w:b w:val="false"/>
          <w:i w:val="false"/>
          <w:caps w:val="false"/>
          <w:smallCaps w:val="false"/>
          <w:color w:val="222222"/>
          <w:sz w:val="20"/>
          <w:highlight w:val="white"/>
        </w:rPr>
        <w:t>, and certain office equipment and automobiles. Leases with an initial term of 12 months or less are not included on the balance sheets.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2020 and 2019, lease costs totaled $</w:t>
      </w:r>
      <w:bookmarkStart w:id="449" w:name="xdx_900_eus-gaap--OperatingLeaseExpense_"/>
      <w:bookmarkEnd w:id="449"/>
      <w:r>
        <w:rPr>
          <w:rFonts w:ascii="Times New Roman;Times;Serif" w:hAnsi="Times New Roman;Times;Serif"/>
          <w:b w:val="false"/>
          <w:i w:val="false"/>
          <w:caps w:val="false"/>
          <w:smallCaps w:val="false"/>
          <w:sz w:val="20"/>
        </w:rPr>
        <w:t>181 and $</w:t>
      </w:r>
      <w:bookmarkStart w:id="450" w:name="xdx_90F_eus-gaap--OperatingLeaseExpense_"/>
      <w:bookmarkEnd w:id="450"/>
      <w:r>
        <w:rPr>
          <w:rFonts w:ascii="Times New Roman;Times;Serif" w:hAnsi="Times New Roman;Times;Serif"/>
          <w:b w:val="false"/>
          <w:i w:val="false"/>
          <w:caps w:val="false"/>
          <w:smallCaps w:val="false"/>
          <w:sz w:val="20"/>
        </w:rPr>
        <w:t>181,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2018, lease liabilities totaled $</w:t>
      </w:r>
      <w:bookmarkStart w:id="451" w:name="xdx_90D_ecustom--LeaseLiabilities_c20181"/>
      <w:bookmarkEnd w:id="451"/>
      <w:r>
        <w:rPr>
          <w:rFonts w:ascii="Times New Roman;Times;Serif" w:hAnsi="Times New Roman;Times;Serif"/>
          <w:b w:val="false"/>
          <w:i w:val="false"/>
          <w:caps w:val="false"/>
          <w:smallCaps w:val="false"/>
          <w:sz w:val="20"/>
        </w:rPr>
        <w:t>852, made up of finance leases liabilities of $</w:t>
      </w:r>
      <w:bookmarkStart w:id="452" w:name="xdx_90E_eus-gaap--FinanceLeaseLiability_"/>
      <w:bookmarkEnd w:id="452"/>
      <w:r>
        <w:rPr>
          <w:rFonts w:ascii="Times New Roman;Times;Serif" w:hAnsi="Times New Roman;Times;Serif"/>
          <w:b w:val="false"/>
          <w:i w:val="false"/>
          <w:caps w:val="false"/>
          <w:smallCaps w:val="false"/>
          <w:sz w:val="20"/>
        </w:rPr>
        <w:t>133 and operating lease liabilities of $</w:t>
      </w:r>
      <w:bookmarkStart w:id="453" w:name="xdx_901_eus-gaap--OperatingLeaseLiabilit"/>
      <w:bookmarkEnd w:id="453"/>
      <w:r>
        <w:rPr>
          <w:rFonts w:ascii="Times New Roman;Times;Serif" w:hAnsi="Times New Roman;Times;Serif"/>
          <w:b w:val="false"/>
          <w:i w:val="false"/>
          <w:caps w:val="false"/>
          <w:smallCaps w:val="false"/>
          <w:sz w:val="20"/>
        </w:rPr>
        <w:t>719. During the year ended December 31, 2019, the Company made payments of $</w:t>
      </w:r>
      <w:bookmarkStart w:id="454" w:name="xdx_90A_eus-gaap--FinanceLeasePrincipalP"/>
      <w:bookmarkEnd w:id="454"/>
      <w:r>
        <w:rPr>
          <w:rFonts w:ascii="Times New Roman;Times;Serif" w:hAnsi="Times New Roman;Times;Serif"/>
          <w:b w:val="false"/>
          <w:i w:val="false"/>
          <w:caps w:val="false"/>
          <w:smallCaps w:val="false"/>
          <w:sz w:val="20"/>
        </w:rPr>
        <w:t>44 towards its finance lease liability and $</w:t>
      </w:r>
      <w:bookmarkStart w:id="455" w:name="xdx_907_eus-gaap--OperatingLeaseCost_pn3"/>
      <w:bookmarkEnd w:id="455"/>
      <w:r>
        <w:rPr>
          <w:rFonts w:ascii="Times New Roman;Times;Serif" w:hAnsi="Times New Roman;Times;Serif"/>
          <w:b w:val="false"/>
          <w:i w:val="false"/>
          <w:caps w:val="false"/>
          <w:smallCaps w:val="false"/>
          <w:sz w:val="20"/>
        </w:rPr>
        <w:t>22 towards its operating lease liability. As of December 31, 2019, the Company’s lease liabilities totaled $</w:t>
      </w:r>
      <w:bookmarkStart w:id="456" w:name="xdx_90E_ecustom--LeaseLiabilities_c20191"/>
      <w:bookmarkEnd w:id="456"/>
      <w:r>
        <w:rPr>
          <w:rFonts w:ascii="Times New Roman;Times;Serif" w:hAnsi="Times New Roman;Times;Serif"/>
          <w:b w:val="false"/>
          <w:i w:val="false"/>
          <w:caps w:val="false"/>
          <w:smallCaps w:val="false"/>
          <w:sz w:val="20"/>
        </w:rPr>
        <w:t>786, made up of finance lease liabilities of $</w:t>
      </w:r>
      <w:bookmarkStart w:id="457" w:name="xdx_90F_eus-gaap--FinanceLeaseLiability_"/>
      <w:bookmarkEnd w:id="457"/>
      <w:r>
        <w:rPr>
          <w:rFonts w:ascii="Times New Roman;Times;Serif" w:hAnsi="Times New Roman;Times;Serif"/>
          <w:b w:val="false"/>
          <w:i w:val="false"/>
          <w:caps w:val="false"/>
          <w:smallCaps w:val="false"/>
          <w:sz w:val="20"/>
        </w:rPr>
        <w:t>89 and operating lease liabilities of $</w:t>
      </w:r>
      <w:bookmarkStart w:id="458" w:name="xdx_902_eus-gaap--OperatingLeaseLiabilit"/>
      <w:bookmarkEnd w:id="458"/>
      <w:r>
        <w:rPr>
          <w:rFonts w:ascii="Times New Roman;Times;Serif" w:hAnsi="Times New Roman;Times;Serif"/>
          <w:b w:val="false"/>
          <w:i w:val="false"/>
          <w:caps w:val="false"/>
          <w:smallCaps w:val="false"/>
          <w:sz w:val="20"/>
        </w:rPr>
        <w:t>697. During the year ended December 31, 2020, the Company terminated $</w:t>
      </w:r>
      <w:bookmarkStart w:id="459" w:name="xdx_90E_ecustom--FinanceLeaseTerminated_"/>
      <w:bookmarkEnd w:id="459"/>
      <w:r>
        <w:rPr>
          <w:rFonts w:ascii="Times New Roman;Times;Serif" w:hAnsi="Times New Roman;Times;Serif"/>
          <w:b w:val="false"/>
          <w:i w:val="false"/>
          <w:caps w:val="false"/>
          <w:smallCaps w:val="false"/>
          <w:sz w:val="20"/>
        </w:rPr>
        <w:t>51 of finance leases, and made payments of $</w:t>
      </w:r>
      <w:bookmarkStart w:id="460" w:name="xdx_909_eus-gaap--FinanceLeasePrincipalP"/>
      <w:bookmarkEnd w:id="460"/>
      <w:r>
        <w:rPr>
          <w:rFonts w:ascii="Times New Roman;Times;Serif" w:hAnsi="Times New Roman;Times;Serif"/>
          <w:b w:val="false"/>
          <w:i w:val="false"/>
          <w:caps w:val="false"/>
          <w:smallCaps w:val="false"/>
          <w:sz w:val="20"/>
        </w:rPr>
        <w:t>22 towards its finance lease liability and $</w:t>
      </w:r>
      <w:bookmarkStart w:id="461" w:name="xdx_906_eus-gaap--OperatingLeasePayments"/>
      <w:bookmarkEnd w:id="461"/>
      <w:r>
        <w:rPr>
          <w:rFonts w:ascii="Times New Roman;Times;Serif" w:hAnsi="Times New Roman;Times;Serif"/>
          <w:b w:val="false"/>
          <w:i w:val="false"/>
          <w:caps w:val="false"/>
          <w:smallCaps w:val="false"/>
          <w:sz w:val="20"/>
        </w:rPr>
        <w:t>28 towards its operating lease liability. As of December 31, 2020, lease liabilities totaled $</w:t>
      </w:r>
      <w:bookmarkStart w:id="462" w:name="xdx_906_ecustom--LeaseLiabilities_c20201"/>
      <w:bookmarkEnd w:id="462"/>
      <w:r>
        <w:rPr>
          <w:rFonts w:ascii="Times New Roman;Times;Serif" w:hAnsi="Times New Roman;Times;Serif"/>
          <w:b w:val="false"/>
          <w:i w:val="false"/>
          <w:caps w:val="false"/>
          <w:smallCaps w:val="false"/>
          <w:sz w:val="20"/>
        </w:rPr>
        <w:t>685, made up of finance lease liabilities of $</w:t>
      </w:r>
      <w:bookmarkStart w:id="463" w:name="xdx_907_eus-gaap--FinanceLeaseLiability_"/>
      <w:bookmarkEnd w:id="463"/>
      <w:r>
        <w:rPr>
          <w:rFonts w:ascii="Times New Roman;Times;Serif" w:hAnsi="Times New Roman;Times;Serif"/>
          <w:b w:val="false"/>
          <w:i w:val="false"/>
          <w:caps w:val="false"/>
          <w:smallCaps w:val="false"/>
          <w:sz w:val="20"/>
        </w:rPr>
        <w:t>16 and operating lease liabilities of $</w:t>
      </w:r>
      <w:bookmarkStart w:id="464" w:name="xdx_90B_eus-gaap--OperatingLeaseLiabilit"/>
      <w:bookmarkEnd w:id="464"/>
      <w:r>
        <w:rPr>
          <w:rFonts w:ascii="Times New Roman;Times;Serif" w:hAnsi="Times New Roman;Times;Serif"/>
          <w:b w:val="false"/>
          <w:i w:val="false"/>
          <w:caps w:val="false"/>
          <w:smallCaps w:val="false"/>
          <w:sz w:val="20"/>
        </w:rPr>
        <w:t>669.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2020, the weighted average remaining lease terms for operating lease and finance lease are </w:t>
      </w:r>
      <w:bookmarkStart w:id="465" w:name="xdx_909_eus-gaap--OperatingLeaseWeighted"/>
      <w:bookmarkEnd w:id="465"/>
      <w:r>
        <w:rPr>
          <w:rFonts w:ascii="Times New Roman;Times;Serif" w:hAnsi="Times New Roman;Times;Serif"/>
          <w:b w:val="false"/>
          <w:i w:val="false"/>
          <w:caps w:val="false"/>
          <w:smallCaps w:val="false"/>
          <w:sz w:val="20"/>
        </w:rPr>
        <w:t xml:space="preserve">4.00 years and </w:t>
      </w:r>
      <w:bookmarkStart w:id="466" w:name="xdx_903_eus-gaap--FinanceLeaseWeightedAv"/>
      <w:bookmarkEnd w:id="466"/>
      <w:r>
        <w:rPr>
          <w:rFonts w:ascii="Times New Roman;Times;Serif" w:hAnsi="Times New Roman;Times;Serif"/>
          <w:b w:val="false"/>
          <w:i w:val="false"/>
          <w:caps w:val="false"/>
          <w:smallCaps w:val="false"/>
          <w:sz w:val="20"/>
        </w:rPr>
        <w:t xml:space="preserve">0.28 years, respectively. As of December 31, 2020, the weighted average discount rate for operating lease is </w:t>
      </w:r>
      <w:bookmarkStart w:id="467" w:name="xdx_90D_eus-gaap--OperatingLeaseWeighted"/>
      <w:bookmarkEnd w:id="467"/>
      <w:r>
        <w:rPr>
          <w:rFonts w:ascii="Times New Roman;Times;Serif" w:hAnsi="Times New Roman;Times;Serif"/>
          <w:b w:val="false"/>
          <w:i w:val="false"/>
          <w:caps w:val="false"/>
          <w:smallCaps w:val="false"/>
          <w:sz w:val="20"/>
        </w:rPr>
        <w:t xml:space="preserve">12.60% and </w:t>
      </w:r>
      <w:bookmarkStart w:id="468" w:name="xdx_907_eus-gaap--FinanceLeaseWeightedAv"/>
      <w:bookmarkEnd w:id="468"/>
      <w:r>
        <w:rPr>
          <w:rFonts w:ascii="Times New Roman;Times;Serif" w:hAnsi="Times New Roman;Times;Serif"/>
          <w:b w:val="false"/>
          <w:i w:val="false"/>
          <w:caps w:val="false"/>
          <w:smallCaps w:val="false"/>
          <w:sz w:val="20"/>
        </w:rPr>
        <w:t>6.03% for finance lease.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69" w:name="xdx_896_ecustom--LesseeFinanceLeaseAndOp"/>
      <w:bookmarkEnd w:id="469"/>
      <w:r>
        <w:rPr>
          <w:rFonts w:ascii="Times New Roman;Times;Serif" w:hAnsi="Times New Roman;Times;Serif"/>
          <w:b w:val="false"/>
          <w:i w:val="false"/>
          <w:caps w:val="false"/>
          <w:smallCaps w:val="false"/>
          <w:sz w:val="20"/>
        </w:rPr>
        <w:t>Future minimum lease payments under the leases are as follows (in thousands):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70" w:name="xdx_8BC_zoMje9rAjW6l"/>
      <w:bookmarkEnd w:id="470"/>
      <w:r>
        <w:rPr>
          <w:rFonts w:ascii="Times New Roman;Times;Serif" w:hAnsi="Times New Roman;Times;Serif"/>
          <w:b w:val="false"/>
          <w:i w:val="false"/>
          <w:caps w:val="false"/>
          <w:smallCaps w:val="false"/>
          <w:sz w:val="20"/>
        </w:rPr>
        <w:t>Schedule of Future Minimum Lease Payments Under Leases</w:t>
      </w:r>
    </w:p>
    <w:tbl>
      <w:tblPr>
        <w:tblW w:w="5960" w:type="dxa"/>
        <w:jc w:val="left"/>
        <w:tblInd w:w="0" w:type="dxa"/>
        <w:tblCellMar>
          <w:top w:w="0" w:type="dxa"/>
          <w:left w:w="0" w:type="dxa"/>
          <w:bottom w:w="0" w:type="dxa"/>
          <w:right w:w="0" w:type="dxa"/>
        </w:tblCellMar>
      </w:tblPr>
      <w:tblGrid>
        <w:gridCol w:w="4340"/>
        <w:gridCol w:w="60"/>
        <w:gridCol w:w="140"/>
        <w:gridCol w:w="1310"/>
        <w:gridCol w:w="110"/>
      </w:tblGrid>
      <w:tr>
        <w:trPr/>
        <w:tc>
          <w:tcPr>
            <w:tcW w:w="434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bookmarkStart w:id="471" w:name="xdx_49A_20201231_z13SADwey3B4"/>
            <w:bookmarkEnd w:id="471"/>
          </w:p>
        </w:tc>
        <w:tc>
          <w:tcPr>
            <w:tcW w:w="13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Dec 31, 2020</w:t>
            </w:r>
          </w:p>
        </w:tc>
        <w:tc>
          <w:tcPr>
            <w:tcW w:w="110" w:type="dxa"/>
            <w:tcBorders/>
            <w:shd w:fill="CCEEFF" w:val="clear"/>
            <w:vAlign w:val="center"/>
          </w:tcPr>
          <w:p>
            <w:pPr>
              <w:pStyle w:val="TableContents"/>
              <w:spacing w:before="0" w:after="283"/>
              <w:jc w:val="left"/>
              <w:rPr/>
            </w:pPr>
            <w:r>
              <w:rPr/>
              <w:t> </w:t>
            </w:r>
          </w:p>
        </w:tc>
      </w:tr>
      <w:tr>
        <w:trPr/>
        <w:tc>
          <w:tcPr>
            <w:tcW w:w="434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Years Ending December 31,</w:t>
            </w:r>
          </w:p>
        </w:tc>
        <w:tc>
          <w:tcPr>
            <w:tcW w:w="60" w:type="dxa"/>
            <w:tcBorders/>
            <w:shd w:fill="CCEEFF" w:val="clear"/>
            <w:vAlign w:val="center"/>
          </w:tcPr>
          <w:p>
            <w:pPr>
              <w:pStyle w:val="TableContents"/>
              <w:spacing w:before="0" w:after="283"/>
              <w:rPr/>
            </w:pPr>
            <w:r>
              <w:rPr/>
              <w:t> </w:t>
            </w:r>
          </w:p>
        </w:tc>
        <w:tc>
          <w:tcPr>
            <w:tcW w:w="1450" w:type="dxa"/>
            <w:gridSpan w:val="2"/>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bookmarkStart w:id="472" w:name="xdx_40F_eus-gaap--FinanceLeaseLiabilityP"/>
            <w:bookmarkEnd w:id="472"/>
          </w:p>
        </w:tc>
      </w:tr>
      <w:tr>
        <w:trPr/>
        <w:tc>
          <w:tcPr>
            <w:tcW w:w="43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2021</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31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209</w:t>
            </w:r>
          </w:p>
        </w:tc>
        <w:tc>
          <w:tcPr>
            <w:tcW w:w="110" w:type="dxa"/>
            <w:tcBorders/>
            <w:shd w:fill="FFFFFF" w:val="clear"/>
            <w:vAlign w:val="center"/>
          </w:tcPr>
          <w:p>
            <w:pPr>
              <w:pStyle w:val="TableContents"/>
              <w:spacing w:before="0" w:after="283"/>
              <w:jc w:val="left"/>
              <w:rPr/>
            </w:pPr>
            <w:r>
              <w:rPr/>
              <w:t> </w:t>
            </w:r>
            <w:bookmarkStart w:id="473" w:name="xdx_40A_eus-gaap--FinanceLeaseLiabilityP"/>
            <w:bookmarkEnd w:id="473"/>
          </w:p>
        </w:tc>
      </w:tr>
      <w:tr>
        <w:trPr/>
        <w:tc>
          <w:tcPr>
            <w:tcW w:w="43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3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222</w:t>
            </w:r>
          </w:p>
        </w:tc>
        <w:tc>
          <w:tcPr>
            <w:tcW w:w="110" w:type="dxa"/>
            <w:tcBorders/>
            <w:shd w:fill="CCEEFF" w:val="clear"/>
            <w:vAlign w:val="center"/>
          </w:tcPr>
          <w:p>
            <w:pPr>
              <w:pStyle w:val="TableContents"/>
              <w:spacing w:before="0" w:after="283"/>
              <w:jc w:val="left"/>
              <w:rPr/>
            </w:pPr>
            <w:r>
              <w:rPr/>
              <w:t> </w:t>
            </w:r>
            <w:bookmarkStart w:id="474" w:name="xdx_40C_eus-gaap--FinanceLeaseLiabilityP"/>
            <w:bookmarkEnd w:id="474"/>
          </w:p>
        </w:tc>
      </w:tr>
      <w:tr>
        <w:trPr/>
        <w:tc>
          <w:tcPr>
            <w:tcW w:w="43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2023</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31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226</w:t>
            </w:r>
          </w:p>
        </w:tc>
        <w:tc>
          <w:tcPr>
            <w:tcW w:w="110" w:type="dxa"/>
            <w:tcBorders/>
            <w:shd w:fill="FFFFFF" w:val="clear"/>
            <w:vAlign w:val="center"/>
          </w:tcPr>
          <w:p>
            <w:pPr>
              <w:pStyle w:val="TableContents"/>
              <w:spacing w:before="0" w:after="283"/>
              <w:jc w:val="left"/>
              <w:rPr/>
            </w:pPr>
            <w:r>
              <w:rPr/>
              <w:t> </w:t>
            </w:r>
            <w:bookmarkStart w:id="475" w:name="xdx_40D_eus-gaap--FinanceLeaseLiabilityP"/>
            <w:bookmarkEnd w:id="475"/>
          </w:p>
        </w:tc>
      </w:tr>
      <w:tr>
        <w:trPr/>
        <w:tc>
          <w:tcPr>
            <w:tcW w:w="43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2024</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3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221</w:t>
            </w:r>
          </w:p>
        </w:tc>
        <w:tc>
          <w:tcPr>
            <w:tcW w:w="110" w:type="dxa"/>
            <w:tcBorders/>
            <w:shd w:fill="CCEEFF" w:val="clear"/>
            <w:vAlign w:val="center"/>
          </w:tcPr>
          <w:p>
            <w:pPr>
              <w:pStyle w:val="TableContents"/>
              <w:spacing w:before="0" w:after="283"/>
              <w:jc w:val="left"/>
              <w:rPr/>
            </w:pPr>
            <w:r>
              <w:rPr/>
              <w:t> </w:t>
            </w:r>
            <w:bookmarkStart w:id="476" w:name="xdx_407_eus-gaap--FinanceLeaseLiabilityP"/>
            <w:bookmarkEnd w:id="476"/>
          </w:p>
        </w:tc>
      </w:tr>
      <w:tr>
        <w:trPr/>
        <w:tc>
          <w:tcPr>
            <w:tcW w:w="43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pPr>
            <w:r>
              <w:rPr/>
              <w:t> </w:t>
            </w:r>
            <w:bookmarkStart w:id="477" w:name="xdx_408_eus-gaap--FinanceLeaseLiabilityP"/>
            <w:bookmarkEnd w:id="477"/>
          </w:p>
        </w:tc>
      </w:tr>
      <w:tr>
        <w:trPr/>
        <w:tc>
          <w:tcPr>
            <w:tcW w:w="43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payments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3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878</w:t>
            </w:r>
          </w:p>
        </w:tc>
        <w:tc>
          <w:tcPr>
            <w:tcW w:w="110" w:type="dxa"/>
            <w:tcBorders/>
            <w:shd w:fill="CCEEFF" w:val="clear"/>
            <w:vAlign w:val="center"/>
          </w:tcPr>
          <w:p>
            <w:pPr>
              <w:pStyle w:val="TableContents"/>
              <w:spacing w:before="0" w:after="283"/>
              <w:jc w:val="left"/>
              <w:rPr/>
            </w:pPr>
            <w:r>
              <w:rPr/>
              <w:t> </w:t>
            </w:r>
            <w:bookmarkStart w:id="478" w:name="xdx_409_ecustom--FinanceLeaseLiabilityAn"/>
            <w:bookmarkEnd w:id="478"/>
          </w:p>
        </w:tc>
      </w:tr>
      <w:tr>
        <w:trPr/>
        <w:tc>
          <w:tcPr>
            <w:tcW w:w="43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Less: Amount representing interest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(193</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79" w:name="xdx_40F_ecustom--FinanceLeaseLiabilityAn"/>
            <w:bookmarkEnd w:id="479"/>
          </w:p>
        </w:tc>
      </w:tr>
      <w:tr>
        <w:trPr/>
        <w:tc>
          <w:tcPr>
            <w:tcW w:w="43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Present value of net minimum lease payments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3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685</w:t>
            </w:r>
          </w:p>
        </w:tc>
        <w:tc>
          <w:tcPr>
            <w:tcW w:w="110" w:type="dxa"/>
            <w:tcBorders/>
            <w:shd w:fill="CCEEFF" w:val="clear"/>
            <w:vAlign w:val="center"/>
          </w:tcPr>
          <w:p>
            <w:pPr>
              <w:pStyle w:val="TableContents"/>
              <w:spacing w:before="0" w:after="283"/>
              <w:jc w:val="left"/>
              <w:rPr/>
            </w:pPr>
            <w:r>
              <w:rPr/>
              <w:t> </w:t>
            </w:r>
            <w:bookmarkStart w:id="480" w:name="xdx_404_ecustom--FinanceLeasesLiabilityC"/>
            <w:bookmarkEnd w:id="480"/>
          </w:p>
        </w:tc>
      </w:tr>
      <w:tr>
        <w:trPr/>
        <w:tc>
          <w:tcPr>
            <w:tcW w:w="43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Less: Current portion</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(130</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81" w:name="xdx_409_eus-gaap--FinanceLeaseLiabilityN"/>
            <w:bookmarkEnd w:id="481"/>
          </w:p>
        </w:tc>
      </w:tr>
      <w:tr>
        <w:trPr/>
        <w:tc>
          <w:tcPr>
            <w:tcW w:w="43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Non-current portion</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31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555</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482" w:name="xdx_8AB_zwIf3XPtgWC5"/>
      <w:bookmarkEnd w:id="482"/>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F-15</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83" w:name="xdx_80B_ecustom--WarrantLiabilityTextBlo"/>
      <w:bookmarkEnd w:id="483"/>
      <w:r>
        <w:rPr>
          <w:rFonts w:ascii="Times New Roman;Times;Serif" w:hAnsi="Times New Roman;Times;Serif"/>
          <w:b/>
          <w:i w:val="false"/>
          <w:caps w:val="false"/>
          <w:smallCaps w:val="false"/>
          <w:sz w:val="20"/>
        </w:rPr>
        <w:t xml:space="preserve">10. </w:t>
      </w:r>
      <w:bookmarkStart w:id="484" w:name="xdx_821_zIfSJ1k6X4Kb"/>
      <w:bookmarkEnd w:id="484"/>
      <w:r>
        <w:rPr>
          <w:rFonts w:ascii="Times New Roman;Times;Serif" w:hAnsi="Times New Roman;Times;Serif"/>
          <w:b/>
          <w:i w:val="false"/>
          <w:caps w:val="false"/>
          <w:smallCaps w:val="false"/>
          <w:sz w:val="20"/>
        </w:rPr>
        <w:t>Warrant Liability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Various sales of common stock made by the Company to finance operations have been accompanied by the issuance of warrants. Some of these warrant agreements contain fundamental transaction provisions which may give rise to an obligation of the Company to pay cash to the warrant holders. For accounting purposes, in accordance with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those warrants with fundamental transaction terms are accounted for as liabilities given the terms may give rise to an obligation of the Company to the warrant holders. These liabilities are measured at fair value at each reporting period and the change in the fair value is recognized in earnings in the accompanying Statements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85" w:name="xdx_89B_eus-gaap--ScheduleOfAssumptionsU"/>
      <w:bookmarkEnd w:id="485"/>
      <w:r>
        <w:rPr>
          <w:rFonts w:ascii="Times New Roman;Times;Serif" w:hAnsi="Times New Roman;Times;Serif"/>
          <w:b w:val="false"/>
          <w:i w:val="false"/>
          <w:caps w:val="false"/>
          <w:smallCaps w:val="false"/>
          <w:sz w:val="20"/>
        </w:rPr>
        <w:t>The fair value of the warrant liability was determined using the Black-Scholes-Merton option pricing model at December 31, 2020 and December 31, 2019, using the following assumptions: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486" w:name="xdx_8BC_zCxVJxdpVuw"/>
      <w:bookmarkEnd w:id="486"/>
      <w:r>
        <w:rPr>
          <w:rFonts w:ascii="Times New Roman;Times;Serif" w:hAnsi="Times New Roman;Times;Serif"/>
          <w:b w:val="false"/>
          <w:i w:val="false"/>
          <w:caps w:val="false"/>
          <w:smallCaps w:val="false"/>
          <w:sz w:val="20"/>
        </w:rPr>
        <w:t>Schedule of Warrant Liability Using Assumptions </w:t>
      </w:r>
    </w:p>
    <w:tbl>
      <w:tblPr>
        <w:tblW w:w="9295" w:type="dxa"/>
        <w:jc w:val="left"/>
        <w:tblInd w:w="0" w:type="dxa"/>
        <w:tblCellMar>
          <w:top w:w="0" w:type="dxa"/>
          <w:left w:w="0" w:type="dxa"/>
          <w:bottom w:w="0" w:type="dxa"/>
          <w:right w:w="0" w:type="dxa"/>
        </w:tblCellMar>
      </w:tblPr>
      <w:tblGrid>
        <w:gridCol w:w="6380"/>
        <w:gridCol w:w="60"/>
        <w:gridCol w:w="175"/>
        <w:gridCol w:w="1000"/>
        <w:gridCol w:w="215"/>
        <w:gridCol w:w="60"/>
        <w:gridCol w:w="175"/>
        <w:gridCol w:w="1000"/>
        <w:gridCol w:w="230"/>
      </w:tblGrid>
      <w:tr>
        <w:trPr/>
        <w:tc>
          <w:tcPr>
            <w:tcW w:w="63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230" w:type="dxa"/>
            <w:tcBorders/>
            <w:shd w:fill="auto" w:val="clear"/>
            <w:vAlign w:val="center"/>
          </w:tcPr>
          <w:p>
            <w:pPr>
              <w:pStyle w:val="TableContents"/>
              <w:spacing w:before="0" w:after="283"/>
              <w:rPr/>
            </w:pPr>
            <w:r>
              <w:rPr/>
              <w:t> </w:t>
            </w:r>
          </w:p>
        </w:tc>
      </w:tr>
      <w:tr>
        <w:trPr/>
        <w:tc>
          <w:tcPr>
            <w:tcW w:w="63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283"/>
              <w:jc w:val="center"/>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283"/>
              <w:jc w:val="center"/>
              <w:rPr/>
            </w:pPr>
            <w:r>
              <w:rPr/>
              <w:t> </w:t>
            </w:r>
          </w:p>
        </w:tc>
        <w:tc>
          <w:tcPr>
            <w:tcW w:w="230" w:type="dxa"/>
            <w:tcBorders/>
            <w:shd w:fill="auto" w:val="clear"/>
            <w:vAlign w:val="center"/>
          </w:tcPr>
          <w:p>
            <w:pPr>
              <w:pStyle w:val="TableContents"/>
              <w:spacing w:before="0" w:after="283"/>
              <w:rPr/>
            </w:pPr>
            <w:r>
              <w:rPr/>
              <w:t> </w:t>
            </w:r>
          </w:p>
        </w:tc>
      </w:tr>
      <w:tr>
        <w:trPr/>
        <w:tc>
          <w:tcPr>
            <w:tcW w:w="638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87" w:name="xdx_988_eus-gaap--SharePrice_c20201231_p"/>
            <w:bookmarkEnd w:id="487"/>
          </w:p>
        </w:tc>
        <w:tc>
          <w:tcPr>
            <w:tcW w:w="10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0.59</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88" w:name="xdx_980_eus-gaap--SharePrice_c20191231_p"/>
            <w:bookmarkEnd w:id="488"/>
          </w:p>
        </w:tc>
        <w:tc>
          <w:tcPr>
            <w:tcW w:w="10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0.91</w:t>
            </w:r>
          </w:p>
        </w:tc>
        <w:tc>
          <w:tcPr>
            <w:tcW w:w="230" w:type="dxa"/>
            <w:tcBorders/>
            <w:shd w:fill="CCEEFF" w:val="clear"/>
            <w:vAlign w:val="center"/>
          </w:tcPr>
          <w:p>
            <w:pPr>
              <w:pStyle w:val="TableContents"/>
              <w:spacing w:before="0" w:after="283"/>
              <w:jc w:val="left"/>
              <w:rPr/>
            </w:pPr>
            <w:r>
              <w:rPr/>
              <w:t> </w:t>
            </w:r>
          </w:p>
        </w:tc>
      </w:tr>
      <w:tr>
        <w:trPr/>
        <w:tc>
          <w:tcPr>
            <w:tcW w:w="638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Risk free interest rate</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bookmarkStart w:id="489" w:name="xdx_989_eus-gaap--ShareBasedCompensation"/>
            <w:bookmarkEnd w:id="489"/>
          </w:p>
        </w:tc>
        <w:tc>
          <w:tcPr>
            <w:tcW w:w="10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0.48</w:t>
            </w:r>
          </w:p>
        </w:tc>
        <w:tc>
          <w:tcPr>
            <w:tcW w:w="2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bookmarkStart w:id="490" w:name="xdx_98D_eus-gaap--ShareBasedCompensation"/>
            <w:bookmarkEnd w:id="490"/>
          </w:p>
        </w:tc>
        <w:tc>
          <w:tcPr>
            <w:tcW w:w="10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1.95</w:t>
            </w:r>
          </w:p>
        </w:tc>
        <w:tc>
          <w:tcPr>
            <w:tcW w:w="23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38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bookmarkStart w:id="491" w:name="xdx_986_eus-gaap--ShareBasedCompensation"/>
            <w:bookmarkEnd w:id="491"/>
          </w:p>
        </w:tc>
        <w:tc>
          <w:tcPr>
            <w:tcW w:w="10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76.35</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bookmarkStart w:id="492" w:name="xdx_981_eus-gaap--ShareBasedCompensation"/>
            <w:bookmarkEnd w:id="492"/>
          </w:p>
        </w:tc>
        <w:tc>
          <w:tcPr>
            <w:tcW w:w="10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83.36</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38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Expected life in years</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1000" w:type="dxa"/>
            <w:tcBorders/>
            <w:shd w:fill="FFFFFF" w:val="clear"/>
            <w:vAlign w:val="center"/>
          </w:tcPr>
          <w:p>
            <w:pPr>
              <w:pStyle w:val="TableContents"/>
              <w:spacing w:before="0" w:after="283"/>
              <w:jc w:val="right"/>
              <w:rPr>
                <w:rFonts w:ascii="Times New Roman;Times;Serif" w:hAnsi="Times New Roman;Times;Serif"/>
              </w:rPr>
            </w:pPr>
            <w:bookmarkStart w:id="493" w:name="xdx_90E_eus-gaap--SharebasedCompensation"/>
            <w:bookmarkEnd w:id="493"/>
            <w:r>
              <w:rPr>
                <w:rFonts w:ascii="Times New Roman;Times;Serif" w:hAnsi="Times New Roman;Times;Serif"/>
              </w:rPr>
              <w:t>0.42</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1000" w:type="dxa"/>
            <w:tcBorders/>
            <w:shd w:fill="FFFFFF" w:val="clear"/>
            <w:vAlign w:val="center"/>
          </w:tcPr>
          <w:p>
            <w:pPr>
              <w:pStyle w:val="TableContents"/>
              <w:spacing w:before="0" w:after="283"/>
              <w:jc w:val="right"/>
              <w:rPr>
                <w:rFonts w:ascii="Times New Roman;Times;Serif" w:hAnsi="Times New Roman;Times;Serif"/>
              </w:rPr>
            </w:pPr>
            <w:bookmarkStart w:id="494" w:name="xdx_906_eus-gaap--SharebasedCompensation"/>
            <w:bookmarkEnd w:id="494"/>
            <w:r>
              <w:rPr>
                <w:rFonts w:ascii="Times New Roman;Times;Serif" w:hAnsi="Times New Roman;Times;Serif"/>
              </w:rPr>
              <w:t>1.42</w:t>
            </w:r>
          </w:p>
        </w:tc>
        <w:tc>
          <w:tcPr>
            <w:tcW w:w="230" w:type="dxa"/>
            <w:tcBorders/>
            <w:shd w:fill="FFFFFF" w:val="clear"/>
            <w:vAlign w:val="center"/>
          </w:tcPr>
          <w:p>
            <w:pPr>
              <w:pStyle w:val="TableContents"/>
              <w:spacing w:before="0" w:after="283"/>
              <w:jc w:val="left"/>
              <w:rPr/>
            </w:pPr>
            <w:r>
              <w:rPr/>
              <w:t> </w:t>
            </w:r>
          </w:p>
        </w:tc>
      </w:tr>
      <w:tr>
        <w:trPr/>
        <w:tc>
          <w:tcPr>
            <w:tcW w:w="638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Expected dividend yield</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bookmarkStart w:id="495" w:name="xdx_98C_eus-gaap--ShareBasedCompensation"/>
            <w:bookmarkEnd w:id="495"/>
          </w:p>
        </w:tc>
        <w:tc>
          <w:tcPr>
            <w:tcW w:w="10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w:t>
            </w:r>
          </w:p>
        </w:tc>
        <w:tc>
          <w:tcPr>
            <w:tcW w:w="2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bookmarkStart w:id="496" w:name="xdx_981_eus-gaap--ShareBasedCompensation"/>
            <w:bookmarkEnd w:id="496"/>
          </w:p>
        </w:tc>
        <w:tc>
          <w:tcPr>
            <w:tcW w:w="10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w:t>
            </w:r>
          </w:p>
        </w:tc>
        <w:tc>
          <w:tcPr>
            <w:tcW w:w="2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38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Number of Warrants containing fundamental transaction provisions</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bookmarkStart w:id="497" w:name="xdx_98C_eus-gaap--ClassOfWarrantOrRightN"/>
            <w:bookmarkEnd w:id="497"/>
          </w:p>
        </w:tc>
        <w:tc>
          <w:tcPr>
            <w:tcW w:w="10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138,762</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bookmarkStart w:id="498" w:name="xdx_984_eus-gaap--ClassOfWarrantOrRightN"/>
            <w:bookmarkEnd w:id="498"/>
          </w:p>
        </w:tc>
        <w:tc>
          <w:tcPr>
            <w:tcW w:w="10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138,762</w:t>
            </w:r>
          </w:p>
        </w:tc>
        <w:tc>
          <w:tcPr>
            <w:tcW w:w="230" w:type="dxa"/>
            <w:tcBorders/>
            <w:shd w:fill="FFFFFF" w:val="clear"/>
            <w:vAlign w:val="center"/>
          </w:tcPr>
          <w:p>
            <w:pPr>
              <w:pStyle w:val="TableContents"/>
              <w:spacing w:before="0" w:after="283"/>
              <w:jc w:val="left"/>
              <w:rPr/>
            </w:pPr>
            <w:r>
              <w:rPr/>
              <w:t> </w:t>
            </w:r>
          </w:p>
        </w:tc>
      </w:tr>
      <w:tr>
        <w:trPr/>
        <w:tc>
          <w:tcPr>
            <w:tcW w:w="638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Fair Value of Warrants</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499" w:name="xdx_984_ecustom--FairValueAdjustmentOfWa"/>
            <w:bookmarkEnd w:id="499"/>
          </w:p>
        </w:tc>
        <w:tc>
          <w:tcPr>
            <w:tcW w:w="10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00" w:name="xdx_985_ecustom--FairValueAdjustmentOfWa"/>
            <w:bookmarkEnd w:id="500"/>
          </w:p>
        </w:tc>
        <w:tc>
          <w:tcPr>
            <w:tcW w:w="10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w:t>
            </w:r>
          </w:p>
        </w:tc>
        <w:tc>
          <w:tcPr>
            <w:tcW w:w="23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501" w:name="xdx_8AA_zKxoubxNYoNh"/>
      <w:bookmarkEnd w:id="501"/>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is based on rates established by the Federal Reserve Bank. The Company uses the historical volatility of its common stock to estimate its future volatility. The expected life of the warrant is based upon its remaining contractual life. The expected dividend yield reflects that the Company has not paid dividends to its common stockholders in the past and does not expect to do so in the foreseeable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02" w:name="xdx_898_ecustom--ScheduleOfWarrantLiabil"/>
      <w:bookmarkEnd w:id="502"/>
      <w:r>
        <w:rPr>
          <w:rFonts w:ascii="Times New Roman;Times;Serif" w:hAnsi="Times New Roman;Times;Serif"/>
          <w:b w:val="false"/>
          <w:i w:val="false"/>
          <w:caps w:val="false"/>
          <w:smallCaps w:val="false"/>
          <w:sz w:val="20"/>
        </w:rPr>
        <w:t>The following table sets forth a summary of the changes in the estimated fair value of the warrant liability during the year ended December 31, 2020 and 2019:</w:t>
      </w:r>
    </w:p>
    <w:p>
      <w:pPr>
        <w:pStyle w:val="TextBody"/>
        <w:spacing w:before="0" w:after="0"/>
        <w:ind w:left="0" w:right="0" w:hanging="0"/>
        <w:rPr>
          <w:rFonts w:ascii="Times New Roman;Times;Serif" w:hAnsi="Times New Roman;Times;Serif"/>
          <w:b w:val="false"/>
          <w:i w:val="false"/>
          <w:caps w:val="false"/>
          <w:smallCaps w:val="false"/>
          <w:sz w:val="20"/>
        </w:rPr>
      </w:pPr>
      <w:bookmarkStart w:id="503" w:name="xdx_8B3_zRoikyj1gzWc"/>
      <w:bookmarkEnd w:id="503"/>
      <w:r>
        <w:rPr>
          <w:rFonts w:ascii="Times New Roman;Times;Serif" w:hAnsi="Times New Roman;Times;Serif"/>
          <w:b w:val="false"/>
          <w:i w:val="false"/>
          <w:caps w:val="false"/>
          <w:smallCaps w:val="false"/>
          <w:sz w:val="20"/>
        </w:rPr>
        <w:t>Schedule of Warrant Liability</w:t>
      </w:r>
    </w:p>
    <w:tbl>
      <w:tblPr>
        <w:tblW w:w="5229" w:type="dxa"/>
        <w:jc w:val="left"/>
        <w:tblInd w:w="0" w:type="dxa"/>
        <w:tblCellMar>
          <w:top w:w="0" w:type="dxa"/>
          <w:left w:w="0" w:type="dxa"/>
          <w:bottom w:w="0" w:type="dxa"/>
          <w:right w:w="0" w:type="dxa"/>
        </w:tblCellMar>
      </w:tblPr>
      <w:tblGrid>
        <w:gridCol w:w="1955"/>
        <w:gridCol w:w="60"/>
        <w:gridCol w:w="295"/>
        <w:gridCol w:w="1180"/>
        <w:gridCol w:w="95"/>
        <w:gridCol w:w="60"/>
        <w:gridCol w:w="433"/>
        <w:gridCol w:w="1041"/>
        <w:gridCol w:w="110"/>
      </w:tblGrid>
      <w:tr>
        <w:trPr/>
        <w:tc>
          <w:tcPr>
            <w:tcW w:w="19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 xml:space="preserve">December 31, </w:t>
              <w:br/>
              <w:t>2020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 xml:space="preserve">December 31, </w:t>
              <w:br/>
              <w:t>2019</w:t>
            </w:r>
          </w:p>
        </w:tc>
        <w:tc>
          <w:tcPr>
            <w:tcW w:w="110" w:type="dxa"/>
            <w:tcBorders/>
            <w:shd w:fill="auto" w:val="clear"/>
            <w:vAlign w:val="center"/>
          </w:tcPr>
          <w:p>
            <w:pPr>
              <w:pStyle w:val="TableContents"/>
              <w:spacing w:before="0" w:after="283"/>
              <w:rPr/>
            </w:pPr>
            <w:r>
              <w:rPr/>
              <w:t> </w:t>
            </w:r>
          </w:p>
        </w:tc>
      </w:tr>
      <w:tr>
        <w:trPr/>
        <w:tc>
          <w:tcPr>
            <w:tcW w:w="195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04" w:name="xdx_980_ecustom--WarrantLiabilityCurrent"/>
            <w:bookmarkEnd w:id="504"/>
          </w:p>
        </w:tc>
        <w:tc>
          <w:tcPr>
            <w:tcW w:w="1180" w:type="dxa"/>
            <w:tcBorders/>
            <w:shd w:fill="CCEEFF" w:val="clear"/>
            <w:vAlign w:val="center"/>
          </w:tcPr>
          <w:p>
            <w:pPr>
              <w:pStyle w:val="TableContents"/>
              <w:spacing w:before="0" w:after="283"/>
              <w:jc w:val="right"/>
              <w:rPr/>
            </w:pPr>
            <w:r>
              <w:rPr/>
              <w:t>       </w:t>
            </w:r>
            <w:r>
              <w:rPr>
                <w:rFonts w:ascii="Times New Roman;Times;Serif" w:hAnsi="Times New Roman;Times;Serif"/>
              </w:rPr>
              <w:t>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05" w:name="xdx_989_ecustom--WarrantLiabilityCurrent"/>
            <w:bookmarkEnd w:id="505"/>
          </w:p>
        </w:tc>
        <w:tc>
          <w:tcPr>
            <w:tcW w:w="104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CCEEFF" w:val="clear"/>
            <w:vAlign w:val="center"/>
          </w:tcPr>
          <w:p>
            <w:pPr>
              <w:pStyle w:val="TableContents"/>
              <w:spacing w:before="0" w:after="283"/>
              <w:jc w:val="left"/>
              <w:rPr/>
            </w:pPr>
            <w:r>
              <w:rPr/>
              <w:t> </w:t>
            </w:r>
          </w:p>
        </w:tc>
      </w:tr>
      <w:tr>
        <w:trPr/>
        <w:tc>
          <w:tcPr>
            <w:tcW w:w="195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spacing w:before="0" w:after="283"/>
              <w:rPr/>
            </w:pPr>
            <w:r>
              <w:rPr/>
              <w:t> </w:t>
            </w:r>
          </w:p>
        </w:tc>
        <w:tc>
          <w:tcPr>
            <w:tcW w:w="295"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506" w:name="xdx_987_eus-gaap--FairValueAdjustmentOfW"/>
            <w:bookmarkEnd w:id="506"/>
          </w:p>
        </w:tc>
        <w:tc>
          <w:tcPr>
            <w:tcW w:w="11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433"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507" w:name="xdx_980_eus-gaap--FairValueAdjustmentOfW"/>
            <w:bookmarkEnd w:id="507"/>
          </w:p>
        </w:tc>
        <w:tc>
          <w:tcPr>
            <w:tcW w:w="104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195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Ending balance</w:t>
            </w:r>
          </w:p>
        </w:tc>
        <w:tc>
          <w:tcPr>
            <w:tcW w:w="60" w:type="dxa"/>
            <w:tcBorders/>
            <w:shd w:fill="CCEEFF" w:val="clear"/>
            <w:vAlign w:val="center"/>
          </w:tcPr>
          <w:p>
            <w:pPr>
              <w:pStyle w:val="TableContents"/>
              <w:spacing w:before="0" w:after="283"/>
              <w:rPr/>
            </w:pPr>
            <w:r>
              <w:rPr/>
              <w:t> </w:t>
            </w:r>
          </w:p>
        </w:tc>
        <w:tc>
          <w:tcPr>
            <w:tcW w:w="29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08" w:name="xdx_983_ecustom--WarrantLiabilityCurrent"/>
            <w:bookmarkEnd w:id="508"/>
          </w:p>
        </w:tc>
        <w:tc>
          <w:tcPr>
            <w:tcW w:w="118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3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09" w:name="xdx_98D_ecustom--WarrantLiabilityCurrent"/>
            <w:bookmarkEnd w:id="509"/>
          </w:p>
        </w:tc>
        <w:tc>
          <w:tcPr>
            <w:tcW w:w="104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510" w:name="xdx_8A8_zrZ4QVorCeU4"/>
      <w:bookmarkEnd w:id="510"/>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11" w:name="xdx_806_eus-gaap--StockholdersEquityNote"/>
      <w:bookmarkEnd w:id="511"/>
      <w:r>
        <w:rPr>
          <w:rFonts w:ascii="Times New Roman;Times;Serif" w:hAnsi="Times New Roman;Times;Serif"/>
          <w:b/>
          <w:i w:val="false"/>
          <w:caps w:val="false"/>
          <w:smallCaps w:val="false"/>
          <w:sz w:val="20"/>
        </w:rPr>
        <w:t xml:space="preserve">11. </w:t>
      </w:r>
      <w:bookmarkStart w:id="512" w:name="xdx_82A_zKkQmIToNwVk"/>
      <w:bookmarkEnd w:id="512"/>
      <w:r>
        <w:rPr>
          <w:rFonts w:ascii="Times New Roman;Times;Serif" w:hAnsi="Times New Roman;Times;Serif"/>
          <w:b/>
          <w:i w:val="false"/>
          <w:caps w:val="false"/>
          <w:smallCaps w:val="false"/>
          <w:sz w:val="20"/>
        </w:rPr>
        <w:t>Stockholders’ Equity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Series A Convertible Preferred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 (the “Preferred Stock”) consists of $</w:t>
      </w:r>
      <w:bookmarkStart w:id="513" w:name="xdx_90B_eus-gaap--PreferredStockParOrSta"/>
      <w:bookmarkEnd w:id="513"/>
      <w:r>
        <w:rPr>
          <w:rFonts w:ascii="Times New Roman;Times;Serif" w:hAnsi="Times New Roman;Times;Serif"/>
          <w:b w:val="false"/>
          <w:i w:val="false"/>
          <w:caps w:val="false"/>
          <w:smallCaps w:val="false"/>
          <w:sz w:val="20"/>
        </w:rPr>
        <w:t xml:space="preserve">10 par value, </w:t>
      </w:r>
      <w:bookmarkStart w:id="514" w:name="xdx_905_eus-gaap--PreferredStockDividend"/>
      <w:bookmarkEnd w:id="514"/>
      <w:r>
        <w:rPr>
          <w:rFonts w:ascii="Times New Roman;Times;Serif" w:hAnsi="Times New Roman;Times;Serif"/>
          <w:b w:val="false"/>
          <w:i w:val="false"/>
          <w:caps w:val="false"/>
          <w:smallCaps w:val="false"/>
          <w:sz w:val="20"/>
        </w:rPr>
        <w:t>5% non-cumulative, non-voting, participating preferred stock, with a liquidation preference of $</w:t>
      </w:r>
      <w:bookmarkStart w:id="515" w:name="xdx_908_eus-gaap--PreferredStockLiquidat"/>
      <w:bookmarkEnd w:id="515"/>
      <w:r>
        <w:rPr>
          <w:rFonts w:ascii="Times New Roman;Times;Serif" w:hAnsi="Times New Roman;Times;Serif"/>
          <w:b w:val="false"/>
          <w:i w:val="false"/>
          <w:caps w:val="false"/>
          <w:smallCaps w:val="false"/>
          <w:sz w:val="20"/>
        </w:rPr>
        <w:t xml:space="preserve">10.00 per share. </w:t>
      </w:r>
      <w:bookmarkStart w:id="516" w:name="xdx_907_eus-gaap--PreferredStockSharesAu"/>
      <w:bookmarkEnd w:id="516"/>
      <w:r>
        <w:rPr>
          <w:rFonts w:ascii="Times New Roman;Times;Serif" w:hAnsi="Times New Roman;Times;Serif"/>
          <w:b w:val="false"/>
          <w:i w:val="false"/>
          <w:caps w:val="false"/>
          <w:smallCaps w:val="false"/>
          <w:sz w:val="20"/>
        </w:rPr>
        <w:t xml:space="preserve">500,000 shares are authorized. As of December 31, 2020, and 2019, there were </w:t>
      </w:r>
      <w:bookmarkStart w:id="517" w:name="xdx_90D_eus-gaap--PreferredStockSharesOu"/>
      <w:bookmarkEnd w:id="517"/>
      <w:r>
        <w:rPr>
          <w:rFonts w:ascii="Times New Roman;Times;Serif" w:hAnsi="Times New Roman;Times;Serif"/>
          <w:b w:val="false"/>
          <w:i w:val="false"/>
          <w:caps w:val="false"/>
          <w:smallCaps w:val="false"/>
          <w:sz w:val="20"/>
        </w:rPr>
        <w:t>9,411 shares outstanding. Each share of Preferred Stock can be converted into four shares of the Company’s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Dividends are payable at the rate of </w:t>
      </w:r>
      <w:bookmarkStart w:id="518" w:name="xdx_903_ecustom--DividendsPayableRate_pi"/>
      <w:bookmarkEnd w:id="518"/>
      <w:r>
        <w:rPr>
          <w:rFonts w:ascii="Times New Roman;Times;Serif" w:hAnsi="Times New Roman;Times;Serif"/>
          <w:b w:val="false"/>
          <w:i w:val="false"/>
          <w:caps w:val="false"/>
          <w:smallCaps w:val="false"/>
          <w:sz w:val="20"/>
        </w:rPr>
        <w:t>5% annually, pro-rata and non-cumulative. The dividend can be paid in cash or, at the discretion of our board of directors, in shares of common stock based on its then fair market value. The Company cannot declare or pay any dividend on shares of our common stock until the holders of the Preferred Stock have received their annual dividend. In addition, the holders of the Preferred Stock are entitled to receive pro rata distributions of dividends on an “as converted” basis with the holders of our common stock.</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F-16</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or if there is a change of control event as defined, the holders of the Preferred Stock are entitled to receive, prior to distributions to the holders of common stock, $10.00 per share plus all accrued and unpaid dividends. Thereafter, all remaining assets are distributed pro rata among all security holders. Since June 30, 2008, the Company has the right, but not the obligation, to redeem all or any portion of the Preferred Stock at $10.00 per share, the original issue price, plus all accrued and unpaid dividends.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may be converted at any time, at the option of the holder, into four shares of common stock, subject to adjustment in the event of stock splits, reverse stock splits, stock dividends, recapitalization, reclassification, and similar transactions. The Company is obligated to reserve authorized but unissued shares of common stock sufficient to affect the conversion of all outstanding shares of Preferred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by law, the holders of the Preferred Stock do not have the right to vote on any matters, including the election of directors. However, so long as any shares of Preferred Stock are outstanding, the Company shall not, without the approval of a majority of the preferred stockholders, authorize or issue any equity security having a preference over the Preferred Stock with respect to dividends, liquidation, redemption or voting, including any other security convertible into or exercisable for any senior preferred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years ended December 31, 2020 and 2019, the Company paid dividends on the Preferred Stock through the issuance of </w:t>
      </w:r>
      <w:bookmarkStart w:id="519" w:name="xdx_903_eus-gaap--CommonStockDividendsSh"/>
      <w:bookmarkEnd w:id="519"/>
      <w:r>
        <w:rPr>
          <w:rFonts w:ascii="Times New Roman;Times;Serif" w:hAnsi="Times New Roman;Times;Serif"/>
          <w:b w:val="false"/>
          <w:i w:val="false"/>
          <w:caps w:val="false"/>
          <w:smallCaps w:val="false"/>
          <w:sz w:val="20"/>
        </w:rPr>
        <w:t xml:space="preserve">4,530 and </w:t>
      </w:r>
      <w:bookmarkStart w:id="520" w:name="xdx_902_eus-gaap--CommonStockDividendsSh"/>
      <w:bookmarkEnd w:id="520"/>
      <w:r>
        <w:rPr>
          <w:rFonts w:ascii="Times New Roman;Times;Serif" w:hAnsi="Times New Roman;Times;Serif"/>
          <w:b w:val="false"/>
          <w:i w:val="false"/>
          <w:caps w:val="false"/>
          <w:smallCaps w:val="false"/>
          <w:sz w:val="20"/>
        </w:rPr>
        <w:t>4,254 shares of its common stock, respectively, which based upon the then-current market price of the stock equated to dividends of $</w:t>
      </w:r>
      <w:bookmarkStart w:id="521" w:name="xdx_901_eus-gaap--PreferredStockDividend"/>
      <w:bookmarkEnd w:id="521"/>
      <w:r>
        <w:rPr>
          <w:rFonts w:ascii="Times New Roman;Times;Serif" w:hAnsi="Times New Roman;Times;Serif"/>
          <w:b w:val="false"/>
          <w:i w:val="false"/>
          <w:caps w:val="false"/>
          <w:smallCaps w:val="false"/>
          <w:sz w:val="20"/>
        </w:rPr>
        <w:t>5 in each of the years. No shares of Series A preferred stock were converted into common stock in 2020 and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has a par value of $</w:t>
      </w:r>
      <w:bookmarkStart w:id="522" w:name="xdx_907_eus-gaap--CommonStockParOrStated"/>
      <w:bookmarkEnd w:id="522"/>
      <w:r>
        <w:rPr>
          <w:rFonts w:ascii="Times New Roman;Times;Serif" w:hAnsi="Times New Roman;Times;Serif"/>
          <w:b w:val="false"/>
          <w:i w:val="false"/>
          <w:caps w:val="false"/>
          <w:smallCaps w:val="false"/>
          <w:sz w:val="20"/>
        </w:rPr>
        <w:t xml:space="preserve">.0001. On December 21, 2020, our shareholders approved an increase in the authorized number of common shares from </w:t>
      </w:r>
      <w:bookmarkStart w:id="523" w:name="xdx_904_eus-gaap--CommonStockSharesAutho"/>
      <w:bookmarkEnd w:id="523"/>
      <w:r>
        <w:rPr>
          <w:rFonts w:ascii="Times New Roman;Times;Serif" w:hAnsi="Times New Roman;Times;Serif"/>
          <w:b w:val="false"/>
          <w:i w:val="false"/>
          <w:caps w:val="false"/>
          <w:smallCaps w:val="false"/>
          <w:sz w:val="20"/>
        </w:rPr>
        <w:t xml:space="preserve">100,000,000 to </w:t>
      </w:r>
      <w:bookmarkStart w:id="524" w:name="xdx_90F_eus-gaap--CommonStockSharesAutho"/>
      <w:bookmarkEnd w:id="524"/>
      <w:r>
        <w:rPr>
          <w:rFonts w:ascii="Times New Roman;Times;Serif" w:hAnsi="Times New Roman;Times;Serif"/>
          <w:b w:val="false"/>
          <w:i w:val="false"/>
          <w:caps w:val="false"/>
          <w:smallCaps w:val="false"/>
          <w:sz w:val="20"/>
        </w:rPr>
        <w:t xml:space="preserve">120,000,000. As of December 31, 2020, there were </w:t>
      </w:r>
      <w:bookmarkStart w:id="525" w:name="xdx_90F_eus-gaap--CommonStockSharesAutho"/>
      <w:bookmarkEnd w:id="525"/>
      <w:r>
        <w:rPr>
          <w:rFonts w:ascii="Times New Roman;Times;Serif" w:hAnsi="Times New Roman;Times;Serif"/>
          <w:b w:val="false"/>
          <w:i w:val="false"/>
          <w:caps w:val="false"/>
          <w:smallCaps w:val="false"/>
          <w:sz w:val="20"/>
        </w:rPr>
        <w:t xml:space="preserve">120,000,000 shares authorized with </w:t>
      </w:r>
      <w:bookmarkStart w:id="526" w:name="xdx_901_eus-gaap--CommonStockSharesOutst"/>
      <w:bookmarkEnd w:id="526"/>
      <w:r>
        <w:rPr>
          <w:rFonts w:ascii="Times New Roman;Times;Serif" w:hAnsi="Times New Roman;Times;Serif"/>
          <w:b w:val="false"/>
          <w:i w:val="false"/>
          <w:caps w:val="false"/>
          <w:smallCaps w:val="false"/>
          <w:sz w:val="20"/>
        </w:rPr>
        <w:t xml:space="preserve">86,317,096 outstanding. As of December 31, 2019, there were </w:t>
      </w:r>
      <w:bookmarkStart w:id="527" w:name="xdx_905_eus-gaap--CommonStockSharesAutho"/>
      <w:bookmarkEnd w:id="527"/>
      <w:r>
        <w:rPr>
          <w:rFonts w:ascii="Times New Roman;Times;Serif" w:hAnsi="Times New Roman;Times;Serif"/>
          <w:b w:val="false"/>
          <w:i w:val="false"/>
          <w:caps w:val="false"/>
          <w:smallCaps w:val="false"/>
          <w:sz w:val="20"/>
        </w:rPr>
        <w:t xml:space="preserve">100,000,000 shares authorized, and </w:t>
      </w:r>
      <w:bookmarkStart w:id="528" w:name="xdx_90B_eus-gaap--CommonStockSharesOutst"/>
      <w:bookmarkEnd w:id="528"/>
      <w:r>
        <w:rPr>
          <w:rFonts w:ascii="Times New Roman;Times;Serif" w:hAnsi="Times New Roman;Times;Serif"/>
          <w:b w:val="false"/>
          <w:i w:val="false"/>
          <w:caps w:val="false"/>
          <w:smallCaps w:val="false"/>
          <w:sz w:val="20"/>
        </w:rPr>
        <w:t>47,595,206 shares of common stock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2020, the Company conducted a public offering of </w:t>
      </w:r>
      <w:bookmarkStart w:id="529" w:name="xdx_907_eus-gaap--StockIssuedDuringPerio"/>
      <w:bookmarkEnd w:id="529"/>
      <w:r>
        <w:rPr>
          <w:rFonts w:ascii="Times New Roman;Times;Serif" w:hAnsi="Times New Roman;Times;Serif"/>
          <w:b w:val="false"/>
          <w:i w:val="false"/>
          <w:caps w:val="false"/>
          <w:smallCaps w:val="false"/>
          <w:sz w:val="20"/>
        </w:rPr>
        <w:t>21,562,500 shares of its common shares at a public offering price of $</w:t>
      </w:r>
      <w:bookmarkStart w:id="530" w:name="xdx_903_eus-gaap--SharesIssuedPricePerSh"/>
      <w:bookmarkEnd w:id="530"/>
      <w:r>
        <w:rPr>
          <w:rFonts w:ascii="Times New Roman;Times;Serif" w:hAnsi="Times New Roman;Times;Serif"/>
          <w:b w:val="false"/>
          <w:i w:val="false"/>
          <w:caps w:val="false"/>
          <w:smallCaps w:val="false"/>
          <w:sz w:val="20"/>
        </w:rPr>
        <w:t>0.56 per share. The net proceeds to the Company from this offering are $</w:t>
      </w:r>
      <w:bookmarkStart w:id="531" w:name="xdx_908_eus-gaap--ProceedsFromIssuanceIn"/>
      <w:bookmarkEnd w:id="531"/>
      <w:r>
        <w:rPr>
          <w:rFonts w:ascii="Times New Roman;Times;Serif" w:hAnsi="Times New Roman;Times;Serif"/>
          <w:b w:val="false"/>
          <w:i w:val="false"/>
          <w:caps w:val="false"/>
          <w:smallCaps w:val="false"/>
          <w:sz w:val="20"/>
        </w:rPr>
        <w:t>11,254, after deducting underwriting discounts and commissions and other offering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2020, the Company conducted a public offering of </w:t>
      </w:r>
      <w:bookmarkStart w:id="532" w:name="xdx_903_eus-gaap--StockIssuedDuringPerio"/>
      <w:bookmarkEnd w:id="532"/>
      <w:r>
        <w:rPr>
          <w:rFonts w:ascii="Times New Roman;Times;Serif" w:hAnsi="Times New Roman;Times;Serif"/>
          <w:b w:val="false"/>
          <w:i w:val="false"/>
          <w:caps w:val="false"/>
          <w:smallCaps w:val="false"/>
          <w:sz w:val="20"/>
        </w:rPr>
        <w:t>15,333,334 shares of its common shares at a public offering price of $</w:t>
      </w:r>
      <w:bookmarkStart w:id="533" w:name="xdx_901_eus-gaap--SharesIssuedPricePerSh"/>
      <w:bookmarkEnd w:id="533"/>
      <w:r>
        <w:rPr>
          <w:rFonts w:ascii="Times New Roman;Times;Serif" w:hAnsi="Times New Roman;Times;Serif"/>
          <w:b w:val="false"/>
          <w:i w:val="false"/>
          <w:caps w:val="false"/>
          <w:smallCaps w:val="false"/>
          <w:sz w:val="20"/>
        </w:rPr>
        <w:t>0.375 per share. The net proceeds to the Company from this offering are $</w:t>
      </w:r>
      <w:bookmarkStart w:id="534" w:name="xdx_904_eus-gaap--ProceedsFromIssuanceIn"/>
      <w:bookmarkEnd w:id="534"/>
      <w:r>
        <w:rPr>
          <w:rFonts w:ascii="Times New Roman;Times;Serif" w:hAnsi="Times New Roman;Times;Serif"/>
          <w:b w:val="false"/>
          <w:i w:val="false"/>
          <w:caps w:val="false"/>
          <w:smallCaps w:val="false"/>
          <w:sz w:val="20"/>
        </w:rPr>
        <w:t>5,310, after deducting underwriting discounts and commissions and other offering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2019, the Company conducted a public offering of </w:t>
      </w:r>
      <w:bookmarkStart w:id="535" w:name="xdx_903_eus-gaap--StockIssuedDuringPerio"/>
      <w:bookmarkEnd w:id="535"/>
      <w:r>
        <w:rPr>
          <w:rFonts w:ascii="Times New Roman;Times;Serif" w:hAnsi="Times New Roman;Times;Serif"/>
          <w:b w:val="false"/>
          <w:i w:val="false"/>
          <w:caps w:val="false"/>
          <w:smallCaps w:val="false"/>
          <w:sz w:val="20"/>
        </w:rPr>
        <w:t>13,416,667 shares of its common shares at a public offering price of $</w:t>
      </w:r>
      <w:bookmarkStart w:id="536" w:name="xdx_90B_eus-gaap--SharesIssuedPricePerSh"/>
      <w:bookmarkEnd w:id="536"/>
      <w:r>
        <w:rPr>
          <w:rFonts w:ascii="Times New Roman;Times;Serif" w:hAnsi="Times New Roman;Times;Serif"/>
          <w:b w:val="false"/>
          <w:i w:val="false"/>
          <w:caps w:val="false"/>
          <w:smallCaps w:val="false"/>
          <w:sz w:val="20"/>
        </w:rPr>
        <w:t>0.60 per share. The net proceeds to the Company from this offering are $</w:t>
      </w:r>
      <w:bookmarkStart w:id="537" w:name="xdx_90C_eus-gaap--ProceedsFromIssuanceIn"/>
      <w:bookmarkEnd w:id="537"/>
      <w:r>
        <w:rPr>
          <w:rFonts w:ascii="Times New Roman;Times;Serif" w:hAnsi="Times New Roman;Times;Serif"/>
          <w:b w:val="false"/>
          <w:i w:val="false"/>
          <w:caps w:val="false"/>
          <w:smallCaps w:val="false"/>
          <w:sz w:val="20"/>
        </w:rPr>
        <w:t>7,474, after deducting underwriting discounts and commissions and other offering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2019, the Company conducted a public offering of </w:t>
      </w:r>
      <w:bookmarkStart w:id="538" w:name="xdx_90B_eus-gaap--StockIssuedDuringPerio"/>
      <w:bookmarkEnd w:id="538"/>
      <w:r>
        <w:rPr>
          <w:rFonts w:ascii="Times New Roman;Times;Serif" w:hAnsi="Times New Roman;Times;Serif"/>
          <w:b w:val="false"/>
          <w:i w:val="false"/>
          <w:caps w:val="false"/>
          <w:smallCaps w:val="false"/>
          <w:sz w:val="20"/>
        </w:rPr>
        <w:t>7,733,750 shares of its common shares at a public offering price of $</w:t>
      </w:r>
      <w:bookmarkStart w:id="539" w:name="xdx_905_eus-gaap--SharesIssuedPricePerSh"/>
      <w:bookmarkEnd w:id="539"/>
      <w:r>
        <w:rPr>
          <w:rFonts w:ascii="Times New Roman;Times;Serif" w:hAnsi="Times New Roman;Times;Serif"/>
          <w:b w:val="false"/>
          <w:i w:val="false"/>
          <w:caps w:val="false"/>
          <w:smallCaps w:val="false"/>
          <w:sz w:val="20"/>
        </w:rPr>
        <w:t>2.10 per share. The net proceeds to the Company from this offering are $</w:t>
      </w:r>
      <w:bookmarkStart w:id="540" w:name="xdx_904_eus-gaap--ProceedsFromIssuanceIn"/>
      <w:bookmarkEnd w:id="540"/>
      <w:r>
        <w:rPr>
          <w:rFonts w:ascii="Times New Roman;Times;Serif" w:hAnsi="Times New Roman;Times;Serif"/>
          <w:b w:val="false"/>
          <w:i w:val="false"/>
          <w:caps w:val="false"/>
          <w:smallCaps w:val="false"/>
          <w:sz w:val="20"/>
        </w:rPr>
        <w:t>14,867, after deducting underwriting discounts and commissions and other offering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41" w:name="xdx_80B_eus-gaap--DisclosureOfCompensati"/>
      <w:bookmarkEnd w:id="541"/>
      <w:r>
        <w:rPr>
          <w:rFonts w:ascii="Times New Roman;Times;Serif" w:hAnsi="Times New Roman;Times;Serif"/>
          <w:b/>
          <w:i w:val="false"/>
          <w:caps w:val="false"/>
          <w:smallCaps w:val="false"/>
          <w:sz w:val="20"/>
        </w:rPr>
        <w:t xml:space="preserve">12. </w:t>
      </w:r>
      <w:bookmarkStart w:id="542" w:name="xdx_82B_z4G75AhqRDh4"/>
      <w:bookmarkEnd w:id="542"/>
      <w:r>
        <w:rPr>
          <w:rFonts w:ascii="Times New Roman;Times;Serif" w:hAnsi="Times New Roman;Times;Serif"/>
          <w:b/>
          <w:i w:val="false"/>
          <w:caps w:val="false"/>
          <w:smallCaps w:val="false"/>
          <w:sz w:val="20"/>
        </w:rPr>
        <w:t>Share-Based Payments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ability to issue equity compensation, in order to incentivize performance by employees, directors, and consultants, is essential to the Company’s growth strategy.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29, 2017, the 2017 Compensation Plan (the “2017 Plan”) was approved by our shareholders. Initially it provided for the issuance of up to </w:t>
      </w:r>
      <w:bookmarkStart w:id="543" w:name="xdx_90F_eus-gaap--StockIssuedDuringPerio"/>
      <w:bookmarkEnd w:id="543"/>
      <w:r>
        <w:rPr>
          <w:rFonts w:ascii="Times New Roman;Times;Serif" w:hAnsi="Times New Roman;Times;Serif"/>
          <w:b w:val="false"/>
          <w:i w:val="false"/>
          <w:caps w:val="false"/>
          <w:smallCaps w:val="false"/>
          <w:sz w:val="20"/>
        </w:rPr>
        <w:t xml:space="preserve">3,000,000 shares. On December 13, 2018 our shareholders approved a </w:t>
      </w:r>
      <w:bookmarkStart w:id="544" w:name="xdx_900_eus-gaap--StockIssuedDuringPerio"/>
      <w:bookmarkEnd w:id="544"/>
      <w:r>
        <w:rPr>
          <w:rFonts w:ascii="Times New Roman;Times;Serif" w:hAnsi="Times New Roman;Times;Serif"/>
          <w:b w:val="false"/>
          <w:i w:val="false"/>
          <w:caps w:val="false"/>
          <w:smallCaps w:val="false"/>
          <w:sz w:val="20"/>
        </w:rPr>
        <w:t xml:space="preserve">3,500,000 share increase in the number of shares issuable under the 2017 Plan. Options issued and forfeited under the 2017 Plan contain an Evergreen provision and cannot be re-priced without shareholder approval. As of December 31, 2020 and 2019, shares issuable under the 2017 Plan were </w:t>
      </w:r>
      <w:bookmarkStart w:id="545" w:name="xdx_905_eus-gaap--CommonStockCapitalShar"/>
      <w:bookmarkEnd w:id="545"/>
      <w:r>
        <w:rPr>
          <w:rFonts w:ascii="Times New Roman;Times;Serif" w:hAnsi="Times New Roman;Times;Serif"/>
          <w:b w:val="false"/>
          <w:i w:val="false"/>
          <w:caps w:val="false"/>
          <w:smallCaps w:val="false"/>
          <w:sz w:val="20"/>
        </w:rPr>
        <w:t xml:space="preserve">1,168,258 and </w:t>
      </w:r>
      <w:bookmarkStart w:id="546" w:name="xdx_90E_eus-gaap--CommonStockCapitalShar"/>
      <w:bookmarkEnd w:id="546"/>
      <w:r>
        <w:rPr>
          <w:rFonts w:ascii="Times New Roman;Times;Serif" w:hAnsi="Times New Roman;Times;Serif"/>
          <w:b w:val="false"/>
          <w:i w:val="false"/>
          <w:caps w:val="false"/>
          <w:smallCaps w:val="false"/>
          <w:sz w:val="20"/>
        </w:rPr>
        <w:t>3,436,864, respectively. With the shareholder approval of the 2020 Equity Incentive Plan on December 21, 2020, no further shares will be issued from the 2017 Compensation Plan.</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F-17</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21, 2020, the 2020 Equity Incentive Plan (the “2020 Plan”) was approved by our shareholders. The 2020 Plan provides for the issuance of up to </w:t>
      </w:r>
      <w:bookmarkStart w:id="547" w:name="xdx_901_eus-gaap--StockIssuedDuringPerio"/>
      <w:bookmarkEnd w:id="547"/>
      <w:r>
        <w:rPr>
          <w:rFonts w:ascii="Times New Roman;Times;Serif" w:hAnsi="Times New Roman;Times;Serif"/>
          <w:b w:val="false"/>
          <w:i w:val="false"/>
          <w:caps w:val="false"/>
          <w:smallCaps w:val="false"/>
          <w:sz w:val="20"/>
        </w:rPr>
        <w:t xml:space="preserve">8,500,000 shares. Options issued and forfeited under the 2020 plan contain an Evergreen provision and cannot be re-priced without shareholder approval. As of December 31, 2020, shares issuable under the 2020 Plan were </w:t>
      </w:r>
      <w:bookmarkStart w:id="548" w:name="xdx_90C_eus-gaap--CommonStockCapitalShar"/>
      <w:bookmarkEnd w:id="548"/>
      <w:r>
        <w:rPr>
          <w:rFonts w:ascii="Times New Roman;Times;Serif" w:hAnsi="Times New Roman;Times;Serif"/>
          <w:b w:val="false"/>
          <w:i w:val="false"/>
          <w:caps w:val="false"/>
          <w:smallCaps w:val="false"/>
          <w:sz w:val="20"/>
        </w:rPr>
        <w:t>3,874,048.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2020 Plan permits the grant of options and stock awards to our employees, directors and consultants. The options may constitute either “incentive stock options” within the meaning of Section 422 of the Internal Revenue Code or “non-qualified stock options”. The Plan is currently administered by the board of directors. </w:t>
      </w:r>
      <w:bookmarkStart w:id="549" w:name="xdx_90D_eus-gaap--ShareBasedCompensation"/>
      <w:bookmarkEnd w:id="549"/>
      <w:r>
        <w:rPr>
          <w:rFonts w:ascii="Times New Roman;Times;Serif" w:hAnsi="Times New Roman;Times;Serif"/>
          <w:b w:val="false"/>
          <w:i w:val="false"/>
          <w:caps w:val="false"/>
          <w:smallCaps w:val="false"/>
          <w:sz w:val="20"/>
        </w:rPr>
        <w:t>The exercise price of an option granted under the plan cannot be less than 100% of the fair market value per share of common stock on the date of the grant of the option. Options may not be granted under the plan on or after the tenth anniversary of the adoption of the plan. Incentive stock options granted to a person owning more than 10% of the combined voting power of the common stock cannot be exercisable for more than five years. When an option is exercised, the purchase price of the underlying stock is received in cash, except that the plan administrator may permit the exercise price to be paid in any combination of cash, shares of stock having a fair market value equal to the exercise price, or as otherwise determined by the plan administrator.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Restricted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50" w:name="xdx_89A_eus-gaap--NonvestedRestrictedSto"/>
      <w:bookmarkEnd w:id="550"/>
      <w:r>
        <w:rPr>
          <w:rFonts w:ascii="Times New Roman;Times;Serif" w:hAnsi="Times New Roman;Times;Serif"/>
          <w:b w:val="false"/>
          <w:i w:val="false"/>
          <w:caps w:val="false"/>
          <w:smallCaps w:val="false"/>
          <w:sz w:val="20"/>
        </w:rPr>
        <w:t>The following table summarizes restricted stock activity during the years ended December 31, 2020 and 2019:</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551" w:name="xdx_8BD_z8P1a1khwBf3"/>
      <w:bookmarkEnd w:id="551"/>
      <w:r>
        <w:rPr>
          <w:rFonts w:ascii="Times New Roman;Times;Serif" w:hAnsi="Times New Roman;Times;Serif"/>
          <w:b w:val="false"/>
          <w:i w:val="false"/>
          <w:caps w:val="false"/>
          <w:smallCaps w:val="false"/>
          <w:sz w:val="20"/>
        </w:rPr>
        <w:t>Summary of Non-vested Restricted Stock Activity</w:t>
      </w:r>
    </w:p>
    <w:tbl>
      <w:tblPr>
        <w:tblW w:w="7148" w:type="dxa"/>
        <w:jc w:val="left"/>
        <w:tblInd w:w="0" w:type="dxa"/>
        <w:tblCellMar>
          <w:top w:w="0" w:type="dxa"/>
          <w:left w:w="0" w:type="dxa"/>
          <w:bottom w:w="0" w:type="dxa"/>
          <w:right w:w="0" w:type="dxa"/>
        </w:tblCellMar>
      </w:tblPr>
      <w:tblGrid>
        <w:gridCol w:w="2360"/>
        <w:gridCol w:w="60"/>
        <w:gridCol w:w="61"/>
        <w:gridCol w:w="904"/>
        <w:gridCol w:w="95"/>
        <w:gridCol w:w="60"/>
        <w:gridCol w:w="60"/>
        <w:gridCol w:w="875"/>
        <w:gridCol w:w="95"/>
        <w:gridCol w:w="60"/>
        <w:gridCol w:w="261"/>
        <w:gridCol w:w="853"/>
        <w:gridCol w:w="95"/>
        <w:gridCol w:w="60"/>
        <w:gridCol w:w="283"/>
        <w:gridCol w:w="891"/>
        <w:gridCol w:w="75"/>
      </w:tblGrid>
      <w:tr>
        <w:trPr/>
        <w:tc>
          <w:tcPr>
            <w:tcW w:w="23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Unvested</w:t>
              <w:b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Issuable</w:t>
              <w:b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Fair Value</w:t>
              <w:br/>
              <w:t>at Date of</w:t>
              <w:br/>
              <w:t>Issuance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Weighted</w:t>
              <w:br/>
              <w:t xml:space="preserve">Average </w:t>
              <w:br/>
              <w:t>Grant Date</w:t>
              <w:br/>
              <w:t>Fair Value</w:t>
            </w:r>
          </w:p>
        </w:tc>
        <w:tc>
          <w:tcPr>
            <w:tcW w:w="75" w:type="dxa"/>
            <w:tcBorders/>
            <w:shd w:fill="auto" w:val="clear"/>
            <w:vAlign w:val="center"/>
          </w:tcPr>
          <w:p>
            <w:pPr>
              <w:pStyle w:val="TableContents"/>
              <w:spacing w:before="0" w:after="283"/>
              <w:rPr/>
            </w:pPr>
            <w:r>
              <w:rPr/>
              <w:t> </w:t>
            </w:r>
          </w:p>
        </w:tc>
      </w:tr>
      <w:tr>
        <w:trPr/>
        <w:tc>
          <w:tcPr>
            <w:tcW w:w="23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2018</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jc w:val="left"/>
              <w:rPr/>
            </w:pPr>
            <w:r>
              <w:rPr/>
              <w:t> </w:t>
            </w:r>
            <w:bookmarkStart w:id="552" w:name="xdx_987_eus-gaap--SharebasedCompensation"/>
            <w:bookmarkEnd w:id="552"/>
          </w:p>
        </w:tc>
        <w:tc>
          <w:tcPr>
            <w:tcW w:w="90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598,370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553" w:name="xdx_988_ecustom--SharebasedCompensationA"/>
            <w:bookmarkEnd w:id="553"/>
          </w:p>
        </w:tc>
        <w:tc>
          <w:tcPr>
            <w:tcW w:w="8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54" w:name="xdx_986_ecustom--SharebasedCompensationA"/>
            <w:bookmarkEnd w:id="554"/>
          </w:p>
        </w:tc>
        <w:tc>
          <w:tcPr>
            <w:tcW w:w="85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55" w:name="xdx_98A_eus-gaap--SharebasedCompensation"/>
            <w:bookmarkEnd w:id="555"/>
          </w:p>
        </w:tc>
        <w:tc>
          <w:tcPr>
            <w:tcW w:w="89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1.63</w:t>
            </w:r>
          </w:p>
        </w:tc>
        <w:tc>
          <w:tcPr>
            <w:tcW w:w="75" w:type="dxa"/>
            <w:tcBorders/>
            <w:shd w:fill="CCEEFF" w:val="clear"/>
            <w:vAlign w:val="center"/>
          </w:tcPr>
          <w:p>
            <w:pPr>
              <w:pStyle w:val="TableContents"/>
              <w:spacing w:before="0" w:after="283"/>
              <w:jc w:val="left"/>
              <w:rPr/>
            </w:pPr>
            <w:r>
              <w:rPr/>
              <w:t> </w:t>
            </w:r>
          </w:p>
        </w:tc>
      </w:tr>
      <w:tr>
        <w:trPr/>
        <w:tc>
          <w:tcPr>
            <w:tcW w:w="2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bookmarkStart w:id="556" w:name="xdx_987_ecustom--ShareBasedCompensationA"/>
            <w:bookmarkEnd w:id="556"/>
          </w:p>
        </w:tc>
        <w:tc>
          <w:tcPr>
            <w:tcW w:w="90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46,035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557" w:name="xdx_981_ecustom--ShareBasedCompensationA"/>
            <w:bookmarkEnd w:id="557"/>
          </w:p>
        </w:tc>
        <w:tc>
          <w:tcPr>
            <w:tcW w:w="8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bookmarkStart w:id="558" w:name="xdx_98B_ecustom--SharebasedCompensationA"/>
            <w:bookmarkEnd w:id="558"/>
          </w:p>
        </w:tc>
        <w:tc>
          <w:tcPr>
            <w:tcW w:w="85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bookmarkStart w:id="559" w:name="xdx_984_eus-gaap--ShareBasedCompensation"/>
            <w:bookmarkEnd w:id="559"/>
          </w:p>
        </w:tc>
        <w:tc>
          <w:tcPr>
            <w:tcW w:w="89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2.88</w:t>
            </w:r>
          </w:p>
        </w:tc>
        <w:tc>
          <w:tcPr>
            <w:tcW w:w="75" w:type="dxa"/>
            <w:tcBorders/>
            <w:shd w:fill="FFFFFF" w:val="clear"/>
            <w:vAlign w:val="center"/>
          </w:tcPr>
          <w:p>
            <w:pPr>
              <w:pStyle w:val="TableContents"/>
              <w:spacing w:before="0" w:after="283"/>
              <w:jc w:val="left"/>
              <w:rPr/>
            </w:pPr>
            <w:r>
              <w:rPr/>
              <w:t> </w:t>
            </w:r>
          </w:p>
        </w:tc>
      </w:tr>
      <w:tr>
        <w:trPr/>
        <w:tc>
          <w:tcPr>
            <w:tcW w:w="23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jc w:val="left"/>
              <w:rPr/>
            </w:pPr>
            <w:r>
              <w:rPr/>
              <w:t> </w:t>
            </w:r>
            <w:bookmarkStart w:id="560" w:name="xdx_987_eus-gaap--SharebasedCompensation"/>
            <w:bookmarkEnd w:id="560"/>
          </w:p>
        </w:tc>
        <w:tc>
          <w:tcPr>
            <w:tcW w:w="90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(488,037</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561" w:name="xdx_98F_ecustom--SharebasedCompensationA"/>
            <w:bookmarkEnd w:id="561"/>
          </w:p>
        </w:tc>
        <w:tc>
          <w:tcPr>
            <w:tcW w:w="8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488,037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jc w:val="left"/>
              <w:rPr/>
            </w:pPr>
            <w:r>
              <w:rPr/>
              <w:t> </w:t>
            </w:r>
            <w:bookmarkStart w:id="562" w:name="xdx_98A_eus-gaap--SharebasedCompensation"/>
            <w:bookmarkEnd w:id="562"/>
          </w:p>
        </w:tc>
        <w:tc>
          <w:tcPr>
            <w:tcW w:w="85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bookmarkStart w:id="563" w:name="xdx_983_eus-gaap--SharebasedCompensation"/>
            <w:bookmarkEnd w:id="563"/>
          </w:p>
        </w:tc>
        <w:tc>
          <w:tcPr>
            <w:tcW w:w="89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2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bookmarkStart w:id="564" w:name="xdx_980_eus-gaap--SharebasedCompensation"/>
            <w:bookmarkEnd w:id="564"/>
          </w:p>
        </w:tc>
        <w:tc>
          <w:tcPr>
            <w:tcW w:w="90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(156,368</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565" w:name="xdx_988_ecustom--ShareBasedCompensationA"/>
            <w:bookmarkEnd w:id="565"/>
          </w:p>
        </w:tc>
        <w:tc>
          <w:tcPr>
            <w:tcW w:w="8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bookmarkStart w:id="566" w:name="xdx_982_ecustom--SharebasedCompensationA"/>
            <w:bookmarkEnd w:id="566"/>
          </w:p>
        </w:tc>
        <w:tc>
          <w:tcPr>
            <w:tcW w:w="85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(218</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bookmarkStart w:id="567" w:name="xdx_98E_eus-gaap--SharebasedCompensation"/>
            <w:bookmarkEnd w:id="567"/>
          </w:p>
        </w:tc>
        <w:tc>
          <w:tcPr>
            <w:tcW w:w="89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1.60</w:t>
            </w:r>
          </w:p>
        </w:tc>
        <w:tc>
          <w:tcPr>
            <w:tcW w:w="75" w:type="dxa"/>
            <w:tcBorders/>
            <w:shd w:fill="FFFFFF" w:val="clear"/>
            <w:vAlign w:val="center"/>
          </w:tcPr>
          <w:p>
            <w:pPr>
              <w:pStyle w:val="TableContents"/>
              <w:spacing w:before="0" w:after="283"/>
              <w:jc w:val="left"/>
              <w:rPr/>
            </w:pPr>
            <w:r>
              <w:rPr/>
              <w:t> </w:t>
            </w:r>
          </w:p>
        </w:tc>
      </w:tr>
      <w:tr>
        <w:trPr/>
        <w:tc>
          <w:tcPr>
            <w:tcW w:w="23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w:t>
            </w:r>
          </w:p>
        </w:tc>
        <w:tc>
          <w:tcPr>
            <w:tcW w:w="60" w:type="dxa"/>
            <w:tcBorders/>
            <w:shd w:fill="CCEEFF" w:val="clear"/>
            <w:vAlign w:val="center"/>
          </w:tcPr>
          <w:p>
            <w:pPr>
              <w:pStyle w:val="TableContents"/>
              <w:spacing w:before="0" w:after="283"/>
              <w:rPr/>
            </w:pPr>
            <w:r>
              <w:rPr/>
              <w:t> </w:t>
            </w:r>
          </w:p>
        </w:tc>
        <w:tc>
          <w:tcPr>
            <w:tcW w:w="61"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568" w:name="xdx_982_eus-gaap--ShareBasedCompensation"/>
            <w:bookmarkEnd w:id="568"/>
          </w:p>
        </w:tc>
        <w:tc>
          <w:tcPr>
            <w:tcW w:w="90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569" w:name="xdx_988_ecustom--ShareBasedCompensationA"/>
            <w:bookmarkEnd w:id="569"/>
          </w:p>
        </w:tc>
        <w:tc>
          <w:tcPr>
            <w:tcW w:w="8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(488,037</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61"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570" w:name="xdx_985_ecustom--SharebasedCompensationA"/>
            <w:bookmarkEnd w:id="570"/>
          </w:p>
        </w:tc>
        <w:tc>
          <w:tcPr>
            <w:tcW w:w="85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(506</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83"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571" w:name="xdx_987_ecustom--SharebasedCompensationA"/>
            <w:bookmarkEnd w:id="571"/>
          </w:p>
        </w:tc>
        <w:tc>
          <w:tcPr>
            <w:tcW w:w="89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2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2019</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bookmarkStart w:id="572" w:name="xdx_98F_eus-gaap--SharebasedCompensation"/>
            <w:bookmarkEnd w:id="572"/>
          </w:p>
        </w:tc>
        <w:tc>
          <w:tcPr>
            <w:tcW w:w="90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573" w:name="xdx_984_ecustom--SharebasedCompensationA"/>
            <w:bookmarkEnd w:id="573"/>
          </w:p>
        </w:tc>
        <w:tc>
          <w:tcPr>
            <w:tcW w:w="8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bookmarkStart w:id="574" w:name="xdx_989_ecustom--SharebasedCompensationA"/>
            <w:bookmarkEnd w:id="574"/>
          </w:p>
        </w:tc>
        <w:tc>
          <w:tcPr>
            <w:tcW w:w="85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bookmarkStart w:id="575" w:name="xdx_98B_eus-gaap--SharebasedCompensation"/>
            <w:bookmarkEnd w:id="575"/>
          </w:p>
        </w:tc>
        <w:tc>
          <w:tcPr>
            <w:tcW w:w="89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2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2019</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bookmarkStart w:id="576" w:name="xdx_98A_eus-gaap--SharebasedCompensation"/>
            <w:bookmarkEnd w:id="576"/>
          </w:p>
        </w:tc>
        <w:tc>
          <w:tcPr>
            <w:tcW w:w="90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577" w:name="xdx_98B_ecustom--SharebasedCompensationA"/>
            <w:bookmarkEnd w:id="577"/>
          </w:p>
        </w:tc>
        <w:tc>
          <w:tcPr>
            <w:tcW w:w="8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bookmarkStart w:id="578" w:name="xdx_986_ecustom--SharebasedCompensationA"/>
            <w:bookmarkEnd w:id="578"/>
          </w:p>
        </w:tc>
        <w:tc>
          <w:tcPr>
            <w:tcW w:w="85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bookmarkStart w:id="579" w:name="xdx_987_eus-gaap--SharebasedCompensation"/>
            <w:bookmarkEnd w:id="579"/>
          </w:p>
        </w:tc>
        <w:tc>
          <w:tcPr>
            <w:tcW w:w="89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23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jc w:val="left"/>
              <w:rPr/>
            </w:pPr>
            <w:r>
              <w:rPr/>
              <w:t> </w:t>
            </w:r>
            <w:bookmarkStart w:id="580" w:name="xdx_988_ecustom--ShareBasedCompensationA"/>
            <w:bookmarkEnd w:id="580"/>
          </w:p>
        </w:tc>
        <w:tc>
          <w:tcPr>
            <w:tcW w:w="904"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594,740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581" w:name="xdx_982_ecustom--ShareBasedCompensationA"/>
            <w:bookmarkEnd w:id="581"/>
          </w:p>
        </w:tc>
        <w:tc>
          <w:tcPr>
            <w:tcW w:w="8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jc w:val="left"/>
              <w:rPr/>
            </w:pPr>
            <w:r>
              <w:rPr/>
              <w:t> </w:t>
            </w:r>
            <w:bookmarkStart w:id="582" w:name="xdx_988_ecustom--SharebasedCompensationA"/>
            <w:bookmarkEnd w:id="582"/>
          </w:p>
        </w:tc>
        <w:tc>
          <w:tcPr>
            <w:tcW w:w="85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508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bookmarkStart w:id="583" w:name="xdx_983_eus-gaap--ShareBasedCompensation"/>
            <w:bookmarkEnd w:id="583"/>
          </w:p>
        </w:tc>
        <w:tc>
          <w:tcPr>
            <w:tcW w:w="89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0.85</w:t>
            </w:r>
          </w:p>
        </w:tc>
        <w:tc>
          <w:tcPr>
            <w:tcW w:w="75" w:type="dxa"/>
            <w:tcBorders/>
            <w:shd w:fill="CCEEFF" w:val="clear"/>
            <w:vAlign w:val="center"/>
          </w:tcPr>
          <w:p>
            <w:pPr>
              <w:pStyle w:val="TableContents"/>
              <w:spacing w:before="0" w:after="283"/>
              <w:jc w:val="left"/>
              <w:rPr/>
            </w:pPr>
            <w:r>
              <w:rPr/>
              <w:t> </w:t>
            </w:r>
          </w:p>
        </w:tc>
      </w:tr>
      <w:tr>
        <w:trPr/>
        <w:tc>
          <w:tcPr>
            <w:tcW w:w="2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bookmarkStart w:id="584" w:name="xdx_984_eus-gaap--SharebasedCompensation"/>
            <w:bookmarkEnd w:id="584"/>
          </w:p>
        </w:tc>
        <w:tc>
          <w:tcPr>
            <w:tcW w:w="904"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(444,740</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585" w:name="xdx_98C_ecustom--SharebasedCompensationA"/>
            <w:bookmarkEnd w:id="585"/>
          </w:p>
        </w:tc>
        <w:tc>
          <w:tcPr>
            <w:tcW w:w="8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444,740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bookmarkStart w:id="586" w:name="xdx_98B_eus-gaap--SharebasedCompensation"/>
            <w:bookmarkEnd w:id="586"/>
          </w:p>
        </w:tc>
        <w:tc>
          <w:tcPr>
            <w:tcW w:w="85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bookmarkStart w:id="587" w:name="xdx_980_eus-gaap--SharebasedCompensation"/>
            <w:bookmarkEnd w:id="587"/>
          </w:p>
        </w:tc>
        <w:tc>
          <w:tcPr>
            <w:tcW w:w="89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23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w:t>
            </w:r>
          </w:p>
        </w:tc>
        <w:tc>
          <w:tcPr>
            <w:tcW w:w="60" w:type="dxa"/>
            <w:tcBorders/>
            <w:shd w:fill="CCEEFF" w:val="clear"/>
            <w:vAlign w:val="center"/>
          </w:tcPr>
          <w:p>
            <w:pPr>
              <w:pStyle w:val="TableContents"/>
              <w:spacing w:before="0" w:after="283"/>
              <w:rPr/>
            </w:pPr>
            <w:r>
              <w:rPr/>
              <w:t> </w:t>
            </w:r>
          </w:p>
        </w:tc>
        <w:tc>
          <w:tcPr>
            <w:tcW w:w="61"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588" w:name="xdx_981_eus-gaap--ShareBasedCompensation"/>
            <w:bookmarkEnd w:id="588"/>
          </w:p>
        </w:tc>
        <w:tc>
          <w:tcPr>
            <w:tcW w:w="90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589" w:name="xdx_98E_ecustom--ShareBasedCompensationA"/>
            <w:bookmarkEnd w:id="589"/>
          </w:p>
        </w:tc>
        <w:tc>
          <w:tcPr>
            <w:tcW w:w="8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(444,740</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61"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590" w:name="xdx_98D_ecustom--SharebasedCompensationA"/>
            <w:bookmarkEnd w:id="590"/>
          </w:p>
        </w:tc>
        <w:tc>
          <w:tcPr>
            <w:tcW w:w="85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(416</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283"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591" w:name="xdx_986_ecustom--SharebasedCompensationA"/>
            <w:bookmarkEnd w:id="591"/>
          </w:p>
        </w:tc>
        <w:tc>
          <w:tcPr>
            <w:tcW w:w="89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2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2020</w:t>
            </w:r>
          </w:p>
        </w:tc>
        <w:tc>
          <w:tcPr>
            <w:tcW w:w="60" w:type="dxa"/>
            <w:tcBorders/>
            <w:shd w:fill="FFFFFF" w:val="clear"/>
            <w:vAlign w:val="center"/>
          </w:tcPr>
          <w:p>
            <w:pPr>
              <w:pStyle w:val="TableContents"/>
              <w:spacing w:before="0" w:after="283"/>
              <w:rPr/>
            </w:pPr>
            <w:r>
              <w:rPr/>
              <w:t> </w:t>
            </w:r>
          </w:p>
        </w:tc>
        <w:tc>
          <w:tcPr>
            <w:tcW w:w="61"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592" w:name="xdx_980_eus-gaap--SharebasedCompensation"/>
            <w:bookmarkEnd w:id="592"/>
          </w:p>
        </w:tc>
        <w:tc>
          <w:tcPr>
            <w:tcW w:w="90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150,000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593" w:name="xdx_98C_ecustom--SharebasedCompensationA"/>
            <w:bookmarkEnd w:id="593"/>
          </w:p>
        </w:tc>
        <w:tc>
          <w:tcPr>
            <w:tcW w:w="87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94" w:name="xdx_98E_ecustom--SharebasedCompensationA"/>
            <w:bookmarkEnd w:id="594"/>
          </w:p>
        </w:tc>
        <w:tc>
          <w:tcPr>
            <w:tcW w:w="85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595" w:name="xdx_98C_eus-gaap--SharebasedCompensation"/>
            <w:bookmarkEnd w:id="595"/>
          </w:p>
        </w:tc>
        <w:tc>
          <w:tcPr>
            <w:tcW w:w="89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0.89</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596" w:name="xdx_8A1_zugRnUBQ4C29"/>
      <w:bookmarkEnd w:id="596"/>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2020, the Company issued </w:t>
      </w:r>
      <w:bookmarkStart w:id="597" w:name="xdx_908_eus-gaap--StockIssuedDuringPerio"/>
      <w:bookmarkEnd w:id="597"/>
      <w:r>
        <w:rPr>
          <w:rFonts w:ascii="Times New Roman;Times;Serif" w:hAnsi="Times New Roman;Times;Serif"/>
          <w:b w:val="false"/>
          <w:i w:val="false"/>
          <w:caps w:val="false"/>
          <w:smallCaps w:val="false"/>
          <w:sz w:val="20"/>
        </w:rPr>
        <w:t xml:space="preserve">594,740 shares of restricted stock to a director and two executive employees. </w:t>
      </w:r>
      <w:bookmarkStart w:id="598" w:name="xdx_901_eus-gaap--SharebasedCompensation"/>
      <w:bookmarkEnd w:id="598"/>
      <w:r>
        <w:rPr>
          <w:rFonts w:ascii="Times New Roman;Times;Serif" w:hAnsi="Times New Roman;Times;Serif"/>
          <w:b w:val="false"/>
          <w:i w:val="false"/>
          <w:caps w:val="false"/>
          <w:smallCaps w:val="false"/>
          <w:sz w:val="20"/>
        </w:rPr>
        <w:t xml:space="preserve">350,000 of these shares vested immediately, </w:t>
      </w:r>
      <w:bookmarkStart w:id="599" w:name="xdx_905_ecustom--NumberOfSharesToBeVestD"/>
      <w:bookmarkEnd w:id="599"/>
      <w:r>
        <w:rPr>
          <w:rFonts w:ascii="Times New Roman;Times;Serif" w:hAnsi="Times New Roman;Times;Serif"/>
          <w:b w:val="false"/>
          <w:i w:val="false"/>
          <w:caps w:val="false"/>
          <w:smallCaps w:val="false"/>
          <w:sz w:val="20"/>
        </w:rPr>
        <w:t xml:space="preserve">94,740 shares vested in increments of </w:t>
      </w:r>
      <w:bookmarkStart w:id="600" w:name="xdx_909_ecustom--SharebasedCompensationA"/>
      <w:bookmarkEnd w:id="600"/>
      <w:r>
        <w:rPr>
          <w:rFonts w:ascii="Times New Roman;Times;Serif" w:hAnsi="Times New Roman;Times;Serif"/>
          <w:b w:val="false"/>
          <w:i w:val="false"/>
          <w:caps w:val="false"/>
          <w:smallCaps w:val="false"/>
          <w:sz w:val="20"/>
        </w:rPr>
        <w:t xml:space="preserve">47,370 each over a two-month period of October and November 2020, </w:t>
      </w:r>
      <w:bookmarkStart w:id="601" w:name="xdx_909_ecustom--NumberOfVestedShares_c2"/>
      <w:bookmarkEnd w:id="601"/>
      <w:r>
        <w:rPr>
          <w:rFonts w:ascii="Times New Roman;Times;Serif" w:hAnsi="Times New Roman;Times;Serif"/>
          <w:b w:val="false"/>
          <w:i w:val="false"/>
          <w:caps w:val="false"/>
          <w:smallCaps w:val="false"/>
          <w:sz w:val="20"/>
        </w:rPr>
        <w:t xml:space="preserve">75,000 shares will vest in increments of 18,750 each over </w:t>
      </w:r>
      <w:bookmarkStart w:id="602" w:name="xdx_904_eus-gaap--ShareBasedCompensation"/>
      <w:bookmarkEnd w:id="602"/>
      <w:r>
        <w:rPr>
          <w:rFonts w:ascii="Times New Roman;Times;Serif" w:hAnsi="Times New Roman;Times;Serif"/>
          <w:b w:val="false"/>
          <w:i w:val="false"/>
          <w:caps w:val="false"/>
          <w:smallCaps w:val="false"/>
          <w:sz w:val="20"/>
        </w:rPr>
        <w:t xml:space="preserve">four years from the date of grant, and </w:t>
      </w:r>
      <w:bookmarkStart w:id="603" w:name="xdx_90C_ecustom--NumberOfVestedShares_pi"/>
      <w:bookmarkEnd w:id="603"/>
      <w:r>
        <w:rPr>
          <w:rFonts w:ascii="Times New Roman;Times;Serif" w:hAnsi="Times New Roman;Times;Serif"/>
          <w:b w:val="false"/>
          <w:i w:val="false"/>
          <w:caps w:val="false"/>
          <w:smallCaps w:val="false"/>
          <w:sz w:val="20"/>
        </w:rPr>
        <w:t xml:space="preserve">75,000 shares will vest over </w:t>
      </w:r>
      <w:bookmarkStart w:id="604" w:name="xdx_90A_eus-gaap--ShareBasedCompensation"/>
      <w:bookmarkEnd w:id="604"/>
      <w:r>
        <w:rPr>
          <w:rFonts w:ascii="Times New Roman;Times;Serif" w:hAnsi="Times New Roman;Times;Serif"/>
          <w:b w:val="false"/>
          <w:i w:val="false"/>
          <w:caps w:val="false"/>
          <w:smallCaps w:val="false"/>
          <w:sz w:val="20"/>
        </w:rPr>
        <w:t>four years based on performance criteria determined by the Board of Directors or Compensation Committee. Unvested shares remain subject to forfeiture if vesting conditions are not met. The aggregate fair value of the stock awards was $</w:t>
      </w:r>
      <w:bookmarkStart w:id="605" w:name="xdx_90A_eus-gaap--StockIssuedDuringPerio"/>
      <w:bookmarkEnd w:id="605"/>
      <w:r>
        <w:rPr>
          <w:rFonts w:ascii="Times New Roman;Times;Serif" w:hAnsi="Times New Roman;Times;Serif"/>
          <w:b w:val="false"/>
          <w:i w:val="false"/>
          <w:caps w:val="false"/>
          <w:smallCaps w:val="false"/>
          <w:sz w:val="20"/>
        </w:rPr>
        <w:t>508 based on the market price of our common stock price which ranged from $</w:t>
      </w:r>
      <w:bookmarkStart w:id="606" w:name="xdx_90B_eus-gaap--ShareBasedCompensation"/>
      <w:bookmarkEnd w:id="606"/>
      <w:r>
        <w:rPr>
          <w:rFonts w:ascii="Times New Roman;Times;Serif" w:hAnsi="Times New Roman;Times;Serif"/>
          <w:b w:val="false"/>
          <w:i w:val="false"/>
          <w:caps w:val="false"/>
          <w:smallCaps w:val="false"/>
          <w:sz w:val="20"/>
        </w:rPr>
        <w:t>0.81 to $</w:t>
      </w:r>
      <w:bookmarkStart w:id="607" w:name="xdx_909_eus-gaap--ShareBasedCompensation"/>
      <w:bookmarkEnd w:id="607"/>
      <w:r>
        <w:rPr>
          <w:rFonts w:ascii="Times New Roman;Times;Serif" w:hAnsi="Times New Roman;Times;Serif"/>
          <w:b w:val="false"/>
          <w:i w:val="false"/>
          <w:caps w:val="false"/>
          <w:smallCaps w:val="false"/>
          <w:sz w:val="20"/>
        </w:rPr>
        <w:t>0.95 per share on the dates of grants and is amortized as shares vest. The total fair value of restricted common stock vesting during the year ended December 31, 2020 and 2019 was $</w:t>
      </w:r>
      <w:bookmarkStart w:id="608" w:name="xdx_90F_eus-gaap--StockIssuedDuringPerio"/>
      <w:bookmarkEnd w:id="608"/>
      <w:r>
        <w:rPr>
          <w:rFonts w:ascii="Times New Roman;Times;Serif" w:hAnsi="Times New Roman;Times;Serif"/>
          <w:b w:val="false"/>
          <w:i w:val="false"/>
          <w:caps w:val="false"/>
          <w:smallCaps w:val="false"/>
          <w:sz w:val="20"/>
        </w:rPr>
        <w:t>416 and $</w:t>
      </w:r>
      <w:bookmarkStart w:id="609" w:name="xdx_90E_eus-gaap--StockIssuedDuringPerio"/>
      <w:bookmarkEnd w:id="609"/>
      <w:r>
        <w:rPr>
          <w:rFonts w:ascii="Times New Roman;Times;Serif" w:hAnsi="Times New Roman;Times;Serif"/>
          <w:b w:val="false"/>
          <w:i w:val="false"/>
          <w:caps w:val="false"/>
          <w:smallCaps w:val="false"/>
          <w:sz w:val="20"/>
        </w:rPr>
        <w:t>506, respectively, and is included in general and administrative expenses in the accompanying statements of operations. As of December 31, 2020, the amount of unvested compensation related to issuances of restricted common stock was $</w:t>
      </w:r>
      <w:bookmarkStart w:id="610" w:name="xdx_900_eus-gaap--EmployeeServiceShareBa"/>
      <w:bookmarkEnd w:id="610"/>
      <w:r>
        <w:rPr>
          <w:rFonts w:ascii="Times New Roman;Times;Serif" w:hAnsi="Times New Roman;Times;Serif"/>
          <w:b w:val="false"/>
          <w:i w:val="false"/>
          <w:caps w:val="false"/>
          <w:smallCaps w:val="false"/>
          <w:sz w:val="20"/>
        </w:rPr>
        <w:t>92,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F-18</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2018, the Company awarded an aggregate of </w:t>
      </w:r>
      <w:bookmarkStart w:id="611" w:name="xdx_900_eus-gaap--StockIssuedDuringPerio"/>
      <w:bookmarkEnd w:id="611"/>
      <w:r>
        <w:rPr>
          <w:rFonts w:ascii="Times New Roman;Times;Serif" w:hAnsi="Times New Roman;Times;Serif"/>
          <w:b w:val="false"/>
          <w:i w:val="false"/>
          <w:caps w:val="false"/>
          <w:smallCaps w:val="false"/>
          <w:sz w:val="20"/>
        </w:rPr>
        <w:t>784,004 shares of restricted common stock to Valentin Stalowir, former Chief Executive Officer of the Company, pursuant to his employment agreement with the Company. The 784,004 restricted shares had an aggregate fair value of $</w:t>
      </w:r>
      <w:bookmarkStart w:id="612" w:name="xdx_90F_eus-gaap--StockIssuedDuringPerio"/>
      <w:bookmarkEnd w:id="612"/>
      <w:r>
        <w:rPr>
          <w:rFonts w:ascii="Times New Roman;Times;Serif" w:hAnsi="Times New Roman;Times;Serif"/>
          <w:b w:val="false"/>
          <w:i w:val="false"/>
          <w:caps w:val="false"/>
          <w:smallCaps w:val="false"/>
          <w:sz w:val="20"/>
        </w:rPr>
        <w:t xml:space="preserve">1,291 based on the market price of our common stock on the dates of grant. Of the 784,004 restricted shares, </w:t>
      </w:r>
      <w:bookmarkStart w:id="613" w:name="xdx_900_ecustom--SharebasedCompensationA"/>
      <w:bookmarkEnd w:id="613"/>
      <w:r>
        <w:rPr>
          <w:rFonts w:ascii="Times New Roman;Times;Serif" w:hAnsi="Times New Roman;Times;Serif"/>
          <w:b w:val="false"/>
          <w:i w:val="false"/>
          <w:caps w:val="false"/>
          <w:smallCaps w:val="false"/>
          <w:sz w:val="20"/>
        </w:rPr>
        <w:t xml:space="preserve">185,634 shares vested and were issued during 2018. On October 31, 2019, the Company entered into a Separation, Settlement and Release of Claims Agreement with Mr. Stalowir in connection with his resignation as Chief Executive Officer and the subsequent termination of his employment. As part of the Agreement, </w:t>
      </w:r>
      <w:bookmarkStart w:id="614" w:name="xdx_90D_eus-gaap--StockIssuedDuringPerio"/>
      <w:bookmarkEnd w:id="614"/>
      <w:r>
        <w:rPr>
          <w:rFonts w:ascii="Times New Roman;Times;Serif" w:hAnsi="Times New Roman;Times;Serif"/>
          <w:b w:val="false"/>
          <w:i w:val="false"/>
          <w:caps w:val="false"/>
          <w:smallCaps w:val="false"/>
          <w:sz w:val="20"/>
        </w:rPr>
        <w:t xml:space="preserve">442,002 shares of restricted common stock issued in 2018 vested and were issued, and the balance of </w:t>
      </w:r>
      <w:bookmarkStart w:id="615" w:name="xdx_90A_eus-gaap--SharebasedCompensation"/>
      <w:bookmarkEnd w:id="615"/>
      <w:r>
        <w:rPr>
          <w:rFonts w:ascii="Times New Roman;Times;Serif" w:hAnsi="Times New Roman;Times;Serif"/>
          <w:b w:val="false"/>
          <w:i w:val="false"/>
          <w:caps w:val="false"/>
          <w:smallCaps w:val="false"/>
          <w:sz w:val="20"/>
        </w:rPr>
        <w:t>156,368 unvested shares of restricted common stock issued to Mr. Stalowir in 2018 were forfeited. During the year ended December 31, 2019, the Company recognized $</w:t>
      </w:r>
      <w:bookmarkStart w:id="616" w:name="xdx_900_eus-gaap--StockIssuedDuringPerio"/>
      <w:bookmarkEnd w:id="616"/>
      <w:r>
        <w:rPr>
          <w:rFonts w:ascii="Times New Roman;Times;Serif" w:hAnsi="Times New Roman;Times;Serif"/>
          <w:b w:val="false"/>
          <w:i w:val="false"/>
          <w:caps w:val="false"/>
          <w:smallCaps w:val="false"/>
          <w:sz w:val="20"/>
        </w:rPr>
        <w:t>374 as compensation expense related to the fair value of vested restricted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2019, the Company issued </w:t>
      </w:r>
      <w:bookmarkStart w:id="617" w:name="xdx_909_eus-gaap--StockIssuedDuringPerio"/>
      <w:bookmarkEnd w:id="617"/>
      <w:r>
        <w:rPr>
          <w:rFonts w:ascii="Times New Roman;Times;Serif" w:hAnsi="Times New Roman;Times;Serif"/>
          <w:b w:val="false"/>
          <w:i w:val="false"/>
          <w:caps w:val="false"/>
          <w:smallCaps w:val="false"/>
          <w:sz w:val="20"/>
        </w:rPr>
        <w:t xml:space="preserve">46,035 shares of restricted stock to members of the board of directors. </w:t>
      </w:r>
      <w:bookmarkStart w:id="618" w:name="xdx_90E_ecustom--SharebasedCompensationA"/>
      <w:bookmarkEnd w:id="618"/>
      <w:r>
        <w:rPr>
          <w:rFonts w:ascii="Times New Roman;Times;Serif" w:hAnsi="Times New Roman;Times;Serif"/>
          <w:b w:val="false"/>
          <w:i w:val="false"/>
          <w:caps w:val="false"/>
          <w:smallCaps w:val="false"/>
          <w:sz w:val="20"/>
        </w:rPr>
        <w:t xml:space="preserve">17,652 shares vested immediately and the balance of </w:t>
      </w:r>
      <w:bookmarkStart w:id="619" w:name="xdx_90F_eus-gaap--SharebasedCompensation"/>
      <w:bookmarkEnd w:id="619"/>
      <w:r>
        <w:rPr>
          <w:rFonts w:ascii="Times New Roman;Times;Serif" w:hAnsi="Times New Roman;Times;Serif"/>
          <w:b w:val="false"/>
          <w:i w:val="false"/>
          <w:caps w:val="false"/>
          <w:smallCaps w:val="false"/>
          <w:sz w:val="20"/>
        </w:rPr>
        <w:t>28,383 shares vested throughout 2019. The aggregate fair value of the stock awards was $</w:t>
      </w:r>
      <w:bookmarkStart w:id="620" w:name="xdx_904_eus-gaap--StockIssuedDuringPerio"/>
      <w:bookmarkEnd w:id="620"/>
      <w:r>
        <w:rPr>
          <w:rFonts w:ascii="Times New Roman;Times;Serif" w:hAnsi="Times New Roman;Times;Serif"/>
          <w:b w:val="false"/>
          <w:i w:val="false"/>
          <w:caps w:val="false"/>
          <w:smallCaps w:val="false"/>
          <w:sz w:val="20"/>
        </w:rPr>
        <w:t xml:space="preserve">132 based on the market price of our common stock on the dates of grant. During the year ended December 31, 2019, the total of </w:t>
      </w:r>
      <w:bookmarkStart w:id="621" w:name="xdx_90A_eus-gaap--SharebasedCompensation"/>
      <w:bookmarkEnd w:id="621"/>
      <w:r>
        <w:rPr>
          <w:rFonts w:ascii="Times New Roman;Times;Serif" w:hAnsi="Times New Roman;Times;Serif"/>
          <w:b w:val="false"/>
          <w:i w:val="false"/>
          <w:caps w:val="false"/>
          <w:smallCaps w:val="false"/>
          <w:sz w:val="20"/>
        </w:rPr>
        <w:t>46,035 shares vested and were issued, and $</w:t>
      </w:r>
      <w:bookmarkStart w:id="622" w:name="xdx_90A_eus-gaap--AllocatedShareBasedCom"/>
      <w:bookmarkEnd w:id="622"/>
      <w:r>
        <w:rPr>
          <w:rFonts w:ascii="Times New Roman;Times;Serif" w:hAnsi="Times New Roman;Times;Serif"/>
          <w:b w:val="false"/>
          <w:i w:val="false"/>
          <w:caps w:val="false"/>
          <w:smallCaps w:val="false"/>
          <w:sz w:val="20"/>
        </w:rPr>
        <w:t>132 was recognized as compensation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2019, the Company recognized a total $</w:t>
      </w:r>
      <w:bookmarkStart w:id="623" w:name="xdx_902_eus-gaap--AllocatedShareBasedCom"/>
      <w:bookmarkEnd w:id="623"/>
      <w:r>
        <w:rPr>
          <w:rFonts w:ascii="Times New Roman;Times;Serif" w:hAnsi="Times New Roman;Times;Serif"/>
          <w:b w:val="false"/>
          <w:i w:val="false"/>
          <w:caps w:val="false"/>
          <w:smallCaps w:val="false"/>
          <w:sz w:val="20"/>
        </w:rPr>
        <w:t xml:space="preserve">506 as compensation expense related to vesting of shares of restricted common stock.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 Options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2020, the Company has issued stock options to purchase an aggregate of </w:t>
      </w:r>
      <w:bookmarkStart w:id="624" w:name="xdx_901_eus-gaap--ShareBasedCompensation"/>
      <w:bookmarkEnd w:id="624"/>
      <w:r>
        <w:rPr>
          <w:rFonts w:ascii="Times New Roman;Times;Serif" w:hAnsi="Times New Roman;Times;Serif"/>
          <w:b w:val="false"/>
          <w:i w:val="false"/>
          <w:caps w:val="false"/>
          <w:smallCaps w:val="false"/>
          <w:sz w:val="20"/>
        </w:rPr>
        <w:t>9,417,898 shares of common stock. The Company’s stock option activity during the years ended December 31, 2020 and 2019 is as follows: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625" w:name="xdx_8B7_z8wGgtdSiGak"/>
      <w:bookmarkStart w:id="626" w:name="xdx_897_eus-gaap--ScheduleOfShareBasedCo"/>
      <w:bookmarkEnd w:id="625"/>
      <w:bookmarkEnd w:id="626"/>
      <w:r>
        <w:rPr>
          <w:rFonts w:ascii="Times New Roman;Times;Serif" w:hAnsi="Times New Roman;Times;Serif"/>
          <w:b w:val="false"/>
          <w:i w:val="false"/>
          <w:caps w:val="false"/>
          <w:smallCaps w:val="false"/>
          <w:sz w:val="20"/>
        </w:rPr>
        <w:t>Schedule of Stock Option Activity</w:t>
      </w:r>
    </w:p>
    <w:tbl>
      <w:tblPr>
        <w:tblW w:w="9013" w:type="dxa"/>
        <w:jc w:val="left"/>
        <w:tblInd w:w="0" w:type="dxa"/>
        <w:tblCellMar>
          <w:top w:w="0" w:type="dxa"/>
          <w:left w:w="0" w:type="dxa"/>
          <w:bottom w:w="0" w:type="dxa"/>
          <w:right w:w="0" w:type="dxa"/>
        </w:tblCellMar>
      </w:tblPr>
      <w:tblGrid>
        <w:gridCol w:w="3350"/>
        <w:gridCol w:w="60"/>
        <w:gridCol w:w="60"/>
        <w:gridCol w:w="1055"/>
        <w:gridCol w:w="95"/>
        <w:gridCol w:w="60"/>
        <w:gridCol w:w="352"/>
        <w:gridCol w:w="1107"/>
        <w:gridCol w:w="60"/>
        <w:gridCol w:w="60"/>
        <w:gridCol w:w="178"/>
        <w:gridCol w:w="1311"/>
        <w:gridCol w:w="60"/>
        <w:gridCol w:w="60"/>
        <w:gridCol w:w="214"/>
        <w:gridCol w:w="856"/>
        <w:gridCol w:w="75"/>
      </w:tblGrid>
      <w:tr>
        <w:trPr/>
        <w:tc>
          <w:tcPr>
            <w:tcW w:w="3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Weighted-</w:t>
              <w:br/>
              <w:t>Average</w:t>
              <w:br/>
              <w:t>Exercise 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Weighted-</w:t>
              <w:br/>
              <w:t>Average</w:t>
              <w:br/>
              <w:t>Remaining</w:t>
              <w:br/>
              <w:t>Contractual</w:t>
              <w:br/>
              <w:t>Terms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Aggregate</w:t>
              <w:br/>
              <w:t>Intrinsic</w:t>
              <w:br/>
              <w:t>Value</w:t>
            </w:r>
          </w:p>
        </w:tc>
        <w:tc>
          <w:tcPr>
            <w:tcW w:w="75"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Outstanding at December 31, 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627" w:name="xdx_982_eus-gaap--ShareBasedCompensation"/>
            <w:bookmarkEnd w:id="627"/>
          </w:p>
        </w:tc>
        <w:tc>
          <w:tcPr>
            <w:tcW w:w="10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3,674,286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28" w:name="xdx_98A_eus-gaap--ShareBasedCompensation"/>
            <w:bookmarkEnd w:id="628"/>
          </w:p>
        </w:tc>
        <w:tc>
          <w:tcPr>
            <w:tcW w:w="110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 </w:t>
            </w:r>
          </w:p>
        </w:tc>
        <w:tc>
          <w:tcPr>
            <w:tcW w:w="1311" w:type="dxa"/>
            <w:tcBorders/>
            <w:shd w:fill="CCEEFF" w:val="clear"/>
            <w:vAlign w:val="center"/>
          </w:tcPr>
          <w:p>
            <w:pPr>
              <w:pStyle w:val="TableContents"/>
              <w:spacing w:before="0" w:after="283"/>
              <w:jc w:val="right"/>
              <w:rPr>
                <w:rFonts w:ascii="Times New Roman;Times;Serif" w:hAnsi="Times New Roman;Times;Serif"/>
              </w:rPr>
            </w:pPr>
            <w:bookmarkStart w:id="629" w:name="xdx_909_eus-gaap--SharebasedCompensation"/>
            <w:bookmarkEnd w:id="629"/>
            <w:r>
              <w:rPr>
                <w:rFonts w:ascii="Times New Roman;Times;Serif" w:hAnsi="Times New Roman;Times;Serif"/>
              </w:rPr>
              <w:t>8.53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30" w:name="xdx_988_eus-gaap--ShareBasedCompensation"/>
            <w:bookmarkEnd w:id="630"/>
          </w:p>
        </w:tc>
        <w:tc>
          <w:tcPr>
            <w:tcW w:w="85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1,026</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631" w:name="xdx_984_eus-gaap--ShareBasedCompensation"/>
            <w:bookmarkEnd w:id="631"/>
          </w:p>
        </w:tc>
        <w:tc>
          <w:tcPr>
            <w:tcW w:w="10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1,431,840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pPr>
            <w:r>
              <w:rPr/>
              <w:t> </w:t>
            </w:r>
            <w:bookmarkStart w:id="632" w:name="xdx_98F_eus-gaap--ShareBasedCompensation"/>
            <w:bookmarkEnd w:id="632"/>
          </w:p>
        </w:tc>
        <w:tc>
          <w:tcPr>
            <w:tcW w:w="110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jc w:val="left"/>
              <w:rPr/>
            </w:pPr>
            <w:r>
              <w:rPr/>
              <w:t> </w:t>
            </w:r>
          </w:p>
        </w:tc>
        <w:tc>
          <w:tcPr>
            <w:tcW w:w="131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jc w:val="left"/>
              <w:rPr/>
            </w:pPr>
            <w:r>
              <w:rPr/>
              <w:t> </w:t>
            </w:r>
          </w:p>
        </w:tc>
        <w:tc>
          <w:tcPr>
            <w:tcW w:w="856"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633" w:name="xdx_988_eus-gaap--StockIssuedDuringPerio"/>
            <w:bookmarkEnd w:id="633"/>
          </w:p>
        </w:tc>
        <w:tc>
          <w:tcPr>
            <w:tcW w:w="10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 </w:t>
            </w:r>
            <w:bookmarkStart w:id="634" w:name="xdx_984_eus-gaap--ShareBasedCompensation"/>
            <w:bookmarkEnd w:id="634"/>
          </w:p>
        </w:tc>
        <w:tc>
          <w:tcPr>
            <w:tcW w:w="110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 </w:t>
            </w:r>
          </w:p>
        </w:tc>
        <w:tc>
          <w:tcPr>
            <w:tcW w:w="131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jc w:val="left"/>
              <w:rPr/>
            </w:pPr>
            <w:r>
              <w:rPr/>
              <w:t> </w:t>
            </w:r>
          </w:p>
        </w:tc>
        <w:tc>
          <w:tcPr>
            <w:tcW w:w="85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Unvested forfeited or expired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635" w:name="xdx_98C_eus-gaap--ShareBasedCompensation"/>
            <w:bookmarkEnd w:id="635"/>
          </w:p>
        </w:tc>
        <w:tc>
          <w:tcPr>
            <w:tcW w:w="10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(1,571,794</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pPr>
            <w:r>
              <w:rPr/>
              <w:t> </w:t>
            </w:r>
            <w:bookmarkStart w:id="636" w:name="xdx_98E_eus-gaap--ShareBasedCompensation"/>
            <w:bookmarkEnd w:id="636"/>
          </w:p>
        </w:tc>
        <w:tc>
          <w:tcPr>
            <w:tcW w:w="110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jc w:val="left"/>
              <w:rPr/>
            </w:pPr>
            <w:r>
              <w:rPr/>
              <w:t> </w:t>
            </w:r>
          </w:p>
        </w:tc>
        <w:tc>
          <w:tcPr>
            <w:tcW w:w="131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jc w:val="left"/>
              <w:rPr/>
            </w:pPr>
            <w:r>
              <w:rPr/>
              <w:t> </w:t>
            </w:r>
          </w:p>
        </w:tc>
        <w:tc>
          <w:tcPr>
            <w:tcW w:w="856"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Vested forfeited or expired</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637" w:name="xdx_98F_ecustom--ShareBasedCompensationA"/>
            <w:bookmarkEnd w:id="637"/>
          </w:p>
        </w:tc>
        <w:tc>
          <w:tcPr>
            <w:tcW w:w="10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(268,702</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352"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638" w:name="xdx_984_ecustom--ShareBasedCompensationA"/>
            <w:bookmarkEnd w:id="638"/>
          </w:p>
        </w:tc>
        <w:tc>
          <w:tcPr>
            <w:tcW w:w="110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 </w:t>
            </w:r>
          </w:p>
        </w:tc>
        <w:tc>
          <w:tcPr>
            <w:tcW w:w="131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jc w:val="left"/>
              <w:rPr/>
            </w:pPr>
            <w:r>
              <w:rPr/>
              <w:t> </w:t>
            </w:r>
          </w:p>
        </w:tc>
        <w:tc>
          <w:tcPr>
            <w:tcW w:w="85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Outstanding at December 31, 2019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639" w:name="xdx_98C_eus-gaap--ShareBasedCompensation"/>
            <w:bookmarkEnd w:id="639"/>
          </w:p>
        </w:tc>
        <w:tc>
          <w:tcPr>
            <w:tcW w:w="10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3,265,630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40" w:name="xdx_985_eus-gaap--ShareBasedCompensation"/>
            <w:bookmarkEnd w:id="640"/>
          </w:p>
        </w:tc>
        <w:tc>
          <w:tcPr>
            <w:tcW w:w="110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jc w:val="left"/>
              <w:rPr/>
            </w:pPr>
            <w:r>
              <w:rPr/>
              <w:t> </w:t>
            </w:r>
          </w:p>
        </w:tc>
        <w:tc>
          <w:tcPr>
            <w:tcW w:w="1311" w:type="dxa"/>
            <w:tcBorders/>
            <w:shd w:fill="FFFFFF" w:val="clear"/>
            <w:vAlign w:val="center"/>
          </w:tcPr>
          <w:p>
            <w:pPr>
              <w:pStyle w:val="TableContents"/>
              <w:spacing w:before="0" w:after="283"/>
              <w:jc w:val="right"/>
              <w:rPr>
                <w:rFonts w:ascii="Times New Roman;Times;Serif" w:hAnsi="Times New Roman;Times;Serif"/>
              </w:rPr>
            </w:pPr>
            <w:bookmarkStart w:id="641" w:name="xdx_906_ecustom--SharebasedCompensationA"/>
            <w:bookmarkEnd w:id="641"/>
            <w:r>
              <w:rPr>
                <w:rFonts w:ascii="Times New Roman;Times;Serif" w:hAnsi="Times New Roman;Times;Serif"/>
              </w:rPr>
              <w:t>7.09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42" w:name="xdx_98E_eus-gaap--ShareBasedCompensation"/>
            <w:bookmarkEnd w:id="642"/>
          </w:p>
        </w:tc>
        <w:tc>
          <w:tcPr>
            <w:tcW w:w="85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Outstanding at December 31, 2019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643" w:name="xdx_983_eus-gaap--ShareBasedCompensation"/>
            <w:bookmarkEnd w:id="643"/>
          </w:p>
        </w:tc>
        <w:tc>
          <w:tcPr>
            <w:tcW w:w="10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3,265,630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44" w:name="xdx_989_eus-gaap--ShareBasedCompensation"/>
            <w:bookmarkEnd w:id="644"/>
          </w:p>
        </w:tc>
        <w:tc>
          <w:tcPr>
            <w:tcW w:w="110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jc w:val="left"/>
              <w:rPr/>
            </w:pPr>
            <w:r>
              <w:rPr/>
              <w:t> </w:t>
            </w:r>
          </w:p>
        </w:tc>
        <w:tc>
          <w:tcPr>
            <w:tcW w:w="1311" w:type="dxa"/>
            <w:tcBorders/>
            <w:shd w:fill="FFFFFF" w:val="clear"/>
            <w:vAlign w:val="center"/>
          </w:tcPr>
          <w:p>
            <w:pPr>
              <w:pStyle w:val="TableContents"/>
              <w:spacing w:before="0" w:after="283"/>
              <w:jc w:val="right"/>
              <w:rPr>
                <w:rFonts w:ascii="Times New Roman;Times;Serif" w:hAnsi="Times New Roman;Times;Serif"/>
              </w:rPr>
            </w:pPr>
            <w:bookmarkStart w:id="645" w:name="xdx_90E_eus-gaap--SharebasedCompensation"/>
            <w:bookmarkEnd w:id="645"/>
            <w:r>
              <w:rPr>
                <w:rFonts w:ascii="Times New Roman;Times;Serif" w:hAnsi="Times New Roman;Times;Serif"/>
              </w:rPr>
              <w:t>7.09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jc w:val="left"/>
              <w:rPr/>
            </w:pPr>
            <w:r>
              <w:rPr/>
              <w:t> </w:t>
            </w:r>
            <w:bookmarkStart w:id="646" w:name="xdx_989_eus-gaap--ShareBasedCompensation"/>
            <w:bookmarkEnd w:id="646"/>
          </w:p>
        </w:tc>
        <w:tc>
          <w:tcPr>
            <w:tcW w:w="85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Granted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647" w:name="xdx_985_eus-gaap--ShareBasedCompensation"/>
            <w:bookmarkEnd w:id="647"/>
          </w:p>
        </w:tc>
        <w:tc>
          <w:tcPr>
            <w:tcW w:w="10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6,893,752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 </w:t>
            </w:r>
            <w:bookmarkStart w:id="648" w:name="xdx_98E_eus-gaap--ShareBasedCompensation"/>
            <w:bookmarkEnd w:id="648"/>
          </w:p>
        </w:tc>
        <w:tc>
          <w:tcPr>
            <w:tcW w:w="110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0.87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 </w:t>
            </w:r>
          </w:p>
        </w:tc>
        <w:tc>
          <w:tcPr>
            <w:tcW w:w="131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jc w:val="left"/>
              <w:rPr/>
            </w:pPr>
            <w:r>
              <w:rPr/>
              <w:t> </w:t>
            </w:r>
          </w:p>
        </w:tc>
        <w:tc>
          <w:tcPr>
            <w:tcW w:w="85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649" w:name="xdx_983_eus-gaap--StockIssuedDuringPerio"/>
            <w:bookmarkEnd w:id="649"/>
          </w:p>
        </w:tc>
        <w:tc>
          <w:tcPr>
            <w:tcW w:w="10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(37,500</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pPr>
            <w:r>
              <w:rPr/>
              <w:t> </w:t>
            </w:r>
            <w:bookmarkStart w:id="650" w:name="xdx_985_eus-gaap--ShareBasedCompensation"/>
            <w:bookmarkEnd w:id="650"/>
          </w:p>
        </w:tc>
        <w:tc>
          <w:tcPr>
            <w:tcW w:w="1107"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jc w:val="left"/>
              <w:rPr/>
            </w:pPr>
            <w:r>
              <w:rPr/>
              <w:t> </w:t>
            </w:r>
          </w:p>
        </w:tc>
        <w:tc>
          <w:tcPr>
            <w:tcW w:w="131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jc w:val="left"/>
              <w:rPr/>
            </w:pPr>
            <w:r>
              <w:rPr/>
              <w:t> </w:t>
            </w:r>
          </w:p>
        </w:tc>
        <w:tc>
          <w:tcPr>
            <w:tcW w:w="856"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Unvested forfeited or expired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651" w:name="xdx_989_eus-gaap--ShareBasedCompensation"/>
            <w:bookmarkEnd w:id="651"/>
          </w:p>
        </w:tc>
        <w:tc>
          <w:tcPr>
            <w:tcW w:w="10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(515,941</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 </w:t>
            </w:r>
            <w:bookmarkStart w:id="652" w:name="xdx_98F_eus-gaap--ShareBasedCompensation"/>
            <w:bookmarkEnd w:id="652"/>
          </w:p>
        </w:tc>
        <w:tc>
          <w:tcPr>
            <w:tcW w:w="1107"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 </w:t>
            </w:r>
          </w:p>
        </w:tc>
        <w:tc>
          <w:tcPr>
            <w:tcW w:w="131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jc w:val="left"/>
              <w:rPr/>
            </w:pPr>
            <w:r>
              <w:rPr/>
              <w:t> </w:t>
            </w:r>
          </w:p>
        </w:tc>
        <w:tc>
          <w:tcPr>
            <w:tcW w:w="85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Vested forfeited or expired</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653" w:name="xdx_986_ecustom--ShareBasedCompensationA"/>
            <w:bookmarkEnd w:id="653"/>
          </w:p>
        </w:tc>
        <w:tc>
          <w:tcPr>
            <w:tcW w:w="10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(188,043</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352"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654" w:name="xdx_983_ecustom--ShareBasedCompensationA"/>
            <w:bookmarkEnd w:id="654"/>
          </w:p>
        </w:tc>
        <w:tc>
          <w:tcPr>
            <w:tcW w:w="1107"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11"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56"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Outstanding at December 31, 2020</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655" w:name="xdx_98C_eus-gaap--ShareBasedCompensation"/>
            <w:bookmarkEnd w:id="655"/>
          </w:p>
        </w:tc>
        <w:tc>
          <w:tcPr>
            <w:tcW w:w="105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9,417,898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56" w:name="xdx_98C_eus-gaap--ShareBasedCompensation"/>
            <w:bookmarkEnd w:id="656"/>
          </w:p>
        </w:tc>
        <w:tc>
          <w:tcPr>
            <w:tcW w:w="110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31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bookmarkStart w:id="657" w:name="xdx_90C_ecustom--SharebasedCompensationA"/>
            <w:bookmarkEnd w:id="657"/>
            <w:r>
              <w:rPr>
                <w:rFonts w:ascii="Times New Roman;Times;Serif" w:hAnsi="Times New Roman;Times;Serif"/>
              </w:rPr>
              <w:t>8.55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58" w:name="xdx_98E_eus-gaap--ShareBasedCompensation"/>
            <w:bookmarkEnd w:id="658"/>
          </w:p>
        </w:tc>
        <w:tc>
          <w:tcPr>
            <w:tcW w:w="85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78</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Exercisable at December 31, 2020</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659" w:name="xdx_989_eus-gaap--ShareBasedCompensation"/>
            <w:bookmarkEnd w:id="659"/>
          </w:p>
        </w:tc>
        <w:tc>
          <w:tcPr>
            <w:tcW w:w="10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2,266,440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60" w:name="xdx_98B_eus-gaap--ShareBasedCompensation"/>
            <w:bookmarkEnd w:id="660"/>
          </w:p>
        </w:tc>
        <w:tc>
          <w:tcPr>
            <w:tcW w:w="110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8"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31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bookmarkStart w:id="661" w:name="xdx_90E_eus-gaap--SharebasedCompensation"/>
            <w:bookmarkEnd w:id="661"/>
            <w:r>
              <w:rPr>
                <w:rFonts w:ascii="Times New Roman;Times;Serif" w:hAnsi="Times New Roman;Times;Serif"/>
              </w:rPr>
              <w:t>6.09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662" w:name="xdx_988_eus-gaap--SharebasedCompensation"/>
            <w:bookmarkEnd w:id="662"/>
          </w:p>
        </w:tc>
        <w:tc>
          <w:tcPr>
            <w:tcW w:w="85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78</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663" w:name="xdx_8A2_zwELaAfYQGf"/>
      <w:bookmarkEnd w:id="663"/>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2020, the Company approved options exercisable into </w:t>
      </w:r>
      <w:bookmarkStart w:id="664" w:name="xdx_90B_eus-gaap--ShareBasedCompensation"/>
      <w:bookmarkEnd w:id="664"/>
      <w:r>
        <w:rPr>
          <w:rFonts w:ascii="Times New Roman;Times;Serif" w:hAnsi="Times New Roman;Times;Serif"/>
          <w:b w:val="false"/>
          <w:i w:val="false"/>
          <w:caps w:val="false"/>
          <w:smallCaps w:val="false"/>
          <w:sz w:val="20"/>
        </w:rPr>
        <w:t xml:space="preserve">4,625,952 shares to be issued pursuant to Reed’s 2020 Equity Incentive Plan, and </w:t>
      </w:r>
      <w:bookmarkStart w:id="665" w:name="xdx_90E_eus-gaap--ShareBasedCompensation"/>
      <w:bookmarkEnd w:id="665"/>
      <w:r>
        <w:rPr>
          <w:rFonts w:ascii="Times New Roman;Times;Serif" w:hAnsi="Times New Roman;Times;Serif"/>
          <w:b w:val="false"/>
          <w:i w:val="false"/>
          <w:caps w:val="false"/>
          <w:smallCaps w:val="false"/>
          <w:sz w:val="20"/>
        </w:rPr>
        <w:t xml:space="preserve">2,267,800 shares to be issued pursuant to Reed’s 2017 Incentive Compensation Plan. </w:t>
      </w:r>
      <w:bookmarkStart w:id="666" w:name="xdx_905_eus-gaap--ShareBasedCompensation"/>
      <w:bookmarkEnd w:id="666"/>
      <w:r>
        <w:rPr>
          <w:rFonts w:ascii="Times New Roman;Times;Serif" w:hAnsi="Times New Roman;Times;Serif"/>
          <w:b w:val="false"/>
          <w:i w:val="false"/>
          <w:caps w:val="false"/>
          <w:smallCaps w:val="false"/>
          <w:sz w:val="20"/>
        </w:rPr>
        <w:t xml:space="preserve">6,558,752 options were issued to employees including </w:t>
      </w:r>
      <w:bookmarkStart w:id="667" w:name="xdx_90E_eus-gaap--SharebasedCompensation"/>
      <w:bookmarkEnd w:id="667"/>
      <w:r>
        <w:rPr>
          <w:rFonts w:ascii="Times New Roman;Times;Serif" w:hAnsi="Times New Roman;Times;Serif"/>
          <w:b w:val="false"/>
          <w:i w:val="false"/>
          <w:caps w:val="false"/>
          <w:smallCaps w:val="false"/>
          <w:sz w:val="20"/>
        </w:rPr>
        <w:t xml:space="preserve">3,279,376 options that vest annually over a </w:t>
      </w:r>
      <w:bookmarkStart w:id="668" w:name="xdx_90A_eus-gaap--ShareBasedCompensation"/>
      <w:bookmarkEnd w:id="668"/>
      <w:r>
        <w:rPr>
          <w:rFonts w:ascii="Times New Roman;Times;Serif" w:hAnsi="Times New Roman;Times;Serif"/>
          <w:b w:val="false"/>
          <w:i w:val="false"/>
          <w:caps w:val="false"/>
          <w:smallCaps w:val="false"/>
          <w:sz w:val="20"/>
        </w:rPr>
        <w:t xml:space="preserve">four-year vesting period, and </w:t>
      </w:r>
      <w:bookmarkStart w:id="669" w:name="xdx_90C_ecustom--SharebasedCompensationA"/>
      <w:bookmarkEnd w:id="669"/>
      <w:r>
        <w:rPr>
          <w:rFonts w:ascii="Times New Roman;Times;Serif" w:hAnsi="Times New Roman;Times;Serif"/>
          <w:b w:val="false"/>
          <w:i w:val="false"/>
          <w:caps w:val="false"/>
          <w:smallCaps w:val="false"/>
          <w:sz w:val="20"/>
        </w:rPr>
        <w:t xml:space="preserve">3,279,376 options that will vest based on performance criteria to be established by the board. In addition, </w:t>
      </w:r>
      <w:bookmarkStart w:id="670" w:name="xdx_900_eus-gaap--ShareBasedCompensation"/>
      <w:bookmarkEnd w:id="670"/>
      <w:r>
        <w:rPr>
          <w:rFonts w:ascii="Times New Roman;Times;Serif" w:hAnsi="Times New Roman;Times;Serif"/>
          <w:b w:val="false"/>
          <w:i w:val="false"/>
          <w:caps w:val="false"/>
          <w:smallCaps w:val="false"/>
          <w:sz w:val="20"/>
        </w:rPr>
        <w:t>335,000 options granted to consultants, board members, and former employees vest over various periods.</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F-19</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are exercisable at a weighted average price $</w:t>
      </w:r>
      <w:bookmarkStart w:id="671" w:name="xdx_90A_eus-gaap--SharePrice_c20201231__"/>
      <w:bookmarkEnd w:id="671"/>
      <w:r>
        <w:rPr>
          <w:rFonts w:ascii="Times New Roman;Times;Serif" w:hAnsi="Times New Roman;Times;Serif"/>
          <w:b w:val="false"/>
          <w:i w:val="false"/>
          <w:caps w:val="false"/>
          <w:smallCaps w:val="false"/>
          <w:sz w:val="20"/>
        </w:rPr>
        <w:t xml:space="preserve">0.87 per share and expire in </w:t>
      </w:r>
      <w:bookmarkStart w:id="672" w:name="xdx_90F_eus-gaap--SharebasedCompensation"/>
      <w:bookmarkEnd w:id="672"/>
      <w:r>
        <w:rPr>
          <w:rFonts w:ascii="Times New Roman;Times;Serif" w:hAnsi="Times New Roman;Times;Serif"/>
          <w:b w:val="false"/>
          <w:i w:val="false"/>
          <w:caps w:val="false"/>
          <w:smallCaps w:val="false"/>
          <w:sz w:val="20"/>
        </w:rPr>
        <w:t>ten years. The total fair value of these options at grant date was approximately $</w:t>
      </w:r>
      <w:bookmarkStart w:id="673" w:name="xdx_906_ecustom--ShareBasedCompensationA"/>
      <w:bookmarkEnd w:id="673"/>
      <w:r>
        <w:rPr>
          <w:rFonts w:ascii="Times New Roman;Times;Serif" w:hAnsi="Times New Roman;Times;Serif"/>
          <w:b w:val="false"/>
          <w:i w:val="false"/>
          <w:caps w:val="false"/>
          <w:smallCaps w:val="false"/>
          <w:sz w:val="20"/>
        </w:rPr>
        <w:t xml:space="preserve">3,561, which was determined using a Black-Scholes-Merton option pricing model with the following average assumption: average stock price of $0.87 per share, weight average expected term of </w:t>
      </w:r>
      <w:bookmarkStart w:id="674" w:name="xdx_90C_eus-gaap--SharebasedCompensation"/>
      <w:bookmarkEnd w:id="674"/>
      <w:r>
        <w:rPr>
          <w:rFonts w:ascii="Times New Roman;Times;Serif" w:hAnsi="Times New Roman;Times;Serif"/>
          <w:b w:val="false"/>
          <w:i w:val="false"/>
          <w:caps w:val="false"/>
          <w:smallCaps w:val="false"/>
          <w:sz w:val="20"/>
        </w:rPr>
        <w:t xml:space="preserve">5.91 years, weighted average volatility ranging from </w:t>
      </w:r>
      <w:bookmarkStart w:id="675" w:name="xdx_908_eus-gaap--ShareBasedCompensation"/>
      <w:bookmarkEnd w:id="675"/>
      <w:r>
        <w:rPr>
          <w:rFonts w:ascii="Times New Roman;Times;Serif" w:hAnsi="Times New Roman;Times;Serif"/>
          <w:b w:val="false"/>
          <w:i w:val="false"/>
          <w:caps w:val="false"/>
          <w:smallCaps w:val="false"/>
          <w:sz w:val="20"/>
        </w:rPr>
        <w:t xml:space="preserve">76%, dividend rate of </w:t>
      </w:r>
      <w:bookmarkStart w:id="676" w:name="xdx_909_eus-gaap--ShareBasedCompensation"/>
      <w:bookmarkEnd w:id="676"/>
      <w:r>
        <w:rPr>
          <w:rFonts w:ascii="Times New Roman;Times;Serif" w:hAnsi="Times New Roman;Times;Serif"/>
          <w:b w:val="false"/>
          <w:i w:val="false"/>
          <w:caps w:val="false"/>
          <w:smallCaps w:val="false"/>
          <w:sz w:val="20"/>
        </w:rPr>
        <w:t xml:space="preserve">0%, and weighted average risk-free interest rate of </w:t>
      </w:r>
      <w:bookmarkStart w:id="677" w:name="xdx_906_eus-gaap--ShareBasedCompensation"/>
      <w:bookmarkEnd w:id="677"/>
      <w:r>
        <w:rPr>
          <w:rFonts w:ascii="Times New Roman;Times;Serif" w:hAnsi="Times New Roman;Times;Serif"/>
          <w:b w:val="false"/>
          <w:i w:val="false"/>
          <w:caps w:val="false"/>
          <w:smallCaps w:val="false"/>
          <w:sz w:val="20"/>
        </w:rPr>
        <w:t xml:space="preserve">0.48%. The fair value of the options of $3,561 will be amortized as the options vest over a weighted average period of </w:t>
      </w:r>
      <w:bookmarkStart w:id="678" w:name="xdx_909_eus-gaap--ShareBasedCompensation"/>
      <w:bookmarkEnd w:id="678"/>
      <w:r>
        <w:rPr>
          <w:rFonts w:ascii="Times New Roman;Times;Serif" w:hAnsi="Times New Roman;Times;Serif"/>
          <w:b w:val="false"/>
          <w:i w:val="false"/>
          <w:caps w:val="false"/>
          <w:smallCaps w:val="false"/>
          <w:sz w:val="20"/>
        </w:rPr>
        <w:t>2.67 years.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2019, the Company approved options to be issued pursuant to Reed’s 2017 Incentive Compensation Plan to certain current employees totaling </w:t>
      </w:r>
      <w:bookmarkStart w:id="679" w:name="xdx_902_eus-gaap--ShareBasedCompensation"/>
      <w:bookmarkEnd w:id="679"/>
      <w:r>
        <w:rPr>
          <w:rFonts w:ascii="Times New Roman;Times;Serif" w:hAnsi="Times New Roman;Times;Serif"/>
          <w:b w:val="false"/>
          <w:i w:val="false"/>
          <w:caps w:val="false"/>
          <w:smallCaps w:val="false"/>
          <w:sz w:val="20"/>
        </w:rPr>
        <w:t xml:space="preserve">1,258,000 shares. One half of these options vest annually over a </w:t>
      </w:r>
      <w:bookmarkStart w:id="680" w:name="xdx_909_eus-gaap--ShareBasedCompensation"/>
      <w:bookmarkEnd w:id="680"/>
      <w:r>
        <w:rPr>
          <w:rFonts w:ascii="Times New Roman;Times;Serif" w:hAnsi="Times New Roman;Times;Serif"/>
          <w:b w:val="false"/>
          <w:i w:val="false"/>
          <w:caps w:val="false"/>
          <w:smallCaps w:val="false"/>
          <w:sz w:val="20"/>
        </w:rPr>
        <w:t xml:space="preserve">four-year vesting period; the other half of these options will vest based on performance criteria to be established by the board. In addition, during the year ended December 31, 2019, the Company granted options to purchase </w:t>
      </w:r>
      <w:bookmarkStart w:id="681" w:name="xdx_906_eus-gaap--ShareBasedCompensation"/>
      <w:bookmarkEnd w:id="681"/>
      <w:r>
        <w:rPr>
          <w:rFonts w:ascii="Times New Roman;Times;Serif" w:hAnsi="Times New Roman;Times;Serif"/>
          <w:b w:val="false"/>
          <w:i w:val="false"/>
          <w:caps w:val="false"/>
          <w:smallCaps w:val="false"/>
          <w:sz w:val="20"/>
        </w:rPr>
        <w:t xml:space="preserve">113,330 shares of common stock to new board members. Options granted to consultants, former employees, and board members vest at various periods. On September 11, 2019, the Company granted options to purchase </w:t>
      </w:r>
      <w:bookmarkStart w:id="682" w:name="xdx_907_eus-gaap--ShareBasedCompensation"/>
      <w:bookmarkEnd w:id="682"/>
      <w:r>
        <w:rPr>
          <w:rFonts w:ascii="Times New Roman;Times;Serif" w:hAnsi="Times New Roman;Times;Serif"/>
          <w:b w:val="false"/>
          <w:i w:val="false"/>
          <w:caps w:val="false"/>
          <w:smallCaps w:val="false"/>
          <w:sz w:val="20"/>
        </w:rPr>
        <w:t xml:space="preserve">60,510 shares of common stock to certain consultants. None of the options granted to the consultants to purchase 60,510 shares of common stock vested and were forfeited, resulting in </w:t>
      </w:r>
      <w:bookmarkStart w:id="683" w:name="xdx_908_eus-gaap--AllocatedShareBasedCom"/>
      <w:bookmarkEnd w:id="683"/>
      <w:r>
        <w:rPr>
          <w:rFonts w:ascii="Times New Roman;Times;Serif" w:hAnsi="Times New Roman;Times;Serif"/>
          <w:b w:val="false"/>
          <w:i w:val="false"/>
          <w:caps w:val="false"/>
          <w:smallCaps w:val="false"/>
          <w:sz w:val="20"/>
        </w:rPr>
        <w:t>no compensation expense.</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are exercisable at a price ranging from $</w:t>
      </w:r>
      <w:bookmarkStart w:id="684" w:name="xdx_900_eus-gaap--SharePrice_c20191231__"/>
      <w:bookmarkEnd w:id="684"/>
      <w:r>
        <w:rPr>
          <w:rFonts w:ascii="Times New Roman;Times;Serif" w:hAnsi="Times New Roman;Times;Serif"/>
          <w:b w:val="false"/>
          <w:i w:val="false"/>
          <w:caps w:val="false"/>
          <w:smallCaps w:val="false"/>
          <w:sz w:val="20"/>
        </w:rPr>
        <w:t>2.33 to $</w:t>
      </w:r>
      <w:bookmarkStart w:id="685" w:name="xdx_902_eus-gaap--SharePrice_c20191231__"/>
      <w:bookmarkEnd w:id="685"/>
      <w:r>
        <w:rPr>
          <w:rFonts w:ascii="Times New Roman;Times;Serif" w:hAnsi="Times New Roman;Times;Serif"/>
          <w:b w:val="false"/>
          <w:i w:val="false"/>
          <w:caps w:val="false"/>
          <w:smallCaps w:val="false"/>
          <w:sz w:val="20"/>
        </w:rPr>
        <w:t xml:space="preserve">3.37 per share and expire in </w:t>
      </w:r>
      <w:bookmarkStart w:id="686" w:name="xdx_90E_eus-gaap--SharebasedCompensation"/>
      <w:bookmarkEnd w:id="686"/>
      <w:r>
        <w:rPr>
          <w:rFonts w:ascii="Times New Roman;Times;Serif" w:hAnsi="Times New Roman;Times;Serif"/>
          <w:b w:val="false"/>
          <w:i w:val="false"/>
          <w:caps w:val="false"/>
          <w:smallCaps w:val="false"/>
          <w:sz w:val="20"/>
        </w:rPr>
        <w:t>ten years. Total fair value of these options at grant date was approximately $</w:t>
      </w:r>
      <w:bookmarkStart w:id="687" w:name="xdx_900_ecustom--ShareBasedCompensationA"/>
      <w:bookmarkEnd w:id="687"/>
      <w:r>
        <w:rPr>
          <w:rFonts w:ascii="Times New Roman;Times;Serif" w:hAnsi="Times New Roman;Times;Serif"/>
          <w:b w:val="false"/>
          <w:i w:val="false"/>
          <w:caps w:val="false"/>
          <w:smallCaps w:val="false"/>
          <w:sz w:val="20"/>
        </w:rPr>
        <w:t xml:space="preserve">911, which was determined using the Black-Scholes-Merton option pricing model with the following average assumption: stock price ranging from $2.33 to $3.37 per share, expected term of </w:t>
      </w:r>
      <w:bookmarkStart w:id="688" w:name="xdx_903_eus-gaap--SharebasedCompensation"/>
      <w:bookmarkEnd w:id="688"/>
      <w:r>
        <w:rPr>
          <w:rFonts w:ascii="Times New Roman;Times;Serif" w:hAnsi="Times New Roman;Times;Serif"/>
          <w:b w:val="false"/>
          <w:i w:val="false"/>
          <w:caps w:val="false"/>
          <w:smallCaps w:val="false"/>
          <w:sz w:val="20"/>
        </w:rPr>
        <w:t xml:space="preserve">seven years, volatility of </w:t>
      </w:r>
      <w:bookmarkStart w:id="689" w:name="xdx_90B_eus-gaap--ShareBasedCompensation"/>
      <w:bookmarkEnd w:id="689"/>
      <w:r>
        <w:rPr>
          <w:rFonts w:ascii="Times New Roman;Times;Serif" w:hAnsi="Times New Roman;Times;Serif"/>
          <w:b w:val="false"/>
          <w:i w:val="false"/>
          <w:caps w:val="false"/>
          <w:smallCaps w:val="false"/>
          <w:sz w:val="20"/>
        </w:rPr>
        <w:t xml:space="preserve">61%, dividend rate of </w:t>
      </w:r>
      <w:bookmarkStart w:id="690" w:name="xdx_908_eus-gaap--ShareBasedCompensation"/>
      <w:bookmarkEnd w:id="690"/>
      <w:r>
        <w:rPr>
          <w:rFonts w:ascii="Times New Roman;Times;Serif" w:hAnsi="Times New Roman;Times;Serif"/>
          <w:b w:val="false"/>
          <w:i w:val="false"/>
          <w:caps w:val="false"/>
          <w:smallCaps w:val="false"/>
          <w:sz w:val="20"/>
        </w:rPr>
        <w:t xml:space="preserve">0% and risk-free interest rate ranging from </w:t>
      </w:r>
      <w:bookmarkStart w:id="691" w:name="xdx_903_eus-gaap--ShareBasedCompensation"/>
      <w:bookmarkEnd w:id="691"/>
      <w:r>
        <w:rPr>
          <w:rFonts w:ascii="Times New Roman;Times;Serif" w:hAnsi="Times New Roman;Times;Serif"/>
          <w:b w:val="false"/>
          <w:i w:val="false"/>
          <w:caps w:val="false"/>
          <w:smallCaps w:val="false"/>
          <w:sz w:val="20"/>
        </w:rPr>
        <w:t xml:space="preserve">1.39% to </w:t>
      </w:r>
      <w:bookmarkStart w:id="692" w:name="xdx_90D_eus-gaap--ShareBasedCompensation"/>
      <w:bookmarkEnd w:id="692"/>
      <w:r>
        <w:rPr>
          <w:rFonts w:ascii="Times New Roman;Times;Serif" w:hAnsi="Times New Roman;Times;Serif"/>
          <w:b w:val="false"/>
          <w:i w:val="false"/>
          <w:caps w:val="false"/>
          <w:smallCaps w:val="false"/>
          <w:sz w:val="20"/>
        </w:rPr>
        <w:t xml:space="preserve">2.60%.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measurement of stock options granted in 2020 and 2019,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and 2019, the Company recognized $</w:t>
      </w:r>
      <w:bookmarkStart w:id="693" w:name="xdx_906_ecustom--FairValueOfVestedStockO"/>
      <w:bookmarkEnd w:id="693"/>
      <w:r>
        <w:rPr>
          <w:rFonts w:ascii="Times New Roman;Times;Serif" w:hAnsi="Times New Roman;Times;Serif"/>
          <w:b w:val="false"/>
          <w:i w:val="false"/>
          <w:caps w:val="false"/>
          <w:smallCaps w:val="false"/>
          <w:sz w:val="20"/>
        </w:rPr>
        <w:t>1,176 and $</w:t>
      </w:r>
      <w:bookmarkStart w:id="694" w:name="xdx_905_ecustom--FairValueOfVestedStockO"/>
      <w:bookmarkEnd w:id="694"/>
      <w:r>
        <w:rPr>
          <w:rFonts w:ascii="Times New Roman;Times;Serif" w:hAnsi="Times New Roman;Times;Serif"/>
          <w:b w:val="false"/>
          <w:i w:val="false"/>
          <w:caps w:val="false"/>
          <w:smallCaps w:val="false"/>
          <w:sz w:val="20"/>
        </w:rPr>
        <w:t>790 of compensation expense relating to vested stock options. As of December 31, 2020, the aggregate amount of unvested compensation related to stock options was approximately $</w:t>
      </w:r>
      <w:bookmarkStart w:id="695" w:name="xdx_908_eus-gaap--EmployeeServiceShareBa"/>
      <w:bookmarkEnd w:id="695"/>
      <w:r>
        <w:rPr>
          <w:rFonts w:ascii="Times New Roman;Times;Serif" w:hAnsi="Times New Roman;Times;Serif"/>
          <w:b w:val="false"/>
          <w:i w:val="false"/>
          <w:caps w:val="false"/>
          <w:smallCaps w:val="false"/>
          <w:sz w:val="20"/>
        </w:rPr>
        <w:t>3,561 which will be recorded as an expense in future periods as the options vest.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the outstanding options have an intrinsic value of $</w:t>
      </w:r>
      <w:bookmarkStart w:id="696" w:name="xdx_902_eus-gaap--ShareBasedCompensation"/>
      <w:bookmarkEnd w:id="696"/>
      <w:r>
        <w:rPr>
          <w:rFonts w:ascii="Times New Roman;Times;Serif" w:hAnsi="Times New Roman;Times;Serif"/>
          <w:b w:val="false"/>
          <w:i w:val="false"/>
          <w:caps w:val="false"/>
          <w:smallCaps w:val="false"/>
          <w:sz w:val="20"/>
        </w:rPr>
        <w:t>78. The aggregate intrinsic value was calculated as the difference between the closing market price as of December 31, 2020, which was $</w:t>
      </w:r>
      <w:bookmarkStart w:id="697" w:name="xdx_906_eus-gaap--SharePrice_c20201231__"/>
      <w:bookmarkEnd w:id="697"/>
      <w:r>
        <w:rPr>
          <w:rFonts w:ascii="Times New Roman;Times;Serif" w:hAnsi="Times New Roman;Times;Serif"/>
          <w:b w:val="false"/>
          <w:i w:val="false"/>
          <w:caps w:val="false"/>
          <w:smallCaps w:val="false"/>
          <w:sz w:val="20"/>
        </w:rPr>
        <w:t>0.59, and the exercise price of the outstanding stock options.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698" w:name="xdx_894_eus-gaap--ScheduleOfShareBasedCo"/>
      <w:bookmarkEnd w:id="698"/>
      <w:r>
        <w:rPr>
          <w:rFonts w:ascii="Times New Roman;Times;Serif" w:hAnsi="Times New Roman;Times;Serif"/>
          <w:b w:val="false"/>
          <w:i w:val="false"/>
          <w:caps w:val="false"/>
          <w:smallCaps w:val="false"/>
          <w:sz w:val="20"/>
        </w:rPr>
        <w:t>Additional information regarding options outstanding and exercisable as of December 31, 2020, is as follows: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699" w:name="xdx_8BE_zVqwJs8BmbJl"/>
      <w:bookmarkEnd w:id="699"/>
      <w:r>
        <w:rPr>
          <w:rFonts w:ascii="Times New Roman;Times;Serif" w:hAnsi="Times New Roman;Times;Serif"/>
          <w:b w:val="false"/>
          <w:i w:val="false"/>
          <w:caps w:val="false"/>
          <w:smallCaps w:val="false"/>
          <w:sz w:val="20"/>
        </w:rPr>
        <w:t>Schedule of Information Regarding Stock Options</w:t>
      </w:r>
    </w:p>
    <w:tbl>
      <w:tblPr>
        <w:tblW w:w="8390" w:type="dxa"/>
        <w:jc w:val="left"/>
        <w:tblInd w:w="0" w:type="dxa"/>
        <w:tblCellMar>
          <w:top w:w="0" w:type="dxa"/>
          <w:left w:w="0" w:type="dxa"/>
          <w:bottom w:w="0" w:type="dxa"/>
          <w:right w:w="0" w:type="dxa"/>
        </w:tblCellMar>
      </w:tblPr>
      <w:tblGrid>
        <w:gridCol w:w="1284"/>
        <w:gridCol w:w="1030"/>
        <w:gridCol w:w="60"/>
        <w:gridCol w:w="60"/>
        <w:gridCol w:w="67"/>
        <w:gridCol w:w="1108"/>
        <w:gridCol w:w="60"/>
        <w:gridCol w:w="60"/>
        <w:gridCol w:w="225"/>
        <w:gridCol w:w="710"/>
        <w:gridCol w:w="60"/>
        <w:gridCol w:w="60"/>
        <w:gridCol w:w="133"/>
        <w:gridCol w:w="982"/>
        <w:gridCol w:w="60"/>
        <w:gridCol w:w="60"/>
        <w:gridCol w:w="70"/>
        <w:gridCol w:w="1151"/>
        <w:gridCol w:w="70"/>
        <w:gridCol w:w="70"/>
        <w:gridCol w:w="225"/>
        <w:gridCol w:w="710"/>
        <w:gridCol w:w="75"/>
      </w:tblGrid>
      <w:tr>
        <w:trPr/>
        <w:tc>
          <w:tcPr>
            <w:tcW w:w="2314"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65" w:type="dxa"/>
            <w:gridSpan w:val="10"/>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Options Outstanding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96"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Options Exercisable</w:t>
            </w:r>
          </w:p>
        </w:tc>
        <w:tc>
          <w:tcPr>
            <w:tcW w:w="75" w:type="dxa"/>
            <w:tcBorders/>
            <w:shd w:fill="auto" w:val="clear"/>
            <w:vAlign w:val="center"/>
          </w:tcPr>
          <w:p>
            <w:pPr>
              <w:pStyle w:val="TableContents"/>
              <w:spacing w:before="0" w:after="283"/>
              <w:rPr/>
            </w:pPr>
            <w:r>
              <w:rPr/>
              <w:t> </w:t>
            </w:r>
          </w:p>
        </w:tc>
      </w:tr>
      <w:tr>
        <w:trPr/>
        <w:tc>
          <w:tcPr>
            <w:tcW w:w="23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Range of Exercise 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Number of</w:t>
              <w:br/>
              <w:t>Shares</w:t>
              <w:br/>
              <w:t>Outstanding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Weighted</w:t>
              <w:br/>
              <w:t>Average</w:t>
              <w:br/>
              <w:t>Exercise</w:t>
              <w:br/>
              <w:t>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Weighted</w:t>
              <w:br/>
              <w:t>Average</w:t>
              <w:br/>
              <w:t>Remaining</w:t>
              <w:br/>
              <w:t>Contractual</w:t>
              <w:br/>
              <w:t>Life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Number of</w:t>
              <w:br/>
              <w:t>Shares</w:t>
              <w:br/>
              <w:t>Exercisable</w:t>
            </w:r>
          </w:p>
        </w:tc>
        <w:tc>
          <w:tcPr>
            <w:tcW w:w="7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Weighted</w:t>
              <w:br/>
              <w:t>Average</w:t>
              <w:br/>
              <w:t>Exercise</w:t>
              <w:br/>
              <w:t>Price</w:t>
            </w:r>
          </w:p>
        </w:tc>
        <w:tc>
          <w:tcPr>
            <w:tcW w:w="75" w:type="dxa"/>
            <w:tcBorders/>
            <w:shd w:fill="auto" w:val="clear"/>
            <w:vAlign w:val="center"/>
          </w:tcPr>
          <w:p>
            <w:pPr>
              <w:pStyle w:val="TableContents"/>
              <w:spacing w:before="0" w:after="283"/>
              <w:rPr/>
            </w:pPr>
            <w:r>
              <w:rPr/>
              <w:t> </w:t>
            </w:r>
          </w:p>
        </w:tc>
      </w:tr>
      <w:tr>
        <w:trPr/>
        <w:tc>
          <w:tcPr>
            <w:tcW w:w="2314" w:type="dxa"/>
            <w:gridSpan w:val="2"/>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0" w:name="xdx_90E_eus-gaap--ShareBasedCompensation"/>
            <w:bookmarkEnd w:id="700"/>
            <w:r>
              <w:rPr>
                <w:rFonts w:ascii="Times New Roman;Times;Serif" w:hAnsi="Times New Roman;Times;Serif"/>
                <w:b w:val="false"/>
                <w:i w:val="false"/>
                <w:caps w:val="false"/>
                <w:smallCaps w:val="false"/>
                <w:sz w:val="20"/>
              </w:rPr>
              <w:t>0.50 - $</w:t>
            </w:r>
            <w:bookmarkStart w:id="701" w:name="xdx_90D_eus-gaap--ShareBasedCompensation"/>
            <w:bookmarkEnd w:id="701"/>
            <w:r>
              <w:rPr>
                <w:rFonts w:ascii="Times New Roman;Times;Serif" w:hAnsi="Times New Roman;Times;Serif"/>
                <w:b w:val="false"/>
                <w:i w:val="false"/>
                <w:caps w:val="false"/>
                <w:smallCaps w:val="false"/>
                <w:sz w:val="20"/>
              </w:rPr>
              <w:t>0.88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jc w:val="left"/>
              <w:rPr/>
            </w:pPr>
            <w:r>
              <w:rPr/>
              <w:t> </w:t>
            </w:r>
            <w:bookmarkStart w:id="702" w:name="xdx_98F_eus-gaap--ShareBasedCompensation"/>
            <w:bookmarkEnd w:id="702"/>
          </w:p>
        </w:tc>
        <w:tc>
          <w:tcPr>
            <w:tcW w:w="11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1,860,300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03" w:name="xdx_982_eus-gaap--SharebasedCompensation"/>
            <w:bookmarkEnd w:id="703"/>
          </w:p>
        </w:tc>
        <w:tc>
          <w:tcPr>
            <w:tcW w:w="7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0.66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82" w:type="dxa"/>
            <w:tcBorders/>
            <w:shd w:fill="CCEEFF" w:val="clear"/>
            <w:vAlign w:val="center"/>
          </w:tcPr>
          <w:p>
            <w:pPr>
              <w:pStyle w:val="TableContents"/>
              <w:spacing w:before="0" w:after="283"/>
              <w:jc w:val="right"/>
              <w:rPr>
                <w:rFonts w:ascii="Times New Roman;Times;Serif" w:hAnsi="Times New Roman;Times;Serif"/>
              </w:rPr>
            </w:pPr>
            <w:bookmarkStart w:id="704" w:name="xdx_909_eus-gaap--SharebasedCompensation"/>
            <w:bookmarkEnd w:id="704"/>
            <w:r>
              <w:rPr>
                <w:rFonts w:ascii="Times New Roman;Times;Serif" w:hAnsi="Times New Roman;Times;Serif"/>
              </w:rPr>
              <w:t>9.05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bookmarkStart w:id="705" w:name="xdx_98E_eus-gaap--ShareBasedCompensation"/>
            <w:bookmarkEnd w:id="705"/>
          </w:p>
        </w:tc>
        <w:tc>
          <w:tcPr>
            <w:tcW w:w="115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860,300</w:t>
            </w:r>
          </w:p>
        </w:tc>
        <w:tc>
          <w:tcPr>
            <w:tcW w:w="70" w:type="dxa"/>
            <w:tcBorders/>
            <w:shd w:fill="CCEEFF" w:val="clear"/>
            <w:vAlign w:val="center"/>
          </w:tcPr>
          <w:p>
            <w:pPr>
              <w:pStyle w:val="TableContents"/>
              <w:spacing w:before="0" w:after="283"/>
              <w:jc w:val="left"/>
              <w:rPr/>
            </w:pPr>
            <w:r>
              <w:rPr/>
              <w:t> </w:t>
            </w:r>
          </w:p>
        </w:tc>
        <w:tc>
          <w:tcPr>
            <w:tcW w:w="7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06" w:name="xdx_98C_eus-gaap--SharebasedCompensation"/>
            <w:bookmarkEnd w:id="706"/>
          </w:p>
        </w:tc>
        <w:tc>
          <w:tcPr>
            <w:tcW w:w="7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0.50</w:t>
            </w:r>
          </w:p>
        </w:tc>
        <w:tc>
          <w:tcPr>
            <w:tcW w:w="75" w:type="dxa"/>
            <w:tcBorders/>
            <w:shd w:fill="CCEEFF" w:val="clear"/>
            <w:vAlign w:val="center"/>
          </w:tcPr>
          <w:p>
            <w:pPr>
              <w:pStyle w:val="TableContents"/>
              <w:spacing w:before="0" w:after="283"/>
              <w:jc w:val="left"/>
              <w:rPr/>
            </w:pPr>
            <w:r>
              <w:rPr/>
              <w:t> </w:t>
            </w:r>
          </w:p>
        </w:tc>
      </w:tr>
      <w:tr>
        <w:trPr/>
        <w:tc>
          <w:tcPr>
            <w:tcW w:w="2314" w:type="dxa"/>
            <w:gridSpan w:val="2"/>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7" w:name="xdx_90A_eus-gaap--ShareBasedCompensation"/>
            <w:bookmarkEnd w:id="707"/>
            <w:r>
              <w:rPr>
                <w:rFonts w:ascii="Times New Roman;Times;Serif" w:hAnsi="Times New Roman;Times;Serif"/>
                <w:b w:val="false"/>
                <w:i w:val="false"/>
                <w:caps w:val="false"/>
                <w:smallCaps w:val="false"/>
                <w:sz w:val="20"/>
              </w:rPr>
              <w:t>0.89 - $</w:t>
            </w:r>
            <w:bookmarkStart w:id="708" w:name="xdx_90F_eus-gaap--ShareBasedCompensation"/>
            <w:bookmarkEnd w:id="708"/>
            <w:r>
              <w:rPr>
                <w:rFonts w:ascii="Times New Roman;Times;Serif" w:hAnsi="Times New Roman;Times;Serif"/>
                <w:b w:val="false"/>
                <w:i w:val="false"/>
                <w:caps w:val="false"/>
                <w:smallCaps w:val="false"/>
                <w:sz w:val="20"/>
              </w:rPr>
              <w:t>1.34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jc w:val="left"/>
              <w:rPr/>
            </w:pPr>
            <w:r>
              <w:rPr/>
              <w:t> </w:t>
            </w:r>
            <w:bookmarkStart w:id="709" w:name="xdx_981_eus-gaap--ShareBasedCompensation"/>
            <w:bookmarkEnd w:id="709"/>
          </w:p>
        </w:tc>
        <w:tc>
          <w:tcPr>
            <w:tcW w:w="110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4,975,952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jc w:val="left"/>
              <w:rPr/>
            </w:pPr>
            <w:r>
              <w:rPr/>
              <w:t> </w:t>
            </w:r>
            <w:bookmarkStart w:id="710" w:name="xdx_980_eus-gaap--SharebasedCompensation"/>
            <w:bookmarkEnd w:id="710"/>
          </w:p>
        </w:tc>
        <w:tc>
          <w:tcPr>
            <w:tcW w:w="71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0.95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82" w:type="dxa"/>
            <w:tcBorders/>
            <w:shd w:fill="FFFFFF" w:val="clear"/>
            <w:vAlign w:val="center"/>
          </w:tcPr>
          <w:p>
            <w:pPr>
              <w:pStyle w:val="TableContents"/>
              <w:spacing w:before="0" w:after="283"/>
              <w:jc w:val="right"/>
              <w:rPr>
                <w:rFonts w:ascii="Times New Roman;Times;Serif" w:hAnsi="Times New Roman;Times;Serif"/>
              </w:rPr>
            </w:pPr>
            <w:bookmarkStart w:id="711" w:name="xdx_901_eus-gaap--SharebasedCompensation"/>
            <w:bookmarkEnd w:id="711"/>
            <w:r>
              <w:rPr>
                <w:rFonts w:ascii="Times New Roman;Times;Serif" w:hAnsi="Times New Roman;Times;Serif"/>
              </w:rPr>
              <w:t>9.70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jc w:val="left"/>
              <w:rPr/>
            </w:pPr>
            <w:r>
              <w:rPr/>
              <w:t> </w:t>
            </w:r>
            <w:bookmarkStart w:id="712" w:name="xdx_98C_eus-gaap--ShareBasedCompensation"/>
            <w:bookmarkEnd w:id="712"/>
          </w:p>
        </w:tc>
        <w:tc>
          <w:tcPr>
            <w:tcW w:w="115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0" w:type="dxa"/>
            <w:tcBorders/>
            <w:shd w:fill="FFFFFF" w:val="clear"/>
            <w:vAlign w:val="center"/>
          </w:tcPr>
          <w:p>
            <w:pPr>
              <w:pStyle w:val="TableContents"/>
              <w:spacing w:before="0" w:after="283"/>
              <w:jc w:val="left"/>
              <w:rPr/>
            </w:pPr>
            <w:r>
              <w:rPr/>
              <w:t> </w:t>
            </w:r>
          </w:p>
        </w:tc>
        <w:tc>
          <w:tcPr>
            <w:tcW w:w="7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jc w:val="left"/>
              <w:rPr/>
            </w:pPr>
            <w:r>
              <w:rPr/>
              <w:t> </w:t>
            </w:r>
            <w:bookmarkStart w:id="713" w:name="xdx_988_eus-gaap--SharebasedCompensation"/>
            <w:bookmarkEnd w:id="713"/>
          </w:p>
        </w:tc>
        <w:tc>
          <w:tcPr>
            <w:tcW w:w="71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2314" w:type="dxa"/>
            <w:gridSpan w:val="2"/>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4" w:name="xdx_90D_eus-gaap--ShareBasedCompensation"/>
            <w:bookmarkEnd w:id="714"/>
            <w:r>
              <w:rPr>
                <w:rFonts w:ascii="Times New Roman;Times;Serif" w:hAnsi="Times New Roman;Times;Serif"/>
                <w:b w:val="false"/>
                <w:i w:val="false"/>
                <w:caps w:val="false"/>
                <w:smallCaps w:val="false"/>
                <w:sz w:val="20"/>
              </w:rPr>
              <w:t>2.49 - $</w:t>
            </w:r>
            <w:bookmarkStart w:id="715" w:name="xdx_906_eus-gaap--ShareBasedCompensation"/>
            <w:bookmarkEnd w:id="715"/>
            <w:r>
              <w:rPr>
                <w:rFonts w:ascii="Times New Roman;Times;Serif" w:hAnsi="Times New Roman;Times;Serif"/>
                <w:b w:val="false"/>
                <w:i w:val="false"/>
                <w:caps w:val="false"/>
                <w:smallCaps w:val="false"/>
                <w:sz w:val="20"/>
              </w:rPr>
              <w:t>3.74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jc w:val="left"/>
              <w:rPr/>
            </w:pPr>
            <w:r>
              <w:rPr/>
              <w:t> </w:t>
            </w:r>
            <w:bookmarkStart w:id="716" w:name="xdx_982_eus-gaap--ShareBasedCompensation"/>
            <w:bookmarkEnd w:id="716"/>
          </w:p>
        </w:tc>
        <w:tc>
          <w:tcPr>
            <w:tcW w:w="11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1,899,605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jc w:val="left"/>
              <w:rPr/>
            </w:pPr>
            <w:r>
              <w:rPr/>
              <w:t> </w:t>
            </w:r>
            <w:bookmarkStart w:id="717" w:name="xdx_985_eus-gaap--SharebasedCompensation"/>
            <w:bookmarkEnd w:id="717"/>
          </w:p>
        </w:tc>
        <w:tc>
          <w:tcPr>
            <w:tcW w:w="7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82" w:type="dxa"/>
            <w:tcBorders/>
            <w:shd w:fill="CCEEFF" w:val="clear"/>
            <w:vAlign w:val="center"/>
          </w:tcPr>
          <w:p>
            <w:pPr>
              <w:pStyle w:val="TableContents"/>
              <w:spacing w:before="0" w:after="283"/>
              <w:jc w:val="right"/>
              <w:rPr>
                <w:rFonts w:ascii="Times New Roman;Times;Serif" w:hAnsi="Times New Roman;Times;Serif"/>
              </w:rPr>
            </w:pPr>
            <w:bookmarkStart w:id="718" w:name="xdx_907_eus-gaap--SharebasedCompensation"/>
            <w:bookmarkEnd w:id="718"/>
            <w:r>
              <w:rPr>
                <w:rFonts w:ascii="Times New Roman;Times;Serif" w:hAnsi="Times New Roman;Times;Serif"/>
              </w:rPr>
              <w:t>5.96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bookmarkStart w:id="719" w:name="xdx_986_eus-gaap--ShareBasedCompensation"/>
            <w:bookmarkEnd w:id="719"/>
          </w:p>
        </w:tc>
        <w:tc>
          <w:tcPr>
            <w:tcW w:w="115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1,060,240</w:t>
            </w:r>
          </w:p>
        </w:tc>
        <w:tc>
          <w:tcPr>
            <w:tcW w:w="70" w:type="dxa"/>
            <w:tcBorders/>
            <w:shd w:fill="CCEEFF" w:val="clear"/>
            <w:vAlign w:val="center"/>
          </w:tcPr>
          <w:p>
            <w:pPr>
              <w:pStyle w:val="TableContents"/>
              <w:spacing w:before="0" w:after="283"/>
              <w:jc w:val="left"/>
              <w:rPr/>
            </w:pPr>
            <w:r>
              <w:rPr/>
              <w:t> </w:t>
            </w:r>
          </w:p>
        </w:tc>
        <w:tc>
          <w:tcPr>
            <w:tcW w:w="7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jc w:val="left"/>
              <w:rPr/>
            </w:pPr>
            <w:r>
              <w:rPr/>
              <w:t> </w:t>
            </w:r>
            <w:bookmarkStart w:id="720" w:name="xdx_989_eus-gaap--SharebasedCompensation"/>
            <w:bookmarkEnd w:id="720"/>
          </w:p>
        </w:tc>
        <w:tc>
          <w:tcPr>
            <w:tcW w:w="7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1.72</w:t>
            </w:r>
          </w:p>
        </w:tc>
        <w:tc>
          <w:tcPr>
            <w:tcW w:w="75" w:type="dxa"/>
            <w:tcBorders/>
            <w:shd w:fill="CCEEFF" w:val="clear"/>
            <w:vAlign w:val="center"/>
          </w:tcPr>
          <w:p>
            <w:pPr>
              <w:pStyle w:val="TableContents"/>
              <w:spacing w:before="0" w:after="283"/>
              <w:jc w:val="left"/>
              <w:rPr/>
            </w:pPr>
            <w:r>
              <w:rPr/>
              <w:t> </w:t>
            </w:r>
          </w:p>
        </w:tc>
      </w:tr>
      <w:tr>
        <w:trPr/>
        <w:tc>
          <w:tcPr>
            <w:tcW w:w="2314" w:type="dxa"/>
            <w:gridSpan w:val="2"/>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21" w:name="xdx_907_eus-gaap--ShareBasedCompensation"/>
            <w:bookmarkEnd w:id="721"/>
            <w:r>
              <w:rPr>
                <w:rFonts w:ascii="Times New Roman;Times;Serif" w:hAnsi="Times New Roman;Times;Serif"/>
                <w:b w:val="false"/>
                <w:i w:val="false"/>
                <w:caps w:val="false"/>
                <w:smallCaps w:val="false"/>
                <w:sz w:val="20"/>
              </w:rPr>
              <w:t>2.49 - $</w:t>
            </w:r>
            <w:bookmarkStart w:id="722" w:name="xdx_904_eus-gaap--ShareBasedCompensation"/>
            <w:bookmarkEnd w:id="722"/>
            <w:r>
              <w:rPr>
                <w:rFonts w:ascii="Times New Roman;Times;Serif" w:hAnsi="Times New Roman;Times;Serif"/>
                <w:b w:val="false"/>
                <w:i w:val="false"/>
                <w:caps w:val="false"/>
                <w:smallCaps w:val="false"/>
                <w:sz w:val="20"/>
              </w:rPr>
              <w:t>3.74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jc w:val="left"/>
              <w:rPr/>
            </w:pPr>
            <w:r>
              <w:rPr/>
              <w:t> </w:t>
            </w:r>
            <w:bookmarkStart w:id="723" w:name="xdx_98A_eus-gaap--ShareBasedCompensation"/>
            <w:bookmarkEnd w:id="723"/>
          </w:p>
        </w:tc>
        <w:tc>
          <w:tcPr>
            <w:tcW w:w="1108"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582,091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jc w:val="left"/>
              <w:rPr/>
            </w:pPr>
            <w:r>
              <w:rPr/>
              <w:t> </w:t>
            </w:r>
            <w:bookmarkStart w:id="724" w:name="xdx_984_eus-gaap--SharebasedCompensation"/>
            <w:bookmarkEnd w:id="724"/>
          </w:p>
        </w:tc>
        <w:tc>
          <w:tcPr>
            <w:tcW w:w="71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982" w:type="dxa"/>
            <w:tcBorders/>
            <w:shd w:fill="FFFFFF" w:val="clear"/>
            <w:vAlign w:val="center"/>
          </w:tcPr>
          <w:p>
            <w:pPr>
              <w:pStyle w:val="TableContents"/>
              <w:spacing w:before="0" w:after="283"/>
              <w:jc w:val="right"/>
              <w:rPr>
                <w:rFonts w:ascii="Times New Roman;Times;Serif" w:hAnsi="Times New Roman;Times;Serif"/>
              </w:rPr>
            </w:pPr>
            <w:bookmarkStart w:id="725" w:name="xdx_905_eus-gaap--SharebasedCompensation"/>
            <w:bookmarkEnd w:id="725"/>
            <w:r>
              <w:rPr>
                <w:rFonts w:ascii="Times New Roman;Times;Serif" w:hAnsi="Times New Roman;Times;Serif"/>
              </w:rPr>
              <w:t>6.92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jc w:val="left"/>
              <w:rPr/>
            </w:pPr>
            <w:r>
              <w:rPr/>
              <w:t> </w:t>
            </w:r>
            <w:bookmarkStart w:id="726" w:name="xdx_985_eus-gaap--ShareBasedCompensation"/>
            <w:bookmarkEnd w:id="726"/>
          </w:p>
        </w:tc>
        <w:tc>
          <w:tcPr>
            <w:tcW w:w="115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245,950</w:t>
            </w:r>
          </w:p>
        </w:tc>
        <w:tc>
          <w:tcPr>
            <w:tcW w:w="70" w:type="dxa"/>
            <w:tcBorders/>
            <w:shd w:fill="FFFFFF" w:val="clear"/>
            <w:vAlign w:val="center"/>
          </w:tcPr>
          <w:p>
            <w:pPr>
              <w:pStyle w:val="TableContents"/>
              <w:spacing w:before="0" w:after="283"/>
              <w:jc w:val="left"/>
              <w:rPr/>
            </w:pPr>
            <w:r>
              <w:rPr/>
              <w:t> </w:t>
            </w:r>
          </w:p>
        </w:tc>
        <w:tc>
          <w:tcPr>
            <w:tcW w:w="7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jc w:val="left"/>
              <w:rPr/>
            </w:pPr>
            <w:r>
              <w:rPr/>
              <w:t> </w:t>
            </w:r>
            <w:bookmarkStart w:id="727" w:name="xdx_987_eus-gaap--SharebasedCompensation"/>
            <w:bookmarkEnd w:id="727"/>
          </w:p>
        </w:tc>
        <w:tc>
          <w:tcPr>
            <w:tcW w:w="71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2.69</w:t>
            </w:r>
          </w:p>
        </w:tc>
        <w:tc>
          <w:tcPr>
            <w:tcW w:w="75" w:type="dxa"/>
            <w:tcBorders/>
            <w:shd w:fill="FFFFFF" w:val="clear"/>
            <w:vAlign w:val="center"/>
          </w:tcPr>
          <w:p>
            <w:pPr>
              <w:pStyle w:val="TableContents"/>
              <w:spacing w:before="0" w:after="283"/>
              <w:jc w:val="left"/>
              <w:rPr/>
            </w:pPr>
            <w:r>
              <w:rPr/>
              <w:t> </w:t>
            </w:r>
          </w:p>
        </w:tc>
      </w:tr>
      <w:tr>
        <w:trPr/>
        <w:tc>
          <w:tcPr>
            <w:tcW w:w="2314" w:type="dxa"/>
            <w:gridSpan w:val="2"/>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28" w:name="xdx_900_eus-gaap--ShareBasedCompensation"/>
            <w:bookmarkEnd w:id="728"/>
            <w:r>
              <w:rPr>
                <w:rFonts w:ascii="Times New Roman;Times;Serif" w:hAnsi="Times New Roman;Times;Serif"/>
                <w:b w:val="false"/>
                <w:i w:val="false"/>
                <w:caps w:val="false"/>
                <w:smallCaps w:val="false"/>
                <w:sz w:val="20"/>
              </w:rPr>
              <w:t>5.01 - $</w:t>
            </w:r>
            <w:bookmarkStart w:id="729" w:name="xdx_90E_eus-gaap--ShareBasedCompensation"/>
            <w:bookmarkEnd w:id="729"/>
            <w:r>
              <w:rPr>
                <w:rFonts w:ascii="Times New Roman;Times;Serif" w:hAnsi="Times New Roman;Times;Serif"/>
                <w:b w:val="false"/>
                <w:i w:val="false"/>
                <w:caps w:val="false"/>
                <w:smallCaps w:val="false"/>
                <w:sz w:val="20"/>
              </w:rPr>
              <w:t>5.01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730" w:name="xdx_98F_eus-gaap--ShareBasedCompensation"/>
            <w:bookmarkEnd w:id="730"/>
          </w:p>
        </w:tc>
        <w:tc>
          <w:tcPr>
            <w:tcW w:w="110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99,950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5"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731" w:name="xdx_988_eus-gaap--SharebasedCompensation"/>
            <w:bookmarkEnd w:id="731"/>
          </w:p>
        </w:tc>
        <w:tc>
          <w:tcPr>
            <w:tcW w:w="7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bookmarkStart w:id="732" w:name="xdx_901_eus-gaap--SharebasedCompensation"/>
            <w:bookmarkEnd w:id="732"/>
            <w:r>
              <w:rPr>
                <w:rFonts w:ascii="Times New Roman;Times;Serif" w:hAnsi="Times New Roman;Times;Serif"/>
              </w:rPr>
              <w:t>1.05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733" w:name="xdx_989_eus-gaap--ShareBasedCompensation"/>
            <w:bookmarkEnd w:id="733"/>
          </w:p>
        </w:tc>
        <w:tc>
          <w:tcPr>
            <w:tcW w:w="115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99,950</w:t>
            </w:r>
          </w:p>
        </w:tc>
        <w:tc>
          <w:tcPr>
            <w:tcW w:w="70" w:type="dxa"/>
            <w:tcBorders/>
            <w:shd w:fill="CCEEFF" w:val="clear"/>
            <w:vAlign w:val="center"/>
          </w:tcPr>
          <w:p>
            <w:pPr>
              <w:pStyle w:val="TableContents"/>
              <w:spacing w:before="0" w:after="283"/>
              <w:jc w:val="left"/>
              <w:rPr/>
            </w:pPr>
            <w:r>
              <w:rPr/>
              <w:t> </w:t>
            </w:r>
          </w:p>
        </w:tc>
        <w:tc>
          <w:tcPr>
            <w:tcW w:w="70" w:type="dxa"/>
            <w:tcBorders/>
            <w:shd w:fill="CCEEFF" w:val="clear"/>
            <w:vAlign w:val="center"/>
          </w:tcPr>
          <w:p>
            <w:pPr>
              <w:pStyle w:val="TableContents"/>
              <w:spacing w:before="0" w:after="283"/>
              <w:rPr/>
            </w:pPr>
            <w:r>
              <w:rPr/>
              <w:t> </w:t>
            </w:r>
          </w:p>
        </w:tc>
        <w:tc>
          <w:tcPr>
            <w:tcW w:w="225"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734" w:name="xdx_98B_eus-gaap--SharebasedCompensation"/>
            <w:bookmarkEnd w:id="734"/>
          </w:p>
        </w:tc>
        <w:tc>
          <w:tcPr>
            <w:tcW w:w="7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3.74</w:t>
            </w:r>
          </w:p>
        </w:tc>
        <w:tc>
          <w:tcPr>
            <w:tcW w:w="75" w:type="dxa"/>
            <w:tcBorders/>
            <w:shd w:fill="CCEEFF" w:val="clear"/>
            <w:vAlign w:val="center"/>
          </w:tcPr>
          <w:p>
            <w:pPr>
              <w:pStyle w:val="TableContents"/>
              <w:spacing w:before="0" w:after="283"/>
              <w:jc w:val="left"/>
              <w:rPr/>
            </w:pPr>
            <w:r>
              <w:rPr/>
              <w:t> </w:t>
            </w:r>
          </w:p>
        </w:tc>
      </w:tr>
      <w:tr>
        <w:trPr/>
        <w:tc>
          <w:tcPr>
            <w:tcW w:w="1284" w:type="dxa"/>
            <w:tcBorders/>
            <w:shd w:fill="FFFFFF" w:val="clear"/>
            <w:vAlign w:val="center"/>
          </w:tcPr>
          <w:p>
            <w:pPr>
              <w:pStyle w:val="TableContents"/>
              <w:spacing w:before="0" w:after="283"/>
              <w:jc w:val="left"/>
              <w:rPr/>
            </w:pPr>
            <w:r>
              <w:rPr/>
              <w:t> </w:t>
            </w:r>
          </w:p>
        </w:tc>
        <w:tc>
          <w:tcPr>
            <w:tcW w:w="103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7"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735" w:name="xdx_982_eus-gaap--ShareBasedCompensation"/>
            <w:bookmarkEnd w:id="735"/>
          </w:p>
        </w:tc>
        <w:tc>
          <w:tcPr>
            <w:tcW w:w="110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9,417,898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36" w:name="xdx_98D_eus-gaap--SharebasedCompensation"/>
            <w:bookmarkEnd w:id="736"/>
          </w:p>
        </w:tc>
        <w:tc>
          <w:tcPr>
            <w:tcW w:w="71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3"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98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bookmarkStart w:id="737" w:name="xdx_90E_eus-gaap--SharebasedCompensation"/>
            <w:bookmarkEnd w:id="737"/>
            <w:r>
              <w:rPr>
                <w:rFonts w:ascii="Times New Roman;Times;Serif" w:hAnsi="Times New Roman;Times;Serif"/>
              </w:rPr>
              <w:t>8.55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738" w:name="xdx_98F_eus-gaap--ShareBasedCompensation"/>
            <w:bookmarkEnd w:id="738"/>
          </w:p>
        </w:tc>
        <w:tc>
          <w:tcPr>
            <w:tcW w:w="115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2,266,440</w:t>
            </w:r>
          </w:p>
        </w:tc>
        <w:tc>
          <w:tcPr>
            <w:tcW w:w="70" w:type="dxa"/>
            <w:tcBorders/>
            <w:shd w:fill="FFFFFF" w:val="clear"/>
            <w:vAlign w:val="center"/>
          </w:tcPr>
          <w:p>
            <w:pPr>
              <w:pStyle w:val="TableContents"/>
              <w:spacing w:before="0" w:after="283"/>
              <w:jc w:val="left"/>
              <w:rPr/>
            </w:pPr>
            <w:r>
              <w:rPr/>
              <w:t> </w:t>
            </w:r>
          </w:p>
        </w:tc>
        <w:tc>
          <w:tcPr>
            <w:tcW w:w="70" w:type="dxa"/>
            <w:tcBorders/>
            <w:shd w:fill="FFFFFF" w:val="clear"/>
            <w:vAlign w:val="center"/>
          </w:tcPr>
          <w:p>
            <w:pPr>
              <w:pStyle w:val="TableContents"/>
              <w:spacing w:before="0" w:after="283"/>
              <w:rPr/>
            </w:pPr>
            <w:r>
              <w:rPr/>
              <w:t> </w:t>
            </w:r>
          </w:p>
        </w:tc>
        <w:tc>
          <w:tcPr>
            <w:tcW w:w="2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39" w:name="xdx_989_eus-gaap--SharebasedCompensation"/>
            <w:bookmarkEnd w:id="739"/>
          </w:p>
        </w:tc>
        <w:tc>
          <w:tcPr>
            <w:tcW w:w="71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1.45</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740" w:name="xdx_8AB_zOVEp62ZOhbe"/>
      <w:bookmarkEnd w:id="740"/>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F-20</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741" w:name="xdx_809_ecustom--StockWarrantsTextBlock_"/>
      <w:bookmarkEnd w:id="741"/>
      <w:r>
        <w:rPr>
          <w:rFonts w:ascii="Times New Roman;Times;Serif" w:hAnsi="Times New Roman;Times;Serif"/>
          <w:b/>
          <w:i w:val="false"/>
          <w:caps w:val="false"/>
          <w:smallCaps w:val="false"/>
          <w:sz w:val="20"/>
        </w:rPr>
        <w:t xml:space="preserve">13. </w:t>
      </w:r>
      <w:bookmarkStart w:id="742" w:name="xdx_826_z1JllZuxvYa8"/>
      <w:bookmarkEnd w:id="742"/>
      <w:r>
        <w:rPr>
          <w:rFonts w:ascii="Times New Roman;Times;Serif" w:hAnsi="Times New Roman;Times;Serif"/>
          <w:b/>
          <w:i w:val="false"/>
          <w:caps w:val="false"/>
          <w:smallCaps w:val="false"/>
          <w:sz w:val="20"/>
        </w:rPr>
        <w:t>Stock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2020, the Company has issued warrants to purchase an aggregate of </w:t>
      </w:r>
      <w:bookmarkStart w:id="743" w:name="xdx_90D_eus-gaap--ClassOfWarrantOrRightN"/>
      <w:bookmarkEnd w:id="743"/>
      <w:r>
        <w:rPr>
          <w:rFonts w:ascii="Times New Roman;Times;Serif" w:hAnsi="Times New Roman;Times;Serif"/>
          <w:b w:val="false"/>
          <w:i w:val="false"/>
          <w:caps w:val="false"/>
          <w:smallCaps w:val="false"/>
          <w:sz w:val="20"/>
        </w:rPr>
        <w:t>3,362,241 shares of common stock. The Company’s warrant activity during the years ended December 31, 2020 and 2019 is as follows: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744" w:name="xdx_8BF_zxfbap7OEr6f"/>
      <w:bookmarkStart w:id="745" w:name="xdx_89A_eus-gaap--ScheduleOfStockholders"/>
      <w:bookmarkEnd w:id="744"/>
      <w:bookmarkEnd w:id="745"/>
      <w:r>
        <w:rPr>
          <w:rFonts w:ascii="Times New Roman;Times;Serif" w:hAnsi="Times New Roman;Times;Serif"/>
          <w:b w:val="false"/>
          <w:i w:val="false"/>
          <w:caps w:val="false"/>
          <w:smallCaps w:val="false"/>
          <w:sz w:val="20"/>
        </w:rPr>
        <w:t>Schedule of Warrant Activity</w:t>
      </w:r>
    </w:p>
    <w:tbl>
      <w:tblPr>
        <w:tblW w:w="10205" w:type="dxa"/>
        <w:jc w:val="left"/>
        <w:tblInd w:w="0" w:type="dxa"/>
        <w:tblCellMar>
          <w:top w:w="0" w:type="dxa"/>
          <w:left w:w="0" w:type="dxa"/>
          <w:bottom w:w="0" w:type="dxa"/>
          <w:right w:w="0" w:type="dxa"/>
        </w:tblCellMar>
      </w:tblPr>
      <w:tblGrid>
        <w:gridCol w:w="1985"/>
        <w:gridCol w:w="60"/>
        <w:gridCol w:w="60"/>
        <w:gridCol w:w="1055"/>
        <w:gridCol w:w="95"/>
        <w:gridCol w:w="60"/>
        <w:gridCol w:w="333"/>
        <w:gridCol w:w="1196"/>
        <w:gridCol w:w="60"/>
        <w:gridCol w:w="60"/>
        <w:gridCol w:w="362"/>
        <w:gridCol w:w="3031"/>
        <w:gridCol w:w="60"/>
        <w:gridCol w:w="60"/>
        <w:gridCol w:w="330"/>
        <w:gridCol w:w="1320"/>
        <w:gridCol w:w="78"/>
      </w:tblGrid>
      <w:tr>
        <w:trPr/>
        <w:tc>
          <w:tcPr>
            <w:tcW w:w="19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9"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rPr>
            </w:pPr>
            <w:r>
              <w:rPr>
                <w:rFonts w:ascii="Times New Roman;Times;Serif" w:hAnsi="Times New Roman;Times;Serif"/>
                <w:b/>
              </w:rPr>
              <w:t>Weighted</w:t>
            </w:r>
          </w:p>
          <w:p>
            <w:pPr>
              <w:pStyle w:val="TableContents"/>
              <w:spacing w:before="0" w:after="283"/>
              <w:jc w:val="center"/>
              <w:rPr>
                <w:rFonts w:ascii="Times New Roman;Times;Serif" w:hAnsi="Times New Roman;Times;Serif"/>
                <w:b/>
              </w:rPr>
            </w:pPr>
            <w:r>
              <w:rPr>
                <w:rFonts w:ascii="Times New Roman;Times;Serif" w:hAnsi="Times New Roman;Times;Serif"/>
                <w:b/>
              </w:rPr>
              <w:t>-Average Exercise 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Weighted-Average Remaining Contractual Terms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5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Aggregate Intrinsic Value</w:t>
            </w:r>
          </w:p>
        </w:tc>
        <w:tc>
          <w:tcPr>
            <w:tcW w:w="78" w:type="dxa"/>
            <w:tcBorders/>
            <w:shd w:fill="auto" w:val="clear"/>
            <w:vAlign w:val="center"/>
          </w:tcPr>
          <w:p>
            <w:pPr>
              <w:pStyle w:val="TableContents"/>
              <w:spacing w:before="0" w:after="283"/>
              <w:rPr/>
            </w:pPr>
            <w:r>
              <w:rPr/>
              <w:t> </w:t>
            </w:r>
          </w:p>
        </w:tc>
      </w:tr>
      <w:tr>
        <w:trPr/>
        <w:tc>
          <w:tcPr>
            <w:tcW w:w="19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3"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50" w:type="dxa"/>
            <w:gridSpan w:val="2"/>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r>
      <w:tr>
        <w:trPr/>
        <w:tc>
          <w:tcPr>
            <w:tcW w:w="198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Outstanding at December 31, 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746" w:name="xdx_982_eus-gaap--ClassOfWarrantOrRightN"/>
            <w:bookmarkEnd w:id="746"/>
          </w:p>
        </w:tc>
        <w:tc>
          <w:tcPr>
            <w:tcW w:w="10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6,897,277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47" w:name="xdx_980_ecustom--ClassOfWarrantOrRightNu"/>
            <w:bookmarkEnd w:id="747"/>
          </w:p>
        </w:tc>
        <w:tc>
          <w:tcPr>
            <w:tcW w:w="119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283"/>
              <w:jc w:val="left"/>
              <w:rPr/>
            </w:pPr>
            <w:r>
              <w:rPr/>
              <w:t> </w:t>
            </w:r>
          </w:p>
        </w:tc>
        <w:tc>
          <w:tcPr>
            <w:tcW w:w="3031" w:type="dxa"/>
            <w:tcBorders/>
            <w:shd w:fill="CCEEFF" w:val="clear"/>
            <w:vAlign w:val="center"/>
          </w:tcPr>
          <w:p>
            <w:pPr>
              <w:pStyle w:val="TableContents"/>
              <w:spacing w:before="0" w:after="283"/>
              <w:jc w:val="right"/>
              <w:rPr/>
            </w:pPr>
            <w:r>
              <w:rPr/>
              <w:t> </w:t>
            </w:r>
            <w:bookmarkStart w:id="748" w:name="xdx_909_ecustom--ClassOfWarrantOrRightNu"/>
            <w:bookmarkEnd w:id="748"/>
            <w:r>
              <w:rPr>
                <w:rFonts w:ascii="Times New Roman;Times;Serif" w:hAnsi="Times New Roman;Times;Serif"/>
              </w:rPr>
              <w:t>2.42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49" w:name="xdx_989_ecustom--ClassOfWarrantOrRightNu"/>
            <w:bookmarkEnd w:id="749"/>
          </w:p>
        </w:tc>
        <w:tc>
          <w:tcPr>
            <w:tcW w:w="13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1,447</w:t>
            </w:r>
          </w:p>
        </w:tc>
        <w:tc>
          <w:tcPr>
            <w:tcW w:w="78" w:type="dxa"/>
            <w:tcBorders/>
            <w:shd w:fill="CCEEFF" w:val="clear"/>
            <w:vAlign w:val="center"/>
          </w:tcPr>
          <w:p>
            <w:pPr>
              <w:pStyle w:val="TableContents"/>
              <w:spacing w:before="0" w:after="283"/>
              <w:jc w:val="left"/>
              <w:rPr/>
            </w:pPr>
            <w:r>
              <w:rPr/>
              <w:t> </w:t>
            </w:r>
          </w:p>
        </w:tc>
      </w:tr>
      <w:tr>
        <w:trPr/>
        <w:tc>
          <w:tcPr>
            <w:tcW w:w="198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750" w:name="xdx_989_ecustom--ClassOfWarrantOrRightNu"/>
            <w:bookmarkEnd w:id="750"/>
          </w:p>
        </w:tc>
        <w:tc>
          <w:tcPr>
            <w:tcW w:w="10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3" w:type="dxa"/>
            <w:tcBorders/>
            <w:shd w:fill="FFFFFF" w:val="clear"/>
            <w:vAlign w:val="center"/>
          </w:tcPr>
          <w:p>
            <w:pPr>
              <w:pStyle w:val="TableContents"/>
              <w:spacing w:before="0" w:after="283"/>
              <w:jc w:val="left"/>
              <w:rPr/>
            </w:pPr>
            <w:r>
              <w:rPr/>
              <w:t> </w:t>
            </w:r>
            <w:bookmarkStart w:id="751" w:name="xdx_985_ecustom--ClassOfWarrantOrRightNu"/>
            <w:bookmarkEnd w:id="751"/>
          </w:p>
        </w:tc>
        <w:tc>
          <w:tcPr>
            <w:tcW w:w="119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62" w:type="dxa"/>
            <w:tcBorders/>
            <w:shd w:fill="FFFFFF" w:val="clear"/>
            <w:vAlign w:val="center"/>
          </w:tcPr>
          <w:p>
            <w:pPr>
              <w:pStyle w:val="TableContents"/>
              <w:spacing w:before="0" w:after="283"/>
              <w:jc w:val="left"/>
              <w:rPr/>
            </w:pPr>
            <w:r>
              <w:rPr/>
              <w:t> </w:t>
            </w:r>
          </w:p>
        </w:tc>
        <w:tc>
          <w:tcPr>
            <w:tcW w:w="303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0" w:type="dxa"/>
            <w:tcBorders/>
            <w:shd w:fill="FFFFFF" w:val="clear"/>
            <w:vAlign w:val="center"/>
          </w:tcPr>
          <w:p>
            <w:pPr>
              <w:pStyle w:val="TableContents"/>
              <w:spacing w:before="0" w:after="283"/>
              <w:jc w:val="left"/>
              <w:rPr/>
            </w:pPr>
            <w:r>
              <w:rPr/>
              <w:t> </w:t>
            </w:r>
          </w:p>
        </w:tc>
        <w:tc>
          <w:tcPr>
            <w:tcW w:w="1320" w:type="dxa"/>
            <w:tcBorders/>
            <w:shd w:fill="FFFFFF" w:val="clear"/>
            <w:vAlign w:val="center"/>
          </w:tcPr>
          <w:p>
            <w:pPr>
              <w:pStyle w:val="TableContents"/>
              <w:spacing w:before="0" w:after="283"/>
              <w:jc w:val="right"/>
              <w:rPr/>
            </w:pPr>
            <w:r>
              <w:rPr/>
              <w:t> </w:t>
            </w:r>
          </w:p>
        </w:tc>
        <w:tc>
          <w:tcPr>
            <w:tcW w:w="78" w:type="dxa"/>
            <w:tcBorders/>
            <w:shd w:fill="FFFFFF" w:val="clear"/>
            <w:vAlign w:val="center"/>
          </w:tcPr>
          <w:p>
            <w:pPr>
              <w:pStyle w:val="TableContents"/>
              <w:spacing w:before="0" w:after="283"/>
              <w:jc w:val="left"/>
              <w:rPr/>
            </w:pPr>
            <w:r>
              <w:rPr/>
              <w:t> </w:t>
            </w:r>
          </w:p>
        </w:tc>
      </w:tr>
      <w:tr>
        <w:trPr/>
        <w:tc>
          <w:tcPr>
            <w:tcW w:w="198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752" w:name="xdx_981_ecustom--ClassOfWarrantOrRightNu"/>
            <w:bookmarkEnd w:id="752"/>
          </w:p>
        </w:tc>
        <w:tc>
          <w:tcPr>
            <w:tcW w:w="10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(283,495</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333" w:type="dxa"/>
            <w:tcBorders/>
            <w:shd w:fill="CCEEFF" w:val="clear"/>
            <w:vAlign w:val="center"/>
          </w:tcPr>
          <w:p>
            <w:pPr>
              <w:pStyle w:val="TableContents"/>
              <w:spacing w:before="0" w:after="283"/>
              <w:jc w:val="left"/>
              <w:rPr/>
            </w:pPr>
            <w:r>
              <w:rPr/>
              <w:t> </w:t>
            </w:r>
            <w:bookmarkStart w:id="753" w:name="xdx_986_ecustom--ClassOfWarrantOrRightNu"/>
            <w:bookmarkEnd w:id="753"/>
          </w:p>
        </w:tc>
        <w:tc>
          <w:tcPr>
            <w:tcW w:w="119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283"/>
              <w:jc w:val="left"/>
              <w:rPr/>
            </w:pPr>
            <w:r>
              <w:rPr/>
              <w:t> </w:t>
            </w:r>
          </w:p>
        </w:tc>
        <w:tc>
          <w:tcPr>
            <w:tcW w:w="303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jc w:val="left"/>
              <w:rPr/>
            </w:pPr>
            <w:r>
              <w:rPr/>
              <w:t> </w:t>
            </w:r>
          </w:p>
        </w:tc>
        <w:tc>
          <w:tcPr>
            <w:tcW w:w="1320" w:type="dxa"/>
            <w:tcBorders/>
            <w:shd w:fill="CCEEFF" w:val="clear"/>
            <w:vAlign w:val="center"/>
          </w:tcPr>
          <w:p>
            <w:pPr>
              <w:pStyle w:val="TableContents"/>
              <w:spacing w:before="0" w:after="283"/>
              <w:jc w:val="right"/>
              <w:rPr/>
            </w:pPr>
            <w:r>
              <w:rPr/>
              <w:t> </w:t>
            </w:r>
          </w:p>
        </w:tc>
        <w:tc>
          <w:tcPr>
            <w:tcW w:w="78" w:type="dxa"/>
            <w:tcBorders/>
            <w:shd w:fill="CCEEFF" w:val="clear"/>
            <w:vAlign w:val="center"/>
          </w:tcPr>
          <w:p>
            <w:pPr>
              <w:pStyle w:val="TableContents"/>
              <w:spacing w:before="0" w:after="283"/>
              <w:jc w:val="left"/>
              <w:rPr/>
            </w:pPr>
            <w:r>
              <w:rPr/>
              <w:t> </w:t>
            </w:r>
          </w:p>
        </w:tc>
      </w:tr>
      <w:tr>
        <w:trPr/>
        <w:tc>
          <w:tcPr>
            <w:tcW w:w="198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Forfeited or expired</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754" w:name="xdx_981_ecustom--ClassOfWarrantOrRightNu"/>
            <w:bookmarkEnd w:id="754"/>
          </w:p>
        </w:tc>
        <w:tc>
          <w:tcPr>
            <w:tcW w:w="10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(200,000</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333" w:type="dxa"/>
            <w:tcBorders/>
            <w:shd w:fill="FFFFFF" w:val="clear"/>
            <w:vAlign w:val="center"/>
          </w:tcPr>
          <w:p>
            <w:pPr>
              <w:pStyle w:val="TableContents"/>
              <w:spacing w:before="0" w:after="283"/>
              <w:jc w:val="left"/>
              <w:rPr/>
            </w:pPr>
            <w:r>
              <w:rPr/>
              <w:t> </w:t>
            </w:r>
            <w:bookmarkStart w:id="755" w:name="xdx_98A_ecustom--ClassOfWarrantOrRightNu"/>
            <w:bookmarkEnd w:id="755"/>
          </w:p>
        </w:tc>
        <w:tc>
          <w:tcPr>
            <w:tcW w:w="1196" w:type="dxa"/>
            <w:tcBorders/>
            <w:shd w:fill="FFFFFF" w:val="clear"/>
            <w:vAlign w:val="center"/>
          </w:tcPr>
          <w:p>
            <w:pPr>
              <w:pStyle w:val="TableContents"/>
              <w:spacing w:before="0" w:after="283"/>
              <w:jc w:val="right"/>
              <w:rPr/>
            </w:pPr>
            <w:r>
              <w:rPr/>
              <w:t> </w:t>
            </w:r>
            <w:r>
              <w:rPr>
                <w:rFonts w:ascii="Times New Roman;Times;Serif" w:hAnsi="Times New Roman;Times;Serif"/>
              </w:rPr>
              <w:t>5.60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62" w:type="dxa"/>
            <w:tcBorders/>
            <w:shd w:fill="FFFFFF" w:val="clear"/>
            <w:vAlign w:val="center"/>
          </w:tcPr>
          <w:p>
            <w:pPr>
              <w:pStyle w:val="TableContents"/>
              <w:spacing w:before="0" w:after="283"/>
              <w:jc w:val="left"/>
              <w:rPr/>
            </w:pPr>
            <w:r>
              <w:rPr/>
              <w:t> </w:t>
            </w:r>
          </w:p>
        </w:tc>
        <w:tc>
          <w:tcPr>
            <w:tcW w:w="303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0" w:type="dxa"/>
            <w:tcBorders/>
            <w:shd w:fill="FFFFFF" w:val="clear"/>
            <w:vAlign w:val="center"/>
          </w:tcPr>
          <w:p>
            <w:pPr>
              <w:pStyle w:val="TableContents"/>
              <w:spacing w:before="0" w:after="283"/>
              <w:jc w:val="left"/>
              <w:rPr/>
            </w:pPr>
            <w:r>
              <w:rPr/>
              <w:t> </w:t>
            </w:r>
          </w:p>
        </w:tc>
        <w:tc>
          <w:tcPr>
            <w:tcW w:w="1320" w:type="dxa"/>
            <w:tcBorders/>
            <w:shd w:fill="FFFFFF" w:val="clear"/>
            <w:vAlign w:val="center"/>
          </w:tcPr>
          <w:p>
            <w:pPr>
              <w:pStyle w:val="TableContents"/>
              <w:spacing w:before="0" w:after="283"/>
              <w:jc w:val="right"/>
              <w:rPr/>
            </w:pPr>
            <w:r>
              <w:rPr/>
              <w:t> </w:t>
            </w:r>
          </w:p>
        </w:tc>
        <w:tc>
          <w:tcPr>
            <w:tcW w:w="78" w:type="dxa"/>
            <w:tcBorders/>
            <w:shd w:fill="FFFFFF" w:val="clear"/>
            <w:vAlign w:val="center"/>
          </w:tcPr>
          <w:p>
            <w:pPr>
              <w:pStyle w:val="TableContents"/>
              <w:spacing w:before="0" w:after="283"/>
              <w:jc w:val="left"/>
              <w:rPr/>
            </w:pPr>
            <w:r>
              <w:rPr/>
              <w:t> </w:t>
            </w:r>
          </w:p>
        </w:tc>
      </w:tr>
      <w:tr>
        <w:trPr/>
        <w:tc>
          <w:tcPr>
            <w:tcW w:w="198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Outstanding at December 31, 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756" w:name="xdx_980_eus-gaap--ClassOfWarrantOrRightN"/>
            <w:bookmarkEnd w:id="756"/>
          </w:p>
        </w:tc>
        <w:tc>
          <w:tcPr>
            <w:tcW w:w="10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6,413,782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3" w:type="dxa"/>
            <w:tcBorders/>
            <w:shd w:fill="CCEEFF" w:val="clear"/>
            <w:vAlign w:val="center"/>
          </w:tcPr>
          <w:p>
            <w:pPr>
              <w:pStyle w:val="TableContents"/>
              <w:spacing w:before="0" w:after="283"/>
              <w:jc w:val="left"/>
              <w:rPr/>
            </w:pPr>
            <w:r>
              <w:rPr/>
              <w:t> </w:t>
            </w:r>
            <w:bookmarkStart w:id="757" w:name="xdx_981_ecustom--ClassOfWarrantOrRightNu"/>
            <w:bookmarkEnd w:id="757"/>
          </w:p>
        </w:tc>
        <w:tc>
          <w:tcPr>
            <w:tcW w:w="119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283"/>
              <w:jc w:val="left"/>
              <w:rPr/>
            </w:pPr>
            <w:r>
              <w:rPr/>
              <w:t> </w:t>
            </w:r>
          </w:p>
        </w:tc>
        <w:tc>
          <w:tcPr>
            <w:tcW w:w="3031" w:type="dxa"/>
            <w:tcBorders/>
            <w:shd w:fill="CCEEFF" w:val="clear"/>
            <w:vAlign w:val="center"/>
          </w:tcPr>
          <w:p>
            <w:pPr>
              <w:pStyle w:val="TableContents"/>
              <w:spacing w:before="0" w:after="283"/>
              <w:jc w:val="right"/>
              <w:rPr>
                <w:rFonts w:ascii="Times New Roman;Times;Serif" w:hAnsi="Times New Roman;Times;Serif"/>
              </w:rPr>
            </w:pPr>
            <w:bookmarkStart w:id="758" w:name="xdx_908_ecustom--ClassOfWarrantOrRightNu"/>
            <w:bookmarkEnd w:id="758"/>
            <w:r>
              <w:rPr>
                <w:rFonts w:ascii="Times New Roman;Times;Serif" w:hAnsi="Times New Roman;Times;Serif"/>
              </w:rPr>
              <w:t>1.52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59" w:name="xdx_98E_ecustom--ClassOfWarrantOrRightNu"/>
            <w:bookmarkEnd w:id="759"/>
          </w:p>
        </w:tc>
        <w:tc>
          <w:tcPr>
            <w:tcW w:w="13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vAlign w:val="center"/>
          </w:tcPr>
          <w:p>
            <w:pPr>
              <w:pStyle w:val="TableContents"/>
              <w:spacing w:before="0" w:after="283"/>
              <w:jc w:val="left"/>
              <w:rPr/>
            </w:pPr>
            <w:r>
              <w:rPr/>
              <w:t> </w:t>
            </w:r>
          </w:p>
        </w:tc>
      </w:tr>
      <w:tr>
        <w:trPr/>
        <w:tc>
          <w:tcPr>
            <w:tcW w:w="198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Outstanding at December 31, 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760" w:name="xdx_981_eus-gaap--ClassOfWarrantOrRightN"/>
            <w:bookmarkEnd w:id="760"/>
          </w:p>
        </w:tc>
        <w:tc>
          <w:tcPr>
            <w:tcW w:w="10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6,413,782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3" w:type="dxa"/>
            <w:tcBorders/>
            <w:shd w:fill="CCEEFF" w:val="clear"/>
            <w:vAlign w:val="center"/>
          </w:tcPr>
          <w:p>
            <w:pPr>
              <w:pStyle w:val="TableContents"/>
              <w:spacing w:before="0" w:after="283"/>
              <w:jc w:val="left"/>
              <w:rPr/>
            </w:pPr>
            <w:r>
              <w:rPr/>
              <w:t> </w:t>
            </w:r>
            <w:bookmarkStart w:id="761" w:name="xdx_98C_ecustom--ClassOfWarrantOrRightNu"/>
            <w:bookmarkEnd w:id="761"/>
          </w:p>
        </w:tc>
        <w:tc>
          <w:tcPr>
            <w:tcW w:w="119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283"/>
              <w:jc w:val="left"/>
              <w:rPr/>
            </w:pPr>
            <w:r>
              <w:rPr/>
              <w:t> </w:t>
            </w:r>
          </w:p>
        </w:tc>
        <w:tc>
          <w:tcPr>
            <w:tcW w:w="3031" w:type="dxa"/>
            <w:tcBorders/>
            <w:shd w:fill="CCEEFF" w:val="clear"/>
            <w:vAlign w:val="center"/>
          </w:tcPr>
          <w:p>
            <w:pPr>
              <w:pStyle w:val="TableContents"/>
              <w:spacing w:before="0" w:after="283"/>
              <w:jc w:val="right"/>
              <w:rPr>
                <w:rFonts w:ascii="Times New Roman;Times;Serif" w:hAnsi="Times New Roman;Times;Serif"/>
              </w:rPr>
            </w:pPr>
            <w:bookmarkStart w:id="762" w:name="xdx_909_ecustom--ClassOfWarrantOrRightNu"/>
            <w:bookmarkEnd w:id="762"/>
            <w:r>
              <w:rPr>
                <w:rFonts w:ascii="Times New Roman;Times;Serif" w:hAnsi="Times New Roman;Times;Serif"/>
              </w:rPr>
              <w:t>1.52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63" w:name="xdx_981_ecustom--ClassOfWarrantOrRightNu"/>
            <w:bookmarkEnd w:id="763"/>
          </w:p>
        </w:tc>
        <w:tc>
          <w:tcPr>
            <w:tcW w:w="13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vAlign w:val="center"/>
          </w:tcPr>
          <w:p>
            <w:pPr>
              <w:pStyle w:val="TableContents"/>
              <w:spacing w:before="0" w:after="283"/>
              <w:jc w:val="left"/>
              <w:rPr/>
            </w:pPr>
            <w:r>
              <w:rPr/>
              <w:t> </w:t>
            </w:r>
          </w:p>
        </w:tc>
      </w:tr>
      <w:tr>
        <w:trPr/>
        <w:tc>
          <w:tcPr>
            <w:tcW w:w="198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764" w:name="xdx_988_ecustom--ClassOfWarrantOrRightNu"/>
            <w:bookmarkEnd w:id="764"/>
          </w:p>
        </w:tc>
        <w:tc>
          <w:tcPr>
            <w:tcW w:w="10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1,000,000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3" w:type="dxa"/>
            <w:tcBorders/>
            <w:shd w:fill="FFFFFF" w:val="clear"/>
            <w:vAlign w:val="center"/>
          </w:tcPr>
          <w:p>
            <w:pPr>
              <w:pStyle w:val="TableContents"/>
              <w:spacing w:before="0" w:after="283"/>
              <w:jc w:val="left"/>
              <w:rPr/>
            </w:pPr>
            <w:r>
              <w:rPr/>
              <w:t> </w:t>
            </w:r>
            <w:bookmarkStart w:id="765" w:name="xdx_984_ecustom--ClassOfWarrantOrRightNu"/>
            <w:bookmarkEnd w:id="765"/>
          </w:p>
        </w:tc>
        <w:tc>
          <w:tcPr>
            <w:tcW w:w="119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0.64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62" w:type="dxa"/>
            <w:tcBorders/>
            <w:shd w:fill="FFFFFF" w:val="clear"/>
            <w:vAlign w:val="center"/>
          </w:tcPr>
          <w:p>
            <w:pPr>
              <w:pStyle w:val="TableContents"/>
              <w:spacing w:before="0" w:after="283"/>
              <w:jc w:val="left"/>
              <w:rPr/>
            </w:pPr>
            <w:r>
              <w:rPr/>
              <w:t> </w:t>
            </w:r>
          </w:p>
        </w:tc>
        <w:tc>
          <w:tcPr>
            <w:tcW w:w="303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0" w:type="dxa"/>
            <w:tcBorders/>
            <w:shd w:fill="FFFFFF" w:val="clear"/>
            <w:vAlign w:val="center"/>
          </w:tcPr>
          <w:p>
            <w:pPr>
              <w:pStyle w:val="TableContents"/>
              <w:spacing w:before="0" w:after="283"/>
              <w:jc w:val="left"/>
              <w:rPr/>
            </w:pPr>
            <w:r>
              <w:rPr/>
              <w:t> </w:t>
            </w:r>
          </w:p>
        </w:tc>
        <w:tc>
          <w:tcPr>
            <w:tcW w:w="1320" w:type="dxa"/>
            <w:tcBorders/>
            <w:shd w:fill="FFFFFF" w:val="clear"/>
            <w:vAlign w:val="center"/>
          </w:tcPr>
          <w:p>
            <w:pPr>
              <w:pStyle w:val="TableContents"/>
              <w:spacing w:before="0" w:after="283"/>
              <w:jc w:val="right"/>
              <w:rPr/>
            </w:pPr>
            <w:r>
              <w:rPr/>
              <w:t> </w:t>
            </w:r>
          </w:p>
        </w:tc>
        <w:tc>
          <w:tcPr>
            <w:tcW w:w="78" w:type="dxa"/>
            <w:tcBorders/>
            <w:shd w:fill="FFFFFF" w:val="clear"/>
            <w:vAlign w:val="center"/>
          </w:tcPr>
          <w:p>
            <w:pPr>
              <w:pStyle w:val="TableContents"/>
              <w:spacing w:before="0" w:after="283"/>
              <w:jc w:val="left"/>
              <w:rPr/>
            </w:pPr>
            <w:r>
              <w:rPr/>
              <w:t> </w:t>
            </w:r>
          </w:p>
        </w:tc>
      </w:tr>
      <w:tr>
        <w:trPr/>
        <w:tc>
          <w:tcPr>
            <w:tcW w:w="198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766" w:name="xdx_982_ecustom--ClassOfWarrantOrRightNu"/>
            <w:bookmarkEnd w:id="766"/>
          </w:p>
        </w:tc>
        <w:tc>
          <w:tcPr>
            <w:tcW w:w="10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3" w:type="dxa"/>
            <w:tcBorders/>
            <w:shd w:fill="CCEEFF" w:val="clear"/>
            <w:vAlign w:val="center"/>
          </w:tcPr>
          <w:p>
            <w:pPr>
              <w:pStyle w:val="TableContents"/>
              <w:spacing w:before="0" w:after="283"/>
              <w:jc w:val="left"/>
              <w:rPr/>
            </w:pPr>
            <w:r>
              <w:rPr/>
              <w:t> </w:t>
            </w:r>
            <w:bookmarkStart w:id="767" w:name="xdx_985_ecustom--ClassOfWarrantOrRightNu"/>
            <w:bookmarkEnd w:id="767"/>
          </w:p>
        </w:tc>
        <w:tc>
          <w:tcPr>
            <w:tcW w:w="119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283"/>
              <w:jc w:val="left"/>
              <w:rPr/>
            </w:pPr>
            <w:r>
              <w:rPr/>
              <w:t> </w:t>
            </w:r>
          </w:p>
        </w:tc>
        <w:tc>
          <w:tcPr>
            <w:tcW w:w="303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jc w:val="left"/>
              <w:rPr/>
            </w:pPr>
            <w:r>
              <w:rPr/>
              <w:t> </w:t>
            </w:r>
          </w:p>
        </w:tc>
        <w:tc>
          <w:tcPr>
            <w:tcW w:w="1320" w:type="dxa"/>
            <w:tcBorders/>
            <w:shd w:fill="CCEEFF" w:val="clear"/>
            <w:vAlign w:val="center"/>
          </w:tcPr>
          <w:p>
            <w:pPr>
              <w:pStyle w:val="TableContents"/>
              <w:spacing w:before="0" w:after="283"/>
              <w:jc w:val="right"/>
              <w:rPr/>
            </w:pPr>
            <w:r>
              <w:rPr/>
              <w:t> </w:t>
            </w:r>
          </w:p>
        </w:tc>
        <w:tc>
          <w:tcPr>
            <w:tcW w:w="78" w:type="dxa"/>
            <w:tcBorders/>
            <w:shd w:fill="CCEEFF" w:val="clear"/>
            <w:vAlign w:val="center"/>
          </w:tcPr>
          <w:p>
            <w:pPr>
              <w:pStyle w:val="TableContents"/>
              <w:spacing w:before="0" w:after="283"/>
              <w:jc w:val="left"/>
              <w:rPr/>
            </w:pPr>
            <w:r>
              <w:rPr/>
              <w:t> </w:t>
            </w:r>
          </w:p>
        </w:tc>
      </w:tr>
      <w:tr>
        <w:trPr/>
        <w:tc>
          <w:tcPr>
            <w:tcW w:w="198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Forfeited or expired</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768" w:name="xdx_980_ecustom--ClassOfWarrantOrRightNu"/>
            <w:bookmarkEnd w:id="768"/>
          </w:p>
        </w:tc>
        <w:tc>
          <w:tcPr>
            <w:tcW w:w="10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(4,051,541</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333" w:type="dxa"/>
            <w:tcBorders/>
            <w:shd w:fill="FFFFFF" w:val="clear"/>
            <w:vAlign w:val="center"/>
          </w:tcPr>
          <w:p>
            <w:pPr>
              <w:pStyle w:val="TableContents"/>
              <w:spacing w:before="0" w:after="283"/>
              <w:jc w:val="left"/>
              <w:rPr/>
            </w:pPr>
            <w:r>
              <w:rPr/>
              <w:t> </w:t>
            </w:r>
            <w:bookmarkStart w:id="769" w:name="xdx_989_ecustom--ClassOfWarrantOrRightNu"/>
            <w:bookmarkEnd w:id="769"/>
          </w:p>
        </w:tc>
        <w:tc>
          <w:tcPr>
            <w:tcW w:w="119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62" w:type="dxa"/>
            <w:tcBorders/>
            <w:shd w:fill="FFFFFF" w:val="clear"/>
            <w:vAlign w:val="center"/>
          </w:tcPr>
          <w:p>
            <w:pPr>
              <w:pStyle w:val="TableContents"/>
              <w:spacing w:before="0" w:after="283"/>
              <w:jc w:val="left"/>
              <w:rPr/>
            </w:pPr>
            <w:r>
              <w:rPr/>
              <w:t> </w:t>
            </w:r>
          </w:p>
        </w:tc>
        <w:tc>
          <w:tcPr>
            <w:tcW w:w="303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0" w:type="dxa"/>
            <w:tcBorders/>
            <w:shd w:fill="FFFFFF" w:val="clear"/>
            <w:vAlign w:val="center"/>
          </w:tcPr>
          <w:p>
            <w:pPr>
              <w:pStyle w:val="TableContents"/>
              <w:spacing w:before="0" w:after="283"/>
              <w:jc w:val="left"/>
              <w:rPr/>
            </w:pPr>
            <w:r>
              <w:rPr/>
              <w:t> </w:t>
            </w:r>
          </w:p>
        </w:tc>
        <w:tc>
          <w:tcPr>
            <w:tcW w:w="1320" w:type="dxa"/>
            <w:tcBorders/>
            <w:shd w:fill="FFFFFF" w:val="clear"/>
            <w:vAlign w:val="center"/>
          </w:tcPr>
          <w:p>
            <w:pPr>
              <w:pStyle w:val="TableContents"/>
              <w:spacing w:before="0" w:after="283"/>
              <w:jc w:val="right"/>
              <w:rPr/>
            </w:pPr>
            <w:r>
              <w:rPr/>
              <w:t> </w:t>
            </w:r>
          </w:p>
        </w:tc>
        <w:tc>
          <w:tcPr>
            <w:tcW w:w="78" w:type="dxa"/>
            <w:tcBorders/>
            <w:shd w:fill="FFFFFF" w:val="clear"/>
            <w:vAlign w:val="center"/>
          </w:tcPr>
          <w:p>
            <w:pPr>
              <w:pStyle w:val="TableContents"/>
              <w:spacing w:before="0" w:after="283"/>
              <w:jc w:val="left"/>
              <w:rPr/>
            </w:pPr>
            <w:r>
              <w:rPr/>
              <w:t> </w:t>
            </w:r>
          </w:p>
        </w:tc>
      </w:tr>
      <w:tr>
        <w:trPr/>
        <w:tc>
          <w:tcPr>
            <w:tcW w:w="198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Outstanding at December 31, 2020</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770" w:name="xdx_98F_eus-gaap--ClassOfWarrantOrRightN"/>
            <w:bookmarkEnd w:id="770"/>
          </w:p>
        </w:tc>
        <w:tc>
          <w:tcPr>
            <w:tcW w:w="10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3,362,241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71" w:name="xdx_985_ecustom--ClassOfWarrantOrRightNu"/>
            <w:bookmarkEnd w:id="771"/>
          </w:p>
        </w:tc>
        <w:tc>
          <w:tcPr>
            <w:tcW w:w="1196"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283"/>
              <w:jc w:val="left"/>
              <w:rPr/>
            </w:pPr>
            <w:r>
              <w:rPr/>
              <w:t> </w:t>
            </w:r>
          </w:p>
        </w:tc>
        <w:tc>
          <w:tcPr>
            <w:tcW w:w="3031" w:type="dxa"/>
            <w:tcBorders/>
            <w:shd w:fill="CCEEFF" w:val="clear"/>
            <w:vAlign w:val="center"/>
          </w:tcPr>
          <w:p>
            <w:pPr>
              <w:pStyle w:val="TableContents"/>
              <w:spacing w:before="0" w:after="283"/>
              <w:jc w:val="right"/>
              <w:rPr>
                <w:rFonts w:ascii="Times New Roman;Times;Serif" w:hAnsi="Times New Roman;Times;Serif"/>
              </w:rPr>
            </w:pPr>
            <w:bookmarkStart w:id="772" w:name="xdx_904_ecustom--ClassOfWarrantOrRightNu"/>
            <w:bookmarkEnd w:id="772"/>
            <w:r>
              <w:rPr>
                <w:rFonts w:ascii="Times New Roman;Times;Serif" w:hAnsi="Times New Roman;Times;Serif"/>
              </w:rPr>
              <w:t>2.49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73" w:name="xdx_98D_ecustom--ClassOfWarrantOrRightNu"/>
            <w:bookmarkEnd w:id="773"/>
          </w:p>
        </w:tc>
        <w:tc>
          <w:tcPr>
            <w:tcW w:w="13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vAlign w:val="center"/>
          </w:tcPr>
          <w:p>
            <w:pPr>
              <w:pStyle w:val="TableContents"/>
              <w:spacing w:before="0" w:after="283"/>
              <w:jc w:val="left"/>
              <w:rPr/>
            </w:pPr>
            <w:r>
              <w:rPr/>
              <w:t> </w:t>
            </w:r>
          </w:p>
        </w:tc>
      </w:tr>
      <w:tr>
        <w:trPr/>
        <w:tc>
          <w:tcPr>
            <w:tcW w:w="1985"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Exercisable at December 31, 2020</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774" w:name="xdx_985_ecustom--ClassOfWarrantOrRightNu"/>
            <w:bookmarkEnd w:id="774"/>
          </w:p>
        </w:tc>
        <w:tc>
          <w:tcPr>
            <w:tcW w:w="10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3,362,241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3"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75" w:name="xdx_98A_ecustom--ClassOfWarrantOrRightNu"/>
            <w:bookmarkEnd w:id="775"/>
          </w:p>
        </w:tc>
        <w:tc>
          <w:tcPr>
            <w:tcW w:w="1196"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62" w:type="dxa"/>
            <w:tcBorders/>
            <w:shd w:fill="FFFFFF" w:val="clear"/>
            <w:vAlign w:val="center"/>
          </w:tcPr>
          <w:p>
            <w:pPr>
              <w:pStyle w:val="TableContents"/>
              <w:spacing w:before="0" w:after="283"/>
              <w:jc w:val="left"/>
              <w:rPr/>
            </w:pPr>
            <w:r>
              <w:rPr/>
              <w:t> </w:t>
            </w:r>
          </w:p>
        </w:tc>
        <w:tc>
          <w:tcPr>
            <w:tcW w:w="3031" w:type="dxa"/>
            <w:tcBorders/>
            <w:shd w:fill="FFFFFF" w:val="clear"/>
            <w:vAlign w:val="center"/>
          </w:tcPr>
          <w:p>
            <w:pPr>
              <w:pStyle w:val="TableContents"/>
              <w:spacing w:before="0" w:after="283"/>
              <w:jc w:val="right"/>
              <w:rPr>
                <w:rFonts w:ascii="Times New Roman;Times;Serif" w:hAnsi="Times New Roman;Times;Serif"/>
              </w:rPr>
            </w:pPr>
            <w:bookmarkStart w:id="776" w:name="xdx_901_ecustom--ClassOfWarrantOrRightNu"/>
            <w:bookmarkEnd w:id="776"/>
            <w:r>
              <w:rPr>
                <w:rFonts w:ascii="Times New Roman;Times;Serif" w:hAnsi="Times New Roman;Times;Serif"/>
              </w:rPr>
              <w:t>2.49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777" w:name="xdx_983_ecustom--ClassOfWarrantOrRightNu"/>
            <w:bookmarkEnd w:id="777"/>
          </w:p>
        </w:tc>
        <w:tc>
          <w:tcPr>
            <w:tcW w:w="13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778" w:name="xdx_8A1_z16moUuHM4vf"/>
      <w:bookmarkEnd w:id="778"/>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11, 2020, the Company issued to Raptor a </w:t>
      </w:r>
      <w:bookmarkStart w:id="779" w:name="xdx_90D_eus-gaap--WarrantsAndRightsOutst"/>
      <w:bookmarkEnd w:id="779"/>
      <w:r>
        <w:rPr>
          <w:rFonts w:ascii="Times New Roman;Times;Serif" w:hAnsi="Times New Roman;Times;Serif"/>
          <w:b w:val="false"/>
          <w:i w:val="false"/>
          <w:caps w:val="false"/>
          <w:smallCaps w:val="false"/>
          <w:sz w:val="20"/>
        </w:rPr>
        <w:t xml:space="preserve">5-year warrant to purchase </w:t>
      </w:r>
      <w:bookmarkStart w:id="780" w:name="xdx_90F_ecustom--ClassOfWarrantOrRightIs"/>
      <w:bookmarkEnd w:id="780"/>
      <w:r>
        <w:rPr>
          <w:rFonts w:ascii="Times New Roman;Times;Serif" w:hAnsi="Times New Roman;Times;Serif"/>
          <w:b w:val="false"/>
          <w:i w:val="false"/>
          <w:caps w:val="false"/>
          <w:smallCaps w:val="false"/>
          <w:sz w:val="20"/>
        </w:rPr>
        <w:t>1,000,000 shares of the Company common stock with an exercise price of $</w:t>
      </w:r>
      <w:bookmarkStart w:id="781" w:name="xdx_90C_eus-gaap--ClassOfWarrantOrRightE"/>
      <w:bookmarkEnd w:id="781"/>
      <w:r>
        <w:rPr>
          <w:rFonts w:ascii="Times New Roman;Times;Serif" w:hAnsi="Times New Roman;Times;Serif"/>
          <w:b w:val="false"/>
          <w:i w:val="false"/>
          <w:caps w:val="false"/>
          <w:smallCaps w:val="false"/>
          <w:sz w:val="20"/>
        </w:rPr>
        <w:t>0.64 (see Note 7). The fair value of the warrants granted was determined to be $</w:t>
      </w:r>
      <w:bookmarkStart w:id="782" w:name="xdx_909_eus-gaap--FairValueAdjustmentOfW"/>
      <w:bookmarkEnd w:id="782"/>
      <w:r>
        <w:rPr>
          <w:rFonts w:ascii="Times New Roman;Times;Serif" w:hAnsi="Times New Roman;Times;Serif"/>
          <w:b w:val="false"/>
          <w:i w:val="false"/>
          <w:caps w:val="false"/>
          <w:smallCaps w:val="false"/>
          <w:sz w:val="20"/>
        </w:rPr>
        <w:t>402. The fair value of the warrant was calculated using the Black-Scholes option pricing model using the following assumptions – stock price of $</w:t>
      </w:r>
      <w:bookmarkStart w:id="783" w:name="xdx_900_eus-gaap--WarrantsAndRightsOutst"/>
      <w:bookmarkEnd w:id="783"/>
      <w:r>
        <w:rPr>
          <w:rFonts w:ascii="Times New Roman;Times;Serif" w:hAnsi="Times New Roman;Times;Serif"/>
          <w:b w:val="false"/>
          <w:i w:val="false"/>
          <w:caps w:val="false"/>
          <w:smallCaps w:val="false"/>
          <w:sz w:val="20"/>
        </w:rPr>
        <w:t>0.64; exercise price of $</w:t>
      </w:r>
      <w:bookmarkStart w:id="784" w:name="xdx_90D_eus-gaap--WarrantsAndRightsOutst"/>
      <w:bookmarkEnd w:id="784"/>
      <w:r>
        <w:rPr>
          <w:rFonts w:ascii="Times New Roman;Times;Serif" w:hAnsi="Times New Roman;Times;Serif"/>
          <w:b w:val="false"/>
          <w:i w:val="false"/>
          <w:caps w:val="false"/>
          <w:smallCaps w:val="false"/>
          <w:sz w:val="20"/>
        </w:rPr>
        <w:t xml:space="preserve">0.64; expected life of </w:t>
      </w:r>
      <w:bookmarkStart w:id="785" w:name="xdx_90C_eus-gaap--WarrantsAndRightsOutst"/>
      <w:bookmarkEnd w:id="785"/>
      <w:r>
        <w:rPr>
          <w:rFonts w:ascii="Times New Roman;Times;Serif" w:hAnsi="Times New Roman;Times;Serif"/>
          <w:b w:val="false"/>
          <w:i w:val="false"/>
          <w:caps w:val="false"/>
          <w:smallCaps w:val="false"/>
          <w:sz w:val="20"/>
        </w:rPr>
        <w:t xml:space="preserve">5 years; volatility of </w:t>
      </w:r>
      <w:bookmarkStart w:id="786" w:name="xdx_905_eus-gaap--WarrantsAndRightsOutst"/>
      <w:bookmarkEnd w:id="786"/>
      <w:r>
        <w:rPr>
          <w:rFonts w:ascii="Times New Roman;Times;Serif" w:hAnsi="Times New Roman;Times;Serif"/>
          <w:b w:val="false"/>
          <w:i w:val="false"/>
          <w:caps w:val="false"/>
          <w:smallCaps w:val="false"/>
          <w:sz w:val="20"/>
        </w:rPr>
        <w:t xml:space="preserve">79%; dividend rate of </w:t>
      </w:r>
      <w:bookmarkStart w:id="787" w:name="xdx_90C_eus-gaap--WarrantsAndRightsOutst"/>
      <w:bookmarkEnd w:id="787"/>
      <w:r>
        <w:rPr>
          <w:rFonts w:ascii="Times New Roman;Times;Serif" w:hAnsi="Times New Roman;Times;Serif"/>
          <w:b w:val="false"/>
          <w:i w:val="false"/>
          <w:caps w:val="false"/>
          <w:smallCaps w:val="false"/>
          <w:sz w:val="20"/>
        </w:rPr>
        <w:t xml:space="preserve">0% and discount rate of </w:t>
      </w:r>
      <w:bookmarkStart w:id="788" w:name="xdx_90E_eus-gaap--WarrantsAndRightsOutst"/>
      <w:bookmarkEnd w:id="788"/>
      <w:r>
        <w:rPr>
          <w:rFonts w:ascii="Times New Roman;Times;Serif" w:hAnsi="Times New Roman;Times;Serif"/>
          <w:b w:val="false"/>
          <w:i w:val="false"/>
          <w:caps w:val="false"/>
          <w:smallCaps w:val="false"/>
          <w:sz w:val="20"/>
        </w:rPr>
        <w:t xml:space="preserve">0.51%. During the year ended December 31, 2020, warrants to acquire </w:t>
      </w:r>
      <w:bookmarkStart w:id="789" w:name="xdx_90D_ecustom--ModificationOfWarrants_"/>
      <w:bookmarkEnd w:id="789"/>
      <w:r>
        <w:rPr>
          <w:rFonts w:ascii="Times New Roman;Times;Serif" w:hAnsi="Times New Roman;Times;Serif"/>
          <w:b w:val="false"/>
          <w:i w:val="false"/>
          <w:caps w:val="false"/>
          <w:smallCaps w:val="false"/>
          <w:sz w:val="20"/>
        </w:rPr>
        <w:t>4,051,541 shares of common stock expired. As of December 31, 2020, the outstanding warrants have no intrinsic value.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2019, a total of </w:t>
      </w:r>
      <w:bookmarkStart w:id="790" w:name="xdx_905_ecustom--NumberOfWarrantsExercis"/>
      <w:bookmarkEnd w:id="790"/>
      <w:r>
        <w:rPr>
          <w:rFonts w:ascii="Times New Roman;Times;Serif" w:hAnsi="Times New Roman;Times;Serif"/>
          <w:b w:val="false"/>
          <w:i w:val="false"/>
          <w:caps w:val="false"/>
          <w:smallCaps w:val="false"/>
          <w:sz w:val="20"/>
        </w:rPr>
        <w:t xml:space="preserve">283,495 warrants were exercised, including </w:t>
      </w:r>
      <w:bookmarkStart w:id="791" w:name="xdx_902_ecustom--NumberOfWarrantsExercis"/>
      <w:bookmarkEnd w:id="791"/>
      <w:r>
        <w:rPr>
          <w:rFonts w:ascii="Times New Roman;Times;Serif" w:hAnsi="Times New Roman;Times;Serif"/>
          <w:b w:val="false"/>
          <w:i w:val="false"/>
          <w:caps w:val="false"/>
          <w:smallCaps w:val="false"/>
          <w:sz w:val="20"/>
        </w:rPr>
        <w:t xml:space="preserve">87,485 warrants that were exercised on a cashless basis, resulting in the issuance of </w:t>
      </w:r>
      <w:bookmarkStart w:id="792" w:name="xdx_900_ecustom--CommonSharesIssuedUponE"/>
      <w:bookmarkEnd w:id="792"/>
      <w:r>
        <w:rPr>
          <w:rFonts w:ascii="Times New Roman;Times;Serif" w:hAnsi="Times New Roman;Times;Serif"/>
          <w:b w:val="false"/>
          <w:i w:val="false"/>
          <w:caps w:val="false"/>
          <w:smallCaps w:val="false"/>
          <w:sz w:val="20"/>
        </w:rPr>
        <w:t>223,037 shares of our common stock. Aggregate proceeds to the Company were $</w:t>
      </w:r>
      <w:bookmarkStart w:id="793" w:name="xdx_904_eus-gaap--ProceedsFromWarrantExe"/>
      <w:bookmarkEnd w:id="793"/>
      <w:r>
        <w:rPr>
          <w:rFonts w:ascii="Times New Roman;Times;Serif" w:hAnsi="Times New Roman;Times;Serif"/>
          <w:b w:val="false"/>
          <w:i w:val="false"/>
          <w:caps w:val="false"/>
          <w:smallCaps w:val="false"/>
          <w:sz w:val="20"/>
        </w:rPr>
        <w:t xml:space="preserve">365. During the year ended December 31, 2019, warrants to acquire </w:t>
      </w:r>
      <w:bookmarkStart w:id="794" w:name="xdx_906_ecustom--ModificationOfWarrants_"/>
      <w:bookmarkEnd w:id="794"/>
      <w:r>
        <w:rPr>
          <w:rFonts w:ascii="Times New Roman;Times;Serif" w:hAnsi="Times New Roman;Times;Serif"/>
          <w:b w:val="false"/>
          <w:i w:val="false"/>
          <w:caps w:val="false"/>
          <w:smallCaps w:val="false"/>
          <w:sz w:val="20"/>
        </w:rPr>
        <w:t>200,000 shares of common stock expired.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795" w:name="xdx_895_ecustom--ScheduleOfWarrantsOutst"/>
      <w:bookmarkEnd w:id="795"/>
      <w:r>
        <w:rPr>
          <w:rFonts w:ascii="Times New Roman;Times;Serif" w:hAnsi="Times New Roman;Times;Serif"/>
          <w:b w:val="false"/>
          <w:i w:val="false"/>
          <w:caps w:val="false"/>
          <w:smallCaps w:val="false"/>
          <w:sz w:val="20"/>
        </w:rPr>
        <w:t>Additional information regarding warrants outstanding and exercisable as of December 31, 2020, is as follows: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796" w:name="xdx_8B6_zihBz4sXC0Z3"/>
      <w:bookmarkEnd w:id="796"/>
      <w:r>
        <w:rPr>
          <w:rFonts w:ascii="Times New Roman;Times;Serif" w:hAnsi="Times New Roman;Times;Serif"/>
          <w:b w:val="false"/>
          <w:i w:val="false"/>
          <w:caps w:val="false"/>
          <w:smallCaps w:val="false"/>
          <w:sz w:val="20"/>
        </w:rPr>
        <w:t>Schedule of Warrants Outstanding and Exercisable</w:t>
      </w:r>
    </w:p>
    <w:tbl>
      <w:tblPr>
        <w:tblW w:w="8521" w:type="dxa"/>
        <w:jc w:val="left"/>
        <w:tblInd w:w="0" w:type="dxa"/>
        <w:tblCellMar>
          <w:top w:w="0" w:type="dxa"/>
          <w:left w:w="0" w:type="dxa"/>
          <w:bottom w:w="0" w:type="dxa"/>
          <w:right w:w="0" w:type="dxa"/>
        </w:tblCellMar>
      </w:tblPr>
      <w:tblGrid>
        <w:gridCol w:w="1284"/>
        <w:gridCol w:w="1030"/>
        <w:gridCol w:w="60"/>
        <w:gridCol w:w="60"/>
        <w:gridCol w:w="67"/>
        <w:gridCol w:w="1108"/>
        <w:gridCol w:w="60"/>
        <w:gridCol w:w="60"/>
        <w:gridCol w:w="225"/>
        <w:gridCol w:w="710"/>
        <w:gridCol w:w="60"/>
        <w:gridCol w:w="60"/>
        <w:gridCol w:w="133"/>
        <w:gridCol w:w="982"/>
        <w:gridCol w:w="60"/>
        <w:gridCol w:w="60"/>
        <w:gridCol w:w="77"/>
        <w:gridCol w:w="1261"/>
        <w:gridCol w:w="77"/>
        <w:gridCol w:w="77"/>
        <w:gridCol w:w="225"/>
        <w:gridCol w:w="710"/>
        <w:gridCol w:w="75"/>
      </w:tblGrid>
      <w:tr>
        <w:trPr/>
        <w:tc>
          <w:tcPr>
            <w:tcW w:w="2314"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65" w:type="dxa"/>
            <w:gridSpan w:val="10"/>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Warrants Outstanding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27"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Warrants Exercisable</w:t>
            </w:r>
          </w:p>
        </w:tc>
        <w:tc>
          <w:tcPr>
            <w:tcW w:w="75" w:type="dxa"/>
            <w:tcBorders/>
            <w:shd w:fill="auto" w:val="clear"/>
            <w:vAlign w:val="center"/>
          </w:tcPr>
          <w:p>
            <w:pPr>
              <w:pStyle w:val="TableContents"/>
              <w:spacing w:before="0" w:after="283"/>
              <w:rPr/>
            </w:pPr>
            <w:r>
              <w:rPr/>
              <w:t> </w:t>
            </w:r>
          </w:p>
        </w:tc>
      </w:tr>
      <w:tr>
        <w:trPr/>
        <w:tc>
          <w:tcPr>
            <w:tcW w:w="23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Range of Exercise 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Number of</w:t>
              <w:br/>
              <w:t>Shares</w:t>
              <w:br/>
              <w:t>Outstanding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Weighted</w:t>
              <w:br/>
              <w:t>Average</w:t>
              <w:br/>
              <w:t>Exercise</w:t>
              <w:br/>
              <w:t>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Weighted</w:t>
              <w:br/>
              <w:t>Average</w:t>
              <w:br/>
              <w:t>Remaining</w:t>
              <w:br/>
              <w:t>Contractual</w:t>
              <w:br/>
              <w:t>Life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8"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Number of</w:t>
              <w:br/>
              <w:t>Shares</w:t>
              <w:br/>
              <w:t>Exercisable</w:t>
            </w:r>
          </w:p>
        </w:tc>
        <w:tc>
          <w:tcPr>
            <w:tcW w:w="77"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Weighted</w:t>
              <w:br/>
              <w:t>Average</w:t>
              <w:br/>
              <w:t>Exercise</w:t>
              <w:br/>
              <w:t>Price</w:t>
            </w:r>
          </w:p>
        </w:tc>
        <w:tc>
          <w:tcPr>
            <w:tcW w:w="75" w:type="dxa"/>
            <w:tcBorders/>
            <w:shd w:fill="auto" w:val="clear"/>
            <w:vAlign w:val="center"/>
          </w:tcPr>
          <w:p>
            <w:pPr>
              <w:pStyle w:val="TableContents"/>
              <w:spacing w:before="0" w:after="283"/>
              <w:rPr/>
            </w:pPr>
            <w:r>
              <w:rPr/>
              <w:t> </w:t>
            </w:r>
          </w:p>
        </w:tc>
      </w:tr>
      <w:tr>
        <w:trPr/>
        <w:tc>
          <w:tcPr>
            <w:tcW w:w="2314" w:type="dxa"/>
            <w:gridSpan w:val="2"/>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97" w:name="xdx_90C_eus-gaap--ShareBasedCompensation"/>
            <w:bookmarkEnd w:id="797"/>
            <w:r>
              <w:rPr>
                <w:rFonts w:ascii="Times New Roman;Times;Serif" w:hAnsi="Times New Roman;Times;Serif"/>
                <w:b w:val="false"/>
                <w:i w:val="false"/>
                <w:caps w:val="false"/>
                <w:smallCaps w:val="false"/>
                <w:sz w:val="20"/>
              </w:rPr>
              <w:t>0.64 - $</w:t>
            </w:r>
            <w:bookmarkStart w:id="798" w:name="xdx_907_eus-gaap--ShareBasedCompensation"/>
            <w:bookmarkEnd w:id="798"/>
            <w:r>
              <w:rPr>
                <w:rFonts w:ascii="Times New Roman;Times;Serif" w:hAnsi="Times New Roman;Times;Serif"/>
                <w:b w:val="false"/>
                <w:i w:val="false"/>
                <w:caps w:val="false"/>
                <w:smallCaps w:val="false"/>
                <w:sz w:val="20"/>
              </w:rPr>
              <w:t>1.55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jc w:val="left"/>
              <w:rPr/>
            </w:pPr>
            <w:r>
              <w:rPr/>
              <w:t> </w:t>
            </w:r>
            <w:bookmarkStart w:id="799" w:name="xdx_98C_eus-gaap--ShareBasedCompensation"/>
            <w:bookmarkEnd w:id="799"/>
          </w:p>
        </w:tc>
        <w:tc>
          <w:tcPr>
            <w:tcW w:w="1108"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2,560,194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00" w:name="xdx_98D_eus-gaap--SharebasedCompensation"/>
            <w:bookmarkEnd w:id="800"/>
          </w:p>
        </w:tc>
        <w:tc>
          <w:tcPr>
            <w:tcW w:w="7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982" w:type="dxa"/>
            <w:tcBorders/>
            <w:shd w:fill="CCEEFF" w:val="clear"/>
            <w:vAlign w:val="center"/>
          </w:tcPr>
          <w:p>
            <w:pPr>
              <w:pStyle w:val="TableContents"/>
              <w:spacing w:before="0" w:after="283"/>
              <w:jc w:val="right"/>
              <w:rPr>
                <w:rFonts w:ascii="Times New Roman;Times;Serif" w:hAnsi="Times New Roman;Times;Serif"/>
              </w:rPr>
            </w:pPr>
            <w:bookmarkStart w:id="801" w:name="xdx_906_eus-gaap--SharebasedCompensation"/>
            <w:bookmarkEnd w:id="801"/>
            <w:r>
              <w:rPr>
                <w:rFonts w:ascii="Times New Roman;Times;Serif" w:hAnsi="Times New Roman;Times;Serif"/>
              </w:rPr>
              <w:t>2.92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jc w:val="left"/>
              <w:rPr/>
            </w:pPr>
            <w:r>
              <w:rPr/>
              <w:t> </w:t>
            </w:r>
            <w:bookmarkStart w:id="802" w:name="xdx_983_eus-gaap--ShareBasedCompensation"/>
            <w:bookmarkEnd w:id="802"/>
          </w:p>
        </w:tc>
        <w:tc>
          <w:tcPr>
            <w:tcW w:w="126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2,560,194</w:t>
            </w:r>
          </w:p>
        </w:tc>
        <w:tc>
          <w:tcPr>
            <w:tcW w:w="77" w:type="dxa"/>
            <w:tcBorders/>
            <w:shd w:fill="CCEEFF" w:val="clear"/>
            <w:vAlign w:val="center"/>
          </w:tcPr>
          <w:p>
            <w:pPr>
              <w:pStyle w:val="TableContents"/>
              <w:spacing w:before="0" w:after="283"/>
              <w:jc w:val="left"/>
              <w:rPr/>
            </w:pPr>
            <w:r>
              <w:rPr/>
              <w:t> </w:t>
            </w:r>
          </w:p>
        </w:tc>
        <w:tc>
          <w:tcPr>
            <w:tcW w:w="77"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03" w:name="xdx_980_eus-gaap--SharebasedCompensation"/>
            <w:bookmarkEnd w:id="803"/>
          </w:p>
        </w:tc>
        <w:tc>
          <w:tcPr>
            <w:tcW w:w="71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1.17</w:t>
            </w:r>
          </w:p>
        </w:tc>
        <w:tc>
          <w:tcPr>
            <w:tcW w:w="75" w:type="dxa"/>
            <w:tcBorders/>
            <w:shd w:fill="CCEEFF" w:val="clear"/>
            <w:vAlign w:val="center"/>
          </w:tcPr>
          <w:p>
            <w:pPr>
              <w:pStyle w:val="TableContents"/>
              <w:spacing w:before="0" w:after="283"/>
              <w:jc w:val="left"/>
              <w:rPr/>
            </w:pPr>
            <w:r>
              <w:rPr/>
              <w:t> </w:t>
            </w:r>
          </w:p>
        </w:tc>
      </w:tr>
      <w:tr>
        <w:trPr/>
        <w:tc>
          <w:tcPr>
            <w:tcW w:w="2314" w:type="dxa"/>
            <w:gridSpan w:val="2"/>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04" w:name="xdx_902_eus-gaap--ShareBasedCompensation"/>
            <w:bookmarkEnd w:id="804"/>
            <w:r>
              <w:rPr>
                <w:rFonts w:ascii="Times New Roman;Times;Serif" w:hAnsi="Times New Roman;Times;Serif"/>
                <w:b w:val="false"/>
                <w:i w:val="false"/>
                <w:caps w:val="false"/>
                <w:smallCaps w:val="false"/>
                <w:sz w:val="20"/>
              </w:rPr>
              <w:t>2.00 - $</w:t>
            </w:r>
            <w:bookmarkStart w:id="805" w:name="xdx_909_eus-gaap--ShareBasedCompensation"/>
            <w:bookmarkEnd w:id="805"/>
            <w:r>
              <w:rPr>
                <w:rFonts w:ascii="Times New Roman;Times;Serif" w:hAnsi="Times New Roman;Times;Serif"/>
                <w:b w:val="false"/>
                <w:i w:val="false"/>
                <w:caps w:val="false"/>
                <w:smallCaps w:val="false"/>
                <w:sz w:val="20"/>
              </w:rPr>
              <w:t>4.25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7"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06" w:name="xdx_986_eus-gaap--ShareBasedCompensation"/>
            <w:bookmarkEnd w:id="806"/>
          </w:p>
        </w:tc>
        <w:tc>
          <w:tcPr>
            <w:tcW w:w="110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802,047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5"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07" w:name="xdx_988_eus-gaap--SharebasedCompensation"/>
            <w:bookmarkEnd w:id="807"/>
          </w:p>
        </w:tc>
        <w:tc>
          <w:tcPr>
            <w:tcW w:w="7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bookmarkStart w:id="808" w:name="xdx_906_eus-gaap--SharebasedCompensation"/>
            <w:bookmarkEnd w:id="808"/>
            <w:r>
              <w:rPr>
                <w:rFonts w:ascii="Times New Roman;Times;Serif" w:hAnsi="Times New Roman;Times;Serif"/>
              </w:rPr>
              <w:t>1.11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7"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09" w:name="xdx_983_eus-gaap--ShareBasedCompensation"/>
            <w:bookmarkEnd w:id="809"/>
          </w:p>
        </w:tc>
        <w:tc>
          <w:tcPr>
            <w:tcW w:w="126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802,047</w:t>
            </w:r>
          </w:p>
        </w:tc>
        <w:tc>
          <w:tcPr>
            <w:tcW w:w="77" w:type="dxa"/>
            <w:tcBorders/>
            <w:shd w:fill="FFFFFF" w:val="clear"/>
            <w:vAlign w:val="center"/>
          </w:tcPr>
          <w:p>
            <w:pPr>
              <w:pStyle w:val="TableContents"/>
              <w:spacing w:before="0" w:after="283"/>
              <w:jc w:val="left"/>
              <w:rPr/>
            </w:pPr>
            <w:r>
              <w:rPr/>
              <w:t> </w:t>
            </w:r>
          </w:p>
        </w:tc>
        <w:tc>
          <w:tcPr>
            <w:tcW w:w="77" w:type="dxa"/>
            <w:tcBorders/>
            <w:shd w:fill="FFFFFF" w:val="clear"/>
            <w:vAlign w:val="center"/>
          </w:tcPr>
          <w:p>
            <w:pPr>
              <w:pStyle w:val="TableContents"/>
              <w:spacing w:before="0" w:after="283"/>
              <w:rPr/>
            </w:pPr>
            <w:r>
              <w:rPr/>
              <w:t> </w:t>
            </w:r>
          </w:p>
        </w:tc>
        <w:tc>
          <w:tcPr>
            <w:tcW w:w="225"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10" w:name="xdx_98A_eus-gaap--SharebasedCompensation"/>
            <w:bookmarkEnd w:id="810"/>
          </w:p>
        </w:tc>
        <w:tc>
          <w:tcPr>
            <w:tcW w:w="7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2.82</w:t>
            </w:r>
          </w:p>
        </w:tc>
        <w:tc>
          <w:tcPr>
            <w:tcW w:w="75" w:type="dxa"/>
            <w:tcBorders/>
            <w:shd w:fill="FFFFFF" w:val="clear"/>
            <w:vAlign w:val="center"/>
          </w:tcPr>
          <w:p>
            <w:pPr>
              <w:pStyle w:val="TableContents"/>
              <w:spacing w:before="0" w:after="283"/>
              <w:jc w:val="left"/>
              <w:rPr/>
            </w:pPr>
            <w:r>
              <w:rPr/>
              <w:t> </w:t>
            </w:r>
          </w:p>
        </w:tc>
      </w:tr>
      <w:tr>
        <w:trPr/>
        <w:tc>
          <w:tcPr>
            <w:tcW w:w="1284" w:type="dxa"/>
            <w:tcBorders/>
            <w:shd w:fill="CCEEFF" w:val="clear"/>
            <w:vAlign w:val="center"/>
          </w:tcPr>
          <w:p>
            <w:pPr>
              <w:pStyle w:val="TableContents"/>
              <w:spacing w:before="0" w:after="283"/>
              <w:jc w:val="left"/>
              <w:rPr/>
            </w:pPr>
            <w:r>
              <w:rPr/>
              <w:t> </w:t>
            </w:r>
          </w:p>
        </w:tc>
        <w:tc>
          <w:tcPr>
            <w:tcW w:w="103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811" w:name="xdx_985_eus-gaap--ShareBasedCompensation"/>
            <w:bookmarkEnd w:id="811"/>
          </w:p>
        </w:tc>
        <w:tc>
          <w:tcPr>
            <w:tcW w:w="110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3,362,241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12" w:name="xdx_98B_eus-gaap--SharebasedCompensation"/>
            <w:bookmarkEnd w:id="812"/>
          </w:p>
        </w:tc>
        <w:tc>
          <w:tcPr>
            <w:tcW w:w="71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98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bookmarkStart w:id="813" w:name="xdx_90C_eus-gaap--SharebasedCompensation"/>
            <w:bookmarkEnd w:id="813"/>
            <w:r>
              <w:rPr>
                <w:rFonts w:ascii="Times New Roman;Times;Serif" w:hAnsi="Times New Roman;Times;Serif"/>
              </w:rPr>
              <w:t>2.49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7"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814" w:name="xdx_987_eus-gaap--ShareBasedCompensation"/>
            <w:bookmarkEnd w:id="814"/>
          </w:p>
        </w:tc>
        <w:tc>
          <w:tcPr>
            <w:tcW w:w="126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3,362,241</w:t>
            </w:r>
          </w:p>
        </w:tc>
        <w:tc>
          <w:tcPr>
            <w:tcW w:w="77" w:type="dxa"/>
            <w:tcBorders/>
            <w:shd w:fill="CCEEFF" w:val="clear"/>
            <w:vAlign w:val="center"/>
          </w:tcPr>
          <w:p>
            <w:pPr>
              <w:pStyle w:val="TableContents"/>
              <w:spacing w:before="0" w:after="283"/>
              <w:jc w:val="left"/>
              <w:rPr/>
            </w:pPr>
            <w:r>
              <w:rPr/>
              <w:t> </w:t>
            </w:r>
          </w:p>
        </w:tc>
        <w:tc>
          <w:tcPr>
            <w:tcW w:w="77" w:type="dxa"/>
            <w:tcBorders/>
            <w:shd w:fill="CCEEFF" w:val="clear"/>
            <w:vAlign w:val="center"/>
          </w:tcPr>
          <w:p>
            <w:pPr>
              <w:pStyle w:val="TableContents"/>
              <w:spacing w:before="0" w:after="283"/>
              <w:rPr/>
            </w:pPr>
            <w:r>
              <w:rPr/>
              <w:t> </w:t>
            </w:r>
          </w:p>
        </w:tc>
        <w:tc>
          <w:tcPr>
            <w:tcW w:w="2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15" w:name="xdx_982_eus-gaap--SharebasedCompensation"/>
            <w:bookmarkEnd w:id="815"/>
          </w:p>
        </w:tc>
        <w:tc>
          <w:tcPr>
            <w:tcW w:w="71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1.56</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816" w:name="xdx_8A2_z0ys38KYVld1"/>
      <w:bookmarkEnd w:id="816"/>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817" w:name="xdx_80F_eus-gaap--IncomeTaxDisclosureTex"/>
      <w:bookmarkEnd w:id="817"/>
      <w:r>
        <w:rPr>
          <w:rFonts w:ascii="Times New Roman;Times;Serif" w:hAnsi="Times New Roman;Times;Serif"/>
          <w:b/>
          <w:i w:val="false"/>
          <w:caps w:val="false"/>
          <w:smallCaps w:val="false"/>
          <w:sz w:val="20"/>
        </w:rPr>
        <w:t xml:space="preserve">14. </w:t>
      </w:r>
      <w:bookmarkStart w:id="818" w:name="xdx_82C_zpNOX02UgaH"/>
      <w:bookmarkEnd w:id="818"/>
      <w:r>
        <w:rPr>
          <w:rFonts w:ascii="Times New Roman;Times;Serif" w:hAnsi="Times New Roman;Times;Serif"/>
          <w:b/>
          <w:i w:val="false"/>
          <w:caps w:val="false"/>
          <w:smallCaps w:val="false"/>
          <w:sz w:val="20"/>
        </w:rPr>
        <w:t>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2020 and 2019, the Company had available Federal and state net operating loss carryforwards (“NOL”s) to reduce future taxable income. For Federal purposes the amounts available were approximately $</w:t>
      </w:r>
      <w:bookmarkStart w:id="819" w:name="xdx_909_eus-gaap--DeferredTaxAssetsOpera"/>
      <w:bookmarkEnd w:id="819"/>
      <w:r>
        <w:rPr>
          <w:rFonts w:ascii="Times New Roman;Times;Serif" w:hAnsi="Times New Roman;Times;Serif"/>
          <w:b w:val="false"/>
          <w:i w:val="false"/>
          <w:caps w:val="false"/>
          <w:smallCaps w:val="false"/>
          <w:sz w:val="20"/>
        </w:rPr>
        <w:t>66,000 and $</w:t>
      </w:r>
      <w:bookmarkStart w:id="820" w:name="xdx_901_eus-gaap--DeferredTaxAssetsOpera"/>
      <w:bookmarkEnd w:id="820"/>
      <w:r>
        <w:rPr>
          <w:rFonts w:ascii="Times New Roman;Times;Serif" w:hAnsi="Times New Roman;Times;Serif"/>
          <w:b w:val="false"/>
          <w:i w:val="false"/>
          <w:caps w:val="false"/>
          <w:smallCaps w:val="false"/>
          <w:sz w:val="20"/>
        </w:rPr>
        <w:t>58,000, respectively. For state purposes approximately $</w:t>
      </w:r>
      <w:bookmarkStart w:id="821" w:name="xdx_907_eus-gaap--DeferredTaxAssetsOpera"/>
      <w:bookmarkEnd w:id="821"/>
      <w:r>
        <w:rPr>
          <w:rFonts w:ascii="Times New Roman;Times;Serif" w:hAnsi="Times New Roman;Times;Serif"/>
          <w:b w:val="false"/>
          <w:i w:val="false"/>
          <w:caps w:val="false"/>
          <w:smallCaps w:val="false"/>
          <w:sz w:val="20"/>
        </w:rPr>
        <w:t>42,000 and $</w:t>
      </w:r>
      <w:bookmarkStart w:id="822" w:name="xdx_90F_eus-gaap--DeferredTaxAssetsOpera"/>
      <w:bookmarkEnd w:id="822"/>
      <w:r>
        <w:rPr>
          <w:rFonts w:ascii="Times New Roman;Times;Serif" w:hAnsi="Times New Roman;Times;Serif"/>
          <w:b w:val="false"/>
          <w:i w:val="false"/>
          <w:caps w:val="false"/>
          <w:smallCaps w:val="false"/>
          <w:sz w:val="20"/>
        </w:rPr>
        <w:t>34,000 was available at December 31, 2020 and 2019, respectively. The Federal carryforward for NOLs arising in years prior to 2018 is approximately $</w:t>
      </w:r>
      <w:bookmarkStart w:id="823" w:name="xdx_908_eus-gaap--OperatingLossCarryforw"/>
      <w:bookmarkEnd w:id="823"/>
      <w:r>
        <w:rPr>
          <w:rFonts w:ascii="Times New Roman;Times;Serif" w:hAnsi="Times New Roman;Times;Serif"/>
          <w:b w:val="false"/>
          <w:i w:val="false"/>
          <w:caps w:val="false"/>
          <w:smallCaps w:val="false"/>
          <w:sz w:val="20"/>
        </w:rPr>
        <w:t xml:space="preserve">33,000, which expires on various dates through </w:t>
      </w:r>
      <w:bookmarkStart w:id="824" w:name="xdx_908_ecustom--FederalCarryforwardLoss"/>
      <w:bookmarkEnd w:id="824"/>
      <w:r>
        <w:rPr>
          <w:rFonts w:ascii="Times New Roman;Times;Serif" w:hAnsi="Times New Roman;Times;Serif"/>
          <w:b w:val="false"/>
          <w:i w:val="false"/>
          <w:caps w:val="false"/>
          <w:smallCaps w:val="false"/>
          <w:sz w:val="20"/>
        </w:rPr>
        <w:t xml:space="preserve">2037. NOLs for 2018, 2019 and 2020 of approximately </w:t>
      </w:r>
      <w:bookmarkStart w:id="825" w:name="xdx_907_eus-gaap--OperatingLossCarryforw"/>
      <w:bookmarkStart w:id="826" w:name="xdx_90E_eus-gaap--OperatingLossCarryforw"/>
      <w:bookmarkStart w:id="827" w:name="xdx_90F_eus-gaap--OperatingLossCarryforw"/>
      <w:bookmarkEnd w:id="825"/>
      <w:bookmarkEnd w:id="826"/>
      <w:bookmarkEnd w:id="827"/>
      <w:r>
        <w:rPr>
          <w:rFonts w:ascii="Times New Roman;Times;Serif" w:hAnsi="Times New Roman;Times;Serif"/>
          <w:b w:val="false"/>
          <w:i w:val="false"/>
          <w:caps w:val="false"/>
          <w:smallCaps w:val="false"/>
          <w:sz w:val="20"/>
        </w:rPr>
        <w:t xml:space="preserve">33,000, can be carried forward indefinitely, but are only able to </w:t>
      </w:r>
      <w:bookmarkStart w:id="828" w:name="xdx_90E_eus-gaap--OperatingLossCarryforw"/>
      <w:bookmarkEnd w:id="828"/>
      <w:r>
        <w:rPr>
          <w:rFonts w:ascii="Times New Roman;Times;Serif" w:hAnsi="Times New Roman;Times;Serif"/>
          <w:b w:val="false"/>
          <w:i w:val="false"/>
          <w:caps w:val="false"/>
          <w:smallCaps w:val="false"/>
          <w:sz w:val="20"/>
        </w:rPr>
        <w:t>offset 80% of taxable income in future years. The state carryforward expires on various dates through 2040. Given the Company’s history of net operating losses, management has determined that it is more likely than not that the Company will not be able to realize the tax benefit of the carryforwards. Accordingly, the Company has not recognized a deferred tax asset for this benefit.</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F-21</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restrictions imposed by Internal Revenue Code Section 382 regarding substantial changes in ownership of companies with loss carryforwards, the utilization of the Company’s NOL may be limited as a result of changes in stock ownership. NOLs incurred subsequent to the latest change in control are not subject to the limitation.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a position is measured based on the largest benefit that has a greater than fifty percent likelihood of being realized upon ultimate settlement. As of December 31, 2020 and 2019, the Company did not have a liability for unrecognized tax benefits.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as income tax expense, interest and penalties on uncertain tax provisions. As of December 31, 2020 and 2019, the Company has not accrued interest or penalties related to uncertain tax positions. Tax years 2016 through 2020 remain open to examination by the major taxing jurisdictions to which the Company is subject.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attainment of taxable income by the Company, management will assess the likelihood of realizing the tax benefit associated with the use of the NOLs and will recognize the appropriate deferred tax asset at that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829" w:name="xdx_89B_eus-gaap--ScheduleOfDeferredTaxA"/>
      <w:bookmarkEnd w:id="829"/>
      <w:r>
        <w:rPr>
          <w:rFonts w:ascii="Times New Roman;Times;Serif" w:hAnsi="Times New Roman;Times;Serif"/>
          <w:b w:val="false"/>
          <w:i w:val="false"/>
          <w:caps w:val="false"/>
          <w:smallCaps w:val="false"/>
          <w:sz w:val="20"/>
        </w:rPr>
        <w:t>Significant components of the Company’s deferred tax assets and liabilities are as follows: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830" w:name="xdx_8B5_zJuw8qTrtchf"/>
      <w:bookmarkEnd w:id="830"/>
      <w:r>
        <w:rPr>
          <w:rFonts w:ascii="Times New Roman;Times;Serif" w:hAnsi="Times New Roman;Times;Serif"/>
          <w:b w:val="false"/>
          <w:i w:val="false"/>
          <w:caps w:val="false"/>
          <w:smallCaps w:val="false"/>
          <w:sz w:val="20"/>
        </w:rPr>
        <w:t>Schedule of Deferred Income Tax Assets</w:t>
      </w:r>
    </w:p>
    <w:tbl>
      <w:tblPr>
        <w:tblW w:w="7928" w:type="dxa"/>
        <w:jc w:val="left"/>
        <w:tblInd w:w="0" w:type="dxa"/>
        <w:tblCellMar>
          <w:top w:w="0" w:type="dxa"/>
          <w:left w:w="0" w:type="dxa"/>
          <w:bottom w:w="0" w:type="dxa"/>
          <w:right w:w="0" w:type="dxa"/>
        </w:tblCellMar>
      </w:tblPr>
      <w:tblGrid>
        <w:gridCol w:w="3695"/>
        <w:gridCol w:w="60"/>
        <w:gridCol w:w="305"/>
        <w:gridCol w:w="1649"/>
        <w:gridCol w:w="95"/>
        <w:gridCol w:w="60"/>
        <w:gridCol w:w="305"/>
        <w:gridCol w:w="1649"/>
        <w:gridCol w:w="110"/>
      </w:tblGrid>
      <w:tr>
        <w:trPr/>
        <w:tc>
          <w:tcPr>
            <w:tcW w:w="36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bookmarkStart w:id="831" w:name="xdx_495_20201231_zkkiFkfVqr54"/>
            <w:bookmarkEnd w:id="831"/>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December 31, 2020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832" w:name="xdx_495_20191231_zHvbayMHBN28"/>
            <w:bookmarkEnd w:id="832"/>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December 31, 2019</w:t>
            </w:r>
          </w:p>
        </w:tc>
        <w:tc>
          <w:tcPr>
            <w:tcW w:w="110" w:type="dxa"/>
            <w:tcBorders/>
            <w:shd w:fill="auto" w:val="clear"/>
            <w:vAlign w:val="center"/>
          </w:tcPr>
          <w:p>
            <w:pPr>
              <w:pStyle w:val="TableContents"/>
              <w:spacing w:before="0" w:after="283"/>
              <w:rPr/>
            </w:pPr>
            <w:r>
              <w:rPr/>
              <w:t> </w:t>
            </w:r>
          </w:p>
        </w:tc>
      </w:tr>
      <w:tr>
        <w:trPr/>
        <w:tc>
          <w:tcPr>
            <w:tcW w:w="36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Deferred income tax asset:</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833" w:name="xdx_401_eus-gaap--DeferredTaxAssetsOpera"/>
            <w:bookmarkEnd w:id="833"/>
          </w:p>
        </w:tc>
      </w:tr>
      <w:tr>
        <w:trPr/>
        <w:tc>
          <w:tcPr>
            <w:tcW w:w="36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49"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15,641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49"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12,776</w:t>
            </w:r>
          </w:p>
        </w:tc>
        <w:tc>
          <w:tcPr>
            <w:tcW w:w="110" w:type="dxa"/>
            <w:tcBorders/>
            <w:shd w:fill="FFFFFF" w:val="clear"/>
            <w:vAlign w:val="center"/>
          </w:tcPr>
          <w:p>
            <w:pPr>
              <w:pStyle w:val="TableContents"/>
              <w:spacing w:before="0" w:after="283"/>
              <w:jc w:val="left"/>
              <w:rPr/>
            </w:pPr>
            <w:r>
              <w:rPr/>
              <w:t> </w:t>
            </w:r>
            <w:bookmarkStart w:id="834" w:name="xdx_408_eus-gaap--DeferredTaxAssetsCapit"/>
            <w:bookmarkEnd w:id="834"/>
          </w:p>
        </w:tc>
      </w:tr>
      <w:tr>
        <w:trPr/>
        <w:tc>
          <w:tcPr>
            <w:tcW w:w="36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Disqualified corporate interest expense</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857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581</w:t>
            </w:r>
          </w:p>
        </w:tc>
        <w:tc>
          <w:tcPr>
            <w:tcW w:w="110" w:type="dxa"/>
            <w:tcBorders/>
            <w:shd w:fill="CCEEFF" w:val="clear"/>
            <w:vAlign w:val="center"/>
          </w:tcPr>
          <w:p>
            <w:pPr>
              <w:pStyle w:val="TableContents"/>
              <w:spacing w:before="0" w:after="283"/>
              <w:jc w:val="left"/>
              <w:rPr/>
            </w:pPr>
            <w:r>
              <w:rPr/>
              <w:t> </w:t>
            </w:r>
            <w:bookmarkStart w:id="835" w:name="xdx_409_eus-gaap--DeferredTaxAssetsTaxDe"/>
            <w:bookmarkEnd w:id="835"/>
          </w:p>
        </w:tc>
      </w:tr>
      <w:tr>
        <w:trPr/>
        <w:tc>
          <w:tcPr>
            <w:tcW w:w="36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pPr>
            <w:r>
              <w:rPr/>
              <w:t> </w:t>
            </w:r>
          </w:p>
        </w:tc>
        <w:tc>
          <w:tcPr>
            <w:tcW w:w="1649"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1,260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pPr>
            <w:r>
              <w:rPr/>
              <w:t> </w:t>
            </w:r>
          </w:p>
        </w:tc>
        <w:tc>
          <w:tcPr>
            <w:tcW w:w="1649"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942</w:t>
            </w:r>
          </w:p>
        </w:tc>
        <w:tc>
          <w:tcPr>
            <w:tcW w:w="110" w:type="dxa"/>
            <w:tcBorders/>
            <w:shd w:fill="FFFFFF" w:val="clear"/>
            <w:vAlign w:val="center"/>
          </w:tcPr>
          <w:p>
            <w:pPr>
              <w:pStyle w:val="TableContents"/>
              <w:spacing w:before="0" w:after="283"/>
              <w:jc w:val="left"/>
              <w:rPr/>
            </w:pPr>
            <w:r>
              <w:rPr/>
              <w:t> </w:t>
            </w:r>
            <w:bookmarkStart w:id="836" w:name="xdx_405_eus-gaap--DeferredTaxAssetsTaxDe"/>
            <w:bookmarkEnd w:id="836"/>
          </w:p>
        </w:tc>
      </w:tr>
      <w:tr>
        <w:trPr/>
        <w:tc>
          <w:tcPr>
            <w:tcW w:w="36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Accounts receivable allowances</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98</w:t>
            </w:r>
          </w:p>
        </w:tc>
        <w:tc>
          <w:tcPr>
            <w:tcW w:w="110" w:type="dxa"/>
            <w:tcBorders/>
            <w:shd w:fill="CCEEFF" w:val="clear"/>
            <w:vAlign w:val="center"/>
          </w:tcPr>
          <w:p>
            <w:pPr>
              <w:pStyle w:val="TableContents"/>
              <w:spacing w:before="0" w:after="283"/>
              <w:jc w:val="left"/>
              <w:rPr/>
            </w:pPr>
            <w:r>
              <w:rPr/>
              <w:t> </w:t>
            </w:r>
            <w:bookmarkStart w:id="837" w:name="xdx_40F_eus-gaap--DeferredTaxAssetsInven"/>
            <w:bookmarkEnd w:id="837"/>
          </w:p>
        </w:tc>
      </w:tr>
      <w:tr>
        <w:trPr/>
        <w:tc>
          <w:tcPr>
            <w:tcW w:w="36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Inventory reserves</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pPr>
            <w:r>
              <w:rPr/>
              <w:t> </w:t>
            </w:r>
          </w:p>
        </w:tc>
        <w:tc>
          <w:tcPr>
            <w:tcW w:w="1649"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pPr>
            <w:r>
              <w:rPr/>
              <w:t> </w:t>
            </w:r>
          </w:p>
        </w:tc>
        <w:tc>
          <w:tcPr>
            <w:tcW w:w="1649"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168</w:t>
            </w:r>
          </w:p>
        </w:tc>
        <w:tc>
          <w:tcPr>
            <w:tcW w:w="110" w:type="dxa"/>
            <w:tcBorders/>
            <w:shd w:fill="FFFFFF" w:val="clear"/>
            <w:vAlign w:val="center"/>
          </w:tcPr>
          <w:p>
            <w:pPr>
              <w:pStyle w:val="TableContents"/>
              <w:spacing w:before="0" w:after="283"/>
              <w:jc w:val="left"/>
              <w:rPr/>
            </w:pPr>
            <w:r>
              <w:rPr/>
              <w:t> </w:t>
            </w:r>
            <w:bookmarkStart w:id="838" w:name="xdx_408_ecustom--DeferredTaxAssetOperati"/>
            <w:bookmarkEnd w:id="838"/>
          </w:p>
        </w:tc>
      </w:tr>
      <w:tr>
        <w:trPr/>
        <w:tc>
          <w:tcPr>
            <w:tcW w:w="36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Operating lease liability</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181</w:t>
            </w:r>
          </w:p>
        </w:tc>
        <w:tc>
          <w:tcPr>
            <w:tcW w:w="110" w:type="dxa"/>
            <w:tcBorders/>
            <w:shd w:fill="CCEEFF" w:val="clear"/>
            <w:vAlign w:val="center"/>
          </w:tcPr>
          <w:p>
            <w:pPr>
              <w:pStyle w:val="TableContents"/>
              <w:spacing w:before="0" w:after="283"/>
              <w:jc w:val="left"/>
              <w:rPr/>
            </w:pPr>
            <w:r>
              <w:rPr/>
              <w:t> </w:t>
            </w:r>
            <w:bookmarkStart w:id="839" w:name="xdx_402_ecustom--DeferredTaxAssetReserve"/>
            <w:bookmarkEnd w:id="839"/>
          </w:p>
        </w:tc>
      </w:tr>
      <w:tr>
        <w:trPr/>
        <w:tc>
          <w:tcPr>
            <w:tcW w:w="36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Reserve for asset impairment</w:t>
            </w:r>
          </w:p>
        </w:tc>
        <w:tc>
          <w:tcPr>
            <w:tcW w:w="60" w:type="dxa"/>
            <w:tcBorders/>
            <w:shd w:fill="FFFFFF" w:val="clear"/>
            <w:vAlign w:val="center"/>
          </w:tcPr>
          <w:p>
            <w:pPr>
              <w:pStyle w:val="TableContents"/>
              <w:spacing w:before="0" w:after="283"/>
              <w:rPr/>
            </w:pPr>
            <w:r>
              <w:rPr/>
              <w:t> </w:t>
            </w:r>
          </w:p>
        </w:tc>
        <w:tc>
          <w:tcPr>
            <w:tcW w:w="30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58</w:t>
            </w:r>
          </w:p>
        </w:tc>
        <w:tc>
          <w:tcPr>
            <w:tcW w:w="110" w:type="dxa"/>
            <w:tcBorders/>
            <w:shd w:fill="FFFFFF" w:val="clear"/>
            <w:vAlign w:val="center"/>
          </w:tcPr>
          <w:p>
            <w:pPr>
              <w:pStyle w:val="TableContents"/>
              <w:spacing w:before="0" w:after="283"/>
              <w:jc w:val="left"/>
              <w:rPr/>
            </w:pPr>
            <w:r>
              <w:rPr/>
              <w:t> </w:t>
            </w:r>
            <w:bookmarkStart w:id="840" w:name="xdx_40E_eus-gaap--DeferredTaxAssetsGross"/>
            <w:bookmarkEnd w:id="840"/>
          </w:p>
        </w:tc>
      </w:tr>
      <w:tr>
        <w:trPr/>
        <w:tc>
          <w:tcPr>
            <w:tcW w:w="36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Gross deferred tax assets</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18,107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14,804</w:t>
            </w:r>
          </w:p>
        </w:tc>
        <w:tc>
          <w:tcPr>
            <w:tcW w:w="110" w:type="dxa"/>
            <w:tcBorders/>
            <w:shd w:fill="CCEEFF" w:val="clear"/>
            <w:vAlign w:val="center"/>
          </w:tcPr>
          <w:p>
            <w:pPr>
              <w:pStyle w:val="TableContents"/>
              <w:spacing w:before="0" w:after="283"/>
              <w:jc w:val="left"/>
              <w:rPr/>
            </w:pPr>
            <w:r>
              <w:rPr/>
              <w:t> </w:t>
            </w:r>
            <w:bookmarkStart w:id="841" w:name="xdx_40C_eus-gaap--DeferredTaxAssetsValua"/>
            <w:bookmarkEnd w:id="841"/>
          </w:p>
        </w:tc>
      </w:tr>
      <w:tr>
        <w:trPr/>
        <w:tc>
          <w:tcPr>
            <w:tcW w:w="36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FFFFFF" w:val="clear"/>
            <w:vAlign w:val="center"/>
          </w:tcPr>
          <w:p>
            <w:pPr>
              <w:pStyle w:val="TableContents"/>
              <w:spacing w:before="0" w:after="283"/>
              <w:rPr/>
            </w:pPr>
            <w:r>
              <w:rPr/>
              <w:t> </w:t>
            </w:r>
          </w:p>
        </w:tc>
        <w:tc>
          <w:tcPr>
            <w:tcW w:w="30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(17,903</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30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(14,488</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42" w:name="xdx_40F_eus-gaap--DeferredTaxAssetsNet_i"/>
            <w:bookmarkEnd w:id="842"/>
          </w:p>
        </w:tc>
      </w:tr>
      <w:tr>
        <w:trPr/>
        <w:tc>
          <w:tcPr>
            <w:tcW w:w="36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deferred tax assets</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316</w:t>
            </w:r>
          </w:p>
        </w:tc>
        <w:tc>
          <w:tcPr>
            <w:tcW w:w="110" w:type="dxa"/>
            <w:tcBorders/>
            <w:shd w:fill="CCEEFF" w:val="clear"/>
            <w:vAlign w:val="center"/>
          </w:tcPr>
          <w:p>
            <w:pPr>
              <w:pStyle w:val="TableContents"/>
              <w:spacing w:before="0" w:after="283"/>
              <w:jc w:val="left"/>
              <w:rPr/>
            </w:pPr>
            <w:r>
              <w:rPr/>
              <w:t> </w:t>
            </w:r>
          </w:p>
        </w:tc>
      </w:tr>
      <w:tr>
        <w:trPr/>
        <w:tc>
          <w:tcPr>
            <w:tcW w:w="36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pPr>
            <w:r>
              <w:rPr/>
              <w:t> </w:t>
            </w:r>
          </w:p>
        </w:tc>
        <w:tc>
          <w:tcPr>
            <w:tcW w:w="1649"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pPr>
            <w:r>
              <w:rPr/>
              <w:t> </w:t>
            </w:r>
          </w:p>
        </w:tc>
        <w:tc>
          <w:tcPr>
            <w:tcW w:w="1649"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843" w:name="xdx_409_ecustom--DeferredTaxAssetOperati"/>
            <w:bookmarkEnd w:id="843"/>
          </w:p>
        </w:tc>
      </w:tr>
      <w:tr>
        <w:trPr/>
        <w:tc>
          <w:tcPr>
            <w:tcW w:w="36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Operating lease right-of-use asset</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(203</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164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(190</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44" w:name="xdx_406_ecustom--DeferredTaxAssetsTaxDef"/>
            <w:bookmarkEnd w:id="844"/>
          </w:p>
        </w:tc>
      </w:tr>
      <w:tr>
        <w:trPr/>
        <w:tc>
          <w:tcPr>
            <w:tcW w:w="36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Deferred finance costs</w:t>
            </w:r>
          </w:p>
        </w:tc>
        <w:tc>
          <w:tcPr>
            <w:tcW w:w="60" w:type="dxa"/>
            <w:tcBorders/>
            <w:shd w:fill="FFFFFF" w:val="clear"/>
            <w:vAlign w:val="center"/>
          </w:tcPr>
          <w:p>
            <w:pPr>
              <w:pStyle w:val="TableContents"/>
              <w:spacing w:before="0" w:after="283"/>
              <w:rPr/>
            </w:pPr>
            <w:r>
              <w:rPr/>
              <w:t> </w:t>
            </w:r>
          </w:p>
        </w:tc>
        <w:tc>
          <w:tcPr>
            <w:tcW w:w="30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(126</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45" w:name="xdx_405_eus-gaap--DeferredIncomeTaxLiabi"/>
            <w:bookmarkEnd w:id="845"/>
          </w:p>
        </w:tc>
      </w:tr>
      <w:tr>
        <w:trPr/>
        <w:tc>
          <w:tcPr>
            <w:tcW w:w="36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deferred tax liabilities</w:t>
            </w:r>
          </w:p>
        </w:tc>
        <w:tc>
          <w:tcPr>
            <w:tcW w:w="60" w:type="dxa"/>
            <w:tcBorders/>
            <w:shd w:fill="CCEEFF" w:val="clear"/>
            <w:vAlign w:val="center"/>
          </w:tcPr>
          <w:p>
            <w:pPr>
              <w:pStyle w:val="TableContents"/>
              <w:spacing w:before="0" w:after="283"/>
              <w:rPr/>
            </w:pPr>
            <w:r>
              <w:rPr/>
              <w:t> </w:t>
            </w:r>
          </w:p>
        </w:tc>
        <w:tc>
          <w:tcPr>
            <w:tcW w:w="30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(203</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30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(316</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46" w:name="xdx_40C_eus-gaap--DeferredTaxAssetsLiabi"/>
            <w:bookmarkEnd w:id="846"/>
          </w:p>
        </w:tc>
      </w:tr>
      <w:tr>
        <w:trPr/>
        <w:tc>
          <w:tcPr>
            <w:tcW w:w="36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deferred tax asset (liability)</w:t>
            </w:r>
          </w:p>
        </w:tc>
        <w:tc>
          <w:tcPr>
            <w:tcW w:w="60" w:type="dxa"/>
            <w:tcBorders/>
            <w:shd w:fill="FFFFFF" w:val="clear"/>
            <w:vAlign w:val="center"/>
          </w:tcPr>
          <w:p>
            <w:pPr>
              <w:pStyle w:val="TableContents"/>
              <w:spacing w:before="0" w:after="283"/>
              <w:rPr/>
            </w:pPr>
            <w:r>
              <w:rPr/>
              <w:t> </w:t>
            </w:r>
          </w:p>
        </w:tc>
        <w:tc>
          <w:tcPr>
            <w:tcW w:w="30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4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64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847" w:name="xdx_8A7_zgyHeBmjMl3b"/>
      <w:bookmarkEnd w:id="847"/>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848" w:name="xdx_89E_eus-gaap--ScheduleOfEffectiveInc"/>
      <w:bookmarkEnd w:id="848"/>
      <w:r>
        <w:rPr>
          <w:rFonts w:ascii="Times New Roman;Times;Serif" w:hAnsi="Times New Roman;Times;Serif"/>
          <w:b w:val="false"/>
          <w:i w:val="false"/>
          <w:caps w:val="false"/>
          <w:smallCaps w:val="false"/>
          <w:sz w:val="20"/>
        </w:rPr>
        <w:t>Reconciliation of the effective income tax rate to the U.S. statutory rate is as follows:</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849" w:name="xdx_8BF_zVTbMx3ryHXl"/>
      <w:bookmarkEnd w:id="849"/>
      <w:r>
        <w:rPr>
          <w:rFonts w:ascii="Times New Roman;Times;Serif" w:hAnsi="Times New Roman;Times;Serif"/>
          <w:b w:val="false"/>
          <w:i w:val="false"/>
          <w:caps w:val="false"/>
          <w:smallCaps w:val="false"/>
          <w:sz w:val="20"/>
        </w:rPr>
        <w:t>Schedule of Reconciliation of Effective Income Tax Rate to U.S. Statutory Rate</w:t>
      </w:r>
    </w:p>
    <w:tbl>
      <w:tblPr>
        <w:tblW w:w="7598" w:type="dxa"/>
        <w:jc w:val="left"/>
        <w:tblInd w:w="0" w:type="dxa"/>
        <w:tblCellMar>
          <w:top w:w="0" w:type="dxa"/>
          <w:left w:w="0" w:type="dxa"/>
          <w:bottom w:w="0" w:type="dxa"/>
          <w:right w:w="0" w:type="dxa"/>
        </w:tblCellMar>
      </w:tblPr>
      <w:tblGrid>
        <w:gridCol w:w="2975"/>
        <w:gridCol w:w="60"/>
        <w:gridCol w:w="574"/>
        <w:gridCol w:w="1380"/>
        <w:gridCol w:w="290"/>
        <w:gridCol w:w="60"/>
        <w:gridCol w:w="574"/>
        <w:gridCol w:w="1380"/>
        <w:gridCol w:w="305"/>
      </w:tblGrid>
      <w:tr>
        <w:trPr/>
        <w:tc>
          <w:tcPr>
            <w:tcW w:w="29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December 31, 2020</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December 31, 2019</w:t>
            </w:r>
          </w:p>
        </w:tc>
        <w:tc>
          <w:tcPr>
            <w:tcW w:w="305" w:type="dxa"/>
            <w:tcBorders/>
            <w:shd w:fill="auto" w:val="clear"/>
            <w:vAlign w:val="center"/>
          </w:tcPr>
          <w:p>
            <w:pPr>
              <w:pStyle w:val="TableContents"/>
              <w:spacing w:before="0" w:after="283"/>
              <w:rPr/>
            </w:pPr>
            <w:r>
              <w:rPr/>
              <w:t> </w:t>
            </w:r>
          </w:p>
        </w:tc>
      </w:tr>
      <w:tr>
        <w:trPr/>
        <w:tc>
          <w:tcPr>
            <w:tcW w:w="29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Federal statutory tax rate</w:t>
            </w:r>
          </w:p>
        </w:tc>
        <w:tc>
          <w:tcPr>
            <w:tcW w:w="60" w:type="dxa"/>
            <w:tcBorders/>
            <w:shd w:fill="CCEEFF" w:val="clear"/>
            <w:vAlign w:val="center"/>
          </w:tcPr>
          <w:p>
            <w:pPr>
              <w:pStyle w:val="TableContents"/>
              <w:spacing w:before="0" w:after="283"/>
              <w:rPr/>
            </w:pPr>
            <w:r>
              <w:rPr/>
              <w:t> </w:t>
            </w:r>
          </w:p>
        </w:tc>
        <w:tc>
          <w:tcPr>
            <w:tcW w:w="574" w:type="dxa"/>
            <w:tcBorders/>
            <w:shd w:fill="CCEEFF" w:val="clear"/>
            <w:vAlign w:val="center"/>
          </w:tcPr>
          <w:p>
            <w:pPr>
              <w:pStyle w:val="TableContents"/>
              <w:spacing w:before="0" w:after="283"/>
              <w:jc w:val="left"/>
              <w:rPr/>
            </w:pPr>
            <w:r>
              <w:rPr/>
              <w:t> </w:t>
            </w:r>
            <w:bookmarkStart w:id="850" w:name="xdx_98F_eus-gaap--EffectiveIncomeTaxRate"/>
            <w:bookmarkEnd w:id="850"/>
          </w:p>
        </w:tc>
        <w:tc>
          <w:tcPr>
            <w:tcW w:w="13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w:t>
            </w:r>
          </w:p>
        </w:tc>
        <w:tc>
          <w:tcPr>
            <w:tcW w:w="2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574" w:type="dxa"/>
            <w:tcBorders/>
            <w:shd w:fill="CCEEFF" w:val="clear"/>
            <w:vAlign w:val="center"/>
          </w:tcPr>
          <w:p>
            <w:pPr>
              <w:pStyle w:val="TableContents"/>
              <w:spacing w:before="0" w:after="283"/>
              <w:jc w:val="left"/>
              <w:rPr/>
            </w:pPr>
            <w:r>
              <w:rPr/>
              <w:t> </w:t>
            </w:r>
            <w:bookmarkStart w:id="851" w:name="xdx_98D_eus-gaap--EffectiveIncomeTaxRate"/>
            <w:bookmarkEnd w:id="851"/>
          </w:p>
        </w:tc>
        <w:tc>
          <w:tcPr>
            <w:tcW w:w="13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w:t>
            </w:r>
          </w:p>
        </w:tc>
        <w:tc>
          <w:tcPr>
            <w:tcW w:w="3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29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State rate, net of federal benefit</w:t>
            </w:r>
          </w:p>
        </w:tc>
        <w:tc>
          <w:tcPr>
            <w:tcW w:w="60" w:type="dxa"/>
            <w:tcBorders/>
            <w:shd w:fill="FFFFFF" w:val="clear"/>
            <w:vAlign w:val="center"/>
          </w:tcPr>
          <w:p>
            <w:pPr>
              <w:pStyle w:val="TableContents"/>
              <w:spacing w:before="0" w:after="283"/>
              <w:rPr/>
            </w:pPr>
            <w:r>
              <w:rPr/>
              <w:t> </w:t>
            </w:r>
          </w:p>
        </w:tc>
        <w:tc>
          <w:tcPr>
            <w:tcW w:w="574"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52" w:name="xdx_980_eus-gaap--EffectiveIncomeTaxRate"/>
            <w:bookmarkEnd w:id="852"/>
          </w:p>
        </w:tc>
        <w:tc>
          <w:tcPr>
            <w:tcW w:w="13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2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574"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853" w:name="xdx_985_eus-gaap--EffectiveIncomeTaxRate"/>
            <w:bookmarkEnd w:id="853"/>
          </w:p>
        </w:tc>
        <w:tc>
          <w:tcPr>
            <w:tcW w:w="13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w:t>
            </w:r>
          </w:p>
        </w:tc>
        <w:tc>
          <w:tcPr>
            <w:tcW w:w="3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29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4" w:type="dxa"/>
            <w:tcBorders/>
            <w:shd w:fill="CCEEFF" w:val="clear"/>
            <w:vAlign w:val="center"/>
          </w:tcPr>
          <w:p>
            <w:pPr>
              <w:pStyle w:val="TableContents"/>
              <w:spacing w:before="0" w:after="283"/>
              <w:jc w:val="left"/>
              <w:rPr/>
            </w:pPr>
            <w:r>
              <w:rPr/>
              <w:t> </w:t>
            </w:r>
            <w:bookmarkStart w:id="854" w:name="xdx_980_ecustom--EffectiveIncomeTaxRateR"/>
            <w:bookmarkEnd w:id="854"/>
          </w:p>
        </w:tc>
        <w:tc>
          <w:tcPr>
            <w:tcW w:w="13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w:t>
            </w:r>
          </w:p>
        </w:tc>
        <w:tc>
          <w:tcPr>
            <w:tcW w:w="2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574" w:type="dxa"/>
            <w:tcBorders/>
            <w:shd w:fill="CCEEFF" w:val="clear"/>
            <w:vAlign w:val="center"/>
          </w:tcPr>
          <w:p>
            <w:pPr>
              <w:pStyle w:val="TableContents"/>
              <w:spacing w:before="0" w:after="283"/>
              <w:jc w:val="left"/>
              <w:rPr/>
            </w:pPr>
            <w:r>
              <w:rPr/>
              <w:t> </w:t>
            </w:r>
            <w:bookmarkStart w:id="855" w:name="xdx_982_ecustom--EffectiveIncomeTaxRateR"/>
            <w:bookmarkEnd w:id="855"/>
          </w:p>
        </w:tc>
        <w:tc>
          <w:tcPr>
            <w:tcW w:w="13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w:t>
            </w:r>
          </w:p>
        </w:tc>
        <w:tc>
          <w:tcPr>
            <w:tcW w:w="3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29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Effect of change in tax rate</w:t>
            </w:r>
          </w:p>
        </w:tc>
        <w:tc>
          <w:tcPr>
            <w:tcW w:w="60" w:type="dxa"/>
            <w:tcBorders/>
            <w:shd w:fill="FFFFFF" w:val="clear"/>
            <w:vAlign w:val="center"/>
          </w:tcPr>
          <w:p>
            <w:pPr>
              <w:pStyle w:val="TableContents"/>
              <w:spacing w:before="0" w:after="283"/>
              <w:rPr/>
            </w:pPr>
            <w:r>
              <w:rPr/>
              <w:t> </w:t>
            </w:r>
          </w:p>
        </w:tc>
        <w:tc>
          <w:tcPr>
            <w:tcW w:w="574" w:type="dxa"/>
            <w:tcBorders/>
            <w:shd w:fill="FFFFFF" w:val="clear"/>
            <w:vAlign w:val="center"/>
          </w:tcPr>
          <w:p>
            <w:pPr>
              <w:pStyle w:val="TableContents"/>
              <w:spacing w:before="0" w:after="283"/>
              <w:jc w:val="left"/>
              <w:rPr/>
            </w:pPr>
            <w:r>
              <w:rPr/>
              <w:t> </w:t>
            </w:r>
            <w:bookmarkStart w:id="856" w:name="xdx_980_eus-gaap--EffectiveIncomeTaxRate"/>
            <w:bookmarkEnd w:id="856"/>
          </w:p>
        </w:tc>
        <w:tc>
          <w:tcPr>
            <w:tcW w:w="13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29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574" w:type="dxa"/>
            <w:tcBorders/>
            <w:shd w:fill="FFFFFF" w:val="clear"/>
            <w:vAlign w:val="center"/>
          </w:tcPr>
          <w:p>
            <w:pPr>
              <w:pStyle w:val="TableContents"/>
              <w:spacing w:before="0" w:after="283"/>
              <w:jc w:val="left"/>
              <w:rPr/>
            </w:pPr>
            <w:r>
              <w:rPr/>
              <w:t> </w:t>
            </w:r>
            <w:bookmarkStart w:id="857" w:name="xdx_982_eus-gaap--EffectiveIncomeTaxRate"/>
            <w:bookmarkEnd w:id="857"/>
          </w:p>
        </w:tc>
        <w:tc>
          <w:tcPr>
            <w:tcW w:w="138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3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297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CCEEFF" w:val="clear"/>
            <w:vAlign w:val="center"/>
          </w:tcPr>
          <w:p>
            <w:pPr>
              <w:pStyle w:val="TableContents"/>
              <w:spacing w:before="0" w:after="283"/>
              <w:rPr/>
            </w:pPr>
            <w:r>
              <w:rPr/>
              <w:t> </w:t>
            </w:r>
          </w:p>
        </w:tc>
        <w:tc>
          <w:tcPr>
            <w:tcW w:w="574"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858" w:name="xdx_987_eus-gaap--EffectiveIncomeTaxRate"/>
            <w:bookmarkEnd w:id="858"/>
          </w:p>
        </w:tc>
        <w:tc>
          <w:tcPr>
            <w:tcW w:w="13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w:t>
            </w:r>
          </w:p>
        </w:tc>
        <w:tc>
          <w:tcPr>
            <w:tcW w:w="29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574"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859" w:name="xdx_98C_eus-gaap--EffectiveIncomeTaxRate"/>
            <w:bookmarkEnd w:id="859"/>
          </w:p>
        </w:tc>
        <w:tc>
          <w:tcPr>
            <w:tcW w:w="13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w:t>
            </w:r>
          </w:p>
        </w:tc>
        <w:tc>
          <w:tcPr>
            <w:tcW w:w="3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297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spacing w:before="0" w:after="283"/>
              <w:rPr/>
            </w:pPr>
            <w:r>
              <w:rPr/>
              <w:t> </w:t>
            </w:r>
          </w:p>
        </w:tc>
        <w:tc>
          <w:tcPr>
            <w:tcW w:w="57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60" w:name="xdx_987_eus-gaap--EffectiveIncomeTaxRate"/>
            <w:bookmarkEnd w:id="860"/>
          </w:p>
        </w:tc>
        <w:tc>
          <w:tcPr>
            <w:tcW w:w="138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2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7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bookmarkStart w:id="861" w:name="xdx_98E_eus-gaap--EffectiveIncomeTaxRate"/>
            <w:bookmarkEnd w:id="861"/>
          </w:p>
        </w:tc>
        <w:tc>
          <w:tcPr>
            <w:tcW w:w="138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30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bookmarkStart w:id="862" w:name="xdx_8A5_znXZ1FQ6F6yl"/>
      <w:bookmarkEnd w:id="862"/>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F-22</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863" w:name="xdx_80E_eus-gaap--RelatedPartyTransactio"/>
      <w:bookmarkEnd w:id="863"/>
      <w:r>
        <w:rPr>
          <w:rFonts w:ascii="Times New Roman;Times;Serif" w:hAnsi="Times New Roman;Times;Serif"/>
          <w:b/>
          <w:i w:val="false"/>
          <w:caps w:val="false"/>
          <w:smallCaps w:val="false"/>
          <w:sz w:val="20"/>
        </w:rPr>
        <w:t xml:space="preserve">15. </w:t>
      </w:r>
      <w:bookmarkStart w:id="864" w:name="xdx_82A_zcgBD9c83Jbk"/>
      <w:bookmarkEnd w:id="864"/>
      <w:r>
        <w:rPr>
          <w:rFonts w:ascii="Times New Roman;Times;Serif" w:hAnsi="Times New Roman;Times;Serif"/>
          <w:b/>
          <w:i w:val="false"/>
          <w:caps w:val="false"/>
          <w:smallCaps w:val="false"/>
          <w:sz w:val="20"/>
        </w:rPr>
        <w:t>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2018, the Company completed the sale of its Los Angeles manufacturing plant to California Custom Beverage, LLC (“CCB”), an entity owned by Christopher J. Reed, a related party, and CCB assumed the monthly payments on our lease obligation for the Los Angeles manufacturing plant. Our release from the obligation by the lessor, however, is dependent upon CCB’s deposit of $</w:t>
      </w:r>
      <w:bookmarkStart w:id="865" w:name="xdx_90D_eus-gaap--SecurityDeposit_c20181"/>
      <w:bookmarkEnd w:id="865"/>
      <w:r>
        <w:rPr>
          <w:rFonts w:ascii="Times New Roman;Times;Serif" w:hAnsi="Times New Roman;Times;Serif"/>
          <w:b w:val="false"/>
          <w:i w:val="false"/>
          <w:caps w:val="false"/>
          <w:smallCaps w:val="false"/>
          <w:sz w:val="20"/>
        </w:rPr>
        <w:t>1,200 of security with the lessor. The deposit is secured by Mr. Reed’s pledge of common stock to the lessor and guaranteed personally by Mr. Reed and his wife. As of December 31, 2020, $</w:t>
      </w:r>
      <w:bookmarkStart w:id="866" w:name="xdx_90A_eus-gaap--SecurityDeposit_c20201"/>
      <w:bookmarkEnd w:id="866"/>
      <w:r>
        <w:rPr>
          <w:rFonts w:ascii="Times New Roman;Times;Serif" w:hAnsi="Times New Roman;Times;Serif"/>
          <w:b w:val="false"/>
          <w:i w:val="false"/>
          <w:caps w:val="false"/>
          <w:smallCaps w:val="false"/>
          <w:sz w:val="20"/>
        </w:rPr>
        <w:t xml:space="preserve">800 has been deposited with the lessor and Mr. Reed has placed approximately </w:t>
      </w:r>
      <w:bookmarkStart w:id="867" w:name="xdx_90A_eus-gaap--StockIssuedDuringPerio"/>
      <w:bookmarkEnd w:id="867"/>
      <w:r>
        <w:rPr>
          <w:rFonts w:ascii="Times New Roman;Times;Serif" w:hAnsi="Times New Roman;Times;Serif"/>
          <w:b w:val="false"/>
          <w:i w:val="false"/>
          <w:caps w:val="false"/>
          <w:smallCaps w:val="false"/>
          <w:sz w:val="20"/>
        </w:rPr>
        <w:t>363,000 pledged shares valued at $</w:t>
      </w:r>
      <w:bookmarkStart w:id="868" w:name="xdx_902_eus-gaap--StockIssuedDuringPerio"/>
      <w:bookmarkEnd w:id="868"/>
      <w:r>
        <w:rPr>
          <w:rFonts w:ascii="Times New Roman;Times;Serif" w:hAnsi="Times New Roman;Times;Serif"/>
          <w:b w:val="false"/>
          <w:i w:val="false"/>
          <w:caps w:val="false"/>
          <w:smallCaps w:val="false"/>
          <w:sz w:val="20"/>
        </w:rPr>
        <w:t>338 that remain in escrow with the lessor.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Beginning in 2019, we are to receive a </w:t>
      </w:r>
      <w:bookmarkStart w:id="869" w:name="xdx_90C_ecustom--RoyaltyPercentage_iI_pi"/>
      <w:bookmarkEnd w:id="869"/>
      <w:r>
        <w:rPr>
          <w:rFonts w:ascii="Times New Roman;Times;Serif" w:hAnsi="Times New Roman;Times;Serif"/>
          <w:b w:val="false"/>
          <w:i w:val="false"/>
          <w:caps w:val="false"/>
          <w:smallCaps w:val="false"/>
          <w:sz w:val="20"/>
        </w:rPr>
        <w:t xml:space="preserve">5% royalty on CCB’s private label sales to existing customers for three years and a </w:t>
      </w:r>
      <w:bookmarkStart w:id="870" w:name="xdx_90E_ecustom--ReferralFeePercentage_i"/>
      <w:bookmarkEnd w:id="870"/>
      <w:r>
        <w:rPr>
          <w:rFonts w:ascii="Times New Roman;Times;Serif" w:hAnsi="Times New Roman;Times;Serif"/>
          <w:b w:val="false"/>
          <w:i w:val="false"/>
          <w:caps w:val="false"/>
          <w:smallCaps w:val="false"/>
          <w:sz w:val="20"/>
        </w:rPr>
        <w:t>5% referral fee on CCB’s private label sales to referred customers for three years. During the year ended December 31, 2020 and 2019, the Company recorded royalty revenue from CCB of $</w:t>
      </w:r>
      <w:bookmarkStart w:id="871" w:name="xdx_907_eus-gaap--RevenueFromContractWit"/>
      <w:bookmarkEnd w:id="871"/>
      <w:r>
        <w:rPr>
          <w:rFonts w:ascii="Times New Roman;Times;Serif" w:hAnsi="Times New Roman;Times;Serif"/>
          <w:b w:val="false"/>
          <w:i w:val="false"/>
          <w:caps w:val="false"/>
          <w:smallCaps w:val="false"/>
          <w:sz w:val="20"/>
        </w:rPr>
        <w:t>98 and $</w:t>
      </w:r>
      <w:bookmarkStart w:id="872" w:name="xdx_900_eus-gaap--RevenueFromContractWit"/>
      <w:bookmarkEnd w:id="872"/>
      <w:r>
        <w:rPr>
          <w:rFonts w:ascii="Times New Roman;Times;Serif" w:hAnsi="Times New Roman;Times;Serif"/>
          <w:b w:val="false"/>
          <w:i w:val="false"/>
          <w:caps w:val="false"/>
          <w:smallCaps w:val="false"/>
          <w:sz w:val="20"/>
        </w:rPr>
        <w:t>128,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2019, the Company had royalty revenue receivable from CCB of $</w:t>
      </w:r>
      <w:bookmarkStart w:id="873" w:name="xdx_90C_ecustom--RoyaltyRevenueReceivabl"/>
      <w:bookmarkEnd w:id="873"/>
      <w:r>
        <w:rPr>
          <w:rFonts w:ascii="Times New Roman;Times;Serif" w:hAnsi="Times New Roman;Times;Serif"/>
          <w:b w:val="false"/>
          <w:i w:val="false"/>
          <w:caps w:val="false"/>
          <w:smallCaps w:val="false"/>
          <w:sz w:val="20"/>
        </w:rPr>
        <w:t>128. In addition, at December 31, 2019, the Company has outstanding receivable from CCB of $</w:t>
      </w:r>
      <w:bookmarkStart w:id="874" w:name="xdx_906_ecustom--InventoryAdvances_c2019"/>
      <w:bookmarkEnd w:id="874"/>
      <w:r>
        <w:rPr>
          <w:rFonts w:ascii="Times New Roman;Times;Serif" w:hAnsi="Times New Roman;Times;Serif"/>
          <w:b w:val="false"/>
          <w:i w:val="false"/>
          <w:caps w:val="false"/>
          <w:smallCaps w:val="false"/>
          <w:sz w:val="20"/>
        </w:rPr>
        <w:t>228 consisting of inventory advances to CCB. The aggregate receivable from CCB at December 31, 2019 was $</w:t>
      </w:r>
      <w:bookmarkStart w:id="875" w:name="xdx_905_eus-gaap--AccountsReceivableRela"/>
      <w:bookmarkEnd w:id="875"/>
      <w:r>
        <w:rPr>
          <w:rFonts w:ascii="Times New Roman;Times;Serif" w:hAnsi="Times New Roman;Times;Serif"/>
          <w:b w:val="false"/>
          <w:i w:val="false"/>
          <w:caps w:val="false"/>
          <w:smallCaps w:val="false"/>
          <w:sz w:val="20"/>
        </w:rPr>
        <w:t>356. During the year ended December 31, 2020, the Company recorded royalty revenue receivable of $98, advanced inventory and equipment of $</w:t>
      </w:r>
      <w:bookmarkStart w:id="876" w:name="xdx_902_ecustom--InventoryAndEquipmentAd"/>
      <w:bookmarkEnd w:id="876"/>
      <w:r>
        <w:rPr>
          <w:rFonts w:ascii="Times New Roman;Times;Serif" w:hAnsi="Times New Roman;Times;Serif"/>
          <w:b w:val="false"/>
          <w:i w:val="false"/>
          <w:caps w:val="false"/>
          <w:smallCaps w:val="false"/>
          <w:sz w:val="20"/>
        </w:rPr>
        <w:t>381, and reduced CCB receivable by $</w:t>
      </w:r>
      <w:bookmarkStart w:id="877" w:name="xdx_901_eus-gaap--IncreaseDecreaseInAcco"/>
      <w:bookmarkEnd w:id="877"/>
      <w:r>
        <w:rPr>
          <w:rFonts w:ascii="Times New Roman;Times;Serif" w:hAnsi="Times New Roman;Times;Serif"/>
          <w:b w:val="false"/>
          <w:i w:val="false"/>
          <w:caps w:val="false"/>
          <w:smallCaps w:val="false"/>
          <w:sz w:val="20"/>
        </w:rPr>
        <w:t>153 by offsetting CCB payable of $</w:t>
      </w:r>
      <w:bookmarkStart w:id="878" w:name="xdx_903_eus-gaap--IncreaseDecreaseInAcco"/>
      <w:bookmarkEnd w:id="878"/>
      <w:r>
        <w:rPr>
          <w:rFonts w:ascii="Times New Roman;Times;Serif" w:hAnsi="Times New Roman;Times;Serif"/>
          <w:b w:val="false"/>
          <w:i w:val="false"/>
          <w:caps w:val="false"/>
          <w:smallCaps w:val="false"/>
          <w:sz w:val="20"/>
        </w:rPr>
        <w:t>153, leaving an aggregate receivable balance of $</w:t>
      </w:r>
      <w:bookmarkStart w:id="879" w:name="xdx_90D_eus-gaap--AccountsReceivableRela"/>
      <w:bookmarkEnd w:id="879"/>
      <w:r>
        <w:rPr>
          <w:rFonts w:ascii="Times New Roman;Times;Serif" w:hAnsi="Times New Roman;Times;Serif"/>
          <w:b w:val="false"/>
          <w:i w:val="false"/>
          <w:caps w:val="false"/>
          <w:smallCaps w:val="false"/>
          <w:sz w:val="20"/>
        </w:rPr>
        <w:t>682 at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2020 and December 31, 2019, the Company had accounts payable due to CCB of $</w:t>
      </w:r>
      <w:bookmarkStart w:id="880" w:name="xdx_903_eus-gaap--AccountsPayableRelated"/>
      <w:bookmarkEnd w:id="880"/>
      <w:r>
        <w:rPr>
          <w:rFonts w:ascii="Times New Roman;Times;Serif" w:hAnsi="Times New Roman;Times;Serif"/>
          <w:b w:val="false"/>
          <w:i w:val="false"/>
          <w:caps w:val="false"/>
          <w:smallCaps w:val="false"/>
          <w:sz w:val="20"/>
        </w:rPr>
        <w:t>557 and $</w:t>
      </w:r>
      <w:bookmarkStart w:id="881" w:name="xdx_90B_eus-gaap--AccountsPayableRelated"/>
      <w:bookmarkEnd w:id="881"/>
      <w:r>
        <w:rPr>
          <w:rFonts w:ascii="Times New Roman;Times;Serif" w:hAnsi="Times New Roman;Times;Serif"/>
          <w:b w:val="false"/>
          <w:i w:val="false"/>
          <w:caps w:val="false"/>
          <w:smallCaps w:val="false"/>
          <w:sz w:val="20"/>
        </w:rPr>
        <w:t>182,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Martin, daughter of a director of the Company, was employed as Vice President of Marketing during the years ended December 31, 2020 and 2019. Ms. Martin was paid approximately $</w:t>
      </w:r>
      <w:bookmarkStart w:id="882" w:name="xdx_902_eus-gaap--RelatedPartyCosts_c202"/>
      <w:bookmarkEnd w:id="882"/>
      <w:r>
        <w:rPr>
          <w:rFonts w:ascii="Times New Roman;Times;Serif" w:hAnsi="Times New Roman;Times;Serif"/>
          <w:b w:val="false"/>
          <w:i w:val="false"/>
          <w:caps w:val="false"/>
          <w:smallCaps w:val="false"/>
          <w:sz w:val="20"/>
        </w:rPr>
        <w:t>215 and $</w:t>
      </w:r>
      <w:bookmarkStart w:id="883" w:name="xdx_903_eus-gaap--RelatedPartyCosts_c201"/>
      <w:bookmarkEnd w:id="883"/>
      <w:r>
        <w:rPr>
          <w:rFonts w:ascii="Times New Roman;Times;Serif" w:hAnsi="Times New Roman;Times;Serif"/>
          <w:b w:val="false"/>
          <w:i w:val="false"/>
          <w:caps w:val="false"/>
          <w:smallCaps w:val="false"/>
          <w:sz w:val="20"/>
        </w:rPr>
        <w:t>161, respectively, for her services during the years ended December 31, 2020 and 2019,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884" w:name="xdx_801_eus-gaap--CommitmentsAndContinge"/>
      <w:bookmarkEnd w:id="884"/>
      <w:r>
        <w:rPr>
          <w:rFonts w:ascii="Times New Roman;Times;Serif" w:hAnsi="Times New Roman;Times;Serif"/>
          <w:b/>
          <w:i w:val="false"/>
          <w:caps w:val="false"/>
          <w:smallCaps w:val="false"/>
          <w:sz w:val="20"/>
        </w:rPr>
        <w:t xml:space="preserve">16. </w:t>
      </w:r>
      <w:bookmarkStart w:id="885" w:name="xdx_829_zU5XpPaiCgLg"/>
      <w:bookmarkEnd w:id="885"/>
      <w:r>
        <w:rPr>
          <w:rFonts w:ascii="Times New Roman;Times;Serif" w:hAnsi="Times New Roman;Times;Serif"/>
          <w:b/>
          <w:i w:val="false"/>
          <w:caps w:val="false"/>
          <w:smallCaps w:val="false"/>
          <w:sz w:val="20"/>
        </w:rPr>
        <w:t>Commitments and Contingencies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886" w:name="xdx_80C_eus-gaap--SubsequentEventsTextBl"/>
      <w:bookmarkEnd w:id="886"/>
      <w:r>
        <w:rPr>
          <w:rFonts w:ascii="Times New Roman;Times;Serif" w:hAnsi="Times New Roman;Times;Serif"/>
          <w:b/>
          <w:i w:val="false"/>
          <w:caps w:val="false"/>
          <w:smallCaps w:val="false"/>
          <w:sz w:val="20"/>
        </w:rPr>
        <w:t xml:space="preserve">17. </w:t>
      </w:r>
      <w:bookmarkStart w:id="887" w:name="xdx_82A_zECeL2KUrqcj"/>
      <w:bookmarkEnd w:id="887"/>
      <w:r>
        <w:rPr>
          <w:rFonts w:ascii="Times New Roman;Times;Serif" w:hAnsi="Times New Roman;Times;Serif"/>
          <w:b/>
          <w:i w:val="false"/>
          <w:caps w:val="false"/>
          <w:smallCaps w:val="false"/>
          <w:sz w:val="20"/>
        </w:rPr>
        <w:t>Subsequent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2021, the Company entered into an amendment to that certain Financing Agreement (see Note 6) dated October 4, 2018, as amended or supplemented with its senior secured lender, Rosenthal &amp; Rosenthal, Inc. (“Rosenthal”) releasing that irrevocable standby letter of credit by Daniel J. Doherty, III and Daniel J. Doherty, III 2002 Family Trust in the amount of $</w:t>
      </w:r>
      <w:bookmarkStart w:id="888" w:name="xdx_905_eus-gaap--LineOfCreditFacilityMa"/>
      <w:bookmarkEnd w:id="888"/>
      <w:r>
        <w:rPr>
          <w:rFonts w:ascii="Times New Roman;Times;Serif" w:hAnsi="Times New Roman;Times;Serif"/>
          <w:b w:val="false"/>
          <w:i w:val="false"/>
          <w:caps w:val="false"/>
          <w:smallCaps w:val="false"/>
          <w:sz w:val="20"/>
        </w:rPr>
        <w:t>1.5 million, which served as financial collateral for certain obligations of Reed’s under the Rosenthal credit facility, with a $</w:t>
      </w:r>
      <w:bookmarkStart w:id="889" w:name="xdx_904_eus-gaap--LineOfCreditFacilityMa"/>
      <w:bookmarkEnd w:id="889"/>
      <w:r>
        <w:rPr>
          <w:rFonts w:ascii="Times New Roman;Times;Serif" w:hAnsi="Times New Roman;Times;Serif"/>
          <w:b w:val="false"/>
          <w:i w:val="false"/>
          <w:caps w:val="false"/>
          <w:smallCaps w:val="false"/>
          <w:sz w:val="20"/>
        </w:rPr>
        <w:t>2 million dollar pledge of securities to Rosenthal by John J. Bello and Nancy E. Bello, as Co-Trustees of The John and Nancy Bello Revocable Living Trust, under trust agreement dated December 3, 2012, evidenced by that certain Pledge Agreement to Rosenthal (the “Bello Pledge”).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John Bello, current Chairman and former Interim Chief Executive Officer of Reed’s, is a related party. </w:t>
      </w:r>
      <w:bookmarkStart w:id="890" w:name="xdx_907_eus-gaap--CommonStockVotingRight"/>
      <w:bookmarkEnd w:id="890"/>
      <w:r>
        <w:rPr>
          <w:rFonts w:ascii="Times New Roman;Times;Serif" w:hAnsi="Times New Roman;Times;Serif"/>
          <w:b w:val="false"/>
          <w:i w:val="false"/>
          <w:caps w:val="false"/>
          <w:smallCaps w:val="false"/>
          <w:sz w:val="20"/>
        </w:rPr>
        <w:t xml:space="preserve">He is also a greater than 5% beneficial owner of Reed’s common stock. As consideration for the Bello Pledge, Mr. Bello received </w:t>
      </w:r>
      <w:bookmarkStart w:id="891" w:name="xdx_900_eus-gaap--StockIssuedDuringPerio"/>
      <w:bookmarkEnd w:id="891"/>
      <w:r>
        <w:rPr>
          <w:rFonts w:ascii="Times New Roman;Times;Serif" w:hAnsi="Times New Roman;Times;Serif"/>
          <w:b w:val="false"/>
          <w:i w:val="false"/>
          <w:caps w:val="false"/>
          <w:smallCaps w:val="false"/>
          <w:sz w:val="20"/>
        </w:rPr>
        <w:t>400,000 shares of Reed’s restricted stock.</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Qualifications Department notified the Company on December 2, 2020 that the bid price of our common stock has closed at less than $</w:t>
      </w:r>
      <w:bookmarkStart w:id="892" w:name="xdx_905_eus-gaap--CommonStockParOrStated"/>
      <w:bookmarkEnd w:id="892"/>
      <w:r>
        <w:rPr>
          <w:rFonts w:ascii="Times New Roman;Times;Serif" w:hAnsi="Times New Roman;Times;Serif"/>
          <w:b w:val="false"/>
          <w:i w:val="false"/>
          <w:caps w:val="false"/>
          <w:smallCaps w:val="false"/>
          <w:sz w:val="20"/>
        </w:rPr>
        <w:t>1 per share over the previous 30 consecutive business days, and, as a result, did not comply with Listing Rule 5550(a)(2) (“Bid Price Rule”). On February 22, 2021, Nasdaq Listing Qualifications notified the Company, that for 10 consecutive business days, from February 5, 2021 to February 19, 2021, the closing bid price of Reed’s common stock was $</w:t>
      </w:r>
      <w:bookmarkStart w:id="893" w:name="xdx_903_eus-gaap--CommonStockParOrStated"/>
      <w:bookmarkEnd w:id="893"/>
      <w:r>
        <w:rPr>
          <w:rFonts w:ascii="Times New Roman;Times;Serif" w:hAnsi="Times New Roman;Times;Serif"/>
          <w:b w:val="false"/>
          <w:i w:val="false"/>
          <w:caps w:val="false"/>
          <w:smallCaps w:val="false"/>
          <w:sz w:val="20"/>
        </w:rPr>
        <w:t>1.00 per share or greater. Accordingly, Reed’s regained compliance with Listing Rule 550(a)(2) and the matter is now closed.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2021, the board of directors of Reed’s, pursuant to a joint recommendation from its governance and compensation committees, set the cash compensation of its non-employee directors at $</w:t>
      </w:r>
      <w:bookmarkStart w:id="894" w:name="xdx_90C_eus-gaap--SalariesAndWages_c2021"/>
      <w:bookmarkEnd w:id="894"/>
      <w:r>
        <w:rPr>
          <w:rFonts w:ascii="Times New Roman;Times;Serif" w:hAnsi="Times New Roman;Times;Serif"/>
          <w:b w:val="false"/>
          <w:i w:val="false"/>
          <w:caps w:val="false"/>
          <w:smallCaps w:val="false"/>
          <w:sz w:val="20"/>
        </w:rPr>
        <w:t xml:space="preserve">50,000 for fiscal 2021, payable quarterly in accordance with the company’s policies for non-employee director compensation and granted Restricted Stock Awards consisting of </w:t>
      </w:r>
      <w:bookmarkStart w:id="895" w:name="xdx_901_eus-gaap--ShareBasedCompensation"/>
      <w:bookmarkEnd w:id="895"/>
      <w:r>
        <w:rPr>
          <w:rFonts w:ascii="Times New Roman;Times;Serif" w:hAnsi="Times New Roman;Times;Serif"/>
          <w:b w:val="false"/>
          <w:i w:val="false"/>
          <w:caps w:val="false"/>
          <w:smallCaps w:val="false"/>
          <w:sz w:val="20"/>
        </w:rPr>
        <w:t>49,180 shares of common stock to each of its non-employee directors. The Restricted Stock Awards will vest in four equal increments on a quarterly basis on each of February 1, 2021, May 1, 2021, August 1, 2021 and November 1, 2021, in accordance with the company’s policies for non-employee director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December 31, 2020, the Company issued </w:t>
      </w:r>
      <w:bookmarkStart w:id="896" w:name="xdx_90D_eus-gaap--StockIssuedDuringPerio"/>
      <w:bookmarkEnd w:id="896"/>
      <w:r>
        <w:rPr>
          <w:rFonts w:ascii="Times New Roman;Times;Serif" w:hAnsi="Times New Roman;Times;Serif"/>
          <w:b w:val="false"/>
          <w:i w:val="false"/>
          <w:caps w:val="false"/>
          <w:smallCaps w:val="false"/>
          <w:sz w:val="20"/>
        </w:rPr>
        <w:t xml:space="preserve">86,225 shares of common comprised of </w:t>
      </w:r>
      <w:bookmarkStart w:id="897" w:name="xdx_90C_eus-gaap--StockIssuedDuringPerio"/>
      <w:bookmarkEnd w:id="897"/>
      <w:r>
        <w:rPr>
          <w:rFonts w:ascii="Times New Roman;Times;Serif" w:hAnsi="Times New Roman;Times;Serif"/>
          <w:b w:val="false"/>
          <w:i w:val="false"/>
          <w:caps w:val="false"/>
          <w:smallCaps w:val="false"/>
          <w:sz w:val="20"/>
        </w:rPr>
        <w:t xml:space="preserve">6,000 shares issued on the exercise of stock options, </w:t>
      </w:r>
      <w:bookmarkStart w:id="898" w:name="xdx_903_eus-gaap--StockIssuedDuringPerio"/>
      <w:bookmarkEnd w:id="898"/>
      <w:r>
        <w:rPr>
          <w:rFonts w:ascii="Times New Roman;Times;Serif" w:hAnsi="Times New Roman;Times;Serif"/>
          <w:b w:val="false"/>
          <w:i w:val="false"/>
          <w:caps w:val="false"/>
          <w:smallCaps w:val="false"/>
          <w:sz w:val="20"/>
        </w:rPr>
        <w:t xml:space="preserve">61,475 shares of restricted stock issued to directors, and </w:t>
      </w:r>
      <w:bookmarkStart w:id="899" w:name="xdx_908_eus-gaap--StockIssuedDuringPerio"/>
      <w:bookmarkEnd w:id="899"/>
      <w:r>
        <w:rPr>
          <w:rFonts w:ascii="Times New Roman;Times;Serif" w:hAnsi="Times New Roman;Times;Serif"/>
          <w:b w:val="false"/>
          <w:i w:val="false"/>
          <w:caps w:val="false"/>
          <w:smallCaps w:val="false"/>
          <w:sz w:val="20"/>
        </w:rPr>
        <w:t xml:space="preserve">18,750 shares of restricted stock issued to an executive on vesting. </w:t>
      </w:r>
    </w:p>
    <w:p>
      <w:pPr>
        <w:pStyle w:val="TextBody"/>
        <w:spacing w:before="0" w:after="0"/>
        <w:ind w:left="0" w:right="0" w:hanging="0"/>
        <w:jc w:val="center"/>
        <w:rPr>
          <w:caps w:val="false"/>
          <w:smallCaps w:val="false"/>
        </w:rPr>
      </w:pPr>
      <w:bookmarkStart w:id="900" w:name="xdx_81C_zPlysy5unLg3"/>
      <w:bookmarkEnd w:id="900"/>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F-23</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01" w:name="c_007"/>
      <w:bookmarkEnd w:id="901"/>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02" w:name="c_008"/>
      <w:bookmarkEnd w:id="902"/>
      <w:r>
        <w:rPr>
          <w:rFonts w:ascii="Times New Roman;Times;Serif" w:hAnsi="Times New Roman;Times;Serif"/>
          <w:b/>
          <w:i w:val="false"/>
          <w:caps w:val="false"/>
          <w:smallCaps w:val="false"/>
          <w:sz w:val="20"/>
        </w:rPr>
        <w:t>Item 9A. Controls and Procedures</w:t>
      </w:r>
    </w:p>
    <w:p>
      <w:pPr>
        <w:pStyle w:val="TextBody"/>
        <w:spacing w:before="0" w:after="0"/>
        <w:ind w:left="0" w:right="0" w:firstLine="720"/>
        <w:jc w:val="both"/>
        <w:rPr>
          <w:caps w:val="false"/>
          <w:smallCaps w:val="false"/>
        </w:rPr>
      </w:pPr>
      <w:r>
        <w:rPr>
          <w:caps w:val="false"/>
          <w:smallCaps w:val="false"/>
        </w:rPr>
        <w:t> </w:t>
      </w:r>
    </w:p>
    <w:p>
      <w:pPr>
        <w:pStyle w:val="TextBody"/>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December 31, 2020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Annual Report on Internal Control over Financial Reporting</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management is responsible for establishing and maintaining adequate internal control over financial reporting (as defined in Rules 13a-15(f) and 15d-15(f) under the Exchange Act). Our management, with the participation of our Chief Executive Officer and Chief Financial Officer and the oversight of our audit committee, has evaluated the effectiveness of our internal control over financial reporting as of December 31, 2020. In assessing the effectiveness of our internal control over financial reporting, our management used the framework established in </w:t>
      </w:r>
      <w:r>
        <w:rPr>
          <w:rFonts w:ascii="Times New Roman;Times;Serif" w:hAnsi="Times New Roman;Times;Serif"/>
          <w:b w:val="false"/>
          <w:i/>
          <w:caps w:val="false"/>
          <w:smallCaps w:val="false"/>
          <w:sz w:val="20"/>
        </w:rPr>
        <w:t xml:space="preserve">Internal Control Integrated Framework </w:t>
      </w:r>
      <w:r>
        <w:rPr>
          <w:rFonts w:ascii="Times New Roman;Times;Serif" w:hAnsi="Times New Roman;Times;Serif"/>
          <w:b w:val="false"/>
          <w:i w:val="false"/>
          <w:caps w:val="false"/>
          <w:smallCaps w:val="false"/>
          <w:sz w:val="20"/>
        </w:rPr>
        <w:t>(2013) issued by the Committee of Sponsoring Organizations of the Treadway Commission (COSO). Based on that evaluation, our management has concluded that our internal control over financial reporting was effective as of December 31, 2020.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contain an attestation report of our independent registered public accounting firm related to internal control over financial reporting because the rules for smaller reporting companies provide an exemption from the attestation requirement.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of Previously Identified Material Weaknesses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Part II, Item 9A., “Controls and Procedures,” in our Annual Report on Form 10-K for fiscal year ended December 31, 2019, management identified the following control deficiencies during fiscal 2019 that constituted material weaknesses: (1) we did not have controls designed to assess the design and operation of internal controls pertaining to these outsourced information technology service providers over the period of reliance and (2) we did not maintain effective policies to ensure adequate segregation of duties within its accounting processes.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remediate these previously identified material weaknesses, our management, with oversight from our audit committee, implemented a remediation plan, we designed and implemented controls related to the periodic monitoring and review of outsourced information technology service providers, and we implemented procedures and independent reconciliations of significant accounts to mitigate the lack of segregation of duties.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actions taken, management determined that our newly designed and enhanced controls were in place and operated effectively for a sufficient period of time to enable us to conclude that the material weaknesses were remediated as of December 31, 2020.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in the section “Remediation Efforts on Previously Identified Material Weakness,” there were no other changes in our internal control over financial reporting during the quarter ended December 31, 2020, that have materially affected, or are reasonably likely to materially affect, our internal control over financial reporting.</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on Effectiveness of Controls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03" w:name="c_009"/>
      <w:bookmarkEnd w:id="903"/>
      <w:r>
        <w:rPr>
          <w:rFonts w:ascii="Times New Roman;Times;Serif" w:hAnsi="Times New Roman;Times;Serif"/>
          <w:b/>
          <w:i w:val="false"/>
          <w:caps w:val="false"/>
          <w:smallCaps w:val="false"/>
          <w:sz w:val="20"/>
        </w:rPr>
        <w:t>Item 9B. Other Information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904" w:name="c_010"/>
      <w:bookmarkEnd w:id="904"/>
      <w:r>
        <w:rPr>
          <w:rFonts w:ascii="Times New Roman;Times;Serif" w:hAnsi="Times New Roman;Times;Serif"/>
          <w:b/>
          <w:i w:val="false"/>
          <w:caps w:val="false"/>
          <w:smallCaps w:val="false"/>
          <w:sz w:val="20"/>
        </w:rPr>
        <w:t>PART 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 Directors, Executive Officers</w:t>
      </w:r>
      <w:r>
        <w:rPr>
          <w:rFonts w:ascii="Times New Roman;Times;Serif" w:hAnsi="Times New Roman;Times;Serif"/>
          <w:b w:val="false"/>
          <w:i w:val="false"/>
          <w:caps w:val="false"/>
          <w:smallCaps w:val="false"/>
          <w:sz w:val="20"/>
        </w:rPr>
        <w:t xml:space="preserve">, </w:t>
      </w:r>
      <w:bookmarkStart w:id="905" w:name="c_011"/>
      <w:bookmarkEnd w:id="905"/>
      <w:r>
        <w:rPr>
          <w:rFonts w:ascii="Times New Roman;Times;Serif" w:hAnsi="Times New Roman;Times;Serif"/>
          <w:b/>
          <w:i w:val="false"/>
          <w:caps w:val="false"/>
          <w:smallCaps w:val="false"/>
          <w:sz w:val="20"/>
        </w:rPr>
        <w:t>and Corporate Governance.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current directors have terms which will end at the next annual meeting of the stockholders or until their successors are elected and qualify, subject to their death, resignation or removal. The following table sets forth certain information with respect to our current directors and executive officers as of December 31, 2020:</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698"/>
        <w:gridCol w:w="60"/>
        <w:gridCol w:w="8021"/>
        <w:gridCol w:w="60"/>
        <w:gridCol w:w="366"/>
      </w:tblGrid>
      <w:tr>
        <w:trPr/>
        <w:tc>
          <w:tcPr>
            <w:tcW w:w="1698"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r>
      <w:tr>
        <w:trPr/>
        <w:tc>
          <w:tcPr>
            <w:tcW w:w="1698"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698"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Spisak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698"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Cohane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Sales Officer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698"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H. Hubli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Operations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698"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J. Reed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Innovation Officer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698"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J. Bello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698"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Lewis Jaffe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of Governance Committee, member of Audit, Operations and Compensation Committees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698"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C. Bass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of the Audit Committee and member of Compensation Committee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1698"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R. Grossman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of the Compensation Committee and member of Audit and Governance Committees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698"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 Imbrogno, Jr.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21"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Experience of Directors and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Norman E. Snyder, Jr.</w:t>
      </w:r>
      <w:r>
        <w:rPr>
          <w:rFonts w:ascii="Times New Roman;Times;Serif" w:hAnsi="Times New Roman;Times;Serif"/>
          <w:b w:val="false"/>
          <w:i w:val="false"/>
          <w:caps w:val="false"/>
          <w:smallCaps w:val="false"/>
          <w:sz w:val="20"/>
        </w:rPr>
        <w:t xml:space="preserve"> was appointed as Chief Executive Officer and director of Reed’s effective March 1, 2020. Prior to his promotion, Mr. Snyder served as Chief Operating Officer of Reed’s from September 2019 through February 29, 2020. Prior to joining Reed’s, Mr. Snyder served as President and Chief Executive Office for Avitae USA, LLC, an emerging premium new age beverage company that markets and sells a line of ready-to-drink caffeinated waters. Prior to Avitae, he served as the President and Chief Operating Officer for Adina For Life, Inc., President and Chief Executive Officer of High Falls Brewing Company, and Chief Financial Officer, and later Chief Operating Officer of South Beach Beverage Company, known as SoBe. In prior experience, Mr. Snyder served as Controller for National Football League Properties, Inc., and in various roles at PriceWaterhouseCoopers during an eight-year tenure. Mr. Snyder earned a B.S. in Accounting from the State University of New York at Albany.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Thomas J. Spisak </w:t>
      </w:r>
      <w:r>
        <w:rPr>
          <w:rFonts w:ascii="Times New Roman;Times;Serif" w:hAnsi="Times New Roman;Times;Serif"/>
          <w:b w:val="false"/>
          <w:i w:val="false"/>
          <w:caps w:val="false"/>
          <w:smallCaps w:val="false"/>
          <w:sz w:val="20"/>
        </w:rPr>
        <w:t>has served as Chief Financial Officer of Reed’s since December 2019. Prior to joining Reed’s, Mr. Spisak provided financial leadership, including extensive expertise over a broad range of finance functions during his 26 year tenure in the North America region of Diageo, a multinational alcoholic beverage company with net sales over UK £12.9 billion (U.S. $16 billion). Mr. Spisak held numerous positions in multiple divisions of Diageo, most recently serving as Vice President of Finance and Controller of North America. Previously, he held positions of Vice President of Commercial Finance, Director of Business Performance and Senior Finance Director of Marketing and Innovation Decision Support, as well as other roles in finance. Prior to Diageo, Mr. Spisak served at International Masters Publishers, Inc., a private company with publishing activities in 35 countries. Mr. Spisak holds an MBA in International Business from Fairfield University and a Bachelor of Science in Finance from the University of Rhode Island.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Neal Cohane</w:t>
      </w:r>
      <w:r>
        <w:rPr>
          <w:rFonts w:ascii="Times New Roman;Times;Serif" w:hAnsi="Times New Roman;Times;Serif"/>
          <w:b w:val="false"/>
          <w:i w:val="false"/>
          <w:caps w:val="false"/>
          <w:smallCaps w:val="false"/>
          <w:sz w:val="20"/>
        </w:rPr>
        <w:t xml:space="preserve"> has served as Reed’s Chief Sales Officer since March of 2008 and previously as Vice President of Sales since August 2007. From March 2001 until August 2007, Mr. Cohane served in various senior-level sales and executive positions for PepsiCo, most recently as Senior National Accounts Manager, Eastern Division. In this capacity, Mr. Cohane was responsible for all business development and sales activities within the Eastern Division. From March 2001 until November 2002, Mr. Cohane served as Business Development Manager, Non-Carbonated Division within PepsiCo where he was responsible for leading the non-carbonated category build-out across the Northeast Territory. From 1998 to March 2001, Mr. Cohane spent three years at South Beach Beverage Company, most recently as Vice President of Sales, Eastern Region. From 1986 to 1998, Mr. Cohane spent approximately twelve years at Coca-Cola of New York where he held various senior-level sales and managerial positions, most recently as General Manager New York. Mr. Cohane holds a B.S. degree in Business Administration from Merrimack College in North Andover, Massachusetts.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Richard H. Hubli</w:t>
      </w:r>
      <w:r>
        <w:rPr>
          <w:rFonts w:ascii="Times New Roman;Times;Serif" w:hAnsi="Times New Roman;Times;Serif"/>
          <w:b w:val="false"/>
          <w:i w:val="false"/>
          <w:caps w:val="false"/>
          <w:smallCaps w:val="false"/>
          <w:sz w:val="20"/>
        </w:rPr>
        <w:t xml:space="preserve"> was appointed Vice President of Operations effective September 28, 2020. Mr. Hubli has nearly four decades of diversified experience in supply chain and operations management. From January 2015 to the present, he owned and operated Rockhouse Services, LLC, a consultancy focused on operations &amp; supply chain improvement. From July 2014 to January 2015, he served as SVP of Operations for Harvest Hill Beverage Company. Prior, from August 2012 to July 2014, he served as VP of Operations for High Ridge Brands with end-to-end operations accountability of a copacker based supply chain plus new product delivery &amp; quality. From March 2009 to July 2012, he served as VP of Operations of Kozy Shack Enterprises. From March 2008 to March 2009, Mr. Hubli was the VP of Operations for Fuze Beverages leading, directing S&amp;OP; managing all operations/supply chain activities while integrating the business unit into Coca-Cola. From 2000 to 2007, he served as a VP of Operations Strategy Development at Cadbury Schweppes Americas Beverages where he created the long-term operations strategy. From 1991 to 2000, Mr. Hubli worked for the North American division of Colgate Palmolive initially as Director of Technology and later as Director of Supply Chain Development. In these roles he ran new product delivery across all business categories and spearheaded supply chain re-engineering initiatives. At Nestle Foods, where he worked from 1987 to 1991, he held the positions of Manager Coffee/Tea Industrial Engineering and Marketing Manager for the Nescafe brand. Mr. Hubli began his five-year tenure with PepsiCo R&amp;D in 1982 as Program Manager and subsequently became Manager, Concentrate Operations leading copack production of aseptic juices for the Slice brand. He began his career as Logistics Analyst for Maxwell House Coffee, then a division of General Foods, in 1980. Mr. Hubli earned a BS in Industrial Engineering and an MBA, both in 1979 from the University of Rhode Island.</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Christopher J. Reed</w:t>
      </w:r>
      <w:r>
        <w:rPr>
          <w:rFonts w:ascii="Times New Roman;Times;Serif" w:hAnsi="Times New Roman;Times;Serif"/>
          <w:b w:val="false"/>
          <w:i w:val="false"/>
          <w:caps w:val="false"/>
          <w:smallCaps w:val="false"/>
          <w:sz w:val="20"/>
        </w:rPr>
        <w:t xml:space="preserve"> founded our company in 1987. Since inception, Mr. Reed has served in the roles of Chairman, President, and Chief Executive Officer, and is currently the company’s Chief Innovation Officer. Mr. Reed has been a non-independent Director since our incorporation in 1991. Mr. Reed also served as Chief Financial Officer during fiscal year 2007 until October 1, 2007 and again from April 17, 2008 to January 19, 2010. Mr. Reed remains a Director of the company with the election of John Bello as Chairman of the Board by fellow Board members. Mr. Reed has been responsible for our design and products, including the original product recipes, the proprietary brewing process and the packaging and marketing strategies. Mr. Reed received a B.S. in Chemical Engineering in 1980 from Rensselaer Polytechnic Institute in Troy, New York.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John J. Bello</w:t>
      </w:r>
      <w:r>
        <w:rPr>
          <w:rFonts w:ascii="Times New Roman;Times;Serif" w:hAnsi="Times New Roman;Times;Serif"/>
          <w:b w:val="false"/>
          <w:i w:val="false"/>
          <w:caps w:val="false"/>
          <w:smallCaps w:val="false"/>
          <w:sz w:val="20"/>
        </w:rPr>
        <w:t xml:space="preserve"> is Reed’s Chairman and sales and marketing expert. Since 2001, Mr. Bello has been the Managing Director of JoNa Ventures, a family venture fund. From 2004 to 2012 Mr. Bello also served as Principal and General Partner at Sherbrooke Capital, a venture capital group dedicated to investing in leading, early stage health and wellness companies. Mr. Bello is the founder and former CEO of South Beach Beverage Company, the maker of nutritionally enhanced teas and juices marketed under the brand name SoBe. The company was sold to PepsiCo in 2001 for $370 million and in the same year Ernst and Young named Mr. Bello National Entrepreneur of the Year in the consumer products category for his work with SoBe. Before founding SoBe, Mr. Bello spent fourteen years at National Football League Properties, the marketing arm of the NFL and served as its President from 1986 to 1993. As the President, Mr. Bello has been credited for building NFL Properties into a sports marketing leader and creating the model by which every major sports league now operates. Prior to working for the NFL, Mr. Bello served in marketing and strategic planning capacities at the Pepsi Cola Division of PepsiCo Inc. and in product management roles for General Foods Corporation on the Sanka and Maxwell House brands. As a board chair, Mr. Bello has also worked with IZZE in brand building, marketing and strategic planning capacities. That brand was also sold to PepsiCo.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Bello earned his BA from Tufts University, cum laude, and received his MBA from the Tuck School of business at Dartmouth College as an Edward Tuck Scholar. Mr. Bello is extensively involved in non-profit work and currently serves as a Tufts University Trustee and advisory board member (athletics) and the Veteran Heritage Project in Scottsdale, Arizona. Mr. Bello also serves on the board of Rockford Fosgate, a seller of OEM audio equipment, and is executive director of Eye Therapies which has licensed its technology to Bausch and Lomb, who markets a redness reduction eye drop under the </w:t>
      </w:r>
      <w:r>
        <w:rPr>
          <w:rFonts w:ascii="Times New Roman;Times;Serif" w:hAnsi="Times New Roman;Times;Serif"/>
          <w:b w:val="false"/>
          <w:i/>
          <w:caps w:val="false"/>
          <w:smallCaps w:val="false"/>
          <w:sz w:val="20"/>
        </w:rPr>
        <w:t xml:space="preserve">Lumify </w:t>
      </w:r>
      <w:r>
        <w:rPr>
          <w:rFonts w:ascii="Times New Roman;Times;Serif" w:hAnsi="Times New Roman;Times;Serif"/>
          <w:b w:val="false"/>
          <w:i w:val="false"/>
          <w:caps w:val="false"/>
          <w:smallCaps w:val="false"/>
          <w:sz w:val="20"/>
        </w:rPr>
        <w:t>brand name.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C. Bass</w:t>
      </w:r>
      <w:r>
        <w:rPr>
          <w:rFonts w:ascii="Times New Roman;Times;Serif" w:hAnsi="Times New Roman;Times;Serif"/>
          <w:b w:val="false"/>
          <w:i w:val="false"/>
          <w:caps w:val="false"/>
          <w:smallCaps w:val="false"/>
          <w:sz w:val="20"/>
        </w:rPr>
        <w:t xml:space="preserve"> has served as a director since September 29, 2017, is Chairman of the Audit Committee and member of the Compensation Committee. Mr. Bass is retired from the position of Chief Financial Officer and Senior Vice President of Sony Interactive Entertainment America LLC, commonly referred to as the PlayStation business of Sony where he joined in 1995 as Vice President of Finance. Mr. Bass has more than thirty-five years of financial and international management experience and was responsible for all of Sony’s financial operations and controls including general accounting and financial reporting, planning, analysis and systems, treasury and risk management, internal audit, and federal, state and local income taxes. Prior experience includes holding several senior management positions encompassing fourteen years with Bristol-Myers Squibb Company, gaining international experience running operations in parts of Asia and Europe.</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Bass also spent two years at Wang Laboratories as a Divisional Controller. He started his career in New York at the public accounting firm, Haskins and Sells, now Deloitte &amp; Touche. Mr. Bass received a Bachelor of Business Administration degree in accounting and finance from Pace University, New York City. He is a Certified Public Accountant and a member of the American Institute of Certified Public Accountants.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Lewis Jaffe </w:t>
      </w:r>
      <w:r>
        <w:rPr>
          <w:rFonts w:ascii="Times New Roman;Times;Serif" w:hAnsi="Times New Roman;Times;Serif"/>
          <w:b w:val="false"/>
          <w:i w:val="false"/>
          <w:caps w:val="false"/>
          <w:smallCaps w:val="false"/>
          <w:sz w:val="20"/>
        </w:rPr>
        <w:t>has served as a director since October 19, 2016, is Chairman of the Governance Committee and a member of the Audit and Compensation Committees. Since August 2014, Mr. Jaffe is an Executive-in-Residence and Clinical Faculty at the Fred Kiesner Center for Entrepreneurship, Loyola Marymount University. He is also a technology futurist, Executive Coach and Public Speaker. Since January 2010 Mr. Jaffe has served on the board of FitLife Brands Inc. (FTLF:OTCBB) and serves on its audit, compensation and governance committees. Since 2006 he has served on the board of directors of York Telecom, a private company, and serves on its compensation and governance committees. From 2006 to 2008 Mr. Jaffe was Interim Chief Executive Officer and President of Oxford Media, Inc. Mr. Jaffe has also served in executive management positions with Verso Technologies, Inc., Wireone Technologies, Inc., Picturetel Corporation, and he was also previously a Managing Director of Arthur Andersen. Mr. Jaffe was the co-founder of MovieMe Network. Mr. Jaffe also served on the Board of Directors of Benihana, Inc. as its lead independent director from 2004 to 2012.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Jaffe is a graduate of the Stanford Business School Executive Program, holds a Bachelor of Science from LaSalle University and holds a Masters Professional Director Certification from the American College of Corporate Directors, a public company director education and credentialing program.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Scott R. Grossman</w:t>
      </w:r>
      <w:r>
        <w:rPr>
          <w:rFonts w:ascii="Times New Roman;Times;Serif" w:hAnsi="Times New Roman;Times;Serif"/>
          <w:b w:val="false"/>
          <w:i w:val="false"/>
          <w:caps w:val="false"/>
          <w:smallCaps w:val="false"/>
          <w:sz w:val="20"/>
        </w:rPr>
        <w:t xml:space="preserve"> has served as a director since September 29, 2017, serves as Chairman of the Compensation Committee and is also a member of the Audit and Governance Committees. Mr. Grossman has nearly two decades of investing and advisory experience in both public and private companies undergoing significant change. Mr. Grossman is the founder and CEO of Vindico Capital LLC, a value-oriented investment firm that invests in public company transformations in partnership with management. Prior to Vindico, Mr. Grossman was a Senior Portfolio Manager at Magnetar Capital, a $13 billion multi-strategy alternative asset manager, which he first joined in 2006. Prior to Magnetar, Mr. Grossman worked at Soros Fund Management in its Private Equity division and Merrill Lynch in its investment banking group. In addition, Mr. Grossman is a non-operating partner and current Board Member at Zeitguide. Mr. Grossman received an MBA from the Stanford Graduate School of Business and a BA from Columbia University where he majored in economics.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Louis Imbrogno, Jr. </w:t>
      </w:r>
      <w:r>
        <w:rPr>
          <w:rFonts w:ascii="Times New Roman;Times;Serif" w:hAnsi="Times New Roman;Times;Serif"/>
          <w:b w:val="false"/>
          <w:i w:val="false"/>
          <w:caps w:val="false"/>
          <w:smallCaps w:val="false"/>
          <w:sz w:val="20"/>
        </w:rPr>
        <w:t>has served as a director since August 2019. He served a 40-year tenure at PepsiCo, bringing extensive expertise in beverage supply chain and management. At PepsiCo he served in a variety of field operating assignments and staff positions including the role of Senior Vice President of Worldwide Technical Operations. In this role he was responsible for Pepsi-Cola’s worldwide beverage quality, concentrate operations, research &amp; development and contract manufacturing, reporting directly to the heads of Pepsi-Cola North America and PepsiCo Beverages International. Since Imbrogno’s retirement from PepsiCo, he has consulted for multiple companies including PepsiCo.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2014, Louis Imbrogno Jr. served as Chief Executive Officer of Constar International, Inc. for a six-month period during a bankruptcy proceeding and subsequent sale in a court administered public auction. He was not an executive officer of the company prior to the initiation of the bankruptcy proceedings.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to the best of our knowledge, none of our executive officers or directors are parties to any material proceedings adverse to Reed’s, have any material interest adverse to Reed’s or have, during the past ten years been subject to legal or regulatory proceedings required to be disclosed hereunder.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Family Relationships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any of our executive officers and directors.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of the Board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was formed in January 2007. The board has determined that each member of our Audit Committee is an “independent director” as defined by Rule 5605(a)(2) of The NASDAQ Stock Market Rules and that members of the Audit Committee are independent under the additional requirements of Rule 10A-3(b)(1) under the Securities Exchange Act of 1934 (the “Exchange Act”). The board has determined James C. Bass meets SEC requirements of an “audit committee financial expert” within the meaning of the Sarbanes Oxley Act of 2002, Section 407(b). In addition, the board determined that (i) none of the Audit Committee members have participated in the preparation of the financial statements of the company at any time during the past three years and (2) Audit Committee members are able to read and understand fundamental financial statements. Additionally, we intend to continue to have at least one member of the Audit Committee whose experience or background results in the individual’s financial sophistication. The Audit Committee charter is posted on our website at www.reedsinc.com.</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Executive Officer and all senior financial officers, including the Chief Financial Officer, are bound by a Code of Ethics that complies with Item 406 of Regulation S-B of the Exchange Act. Our Code of Ethics is posted on our website at </w:t>
      </w:r>
      <w:r>
        <w:rPr>
          <w:rFonts w:ascii="Times New Roman;Times;Serif" w:hAnsi="Times New Roman;Times;Serif"/>
          <w:b w:val="false"/>
          <w:i w:val="false"/>
          <w:caps w:val="false"/>
          <w:smallCaps w:val="false"/>
          <w:sz w:val="20"/>
          <w:u w:val="single"/>
        </w:rPr>
        <w:t>http://investor.reedsinc.com</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Compliance with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16(a) of the Exchange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(the “Exchange Act”) requires our directors and executive officers and beneficial holders of more than 10% of our common stock to file with the SEC initial reports of ownership and reports of changes in ownership of our equity securities.</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based solely upon a review of Forms 3 and 4 and amendments thereto furnished to Reed’s under 17 CFR 240.16a-3(e) during our fiscal year ended December 31, 2020 the following individuals each filed one late Form 4 representing one transaction (unless otherwise noted): Thomas J. Spisak, Norman E. Snyder, Jr., John Bello, Neal Cohane. None of our officers or directors filed Form 5.</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Director Nomination Procedures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not been any material changes to the procedures by which stockholders may recommend nominees to the our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06" w:name="c_012"/>
      <w:bookmarkEnd w:id="906"/>
      <w:r>
        <w:rPr>
          <w:rFonts w:ascii="Times New Roman;Times;Serif" w:hAnsi="Times New Roman;Times;Serif"/>
          <w:b/>
          <w:i w:val="false"/>
          <w:caps w:val="false"/>
          <w:smallCaps w:val="false"/>
          <w:sz w:val="20"/>
        </w:rPr>
        <w:t>Item 11. Executive Compensation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all compensation for fiscal years 2020 and 2019 earned by our “Named Executive Officers” during the reported periods: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3945"/>
        <w:gridCol w:w="60"/>
        <w:gridCol w:w="530"/>
        <w:gridCol w:w="60"/>
        <w:gridCol w:w="60"/>
        <w:gridCol w:w="140"/>
        <w:gridCol w:w="800"/>
        <w:gridCol w:w="60"/>
        <w:gridCol w:w="60"/>
        <w:gridCol w:w="140"/>
        <w:gridCol w:w="800"/>
        <w:gridCol w:w="60"/>
        <w:gridCol w:w="60"/>
        <w:gridCol w:w="140"/>
        <w:gridCol w:w="800"/>
        <w:gridCol w:w="60"/>
        <w:gridCol w:w="60"/>
        <w:gridCol w:w="183"/>
        <w:gridCol w:w="1052"/>
        <w:gridCol w:w="60"/>
        <w:gridCol w:w="60"/>
        <w:gridCol w:w="140"/>
        <w:gridCol w:w="800"/>
        <w:gridCol w:w="75"/>
      </w:tblGrid>
      <w:tr>
        <w:trPr/>
        <w:tc>
          <w:tcPr>
            <w:tcW w:w="3945" w:type="dxa"/>
            <w:tcBorders>
              <w:bottom w:val="single" w:sz="12" w:space="0" w:color="000000"/>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Name and Principal Position</w:t>
            </w:r>
          </w:p>
        </w:tc>
        <w:tc>
          <w:tcPr>
            <w:tcW w:w="60" w:type="dxa"/>
            <w:tcBorders/>
            <w:shd w:fill="auto" w:val="clear"/>
            <w:tcMar>
              <w:bottom w:w="0" w:type="dxa"/>
            </w:tcMar>
            <w:vAlign w:val="center"/>
          </w:tcPr>
          <w:p>
            <w:pPr>
              <w:pStyle w:val="TableContents"/>
              <w:spacing w:before="0" w:after="283"/>
              <w:rPr/>
            </w:pPr>
            <w:r>
              <w:rPr/>
              <w:t> </w:t>
            </w:r>
          </w:p>
        </w:tc>
        <w:tc>
          <w:tcPr>
            <w:tcW w:w="53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4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Salary</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4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Bonus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40" w:type="dxa"/>
            <w:gridSpan w:val="2"/>
            <w:tcBorders>
              <w:bottom w:val="single" w:sz="12" w:space="0" w:color="000000"/>
            </w:tcBorders>
            <w:shd w:fill="auto" w:val="cle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35" w:type="dxa"/>
            <w:gridSpan w:val="2"/>
            <w:tcBorders>
              <w:bottom w:val="single" w:sz="12" w:space="0" w:color="000000"/>
            </w:tcBorders>
            <w:shd w:fill="auto" w:val="cle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4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shd w:fill="auto" w:val="clear"/>
            <w:tcMar>
              <w:bottom w:w="0" w:type="dxa"/>
            </w:tcMar>
            <w:vAlign w:val="center"/>
          </w:tcPr>
          <w:p>
            <w:pPr>
              <w:pStyle w:val="TableContents"/>
              <w:spacing w:before="0" w:after="283"/>
              <w:rPr/>
            </w:pPr>
            <w:r>
              <w:rPr/>
              <w:t> </w:t>
            </w:r>
          </w:p>
        </w:tc>
      </w:tr>
      <w:tr>
        <w:trPr/>
        <w:tc>
          <w:tcPr>
            <w:tcW w:w="3945" w:type="dxa"/>
            <w:tcBorders/>
            <w:shd w:fill="CCEEFF" w:val="clear"/>
            <w:tcMar>
              <w:bottom w:w="0"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Norman E. Snyder, Jr.</w:t>
            </w:r>
          </w:p>
        </w:tc>
        <w:tc>
          <w:tcPr>
            <w:tcW w:w="60" w:type="dxa"/>
            <w:tcBorders/>
            <w:shd w:fill="CCEEFF" w:val="clear"/>
            <w:tcMar>
              <w:bottom w:w="0" w:type="dxa"/>
            </w:tcMar>
            <w:vAlign w:val="center"/>
          </w:tcPr>
          <w:p>
            <w:pPr>
              <w:pStyle w:val="TableContents"/>
              <w:spacing w:before="0" w:after="283"/>
              <w:rPr/>
            </w:pPr>
            <w:r>
              <w:rPr/>
              <w:t> </w:t>
            </w:r>
          </w:p>
        </w:tc>
        <w:tc>
          <w:tcPr>
            <w:tcW w:w="530" w:type="dxa"/>
            <w:tcBorders/>
            <w:shd w:fill="CCEEFF" w:val="clear"/>
            <w:tcMar>
              <w:bottom w:w="0"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59,776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62,610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122,386</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4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Chief Executive Officer (Former Chief Operating Officer)</w:t>
            </w:r>
          </w:p>
        </w:tc>
        <w:tc>
          <w:tcPr>
            <w:tcW w:w="60" w:type="dxa"/>
            <w:tcBorders/>
            <w:shd w:fill="CCEEFF" w:val="clear"/>
            <w:tcMar>
              <w:bottom w:w="0" w:type="dxa"/>
            </w:tcMar>
            <w:vAlign w:val="center"/>
          </w:tcPr>
          <w:p>
            <w:pPr>
              <w:pStyle w:val="TableContents"/>
              <w:spacing w:before="0" w:after="283"/>
              <w:rPr/>
            </w:pPr>
            <w:r>
              <w:rPr/>
              <w:t> </w:t>
            </w:r>
          </w:p>
        </w:tc>
        <w:tc>
          <w:tcPr>
            <w:tcW w:w="530" w:type="dxa"/>
            <w:tcBorders/>
            <w:shd w:fill="CCEEFF" w:val="clear"/>
            <w:tcMar>
              <w:bottom w:w="0"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308,782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157,500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121,500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14,353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602,135</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45"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3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5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3945" w:type="dxa"/>
            <w:tcBorders/>
            <w:shd w:fill="CCEEFF" w:val="clear"/>
            <w:tcMar>
              <w:bottom w:w="0"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John J. Bello</w:t>
            </w:r>
          </w:p>
        </w:tc>
        <w:tc>
          <w:tcPr>
            <w:tcW w:w="60" w:type="dxa"/>
            <w:tcBorders/>
            <w:shd w:fill="CCEEFF" w:val="clear"/>
            <w:tcMar>
              <w:bottom w:w="0" w:type="dxa"/>
            </w:tcMar>
            <w:vAlign w:val="center"/>
          </w:tcPr>
          <w:p>
            <w:pPr>
              <w:pStyle w:val="TableContents"/>
              <w:spacing w:before="0" w:after="283"/>
              <w:rPr/>
            </w:pPr>
            <w:r>
              <w:rPr/>
              <w:t> </w:t>
            </w:r>
          </w:p>
        </w:tc>
        <w:tc>
          <w:tcPr>
            <w:tcW w:w="530" w:type="dxa"/>
            <w:tcBorders/>
            <w:shd w:fill="CCEEFF" w:val="clear"/>
            <w:tcMar>
              <w:bottom w:w="0"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127,200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104,167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231,367</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4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(Former Interim Chief Executive Officer, Chairman) (3)</w:t>
            </w:r>
          </w:p>
        </w:tc>
        <w:tc>
          <w:tcPr>
            <w:tcW w:w="60" w:type="dxa"/>
            <w:tcBorders/>
            <w:shd w:fill="CCEEFF" w:val="clear"/>
            <w:tcMar>
              <w:bottom w:w="0" w:type="dxa"/>
            </w:tcMar>
            <w:vAlign w:val="center"/>
          </w:tcPr>
          <w:p>
            <w:pPr>
              <w:pStyle w:val="TableContents"/>
              <w:spacing w:before="0" w:after="283"/>
              <w:rPr/>
            </w:pPr>
            <w:r>
              <w:rPr/>
              <w:t> </w:t>
            </w:r>
          </w:p>
        </w:tc>
        <w:tc>
          <w:tcPr>
            <w:tcW w:w="530" w:type="dxa"/>
            <w:tcBorders/>
            <w:shd w:fill="CCEEFF" w:val="clear"/>
            <w:tcMar>
              <w:bottom w:w="0"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177,758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104,167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281,925</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45"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3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5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3945" w:type="dxa"/>
            <w:tcBorders/>
            <w:shd w:fill="CCEEFF" w:val="clear"/>
            <w:tcMar>
              <w:bottom w:w="0"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Thomas J. Spisak</w:t>
            </w:r>
          </w:p>
        </w:tc>
        <w:tc>
          <w:tcPr>
            <w:tcW w:w="60" w:type="dxa"/>
            <w:tcBorders/>
            <w:shd w:fill="CCEEFF" w:val="clear"/>
            <w:tcMar>
              <w:bottom w:w="0" w:type="dxa"/>
            </w:tcMar>
            <w:vAlign w:val="center"/>
          </w:tcPr>
          <w:p>
            <w:pPr>
              <w:pStyle w:val="TableContents"/>
              <w:spacing w:before="0" w:after="283"/>
              <w:rPr/>
            </w:pPr>
            <w:r>
              <w:rPr/>
              <w:t> </w:t>
            </w:r>
          </w:p>
        </w:tc>
        <w:tc>
          <w:tcPr>
            <w:tcW w:w="530" w:type="dxa"/>
            <w:tcBorders/>
            <w:shd w:fill="CCEEFF" w:val="clear"/>
            <w:tcMar>
              <w:bottom w:w="0"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20,833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20,833</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4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Chief Financial Officer</w:t>
            </w:r>
          </w:p>
        </w:tc>
        <w:tc>
          <w:tcPr>
            <w:tcW w:w="60" w:type="dxa"/>
            <w:tcBorders/>
            <w:shd w:fill="CCEEFF" w:val="clear"/>
            <w:tcMar>
              <w:bottom w:w="0" w:type="dxa"/>
            </w:tcMar>
            <w:vAlign w:val="center"/>
          </w:tcPr>
          <w:p>
            <w:pPr>
              <w:pStyle w:val="TableContents"/>
              <w:spacing w:before="0" w:after="283"/>
              <w:rPr/>
            </w:pPr>
            <w:r>
              <w:rPr/>
              <w:t> </w:t>
            </w:r>
          </w:p>
        </w:tc>
        <w:tc>
          <w:tcPr>
            <w:tcW w:w="530" w:type="dxa"/>
            <w:tcBorders/>
            <w:shd w:fill="CCEEFF" w:val="clear"/>
            <w:tcMar>
              <w:bottom w:w="0"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253,847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67,500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8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3,488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324,835</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45"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3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5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3945" w:type="dxa"/>
            <w:tcBorders/>
            <w:shd w:fill="CCEEFF" w:val="clear"/>
            <w:tcMar>
              <w:bottom w:w="0"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Neal Cohane</w:t>
            </w:r>
          </w:p>
        </w:tc>
        <w:tc>
          <w:tcPr>
            <w:tcW w:w="60" w:type="dxa"/>
            <w:tcBorders/>
            <w:shd w:fill="CCEEFF" w:val="clear"/>
            <w:tcMar>
              <w:bottom w:w="0" w:type="dxa"/>
            </w:tcMar>
            <w:vAlign w:val="center"/>
          </w:tcPr>
          <w:p>
            <w:pPr>
              <w:pStyle w:val="TableContents"/>
              <w:spacing w:before="0" w:after="283"/>
              <w:rPr/>
            </w:pPr>
            <w:r>
              <w:rPr/>
              <w:t> </w:t>
            </w:r>
          </w:p>
        </w:tc>
        <w:tc>
          <w:tcPr>
            <w:tcW w:w="530" w:type="dxa"/>
            <w:tcBorders/>
            <w:shd w:fill="CCEEFF" w:val="clear"/>
            <w:tcMar>
              <w:bottom w:w="0"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8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213,000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4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Chief Sales Officer</w:t>
            </w:r>
          </w:p>
        </w:tc>
        <w:tc>
          <w:tcPr>
            <w:tcW w:w="60" w:type="dxa"/>
            <w:tcBorders/>
            <w:shd w:fill="CCEEFF" w:val="clear"/>
            <w:tcMar>
              <w:bottom w:w="0" w:type="dxa"/>
            </w:tcMar>
            <w:vAlign w:val="center"/>
          </w:tcPr>
          <w:p>
            <w:pPr>
              <w:pStyle w:val="TableContents"/>
              <w:spacing w:before="0" w:after="283"/>
              <w:rPr/>
            </w:pPr>
            <w:r>
              <w:rPr/>
              <w:t> </w:t>
            </w:r>
          </w:p>
        </w:tc>
        <w:tc>
          <w:tcPr>
            <w:tcW w:w="530" w:type="dxa"/>
            <w:tcBorders/>
            <w:shd w:fill="CCEEFF" w:val="clear"/>
            <w:tcMar>
              <w:bottom w:w="0"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213,231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66,150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8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11,656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291,037</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represent the fair value for share-based payment awards issued during the year. The award is calculated on the date of grant in accordance with Financial Accounting Standards.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Other compensation includes both cash payments and the estimated value of the use of company assets.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Mr. Bello served as Interim Chief Executive Officer from September 30, 2019 through February 29, 2020. His director compensation was suspended during the period as his service as Interim Chief Executive Officer. Director compensation of $37,500 and consulting fees of $66,667. Mr. Bello was issued 200,000 RSAs as compensation for his services as Interim Chief Executive Officer on February 25, 2020 for his service from September 30, 2019 through February 29, 2020. Pro-rata portion of this award earned during 2019 is included in this table. Mr. Bello’s 2020 Director fees and compensation are also reported under the Director Compensation Table.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Norman E. Snyder, Jr.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appointed Mr. Snyder to the office of Chief Operating Officer, effective March 1, 2020. Mr. Snyder succeeded John J. Bello who served as Interim Chief Executive Officer from September 30, 2019 through February 29, 2020. The board granted Mr. Snyder a one-time bonus of 150,000 RSAs vesting March 1, 2020, subject to the conditions and limitations of Reed’s Second Amended and Restated 2017 Incentive Compensation Plan, in conjunction with his promotion. Pursuant his employment agreement, on February 25, 2020, he received an equity award of 446,000 stock options, one-half scheduled to vest in equal increments on an annual basis for four years and remainder to vest based on performance criteria to be determined by the board of directors (or compensation committee of the board). Mr. Snyder’s performance-based cash bonus was set at a target amount of 30% of base salary for the term of his service as Chief Operating Officer. The agreement provided for acceleration of equity grants triggered by a “change of control”, as defined in the agreement and contains confidentiality, invention assignment and non-solicitation covenants. Mr. Snyder is also eligible to participate in the company’s benefit plans available to its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2020, we entered into an amended and restated employment agreement with Norman E. Snyder, Jr. reflecting his promotion to Chief Executive Officer on March 1, 2020. The term of the agreement continues through March 1, 2023 and will automatically renew for an additional one-year term, unless earlier terminated or unless notice of non-renewal is submitted by either party 90 days in advance. Pursuant to the agreement, Mr. Snyder’s base salary of $300,000 per year increased to $350,000 on September 30, 2020 based on satisfaction of certain objectives and to $360,500 on March 1, 2021. Mr. Snyder is also eligible to receive a performance-based cash bonus at a target amount of 50% of his base salary in effect. He is also eligible to participate in Reed’s other benefit plans available to its executive officers. The agreement provides for acceleration of equity grants triggered by a “change of control”, as defined in the agreement and contains customary, non-competition, confidentiality, invention assignment and non-solicitation covenants. Mr. Snyder is also entitled to six months’ severance benefits in the event of termination without cause by Reed’s or for good reason by Mr. Snyder, subject to execution of a release.</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John J. Bello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2020 the board of directors granted John Bello 200,000 RSAs, vesting March 1, 2020, as compensation for his services as Interim Chief Executive from September 30, 2019 through February 29,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Thomas J. Spisak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at-will employment agreement with Thomas J. Spisak to serve as the Chief Financial Officer of Reed’s, effective December 2, 2019. The agreement may be terminated by the Company or Mr. Spisak, with or without notice and with or without cause, pursuant to the terms of the agreement. Mr. Spisak’s base annual base salary was increased to $257,500 from $250,000 effective March 1, 2020. Mr. Spisak is also eligible to receive performance-based cash bonus at a target amount of 30% of his base salary. Pursuant to his employment agreement, Mr. Spisak received an initial equity award of 150,000 incentive stock options and 150,000 restricted stock awards on March 3, 2020, one-half of the award (75,000 options and 75,000 restricted stock awards) vesting in equal increments on an annual basis for four years and the remainder (75,000 options and 75,000 restricted stock awards) vesting based on performance criteria to be determined by the board of directors or compensation committee. Mr. Spisak is also eligible to participate in Reed’s other benefit plans available to its executive officers. The agreement contains customary confidentiality, non-competition and invention assignment covenants.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Current Salary Arrangements of Other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Cohane receives an annual salary which increased from $210,000 to $250,000 on March 1, 2021 with a 30% bonus target, and he is eligible to participate in benefits offered by the company to its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H. Hubli receives an annual salary of $200,000 with a 30% bonus target, and he is eligible to participate in benefits offered by the company to its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J. Reed receives an annual salary of $113,500.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Change-in-Control Provisions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general policy that awards that vest over a term greater one-year include provisions for acceleration upon a change-in-control.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2017 Plan provides the consequences of a change-in-control provisions may be set forth in individual award agreements. For purposes of the 2020 Plan, a “change in control” generally includes (a) the acquisition of more than 50% of the company’s common stock, (b) the acquisition within a twelve-month period of 30% or more of the Company’s common stock, (c) the replacement of a majority of the board of directors, within a twelve-month period, by directors whose election was not endorsed by the incumbent board, or (d) the acquisition of all or substantially all of the Company’s assets.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Year-End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unexercised options and equity incentive plan awards for each Named Executive Officer outstanding as of December 31, 2020:</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26"/>
        <w:gridCol w:w="60"/>
        <w:gridCol w:w="78"/>
        <w:gridCol w:w="797"/>
        <w:gridCol w:w="60"/>
        <w:gridCol w:w="60"/>
        <w:gridCol w:w="99"/>
        <w:gridCol w:w="1005"/>
        <w:gridCol w:w="60"/>
        <w:gridCol w:w="60"/>
        <w:gridCol w:w="84"/>
        <w:gridCol w:w="865"/>
        <w:gridCol w:w="60"/>
        <w:gridCol w:w="60"/>
        <w:gridCol w:w="149"/>
        <w:gridCol w:w="456"/>
        <w:gridCol w:w="60"/>
        <w:gridCol w:w="60"/>
        <w:gridCol w:w="755"/>
        <w:gridCol w:w="60"/>
        <w:gridCol w:w="84"/>
        <w:gridCol w:w="729"/>
        <w:gridCol w:w="60"/>
        <w:gridCol w:w="60"/>
        <w:gridCol w:w="152"/>
        <w:gridCol w:w="715"/>
        <w:gridCol w:w="60"/>
        <w:gridCol w:w="60"/>
        <w:gridCol w:w="114"/>
        <w:gridCol w:w="989"/>
        <w:gridCol w:w="60"/>
        <w:gridCol w:w="60"/>
        <w:gridCol w:w="205"/>
        <w:gridCol w:w="963"/>
        <w:gridCol w:w="80"/>
      </w:tblGrid>
      <w:tr>
        <w:trPr/>
        <w:tc>
          <w:tcPr>
            <w:tcW w:w="926"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Name and Position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7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Number of</w:t>
              <w:br/>
              <w:t>Securities</w:t>
              <w:br/>
              <w:t>Underlying</w:t>
              <w:br/>
              <w:t>Unexercised</w:t>
              <w:br/>
              <w:t>Options (#)</w:t>
              <w:br/>
              <w:t>Exercisable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04"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Number of</w:t>
              <w:br/>
              <w:t>Securities</w:t>
              <w:br/>
              <w:t>Underlying</w:t>
              <w:br/>
              <w:t>Unexercised</w:t>
              <w:br/>
              <w:t>Options (#) Exercisable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49"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 Incentive Plan Awards:</w:t>
              <w:br/>
              <w:t>Number of Securities</w:t>
              <w:br/>
              <w:t>Underlying</w:t>
              <w:br/>
              <w:t>Unexercised</w:t>
              <w:br/>
              <w:t>Unearned</w:t>
              <w:br/>
              <w:t>Options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Option</w:t>
              <w:br/>
              <w:t>Exercise</w:t>
              <w:br/>
              <w:t>Price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Option</w:t>
              <w:br/>
              <w:t>Expiration</w:t>
              <w:br/>
              <w:t>Date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13"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Number of Shares or Units of Stock That Have Not Vested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6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Market Value of Shares or Units of Stock That Have Not Vested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03"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 Incentive Plan Awards: Number of Unearned Shares, Units or Other Rights That Have Not Vested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8"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 Incentive Plan Awards: Market or Payout Value of Unearned Shares, Units or Other Rights That Have Not Vested ($)</w:t>
            </w:r>
          </w:p>
        </w:tc>
        <w:tc>
          <w:tcPr>
            <w:tcW w:w="8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Norman E. Snyder, Jr.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56"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(Chief Executive Officer, Former Chief Operating Officer)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110,324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167,250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162,362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2/25/2030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3/25/2030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55,291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93,750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98,288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5/20/2030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90,675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302,250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9/16/2030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56"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John Bello</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56"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Former Interim Chief Executive Officer, Chairman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9/30/2021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24,590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14,508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3/25/2030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56"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jc w:val="both"/>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Thomas J. Spisak</w:t>
            </w:r>
          </w:p>
          <w:p>
            <w:pPr>
              <w:pStyle w:val="TableContents"/>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(Chief Financial Officer)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36,827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56,250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54,914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3/2/2030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56,250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33,188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54,914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32,399</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3/25/2030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84,263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374,500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280,875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9/16/2030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56"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Neal Cohane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56"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(Chief Sales Officer)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175,781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46,875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46,875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3/28/2028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44,233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78,630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5/20/2030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92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46,294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205,752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154,314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9/16/2030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8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8170" w:type="dxa"/>
        <w:jc w:val="left"/>
        <w:tblInd w:w="0" w:type="dxa"/>
        <w:tblCellMar>
          <w:top w:w="0" w:type="dxa"/>
          <w:left w:w="0" w:type="dxa"/>
          <w:bottom w:w="0" w:type="dxa"/>
          <w:right w:w="0" w:type="dxa"/>
        </w:tblCellMar>
      </w:tblPr>
      <w:tblGrid>
        <w:gridCol w:w="75"/>
        <w:gridCol w:w="275"/>
        <w:gridCol w:w="782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will vest in 2021.</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vest 25% per year beginning in 2021.</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vest in accordance with performance criteria established by the board of directors.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compensation paid to our non-employee directors for the year ended December 31, 2020:</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946"/>
        <w:gridCol w:w="60"/>
        <w:gridCol w:w="200"/>
        <w:gridCol w:w="1143"/>
        <w:gridCol w:w="60"/>
        <w:gridCol w:w="60"/>
        <w:gridCol w:w="212"/>
        <w:gridCol w:w="1217"/>
        <w:gridCol w:w="60"/>
        <w:gridCol w:w="60"/>
        <w:gridCol w:w="109"/>
        <w:gridCol w:w="721"/>
        <w:gridCol w:w="60"/>
        <w:gridCol w:w="60"/>
        <w:gridCol w:w="196"/>
        <w:gridCol w:w="1294"/>
        <w:gridCol w:w="60"/>
        <w:gridCol w:w="60"/>
        <w:gridCol w:w="196"/>
        <w:gridCol w:w="1294"/>
        <w:gridCol w:w="60"/>
        <w:gridCol w:w="60"/>
        <w:gridCol w:w="140"/>
        <w:gridCol w:w="800"/>
        <w:gridCol w:w="77"/>
      </w:tblGrid>
      <w:tr>
        <w:trPr/>
        <w:tc>
          <w:tcPr>
            <w:tcW w:w="1946"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Name</w:t>
            </w:r>
          </w:p>
        </w:tc>
        <w:tc>
          <w:tcPr>
            <w:tcW w:w="60" w:type="dxa"/>
            <w:tcBorders/>
            <w:shd w:fill="auto" w:val="clear"/>
            <w:tcMar>
              <w:bottom w:w="0" w:type="dxa"/>
            </w:tcMar>
            <w:vAlign w:val="center"/>
          </w:tcPr>
          <w:p>
            <w:pPr>
              <w:pStyle w:val="TableContents"/>
              <w:spacing w:before="0" w:after="283"/>
              <w:rPr/>
            </w:pPr>
            <w:r>
              <w:rPr/>
              <w:t> </w:t>
            </w:r>
          </w:p>
        </w:tc>
        <w:tc>
          <w:tcPr>
            <w:tcW w:w="1343"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 xml:space="preserve">Fees Earned or </w:t>
              <w:br/>
              <w:t>Paid in Cash</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29"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Stock Awards (1)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3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Option</w:t>
              <w:br/>
              <w:t>Awards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9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Non-Equity</w:t>
              <w:br/>
              <w:t>Incentive Plan</w:t>
              <w:br/>
              <w:t>Compensation</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9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All Other</w:t>
              <w:br/>
              <w:t>Compensation</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4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Total</w:t>
            </w:r>
          </w:p>
        </w:tc>
        <w:tc>
          <w:tcPr>
            <w:tcW w:w="77" w:type="dxa"/>
            <w:tcBorders/>
            <w:shd w:fill="auto" w:val="clear"/>
            <w:tcMar>
              <w:bottom w:w="0" w:type="dxa"/>
            </w:tcMar>
            <w:vAlign w:val="center"/>
          </w:tcPr>
          <w:p>
            <w:pPr>
              <w:pStyle w:val="TableContents"/>
              <w:spacing w:before="0" w:after="283"/>
              <w:rPr/>
            </w:pPr>
            <w:r>
              <w:rPr/>
              <w:t> </w:t>
            </w:r>
          </w:p>
        </w:tc>
      </w:tr>
      <w:tr>
        <w:trPr/>
        <w:tc>
          <w:tcPr>
            <w:tcW w:w="1946" w:type="dxa"/>
            <w:tcBorders/>
            <w:shd w:fill="CCEEFF" w:val="clear"/>
            <w:tcMar>
              <w:bottom w:w="0"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John J. Bello(2)</w:t>
            </w:r>
          </w:p>
        </w:tc>
        <w:tc>
          <w:tcPr>
            <w:tcW w:w="60" w:type="dxa"/>
            <w:tcBorders/>
            <w:shd w:fill="CCEEFF" w:val="clear"/>
            <w:tcMar>
              <w:bottom w:w="0" w:type="dxa"/>
            </w:tcMar>
            <w:vAlign w:val="center"/>
          </w:tcPr>
          <w:p>
            <w:pPr>
              <w:pStyle w:val="TableContents"/>
              <w:spacing w:before="0" w:after="283"/>
              <w:rPr/>
            </w:pPr>
            <w:r>
              <w:rPr/>
              <w:t> </w:t>
            </w:r>
          </w:p>
        </w:tc>
        <w:tc>
          <w:tcPr>
            <w:tcW w:w="20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43"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104,167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2"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17"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177,758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9" w:type="dxa"/>
            <w:tcBorders/>
            <w:shd w:fill="CCEEFF" w:val="clear"/>
            <w:tcMar>
              <w:bottom w:w="0" w:type="dxa"/>
            </w:tcMar>
            <w:vAlign w:val="center"/>
          </w:tcPr>
          <w:p>
            <w:pPr>
              <w:pStyle w:val="TableContents"/>
              <w:spacing w:before="0" w:after="283"/>
              <w:jc w:val="left"/>
              <w:rPr/>
            </w:pPr>
            <w:r>
              <w:rPr/>
              <w:t> </w:t>
            </w:r>
          </w:p>
        </w:tc>
        <w:tc>
          <w:tcPr>
            <w:tcW w:w="721" w:type="dxa"/>
            <w:tcBorders/>
            <w:shd w:fill="CCEEFF" w:val="clear"/>
            <w:tcMar>
              <w:bottom w:w="0" w:type="dxa"/>
            </w:tcMar>
            <w:vAlign w:val="center"/>
          </w:tcPr>
          <w:p>
            <w:pPr>
              <w:pStyle w:val="TableContents"/>
              <w:spacing w:before="0" w:after="283"/>
              <w:jc w:val="right"/>
              <w:rPr/>
            </w:pPr>
            <w:r>
              <w:rPr/>
              <w:t>     </w:t>
            </w: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6" w:type="dxa"/>
            <w:tcBorders/>
            <w:shd w:fill="CCEEFF" w:val="clear"/>
            <w:tcMar>
              <w:bottom w:w="0" w:type="dxa"/>
            </w:tcMar>
            <w:vAlign w:val="center"/>
          </w:tcPr>
          <w:p>
            <w:pPr>
              <w:pStyle w:val="TableContents"/>
              <w:spacing w:before="0" w:after="283"/>
              <w:jc w:val="left"/>
              <w:rPr/>
            </w:pPr>
            <w:r>
              <w:rPr/>
              <w:t> </w:t>
            </w:r>
          </w:p>
        </w:tc>
        <w:tc>
          <w:tcPr>
            <w:tcW w:w="1294"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6" w:type="dxa"/>
            <w:tcBorders/>
            <w:shd w:fill="CCEEFF" w:val="clear"/>
            <w:tcMar>
              <w:bottom w:w="0" w:type="dxa"/>
            </w:tcMar>
            <w:vAlign w:val="center"/>
          </w:tcPr>
          <w:p>
            <w:pPr>
              <w:pStyle w:val="TableContents"/>
              <w:spacing w:before="0" w:after="283"/>
              <w:jc w:val="left"/>
              <w:rPr/>
            </w:pPr>
            <w:r>
              <w:rPr/>
              <w:t> </w:t>
            </w:r>
          </w:p>
        </w:tc>
        <w:tc>
          <w:tcPr>
            <w:tcW w:w="1294"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281,925</w:t>
            </w:r>
          </w:p>
        </w:tc>
        <w:tc>
          <w:tcPr>
            <w:tcW w:w="77" w:type="dxa"/>
            <w:tcBorders/>
            <w:shd w:fill="CCEEFF" w:val="clear"/>
            <w:tcMar>
              <w:bottom w:w="0" w:type="dxa"/>
            </w:tcMar>
            <w:vAlign w:val="center"/>
          </w:tcPr>
          <w:p>
            <w:pPr>
              <w:pStyle w:val="TableContents"/>
              <w:spacing w:before="0" w:after="283"/>
              <w:jc w:val="left"/>
              <w:rPr/>
            </w:pPr>
            <w:r>
              <w:rPr/>
              <w:t> </w:t>
            </w:r>
          </w:p>
        </w:tc>
      </w:tr>
      <w:tr>
        <w:trPr/>
        <w:tc>
          <w:tcPr>
            <w:tcW w:w="1946" w:type="dxa"/>
            <w:tcBorders/>
            <w:shd w:fill="FFFFFF" w:val="clear"/>
            <w:tcMar>
              <w:bottom w:w="0" w:type="dxa"/>
            </w:tcM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Lewis Jaffe</w:t>
            </w:r>
          </w:p>
        </w:tc>
        <w:tc>
          <w:tcPr>
            <w:tcW w:w="60" w:type="dxa"/>
            <w:tcBorders/>
            <w:shd w:fill="FFFFFF" w:val="clear"/>
            <w:tcMar>
              <w:bottom w:w="0" w:type="dxa"/>
            </w:tcMar>
            <w:vAlign w:val="center"/>
          </w:tcPr>
          <w:p>
            <w:pPr>
              <w:pStyle w:val="TableContents"/>
              <w:spacing w:before="0" w:after="283"/>
              <w:rPr/>
            </w:pPr>
            <w:r>
              <w:rPr/>
              <w:t> </w:t>
            </w:r>
          </w:p>
        </w:tc>
        <w:tc>
          <w:tcPr>
            <w:tcW w:w="20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43"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37,500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2"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17"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15,158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9" w:type="dxa"/>
            <w:tcBorders/>
            <w:shd w:fill="FFFFFF" w:val="clear"/>
            <w:tcMar>
              <w:bottom w:w="0" w:type="dxa"/>
            </w:tcMar>
            <w:vAlign w:val="center"/>
          </w:tcPr>
          <w:p>
            <w:pPr>
              <w:pStyle w:val="TableContents"/>
              <w:spacing w:before="0" w:after="283"/>
              <w:jc w:val="left"/>
              <w:rPr/>
            </w:pPr>
            <w:r>
              <w:rPr/>
              <w:t> </w:t>
            </w:r>
          </w:p>
        </w:tc>
        <w:tc>
          <w:tcPr>
            <w:tcW w:w="72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6" w:type="dxa"/>
            <w:tcBorders/>
            <w:shd w:fill="FFFFFF" w:val="clear"/>
            <w:tcMar>
              <w:bottom w:w="0" w:type="dxa"/>
            </w:tcMar>
            <w:vAlign w:val="center"/>
          </w:tcPr>
          <w:p>
            <w:pPr>
              <w:pStyle w:val="TableContents"/>
              <w:spacing w:before="0" w:after="283"/>
              <w:jc w:val="left"/>
              <w:rPr/>
            </w:pPr>
            <w:r>
              <w:rPr/>
              <w:t> </w:t>
            </w:r>
          </w:p>
        </w:tc>
        <w:tc>
          <w:tcPr>
            <w:tcW w:w="1294" w:type="dxa"/>
            <w:tcBorders/>
            <w:shd w:fill="FFFFFF" w:val="clear"/>
            <w:tcMar>
              <w:bottom w:w="0" w:type="dxa"/>
            </w:tcMar>
            <w:vAlign w:val="center"/>
          </w:tcPr>
          <w:p>
            <w:pPr>
              <w:pStyle w:val="TableContents"/>
              <w:spacing w:before="0" w:after="283"/>
              <w:jc w:val="right"/>
              <w:rPr/>
            </w:pPr>
            <w:r>
              <w:rPr/>
              <w:t>     </w:t>
            </w:r>
            <w:r>
              <w:rPr>
                <w:rFonts w:ascii="Times New Roman;Times;Serif" w:hAnsi="Times New Roman;Times;Serif"/>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6" w:type="dxa"/>
            <w:tcBorders/>
            <w:shd w:fill="FFFFFF" w:val="clear"/>
            <w:tcMar>
              <w:bottom w:w="0" w:type="dxa"/>
            </w:tcMar>
            <w:vAlign w:val="center"/>
          </w:tcPr>
          <w:p>
            <w:pPr>
              <w:pStyle w:val="TableContents"/>
              <w:spacing w:before="0" w:after="283"/>
              <w:jc w:val="left"/>
              <w:rPr/>
            </w:pPr>
            <w:r>
              <w:rPr/>
              <w:t> </w:t>
            </w:r>
          </w:p>
        </w:tc>
        <w:tc>
          <w:tcPr>
            <w:tcW w:w="1294" w:type="dxa"/>
            <w:tcBorders/>
            <w:shd w:fill="FFFFFF" w:val="clear"/>
            <w:tcMar>
              <w:bottom w:w="0" w:type="dxa"/>
            </w:tcMar>
            <w:vAlign w:val="center"/>
          </w:tcPr>
          <w:p>
            <w:pPr>
              <w:pStyle w:val="TableContents"/>
              <w:spacing w:before="0" w:after="283"/>
              <w:jc w:val="right"/>
              <w:rPr/>
            </w:pPr>
            <w:r>
              <w:rPr/>
              <w:t>     </w:t>
            </w:r>
            <w:r>
              <w:rPr>
                <w:rFonts w:ascii="Times New Roman;Times;Serif" w:hAnsi="Times New Roman;Times;Serif"/>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52,658</w:t>
            </w:r>
          </w:p>
        </w:tc>
        <w:tc>
          <w:tcPr>
            <w:tcW w:w="77" w:type="dxa"/>
            <w:tcBorders/>
            <w:shd w:fill="FFFFFF" w:val="clear"/>
            <w:tcMar>
              <w:bottom w:w="0" w:type="dxa"/>
            </w:tcMar>
            <w:vAlign w:val="center"/>
          </w:tcPr>
          <w:p>
            <w:pPr>
              <w:pStyle w:val="TableContents"/>
              <w:spacing w:before="0" w:after="283"/>
              <w:jc w:val="left"/>
              <w:rPr/>
            </w:pPr>
            <w:r>
              <w:rPr/>
              <w:t> </w:t>
            </w:r>
          </w:p>
        </w:tc>
      </w:tr>
      <w:tr>
        <w:trPr/>
        <w:tc>
          <w:tcPr>
            <w:tcW w:w="1946" w:type="dxa"/>
            <w:tcBorders/>
            <w:shd w:fill="CCEEFF" w:val="clear"/>
            <w:tcMar>
              <w:bottom w:w="0"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Daniel J. Doherty, III (3)</w:t>
            </w:r>
          </w:p>
        </w:tc>
        <w:tc>
          <w:tcPr>
            <w:tcW w:w="60" w:type="dxa"/>
            <w:tcBorders/>
            <w:shd w:fill="CCEEFF" w:val="clear"/>
            <w:tcMar>
              <w:bottom w:w="0" w:type="dxa"/>
            </w:tcMar>
            <w:vAlign w:val="center"/>
          </w:tcPr>
          <w:p>
            <w:pPr>
              <w:pStyle w:val="TableContents"/>
              <w:spacing w:before="0" w:after="283"/>
              <w:rPr/>
            </w:pPr>
            <w:r>
              <w:rPr/>
              <w:t> </w:t>
            </w:r>
          </w:p>
        </w:tc>
        <w:tc>
          <w:tcPr>
            <w:tcW w:w="20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43"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2"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17"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15,158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9" w:type="dxa"/>
            <w:tcBorders/>
            <w:shd w:fill="CCEEFF" w:val="clear"/>
            <w:tcMar>
              <w:bottom w:w="0" w:type="dxa"/>
            </w:tcMar>
            <w:vAlign w:val="center"/>
          </w:tcPr>
          <w:p>
            <w:pPr>
              <w:pStyle w:val="TableContents"/>
              <w:spacing w:before="0" w:after="283"/>
              <w:jc w:val="left"/>
              <w:rPr/>
            </w:pPr>
            <w:r>
              <w:rPr/>
              <w:t> </w:t>
            </w:r>
          </w:p>
        </w:tc>
        <w:tc>
          <w:tcPr>
            <w:tcW w:w="721"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6" w:type="dxa"/>
            <w:tcBorders/>
            <w:shd w:fill="CCEEFF" w:val="clear"/>
            <w:tcMar>
              <w:bottom w:w="0" w:type="dxa"/>
            </w:tcMar>
            <w:vAlign w:val="center"/>
          </w:tcPr>
          <w:p>
            <w:pPr>
              <w:pStyle w:val="TableContents"/>
              <w:spacing w:before="0" w:after="283"/>
              <w:jc w:val="left"/>
              <w:rPr/>
            </w:pPr>
            <w:r>
              <w:rPr/>
              <w:t> </w:t>
            </w:r>
          </w:p>
        </w:tc>
        <w:tc>
          <w:tcPr>
            <w:tcW w:w="1294"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6" w:type="dxa"/>
            <w:tcBorders/>
            <w:shd w:fill="CCEEFF" w:val="clear"/>
            <w:tcMar>
              <w:bottom w:w="0" w:type="dxa"/>
            </w:tcMar>
            <w:vAlign w:val="center"/>
          </w:tcPr>
          <w:p>
            <w:pPr>
              <w:pStyle w:val="TableContents"/>
              <w:spacing w:before="0" w:after="283"/>
              <w:jc w:val="left"/>
              <w:rPr/>
            </w:pPr>
            <w:r>
              <w:rPr/>
              <w:t> </w:t>
            </w:r>
          </w:p>
        </w:tc>
        <w:tc>
          <w:tcPr>
            <w:tcW w:w="1294"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52,658</w:t>
            </w:r>
          </w:p>
        </w:tc>
        <w:tc>
          <w:tcPr>
            <w:tcW w:w="77" w:type="dxa"/>
            <w:tcBorders/>
            <w:shd w:fill="CCEEFF" w:val="clear"/>
            <w:tcMar>
              <w:bottom w:w="0" w:type="dxa"/>
            </w:tcMar>
            <w:vAlign w:val="center"/>
          </w:tcPr>
          <w:p>
            <w:pPr>
              <w:pStyle w:val="TableContents"/>
              <w:spacing w:before="0" w:after="283"/>
              <w:jc w:val="left"/>
              <w:rPr/>
            </w:pPr>
            <w:r>
              <w:rPr/>
              <w:t> </w:t>
            </w:r>
          </w:p>
        </w:tc>
      </w:tr>
      <w:tr>
        <w:trPr/>
        <w:tc>
          <w:tcPr>
            <w:tcW w:w="1946" w:type="dxa"/>
            <w:tcBorders/>
            <w:shd w:fill="FFFFFF" w:val="clear"/>
            <w:tcMar>
              <w:bottom w:w="0" w:type="dxa"/>
            </w:tcM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James C. Bass</w:t>
            </w:r>
          </w:p>
        </w:tc>
        <w:tc>
          <w:tcPr>
            <w:tcW w:w="60" w:type="dxa"/>
            <w:tcBorders/>
            <w:shd w:fill="FFFFFF" w:val="clear"/>
            <w:tcMar>
              <w:bottom w:w="0" w:type="dxa"/>
            </w:tcMar>
            <w:vAlign w:val="center"/>
          </w:tcPr>
          <w:p>
            <w:pPr>
              <w:pStyle w:val="TableContents"/>
              <w:spacing w:before="0" w:after="283"/>
              <w:rPr/>
            </w:pPr>
            <w:r>
              <w:rPr/>
              <w:t> </w:t>
            </w:r>
          </w:p>
        </w:tc>
        <w:tc>
          <w:tcPr>
            <w:tcW w:w="20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43"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37,500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2"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17"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15,158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9" w:type="dxa"/>
            <w:tcBorders/>
            <w:shd w:fill="FFFFFF" w:val="clear"/>
            <w:tcMar>
              <w:bottom w:w="0" w:type="dxa"/>
            </w:tcMar>
            <w:vAlign w:val="center"/>
          </w:tcPr>
          <w:p>
            <w:pPr>
              <w:pStyle w:val="TableContents"/>
              <w:spacing w:before="0" w:after="283"/>
              <w:jc w:val="left"/>
              <w:rPr/>
            </w:pPr>
            <w:r>
              <w:rPr/>
              <w:t> </w:t>
            </w:r>
          </w:p>
        </w:tc>
        <w:tc>
          <w:tcPr>
            <w:tcW w:w="72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6" w:type="dxa"/>
            <w:tcBorders/>
            <w:shd w:fill="FFFFFF" w:val="clear"/>
            <w:tcMar>
              <w:bottom w:w="0" w:type="dxa"/>
            </w:tcMar>
            <w:vAlign w:val="center"/>
          </w:tcPr>
          <w:p>
            <w:pPr>
              <w:pStyle w:val="TableContents"/>
              <w:spacing w:before="0" w:after="283"/>
              <w:jc w:val="left"/>
              <w:rPr/>
            </w:pPr>
            <w:r>
              <w:rPr/>
              <w:t> </w:t>
            </w:r>
          </w:p>
        </w:tc>
        <w:tc>
          <w:tcPr>
            <w:tcW w:w="1294"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6" w:type="dxa"/>
            <w:tcBorders/>
            <w:shd w:fill="FFFFFF" w:val="clear"/>
            <w:tcMar>
              <w:bottom w:w="0" w:type="dxa"/>
            </w:tcMar>
            <w:vAlign w:val="center"/>
          </w:tcPr>
          <w:p>
            <w:pPr>
              <w:pStyle w:val="TableContents"/>
              <w:spacing w:before="0" w:after="283"/>
              <w:jc w:val="left"/>
              <w:rPr/>
            </w:pPr>
            <w:r>
              <w:rPr/>
              <w:t> </w:t>
            </w:r>
          </w:p>
        </w:tc>
        <w:tc>
          <w:tcPr>
            <w:tcW w:w="1294"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52,658</w:t>
            </w:r>
          </w:p>
        </w:tc>
        <w:tc>
          <w:tcPr>
            <w:tcW w:w="77" w:type="dxa"/>
            <w:tcBorders/>
            <w:shd w:fill="FFFFFF" w:val="clear"/>
            <w:tcMar>
              <w:bottom w:w="0" w:type="dxa"/>
            </w:tcMar>
            <w:vAlign w:val="center"/>
          </w:tcPr>
          <w:p>
            <w:pPr>
              <w:pStyle w:val="TableContents"/>
              <w:spacing w:before="0" w:after="283"/>
              <w:jc w:val="left"/>
              <w:rPr/>
            </w:pPr>
            <w:r>
              <w:rPr/>
              <w:t> </w:t>
            </w:r>
          </w:p>
        </w:tc>
      </w:tr>
      <w:tr>
        <w:trPr/>
        <w:tc>
          <w:tcPr>
            <w:tcW w:w="1946" w:type="dxa"/>
            <w:tcBorders/>
            <w:shd w:fill="CCEEFF" w:val="clear"/>
            <w:tcMar>
              <w:bottom w:w="0"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Scott R. Grossman</w:t>
            </w:r>
          </w:p>
        </w:tc>
        <w:tc>
          <w:tcPr>
            <w:tcW w:w="60" w:type="dxa"/>
            <w:tcBorders/>
            <w:shd w:fill="CCEEFF" w:val="clear"/>
            <w:tcMar>
              <w:bottom w:w="0" w:type="dxa"/>
            </w:tcMar>
            <w:vAlign w:val="center"/>
          </w:tcPr>
          <w:p>
            <w:pPr>
              <w:pStyle w:val="TableContents"/>
              <w:spacing w:before="0" w:after="283"/>
              <w:rPr/>
            </w:pPr>
            <w:r>
              <w:rPr/>
              <w:t> </w:t>
            </w:r>
          </w:p>
        </w:tc>
        <w:tc>
          <w:tcPr>
            <w:tcW w:w="20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43"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2"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17"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15,158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9" w:type="dxa"/>
            <w:tcBorders/>
            <w:shd w:fill="CCEEFF" w:val="clear"/>
            <w:tcMar>
              <w:bottom w:w="0" w:type="dxa"/>
            </w:tcMar>
            <w:vAlign w:val="center"/>
          </w:tcPr>
          <w:p>
            <w:pPr>
              <w:pStyle w:val="TableContents"/>
              <w:spacing w:before="0" w:after="283"/>
              <w:jc w:val="left"/>
              <w:rPr/>
            </w:pPr>
            <w:r>
              <w:rPr/>
              <w:t> </w:t>
            </w:r>
          </w:p>
        </w:tc>
        <w:tc>
          <w:tcPr>
            <w:tcW w:w="721"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6" w:type="dxa"/>
            <w:tcBorders/>
            <w:shd w:fill="CCEEFF" w:val="clear"/>
            <w:tcMar>
              <w:bottom w:w="0" w:type="dxa"/>
            </w:tcMar>
            <w:vAlign w:val="center"/>
          </w:tcPr>
          <w:p>
            <w:pPr>
              <w:pStyle w:val="TableContents"/>
              <w:spacing w:before="0" w:after="283"/>
              <w:jc w:val="left"/>
              <w:rPr/>
            </w:pPr>
            <w:r>
              <w:rPr/>
              <w:t> </w:t>
            </w:r>
          </w:p>
        </w:tc>
        <w:tc>
          <w:tcPr>
            <w:tcW w:w="1294"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6" w:type="dxa"/>
            <w:tcBorders/>
            <w:shd w:fill="CCEEFF" w:val="clear"/>
            <w:tcMar>
              <w:bottom w:w="0" w:type="dxa"/>
            </w:tcMar>
            <w:vAlign w:val="center"/>
          </w:tcPr>
          <w:p>
            <w:pPr>
              <w:pStyle w:val="TableContents"/>
              <w:spacing w:before="0" w:after="283"/>
              <w:jc w:val="left"/>
              <w:rPr/>
            </w:pPr>
            <w:r>
              <w:rPr/>
              <w:t> </w:t>
            </w:r>
          </w:p>
        </w:tc>
        <w:tc>
          <w:tcPr>
            <w:tcW w:w="1294"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52,658</w:t>
            </w:r>
          </w:p>
        </w:tc>
        <w:tc>
          <w:tcPr>
            <w:tcW w:w="77" w:type="dxa"/>
            <w:tcBorders/>
            <w:shd w:fill="CCEEFF" w:val="clear"/>
            <w:tcMar>
              <w:bottom w:w="0" w:type="dxa"/>
            </w:tcMar>
            <w:vAlign w:val="center"/>
          </w:tcPr>
          <w:p>
            <w:pPr>
              <w:pStyle w:val="TableContents"/>
              <w:spacing w:before="0" w:after="283"/>
              <w:jc w:val="left"/>
              <w:rPr/>
            </w:pPr>
            <w:r>
              <w:rPr/>
              <w:t> </w:t>
            </w:r>
          </w:p>
        </w:tc>
      </w:tr>
      <w:tr>
        <w:trPr/>
        <w:tc>
          <w:tcPr>
            <w:tcW w:w="1946" w:type="dxa"/>
            <w:tcBorders/>
            <w:shd w:fill="FFFFFF" w:val="clear"/>
            <w:tcMar>
              <w:bottom w:w="0" w:type="dxa"/>
            </w:tcM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Louis Imbrogno, Jr.</w:t>
            </w:r>
          </w:p>
        </w:tc>
        <w:tc>
          <w:tcPr>
            <w:tcW w:w="60" w:type="dxa"/>
            <w:tcBorders/>
            <w:shd w:fill="FFFFFF" w:val="clear"/>
            <w:tcMar>
              <w:bottom w:w="0" w:type="dxa"/>
            </w:tcMar>
            <w:vAlign w:val="center"/>
          </w:tcPr>
          <w:p>
            <w:pPr>
              <w:pStyle w:val="TableContents"/>
              <w:spacing w:before="0" w:after="283"/>
              <w:rPr/>
            </w:pPr>
            <w:r>
              <w:rPr/>
              <w:t> </w:t>
            </w:r>
          </w:p>
        </w:tc>
        <w:tc>
          <w:tcPr>
            <w:tcW w:w="20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43"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37,500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2"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17"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15,158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9" w:type="dxa"/>
            <w:tcBorders/>
            <w:shd w:fill="FFFFFF" w:val="clear"/>
            <w:tcMar>
              <w:bottom w:w="0" w:type="dxa"/>
            </w:tcMar>
            <w:vAlign w:val="center"/>
          </w:tcPr>
          <w:p>
            <w:pPr>
              <w:pStyle w:val="TableContents"/>
              <w:spacing w:before="0" w:after="283"/>
              <w:jc w:val="left"/>
              <w:rPr/>
            </w:pPr>
            <w:r>
              <w:rPr/>
              <w:t> </w:t>
            </w:r>
          </w:p>
        </w:tc>
        <w:tc>
          <w:tcPr>
            <w:tcW w:w="72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6" w:type="dxa"/>
            <w:tcBorders/>
            <w:shd w:fill="FFFFFF" w:val="clear"/>
            <w:tcMar>
              <w:bottom w:w="0" w:type="dxa"/>
            </w:tcMar>
            <w:vAlign w:val="center"/>
          </w:tcPr>
          <w:p>
            <w:pPr>
              <w:pStyle w:val="TableContents"/>
              <w:spacing w:before="0" w:after="283"/>
              <w:jc w:val="left"/>
              <w:rPr/>
            </w:pPr>
            <w:r>
              <w:rPr/>
              <w:t> </w:t>
            </w:r>
          </w:p>
        </w:tc>
        <w:tc>
          <w:tcPr>
            <w:tcW w:w="1294"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6" w:type="dxa"/>
            <w:tcBorders/>
            <w:shd w:fill="FFFFFF" w:val="clear"/>
            <w:tcMar>
              <w:bottom w:w="0" w:type="dxa"/>
            </w:tcMar>
            <w:vAlign w:val="center"/>
          </w:tcPr>
          <w:p>
            <w:pPr>
              <w:pStyle w:val="TableContents"/>
              <w:spacing w:before="0" w:after="283"/>
              <w:jc w:val="left"/>
              <w:rPr/>
            </w:pPr>
            <w:r>
              <w:rPr/>
              <w:t> </w:t>
            </w:r>
          </w:p>
        </w:tc>
        <w:tc>
          <w:tcPr>
            <w:tcW w:w="1294"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52,658</w:t>
            </w:r>
          </w:p>
        </w:tc>
        <w:tc>
          <w:tcPr>
            <w:tcW w:w="77" w:type="dxa"/>
            <w:tcBorders/>
            <w:shd w:fill="FFFF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14"/>
        <w:gridCol w:w="9916"/>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represent the fair value of restricted stock awards granted during the year. The award is calculated on the date of grant in accordance with Financial Accounting Standards, excluding any impact of assumed forfeiture rates.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Bello’s 2020 director fees and awards are also reported under the Executive Compensation Table.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Daniel J. Doherty, III resigned from his position as director effective December 31, 2020. </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07" w:name="c_013"/>
      <w:bookmarkEnd w:id="907"/>
      <w:r>
        <w:rPr>
          <w:rFonts w:ascii="Times New Roman;Times;Serif" w:hAnsi="Times New Roman;Times;Serif"/>
          <w:b/>
          <w:i w:val="false"/>
          <w:caps w:val="false"/>
          <w:smallCaps w:val="false"/>
          <w:sz w:val="20"/>
        </w:rPr>
        <w:t>Item 12. Security Ownership of Certain Beneficial Owners, Management and Related Stockholder Matters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shares of common stock beneficially owned as of March 22, 2021 for (i) each Named Executive Officer and director, and (ii) all Named Executive officers and directors as a group and (iii) each stockholder known to be the beneficial owner of 5% or more of our outstanding shares of common stock. A person is considered to beneficially own any shares (i) over which such person, directly or indirectly, exercises sole or shared voting or investment power or (ii) of which such person has the right to acquire beneficial ownership at any time within 60 days through an exercise of stock options or warrants or otherwise. Unless otherwise indicated, voting and investment power relating to the shares shown in the table for our directors and executive officers is exercised solely by the beneficial owner or shared by the owner and the owner’s spouse or children.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table, a person or group of persons is deemed to have “beneficial ownership” of any shares of common stock that such person has the right to acquire within 60 days of March 22, 2021. For purposes of computing the percentage of outstanding shares of our common stock held by each person or group of persons named above, any shares that such person or persons has the right to acquire within 60 days of March 22, 2021 is deemed to be outstanding but is not deemed to be outstanding for the purpose of computing the percentage ownership of any other person. The inclusion herein of any shares listed as beneficially owned does not constitute an admission of beneficial ownership. Except as otherwise indicated below, the persons named in the table have sole voting and investment power with respect to all shares of common stock held by them. Unless otherwise indicated, the principal address of each listed executive officer and director is 201 Merritt 7 Corporate Park, Norwalk, Connecticut 06851.</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5911"/>
        <w:gridCol w:w="60"/>
        <w:gridCol w:w="111"/>
        <w:gridCol w:w="1851"/>
        <w:gridCol w:w="60"/>
        <w:gridCol w:w="60"/>
        <w:gridCol w:w="300"/>
        <w:gridCol w:w="1618"/>
        <w:gridCol w:w="234"/>
      </w:tblGrid>
      <w:tr>
        <w:trPr/>
        <w:tc>
          <w:tcPr>
            <w:tcW w:w="5911" w:type="dxa"/>
            <w:tcBorders>
              <w:bottom w:val="single" w:sz="12" w:space="0" w:color="000000"/>
            </w:tcBorders>
            <w:shd w:fill="auto" w:val="clear"/>
            <w:vAlign w:val="center"/>
          </w:tcPr>
          <w:p>
            <w:pPr>
              <w:pStyle w:val="TableContents"/>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Named Beneficial Owner</w:t>
            </w:r>
          </w:p>
          <w:p>
            <w:pPr>
              <w:pStyle w:val="TableContents"/>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and Named Executive Officers</w:t>
            </w:r>
          </w:p>
        </w:tc>
        <w:tc>
          <w:tcPr>
            <w:tcW w:w="60" w:type="dxa"/>
            <w:tcBorders/>
            <w:shd w:fill="auto" w:val="clear"/>
            <w:tcMar>
              <w:bottom w:w="0" w:type="dxa"/>
            </w:tcMar>
            <w:vAlign w:val="center"/>
          </w:tcPr>
          <w:p>
            <w:pPr>
              <w:pStyle w:val="TableContents"/>
              <w:spacing w:before="0" w:after="283"/>
              <w:rPr/>
            </w:pPr>
            <w:r>
              <w:rPr/>
              <w:t> </w:t>
            </w:r>
          </w:p>
        </w:tc>
        <w:tc>
          <w:tcPr>
            <w:tcW w:w="1962"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w:t>
              <w:br/>
              <w:t>Beneficially Owned</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918"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Percentage of</w:t>
              <w:br/>
              <w:t>Shares Beneficially</w:t>
              <w:br/>
              <w:t>Owned (1)</w:t>
            </w:r>
          </w:p>
        </w:tc>
        <w:tc>
          <w:tcPr>
            <w:tcW w:w="234" w:type="dxa"/>
            <w:tcBorders/>
            <w:shd w:fill="auto" w:val="clear"/>
            <w:tcMar>
              <w:bottom w:w="0" w:type="dxa"/>
            </w:tcMar>
            <w:vAlign w:val="center"/>
          </w:tcPr>
          <w:p>
            <w:pPr>
              <w:pStyle w:val="TableContents"/>
              <w:spacing w:before="0" w:after="283"/>
              <w:rPr/>
            </w:pPr>
            <w:r>
              <w:rPr/>
              <w:t> </w:t>
            </w:r>
          </w:p>
        </w:tc>
      </w:tr>
      <w:tr>
        <w:trPr/>
        <w:tc>
          <w:tcPr>
            <w:tcW w:w="5911"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John J. Bello (2)</w:t>
            </w:r>
          </w:p>
        </w:tc>
        <w:tc>
          <w:tcPr>
            <w:tcW w:w="60" w:type="dxa"/>
            <w:tcBorders/>
            <w:shd w:fill="CCEEFF" w:val="clear"/>
            <w:tcMar>
              <w:bottom w:w="0" w:type="dxa"/>
            </w:tcMar>
            <w:vAlign w:val="center"/>
          </w:tcPr>
          <w:p>
            <w:pPr>
              <w:pStyle w:val="TableContents"/>
              <w:spacing w:before="0" w:after="283"/>
              <w:rPr/>
            </w:pPr>
            <w:r>
              <w:rPr/>
              <w:t> </w:t>
            </w:r>
          </w:p>
        </w:tc>
        <w:tc>
          <w:tcPr>
            <w:tcW w:w="111" w:type="dxa"/>
            <w:tcBorders/>
            <w:shd w:fill="CCEEFF" w:val="clear"/>
            <w:tcMar>
              <w:bottom w:w="0" w:type="dxa"/>
            </w:tcMar>
            <w:vAlign w:val="center"/>
          </w:tcPr>
          <w:p>
            <w:pPr>
              <w:pStyle w:val="TableContents"/>
              <w:spacing w:before="0" w:after="283"/>
              <w:jc w:val="left"/>
              <w:rPr/>
            </w:pPr>
            <w:r>
              <w:rPr/>
              <w:t> </w:t>
            </w:r>
          </w:p>
        </w:tc>
        <w:tc>
          <w:tcPr>
            <w:tcW w:w="1851"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5,466,895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0" w:type="dxa"/>
            <w:tcBorders/>
            <w:shd w:fill="CCEEFF" w:val="clear"/>
            <w:tcMar>
              <w:bottom w:w="0" w:type="dxa"/>
            </w:tcMar>
            <w:vAlign w:val="center"/>
          </w:tcPr>
          <w:p>
            <w:pPr>
              <w:pStyle w:val="TableContents"/>
              <w:spacing w:before="0" w:after="283"/>
              <w:jc w:val="left"/>
              <w:rPr/>
            </w:pPr>
            <w:r>
              <w:rPr/>
              <w:t> </w:t>
            </w:r>
          </w:p>
        </w:tc>
        <w:tc>
          <w:tcPr>
            <w:tcW w:w="1618"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6.3</w:t>
            </w:r>
          </w:p>
        </w:tc>
        <w:tc>
          <w:tcPr>
            <w:tcW w:w="234"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Norman E. Snyder, Jr. (3)</w:t>
            </w:r>
          </w:p>
        </w:tc>
        <w:tc>
          <w:tcPr>
            <w:tcW w:w="60" w:type="dxa"/>
            <w:tcBorders/>
            <w:shd w:fill="FFFFFF" w:val="clear"/>
            <w:tcMar>
              <w:bottom w:w="0" w:type="dxa"/>
            </w:tcMar>
            <w:vAlign w:val="center"/>
          </w:tcPr>
          <w:p>
            <w:pPr>
              <w:pStyle w:val="TableContents"/>
              <w:spacing w:before="0" w:after="283"/>
              <w:rPr/>
            </w:pPr>
            <w:r>
              <w:rPr/>
              <w:t> </w:t>
            </w:r>
          </w:p>
        </w:tc>
        <w:tc>
          <w:tcPr>
            <w:tcW w:w="111" w:type="dxa"/>
            <w:tcBorders/>
            <w:shd w:fill="FFFFFF" w:val="clear"/>
            <w:tcMar>
              <w:bottom w:w="0" w:type="dxa"/>
            </w:tcMar>
            <w:vAlign w:val="center"/>
          </w:tcPr>
          <w:p>
            <w:pPr>
              <w:pStyle w:val="TableContents"/>
              <w:spacing w:before="0" w:after="283"/>
              <w:jc w:val="left"/>
              <w:rPr/>
            </w:pPr>
            <w:r>
              <w:rPr/>
              <w:t> </w:t>
            </w:r>
          </w:p>
        </w:tc>
        <w:tc>
          <w:tcPr>
            <w:tcW w:w="185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903,908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0" w:type="dxa"/>
            <w:tcBorders/>
            <w:shd w:fill="FFFFFF" w:val="clear"/>
            <w:tcMar>
              <w:bottom w:w="0" w:type="dxa"/>
            </w:tcMar>
            <w:vAlign w:val="center"/>
          </w:tcPr>
          <w:p>
            <w:pPr>
              <w:pStyle w:val="TableContents"/>
              <w:spacing w:before="0" w:after="283"/>
              <w:jc w:val="left"/>
              <w:rPr/>
            </w:pPr>
            <w:r>
              <w:rPr/>
              <w:t> </w:t>
            </w:r>
          </w:p>
        </w:tc>
        <w:tc>
          <w:tcPr>
            <w:tcW w:w="1618"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w:t>
            </w:r>
          </w:p>
        </w:tc>
        <w:tc>
          <w:tcPr>
            <w:tcW w:w="234"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Neal Cohane (4)</w:t>
            </w:r>
          </w:p>
        </w:tc>
        <w:tc>
          <w:tcPr>
            <w:tcW w:w="60" w:type="dxa"/>
            <w:tcBorders/>
            <w:shd w:fill="CCEEFF" w:val="clear"/>
            <w:tcMar>
              <w:bottom w:w="0" w:type="dxa"/>
            </w:tcMar>
            <w:vAlign w:val="center"/>
          </w:tcPr>
          <w:p>
            <w:pPr>
              <w:pStyle w:val="TableContents"/>
              <w:spacing w:before="0" w:after="283"/>
              <w:rPr/>
            </w:pPr>
            <w:r>
              <w:rPr/>
              <w:t> </w:t>
            </w:r>
          </w:p>
        </w:tc>
        <w:tc>
          <w:tcPr>
            <w:tcW w:w="111" w:type="dxa"/>
            <w:tcBorders/>
            <w:shd w:fill="CCEEFF" w:val="clear"/>
            <w:tcMar>
              <w:bottom w:w="0" w:type="dxa"/>
            </w:tcMar>
            <w:vAlign w:val="center"/>
          </w:tcPr>
          <w:p>
            <w:pPr>
              <w:pStyle w:val="TableContents"/>
              <w:spacing w:before="0" w:after="283"/>
              <w:jc w:val="left"/>
              <w:rPr/>
            </w:pPr>
            <w:r>
              <w:rPr/>
              <w:t> </w:t>
            </w:r>
          </w:p>
        </w:tc>
        <w:tc>
          <w:tcPr>
            <w:tcW w:w="1851"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542,585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0" w:type="dxa"/>
            <w:tcBorders/>
            <w:shd w:fill="CCEEFF" w:val="clear"/>
            <w:tcMar>
              <w:bottom w:w="0" w:type="dxa"/>
            </w:tcMar>
            <w:vAlign w:val="center"/>
          </w:tcPr>
          <w:p>
            <w:pPr>
              <w:pStyle w:val="TableContents"/>
              <w:spacing w:before="0" w:after="283"/>
              <w:jc w:val="left"/>
              <w:rPr/>
            </w:pPr>
            <w:r>
              <w:rPr/>
              <w:t> </w:t>
            </w:r>
          </w:p>
        </w:tc>
        <w:tc>
          <w:tcPr>
            <w:tcW w:w="1618"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0.6</w:t>
            </w:r>
          </w:p>
        </w:tc>
        <w:tc>
          <w:tcPr>
            <w:tcW w:w="234"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C. Bass (5)</w:t>
            </w:r>
          </w:p>
        </w:tc>
        <w:tc>
          <w:tcPr>
            <w:tcW w:w="60" w:type="dxa"/>
            <w:tcBorders/>
            <w:shd w:fill="FFFFFF" w:val="clear"/>
            <w:tcMar>
              <w:bottom w:w="0" w:type="dxa"/>
            </w:tcMar>
            <w:vAlign w:val="center"/>
          </w:tcPr>
          <w:p>
            <w:pPr>
              <w:pStyle w:val="TableContents"/>
              <w:spacing w:before="0" w:after="283"/>
              <w:rPr/>
            </w:pPr>
            <w:r>
              <w:rPr/>
              <w:t> </w:t>
            </w:r>
          </w:p>
        </w:tc>
        <w:tc>
          <w:tcPr>
            <w:tcW w:w="111" w:type="dxa"/>
            <w:tcBorders/>
            <w:shd w:fill="FFFFFF" w:val="clear"/>
            <w:tcMar>
              <w:bottom w:w="0" w:type="dxa"/>
            </w:tcMar>
            <w:vAlign w:val="center"/>
          </w:tcPr>
          <w:p>
            <w:pPr>
              <w:pStyle w:val="TableContents"/>
              <w:spacing w:before="0" w:after="283"/>
              <w:jc w:val="left"/>
              <w:rPr/>
            </w:pPr>
            <w:r>
              <w:rPr/>
              <w:t> </w:t>
            </w:r>
          </w:p>
        </w:tc>
        <w:tc>
          <w:tcPr>
            <w:tcW w:w="185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451,947</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0" w:type="dxa"/>
            <w:tcBorders/>
            <w:shd w:fill="FFFFFF" w:val="clear"/>
            <w:tcMar>
              <w:bottom w:w="0" w:type="dxa"/>
            </w:tcMar>
            <w:vAlign w:val="center"/>
          </w:tcPr>
          <w:p>
            <w:pPr>
              <w:pStyle w:val="TableContents"/>
              <w:spacing w:before="0" w:after="283"/>
              <w:jc w:val="left"/>
              <w:rPr/>
            </w:pPr>
            <w:r>
              <w:rPr/>
              <w:t> </w:t>
            </w:r>
          </w:p>
        </w:tc>
        <w:tc>
          <w:tcPr>
            <w:tcW w:w="1618"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0.5</w:t>
            </w:r>
          </w:p>
        </w:tc>
        <w:tc>
          <w:tcPr>
            <w:tcW w:w="234"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Lewis Jaffe (6)</w:t>
            </w:r>
          </w:p>
        </w:tc>
        <w:tc>
          <w:tcPr>
            <w:tcW w:w="60" w:type="dxa"/>
            <w:tcBorders/>
            <w:shd w:fill="CCEEFF" w:val="clear"/>
            <w:tcMar>
              <w:bottom w:w="0" w:type="dxa"/>
            </w:tcMar>
            <w:vAlign w:val="center"/>
          </w:tcPr>
          <w:p>
            <w:pPr>
              <w:pStyle w:val="TableContents"/>
              <w:spacing w:before="0" w:after="283"/>
              <w:rPr/>
            </w:pPr>
            <w:r>
              <w:rPr/>
              <w:t> </w:t>
            </w:r>
          </w:p>
        </w:tc>
        <w:tc>
          <w:tcPr>
            <w:tcW w:w="111" w:type="dxa"/>
            <w:tcBorders/>
            <w:shd w:fill="CCEEFF" w:val="clear"/>
            <w:tcMar>
              <w:bottom w:w="0" w:type="dxa"/>
            </w:tcMar>
            <w:vAlign w:val="center"/>
          </w:tcPr>
          <w:p>
            <w:pPr>
              <w:pStyle w:val="TableContents"/>
              <w:spacing w:before="0" w:after="283"/>
              <w:jc w:val="left"/>
              <w:rPr/>
            </w:pPr>
            <w:r>
              <w:rPr/>
              <w:t> </w:t>
            </w:r>
          </w:p>
        </w:tc>
        <w:tc>
          <w:tcPr>
            <w:tcW w:w="1851"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294,634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0" w:type="dxa"/>
            <w:tcBorders/>
            <w:shd w:fill="CCEEFF" w:val="clear"/>
            <w:tcMar>
              <w:bottom w:w="0" w:type="dxa"/>
            </w:tcMar>
            <w:vAlign w:val="center"/>
          </w:tcPr>
          <w:p>
            <w:pPr>
              <w:pStyle w:val="TableContents"/>
              <w:spacing w:before="0" w:after="283"/>
              <w:jc w:val="left"/>
              <w:rPr/>
            </w:pPr>
            <w:r>
              <w:rPr/>
              <w:t> </w:t>
            </w:r>
          </w:p>
        </w:tc>
        <w:tc>
          <w:tcPr>
            <w:tcW w:w="1618"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0.3</w:t>
            </w:r>
          </w:p>
        </w:tc>
        <w:tc>
          <w:tcPr>
            <w:tcW w:w="234"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Thomas J. Spisak (7)</w:t>
            </w:r>
          </w:p>
        </w:tc>
        <w:tc>
          <w:tcPr>
            <w:tcW w:w="60" w:type="dxa"/>
            <w:tcBorders/>
            <w:shd w:fill="FFFFFF" w:val="clear"/>
            <w:tcMar>
              <w:bottom w:w="0" w:type="dxa"/>
            </w:tcMar>
            <w:vAlign w:val="center"/>
          </w:tcPr>
          <w:p>
            <w:pPr>
              <w:pStyle w:val="TableContents"/>
              <w:spacing w:before="0" w:after="283"/>
              <w:rPr/>
            </w:pPr>
            <w:r>
              <w:rPr/>
              <w:t> </w:t>
            </w:r>
          </w:p>
        </w:tc>
        <w:tc>
          <w:tcPr>
            <w:tcW w:w="111" w:type="dxa"/>
            <w:tcBorders/>
            <w:shd w:fill="FFFFFF" w:val="clear"/>
            <w:tcMar>
              <w:bottom w:w="0" w:type="dxa"/>
            </w:tcMar>
            <w:vAlign w:val="center"/>
          </w:tcPr>
          <w:p>
            <w:pPr>
              <w:pStyle w:val="TableContents"/>
              <w:spacing w:before="0" w:after="283"/>
              <w:jc w:val="left"/>
              <w:rPr/>
            </w:pPr>
            <w:r>
              <w:rPr/>
              <w:t> </w:t>
            </w:r>
          </w:p>
        </w:tc>
        <w:tc>
          <w:tcPr>
            <w:tcW w:w="185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284,584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0" w:type="dxa"/>
            <w:tcBorders/>
            <w:shd w:fill="FFFFFF" w:val="clear"/>
            <w:tcMar>
              <w:bottom w:w="0" w:type="dxa"/>
            </w:tcMar>
            <w:vAlign w:val="center"/>
          </w:tcPr>
          <w:p>
            <w:pPr>
              <w:pStyle w:val="TableContents"/>
              <w:spacing w:before="0" w:after="283"/>
              <w:jc w:val="left"/>
              <w:rPr/>
            </w:pPr>
            <w:r>
              <w:rPr/>
              <w:t> </w:t>
            </w:r>
          </w:p>
        </w:tc>
        <w:tc>
          <w:tcPr>
            <w:tcW w:w="1618"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0.3</w:t>
            </w:r>
          </w:p>
        </w:tc>
        <w:tc>
          <w:tcPr>
            <w:tcW w:w="234"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Scott R. Grossman (8)</w:t>
            </w:r>
          </w:p>
        </w:tc>
        <w:tc>
          <w:tcPr>
            <w:tcW w:w="60" w:type="dxa"/>
            <w:tcBorders/>
            <w:shd w:fill="CCEEFF" w:val="clear"/>
            <w:tcMar>
              <w:bottom w:w="0" w:type="dxa"/>
            </w:tcMar>
            <w:vAlign w:val="center"/>
          </w:tcPr>
          <w:p>
            <w:pPr>
              <w:pStyle w:val="TableContents"/>
              <w:spacing w:before="0" w:after="283"/>
              <w:rPr/>
            </w:pPr>
            <w:r>
              <w:rPr/>
              <w:t> </w:t>
            </w:r>
          </w:p>
        </w:tc>
        <w:tc>
          <w:tcPr>
            <w:tcW w:w="111" w:type="dxa"/>
            <w:tcBorders/>
            <w:shd w:fill="CCEEFF" w:val="clear"/>
            <w:tcMar>
              <w:bottom w:w="0" w:type="dxa"/>
            </w:tcMar>
            <w:vAlign w:val="center"/>
          </w:tcPr>
          <w:p>
            <w:pPr>
              <w:pStyle w:val="TableContents"/>
              <w:spacing w:before="0" w:after="283"/>
              <w:jc w:val="left"/>
              <w:rPr/>
            </w:pPr>
            <w:r>
              <w:rPr/>
              <w:t> </w:t>
            </w:r>
          </w:p>
        </w:tc>
        <w:tc>
          <w:tcPr>
            <w:tcW w:w="1851"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221,529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0" w:type="dxa"/>
            <w:tcBorders/>
            <w:shd w:fill="CCEEFF" w:val="clear"/>
            <w:tcMar>
              <w:bottom w:w="0" w:type="dxa"/>
            </w:tcMar>
            <w:vAlign w:val="center"/>
          </w:tcPr>
          <w:p>
            <w:pPr>
              <w:pStyle w:val="TableContents"/>
              <w:spacing w:before="0" w:after="283"/>
              <w:jc w:val="left"/>
              <w:rPr/>
            </w:pPr>
            <w:r>
              <w:rPr/>
              <w:t> </w:t>
            </w:r>
          </w:p>
        </w:tc>
        <w:tc>
          <w:tcPr>
            <w:tcW w:w="1618"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0.3</w:t>
            </w:r>
          </w:p>
        </w:tc>
        <w:tc>
          <w:tcPr>
            <w:tcW w:w="234"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Louis Imbrogno (9)</w:t>
            </w:r>
          </w:p>
        </w:tc>
        <w:tc>
          <w:tcPr>
            <w:tcW w:w="60" w:type="dxa"/>
            <w:tcBorders/>
            <w:shd w:fill="FFFFFF" w:val="clear"/>
            <w:tcMar>
              <w:bottom w:w="0" w:type="dxa"/>
            </w:tcMar>
            <w:vAlign w:val="center"/>
          </w:tcPr>
          <w:p>
            <w:pPr>
              <w:pStyle w:val="TableContents"/>
              <w:spacing w:before="0" w:after="283"/>
              <w:rPr/>
            </w:pPr>
            <w:r>
              <w:rPr/>
              <w:t> </w:t>
            </w:r>
          </w:p>
        </w:tc>
        <w:tc>
          <w:tcPr>
            <w:tcW w:w="111" w:type="dxa"/>
            <w:tcBorders/>
            <w:shd w:fill="FFFFFF" w:val="clear"/>
            <w:tcMar>
              <w:bottom w:w="0" w:type="dxa"/>
            </w:tcMar>
            <w:vAlign w:val="center"/>
          </w:tcPr>
          <w:p>
            <w:pPr>
              <w:pStyle w:val="TableContents"/>
              <w:spacing w:before="0" w:after="283"/>
              <w:jc w:val="left"/>
              <w:rPr/>
            </w:pPr>
            <w:r>
              <w:rPr/>
              <w:t> </w:t>
            </w:r>
          </w:p>
        </w:tc>
        <w:tc>
          <w:tcPr>
            <w:tcW w:w="185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205,151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0" w:type="dxa"/>
            <w:tcBorders/>
            <w:shd w:fill="FFFFFF" w:val="clear"/>
            <w:tcMar>
              <w:bottom w:w="0" w:type="dxa"/>
            </w:tcMar>
            <w:vAlign w:val="center"/>
          </w:tcPr>
          <w:p>
            <w:pPr>
              <w:pStyle w:val="TableContents"/>
              <w:spacing w:before="0" w:after="283"/>
              <w:jc w:val="left"/>
              <w:rPr/>
            </w:pPr>
            <w:r>
              <w:rPr/>
              <w:t> </w:t>
            </w:r>
          </w:p>
        </w:tc>
        <w:tc>
          <w:tcPr>
            <w:tcW w:w="1618"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0.1</w:t>
            </w:r>
          </w:p>
        </w:tc>
        <w:tc>
          <w:tcPr>
            <w:tcW w:w="234"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11" w:type="dxa"/>
            <w:tcBorders/>
            <w:shd w:fill="CCEEFF" w:val="clear"/>
            <w:tcMar>
              <w:bottom w:w="0" w:type="dxa"/>
            </w:tcMar>
            <w:vAlign w:val="center"/>
          </w:tcPr>
          <w:p>
            <w:pPr>
              <w:pStyle w:val="TableContents"/>
              <w:spacing w:before="0" w:after="283"/>
              <w:jc w:val="left"/>
              <w:rPr/>
            </w:pPr>
            <w:r>
              <w:rPr/>
              <w:t> </w:t>
            </w:r>
          </w:p>
        </w:tc>
        <w:tc>
          <w:tcPr>
            <w:tcW w:w="185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0" w:type="dxa"/>
            <w:tcBorders/>
            <w:shd w:fill="CCEEFF" w:val="clear"/>
            <w:tcMar>
              <w:bottom w:w="0" w:type="dxa"/>
            </w:tcMar>
            <w:vAlign w:val="center"/>
          </w:tcPr>
          <w:p>
            <w:pPr>
              <w:pStyle w:val="TableContents"/>
              <w:spacing w:before="0" w:after="283"/>
              <w:jc w:val="left"/>
              <w:rPr/>
            </w:pPr>
            <w:r>
              <w:rPr/>
              <w:t> </w:t>
            </w:r>
          </w:p>
        </w:tc>
        <w:tc>
          <w:tcPr>
            <w:tcW w:w="1618" w:type="dxa"/>
            <w:tcBorders/>
            <w:shd w:fill="CCEEFF" w:val="clear"/>
            <w:tcMar>
              <w:bottom w:w="0" w:type="dxa"/>
            </w:tcMar>
            <w:vAlign w:val="center"/>
          </w:tcPr>
          <w:p>
            <w:pPr>
              <w:pStyle w:val="TableContents"/>
              <w:spacing w:before="0" w:after="283"/>
              <w:jc w:val="right"/>
              <w:rPr/>
            </w:pPr>
            <w:r>
              <w:rPr/>
              <w:t> </w:t>
            </w:r>
          </w:p>
        </w:tc>
        <w:tc>
          <w:tcPr>
            <w:tcW w:w="234" w:type="dxa"/>
            <w:tcBorders/>
            <w:shd w:fill="CCEEFF" w:val="clear"/>
            <w:tcMar>
              <w:bottom w:w="0" w:type="dxa"/>
            </w:tcMar>
            <w:vAlign w:val="center"/>
          </w:tcPr>
          <w:p>
            <w:pPr>
              <w:pStyle w:val="TableContents"/>
              <w:spacing w:before="0" w:after="283"/>
              <w:jc w:val="left"/>
              <w:rPr/>
            </w:pPr>
            <w:r>
              <w:rPr/>
              <w:t> </w:t>
            </w:r>
          </w:p>
        </w:tc>
      </w:tr>
      <w:tr>
        <w:trPr/>
        <w:tc>
          <w:tcPr>
            <w:tcW w:w="5911"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Directors and Named Executive Officers as a group (8 persons)</w:t>
            </w:r>
          </w:p>
        </w:tc>
        <w:tc>
          <w:tcPr>
            <w:tcW w:w="60" w:type="dxa"/>
            <w:tcBorders/>
            <w:shd w:fill="FFFFFF" w:val="clear"/>
            <w:tcMar>
              <w:bottom w:w="0" w:type="dxa"/>
            </w:tcMar>
            <w:vAlign w:val="center"/>
          </w:tcPr>
          <w:p>
            <w:pPr>
              <w:pStyle w:val="TableContents"/>
              <w:spacing w:before="0" w:after="283"/>
              <w:rPr/>
            </w:pPr>
            <w:r>
              <w:rPr/>
              <w:t> </w:t>
            </w:r>
          </w:p>
        </w:tc>
        <w:tc>
          <w:tcPr>
            <w:tcW w:w="111" w:type="dxa"/>
            <w:tcBorders/>
            <w:shd w:fill="FFFFFF" w:val="clear"/>
            <w:tcMar>
              <w:bottom w:w="0" w:type="dxa"/>
            </w:tcMar>
            <w:vAlign w:val="center"/>
          </w:tcPr>
          <w:p>
            <w:pPr>
              <w:pStyle w:val="TableContents"/>
              <w:spacing w:before="0" w:after="283"/>
              <w:jc w:val="left"/>
              <w:rPr/>
            </w:pPr>
            <w:r>
              <w:rPr/>
              <w:t> </w:t>
            </w:r>
          </w:p>
        </w:tc>
        <w:tc>
          <w:tcPr>
            <w:tcW w:w="185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8,352,484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0" w:type="dxa"/>
            <w:tcBorders/>
            <w:shd w:fill="FFFFFF" w:val="clear"/>
            <w:tcMar>
              <w:bottom w:w="0" w:type="dxa"/>
            </w:tcMar>
            <w:vAlign w:val="center"/>
          </w:tcPr>
          <w:p>
            <w:pPr>
              <w:pStyle w:val="TableContents"/>
              <w:spacing w:before="0" w:after="283"/>
              <w:jc w:val="left"/>
              <w:rPr/>
            </w:pPr>
            <w:r>
              <w:rPr/>
              <w:t> </w:t>
            </w:r>
          </w:p>
        </w:tc>
        <w:tc>
          <w:tcPr>
            <w:tcW w:w="1618"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9.5</w:t>
            </w:r>
          </w:p>
        </w:tc>
        <w:tc>
          <w:tcPr>
            <w:tcW w:w="234"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CCEEFF" w:val="clear"/>
            <w:tcMar>
              <w:bottom w:w="0" w:type="dxa"/>
            </w:tcMar>
            <w:vAlign w:val="center"/>
          </w:tcPr>
          <w:p>
            <w:pPr>
              <w:pStyle w:val="TableContents"/>
              <w:spacing w:before="0" w:after="283"/>
              <w:jc w:val="left"/>
              <w:rPr>
                <w:rFonts w:ascii="Times New Roman;Times;Serif" w:hAnsi="Times New Roman;Times;Serif"/>
                <w:b/>
                <w:i/>
              </w:rPr>
            </w:pPr>
            <w:r>
              <w:rPr>
                <w:rFonts w:ascii="Times New Roman;Times;Serif" w:hAnsi="Times New Roman;Times;Serif"/>
                <w:b/>
                <w:i/>
              </w:rPr>
              <w:t>5% or greater stockholders</w:t>
            </w:r>
          </w:p>
        </w:tc>
        <w:tc>
          <w:tcPr>
            <w:tcW w:w="60" w:type="dxa"/>
            <w:tcBorders/>
            <w:shd w:fill="CCEEFF" w:val="clear"/>
            <w:tcMar>
              <w:bottom w:w="0" w:type="dxa"/>
            </w:tcMar>
            <w:vAlign w:val="center"/>
          </w:tcPr>
          <w:p>
            <w:pPr>
              <w:pStyle w:val="TableContents"/>
              <w:spacing w:before="0" w:after="283"/>
              <w:rPr/>
            </w:pPr>
            <w:r>
              <w:rPr/>
              <w:t> </w:t>
            </w:r>
          </w:p>
        </w:tc>
        <w:tc>
          <w:tcPr>
            <w:tcW w:w="111" w:type="dxa"/>
            <w:tcBorders/>
            <w:shd w:fill="CCEEFF" w:val="clear"/>
            <w:tcMar>
              <w:bottom w:w="0" w:type="dxa"/>
            </w:tcMar>
            <w:vAlign w:val="center"/>
          </w:tcPr>
          <w:p>
            <w:pPr>
              <w:pStyle w:val="TableContents"/>
              <w:spacing w:before="0" w:after="283"/>
              <w:jc w:val="left"/>
              <w:rPr/>
            </w:pPr>
            <w:r>
              <w:rPr/>
              <w:t> </w:t>
            </w:r>
          </w:p>
        </w:tc>
        <w:tc>
          <w:tcPr>
            <w:tcW w:w="1851"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0" w:type="dxa"/>
            <w:tcBorders/>
            <w:shd w:fill="CCEEFF" w:val="clear"/>
            <w:tcMar>
              <w:bottom w:w="0" w:type="dxa"/>
            </w:tcMar>
            <w:vAlign w:val="center"/>
          </w:tcPr>
          <w:p>
            <w:pPr>
              <w:pStyle w:val="TableContents"/>
              <w:spacing w:before="0" w:after="283"/>
              <w:jc w:val="left"/>
              <w:rPr/>
            </w:pPr>
            <w:r>
              <w:rPr/>
              <w:t> </w:t>
            </w:r>
          </w:p>
        </w:tc>
        <w:tc>
          <w:tcPr>
            <w:tcW w:w="1618" w:type="dxa"/>
            <w:tcBorders/>
            <w:shd w:fill="CCEEFF" w:val="clear"/>
            <w:tcMar>
              <w:bottom w:w="0" w:type="dxa"/>
            </w:tcMar>
            <w:vAlign w:val="center"/>
          </w:tcPr>
          <w:p>
            <w:pPr>
              <w:pStyle w:val="TableContents"/>
              <w:spacing w:before="0" w:after="283"/>
              <w:jc w:val="right"/>
              <w:rPr/>
            </w:pPr>
            <w:r>
              <w:rPr/>
              <w:t> </w:t>
            </w:r>
          </w:p>
        </w:tc>
        <w:tc>
          <w:tcPr>
            <w:tcW w:w="234" w:type="dxa"/>
            <w:tcBorders/>
            <w:shd w:fill="CCEEFF" w:val="clear"/>
            <w:tcMar>
              <w:bottom w:w="0" w:type="dxa"/>
            </w:tcMar>
            <w:vAlign w:val="center"/>
          </w:tcPr>
          <w:p>
            <w:pPr>
              <w:pStyle w:val="TableContents"/>
              <w:spacing w:before="0" w:after="283"/>
              <w:jc w:val="left"/>
              <w:rPr/>
            </w:pPr>
            <w:r>
              <w:rPr/>
              <w:t> </w:t>
            </w:r>
          </w:p>
        </w:tc>
      </w:tr>
      <w:tr>
        <w:trPr/>
        <w:tc>
          <w:tcPr>
            <w:tcW w:w="5911"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Raptor/ Harbor Reed SPV LLC (10)</w:t>
            </w:r>
          </w:p>
        </w:tc>
        <w:tc>
          <w:tcPr>
            <w:tcW w:w="60" w:type="dxa"/>
            <w:tcBorders/>
            <w:shd w:fill="FFFFFF" w:val="clear"/>
            <w:tcMar>
              <w:bottom w:w="0" w:type="dxa"/>
            </w:tcMar>
            <w:vAlign w:val="center"/>
          </w:tcPr>
          <w:p>
            <w:pPr>
              <w:pStyle w:val="TableContents"/>
              <w:spacing w:before="0" w:after="283"/>
              <w:rPr/>
            </w:pPr>
            <w:r>
              <w:rPr/>
              <w:t> </w:t>
            </w:r>
          </w:p>
        </w:tc>
        <w:tc>
          <w:tcPr>
            <w:tcW w:w="111" w:type="dxa"/>
            <w:tcBorders/>
            <w:shd w:fill="FFFFFF" w:val="clear"/>
            <w:tcMar>
              <w:bottom w:w="0" w:type="dxa"/>
            </w:tcMar>
            <w:vAlign w:val="center"/>
          </w:tcPr>
          <w:p>
            <w:pPr>
              <w:pStyle w:val="TableContents"/>
              <w:spacing w:before="0" w:after="283"/>
              <w:jc w:val="left"/>
              <w:rPr/>
            </w:pPr>
            <w:r>
              <w:rPr/>
              <w:t> </w:t>
            </w:r>
          </w:p>
        </w:tc>
        <w:tc>
          <w:tcPr>
            <w:tcW w:w="185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6,619,600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0" w:type="dxa"/>
            <w:tcBorders/>
            <w:shd w:fill="FFFFFF" w:val="clear"/>
            <w:tcMar>
              <w:bottom w:w="0" w:type="dxa"/>
            </w:tcMar>
            <w:vAlign w:val="center"/>
          </w:tcPr>
          <w:p>
            <w:pPr>
              <w:pStyle w:val="TableContents"/>
              <w:spacing w:before="0" w:after="283"/>
              <w:jc w:val="left"/>
              <w:rPr/>
            </w:pPr>
            <w:r>
              <w:rPr/>
              <w:t> </w:t>
            </w:r>
          </w:p>
        </w:tc>
        <w:tc>
          <w:tcPr>
            <w:tcW w:w="1618"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7.4</w:t>
            </w:r>
          </w:p>
        </w:tc>
        <w:tc>
          <w:tcPr>
            <w:tcW w:w="234"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Union Square Park Partners</w:t>
            </w:r>
          </w:p>
        </w:tc>
        <w:tc>
          <w:tcPr>
            <w:tcW w:w="60" w:type="dxa"/>
            <w:tcBorders/>
            <w:shd w:fill="CCEEFF" w:val="clear"/>
            <w:tcMar>
              <w:bottom w:w="0" w:type="dxa"/>
            </w:tcMar>
            <w:vAlign w:val="center"/>
          </w:tcPr>
          <w:p>
            <w:pPr>
              <w:pStyle w:val="TableContents"/>
              <w:spacing w:before="0" w:after="283"/>
              <w:rPr/>
            </w:pPr>
            <w:r>
              <w:rPr/>
              <w:t> </w:t>
            </w:r>
          </w:p>
        </w:tc>
        <w:tc>
          <w:tcPr>
            <w:tcW w:w="111" w:type="dxa"/>
            <w:tcBorders/>
            <w:shd w:fill="CCEEFF" w:val="clear"/>
            <w:tcMar>
              <w:bottom w:w="0" w:type="dxa"/>
            </w:tcMar>
            <w:vAlign w:val="center"/>
          </w:tcPr>
          <w:p>
            <w:pPr>
              <w:pStyle w:val="TableContents"/>
              <w:spacing w:before="0" w:after="283"/>
              <w:jc w:val="left"/>
              <w:rPr/>
            </w:pPr>
            <w:r>
              <w:rPr/>
              <w:t> </w:t>
            </w:r>
          </w:p>
        </w:tc>
        <w:tc>
          <w:tcPr>
            <w:tcW w:w="1851"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6,936,672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0" w:type="dxa"/>
            <w:tcBorders/>
            <w:shd w:fill="CCEEFF" w:val="clear"/>
            <w:tcMar>
              <w:bottom w:w="0" w:type="dxa"/>
            </w:tcMar>
            <w:vAlign w:val="center"/>
          </w:tcPr>
          <w:p>
            <w:pPr>
              <w:pStyle w:val="TableContents"/>
              <w:spacing w:before="0" w:after="283"/>
              <w:jc w:val="left"/>
              <w:rPr/>
            </w:pPr>
            <w:r>
              <w:rPr/>
              <w:t> </w:t>
            </w:r>
          </w:p>
        </w:tc>
        <w:tc>
          <w:tcPr>
            <w:tcW w:w="1618"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8.0</w:t>
            </w:r>
          </w:p>
        </w:tc>
        <w:tc>
          <w:tcPr>
            <w:tcW w:w="234"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911"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Polar Asset Management Partners Inc</w:t>
            </w:r>
          </w:p>
        </w:tc>
        <w:tc>
          <w:tcPr>
            <w:tcW w:w="60" w:type="dxa"/>
            <w:tcBorders/>
            <w:shd w:fill="FFFFFF" w:val="clear"/>
            <w:tcMar>
              <w:bottom w:w="0" w:type="dxa"/>
            </w:tcMar>
            <w:vAlign w:val="center"/>
          </w:tcPr>
          <w:p>
            <w:pPr>
              <w:pStyle w:val="TableContents"/>
              <w:spacing w:before="0" w:after="283"/>
              <w:rPr/>
            </w:pPr>
            <w:r>
              <w:rPr/>
              <w:t> </w:t>
            </w:r>
          </w:p>
        </w:tc>
        <w:tc>
          <w:tcPr>
            <w:tcW w:w="111" w:type="dxa"/>
            <w:tcBorders/>
            <w:shd w:fill="FFFFFF" w:val="clear"/>
            <w:tcMar>
              <w:bottom w:w="0" w:type="dxa"/>
            </w:tcMar>
            <w:vAlign w:val="center"/>
          </w:tcPr>
          <w:p>
            <w:pPr>
              <w:pStyle w:val="TableContents"/>
              <w:spacing w:before="0" w:after="283"/>
              <w:jc w:val="left"/>
              <w:rPr/>
            </w:pPr>
            <w:r>
              <w:rPr/>
              <w:t> </w:t>
            </w:r>
          </w:p>
        </w:tc>
        <w:tc>
          <w:tcPr>
            <w:tcW w:w="185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5,315,917</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0" w:type="dxa"/>
            <w:tcBorders/>
            <w:shd w:fill="FFFFFF" w:val="clear"/>
            <w:tcMar>
              <w:bottom w:w="0" w:type="dxa"/>
            </w:tcMar>
            <w:vAlign w:val="center"/>
          </w:tcPr>
          <w:p>
            <w:pPr>
              <w:pStyle w:val="TableContents"/>
              <w:spacing w:before="0" w:after="283"/>
              <w:jc w:val="left"/>
              <w:rPr/>
            </w:pPr>
            <w:r>
              <w:rPr/>
              <w:t> </w:t>
            </w:r>
          </w:p>
        </w:tc>
        <w:tc>
          <w:tcPr>
            <w:tcW w:w="1618"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6.2</w:t>
            </w:r>
          </w:p>
        </w:tc>
        <w:tc>
          <w:tcPr>
            <w:tcW w:w="234"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Based on 86,317,096 shares outstanding as of December 31, 2020.</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Includes 100,000 shares issuable upon exercise of currently-exercisable options, 24, 590 RSAs from 2021 Board Compensation, 400,000 shares of restricted common stock, and warrants of 133,201.</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Includes 256,290 shares issuable upon exercise of currently-exercisable options.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Includes 341,308 shares issuable upon exercise of currently-exercisable options.</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Includes 80,000 shares issuable upon exercise of currently-exercisable options and 24,590 RSAs from 2021 Board Compensation.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Includes 80,000 shares issuable upon exercise of currently-exercisable options and 24,590 RSAs from 2021 Board Compensation.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Includes 167,917 shares issuable upon exercise of currently-exercisable options.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Includes 80,000 shares issuable upon exercise of currently-exercisable options and 24,590 RSAs from 2021 Board Compensation.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Includes 69,950 shares issuable upon exercise of currently-exercisable options and 24,950 RSAs from 2021 Board Compensation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Principal address is 280 Congress Street, 12th Floor Boston, Massachusetts 02210. Includes 2,810,000 shares of common stock issuable upon exercise of currently-exercisable warrants.</w:t>
      </w:r>
    </w:p>
    <w:p>
      <w:pPr>
        <w:pStyle w:val="TextBody"/>
        <w:ind w:left="0" w:right="0" w:hanging="0"/>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2017, the 2017 Incentive Compensation Plan for 3,000,000 shares was approved by our shareholders. On December 13, 2018 the Amended and Restated 2017 Incentive Compensation Plan was approved by our shareholders increasing the number of shares issuable by 3,500,000 to 6,500,000. On December 16, 2019, the Second Amended and Restated 2017 Incentive Compensation Plan (“2017 Plan”) was approved by our shareholders, increasing the number of shares issuable by 1,000,000 to 7,500,000. On December 21, 2020, the 2020 Equity Incentive Plan (“2020 Plan”) for 8,500,000 shares was approved by our shareholders. The 2020 Plan replaced the 2017 Plan, which will expire by its terms on September 30, 2027. We have discontinued the 2017 Plan and all plans that preceded the 2017 Plan and will not issue any new awards under these prior plans, although awards granted under these plans will remain in effect.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December 31, 2020, with respect to equity securities authorized for issuance under compensation plans: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85"/>
        <w:gridCol w:w="60"/>
        <w:gridCol w:w="132"/>
        <w:gridCol w:w="2194"/>
        <w:gridCol w:w="60"/>
        <w:gridCol w:w="60"/>
        <w:gridCol w:w="642"/>
        <w:gridCol w:w="2021"/>
        <w:gridCol w:w="60"/>
        <w:gridCol w:w="60"/>
        <w:gridCol w:w="162"/>
        <w:gridCol w:w="2690"/>
        <w:gridCol w:w="79"/>
      </w:tblGrid>
      <w:tr>
        <w:trPr/>
        <w:tc>
          <w:tcPr>
            <w:tcW w:w="19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6" w:type="dxa"/>
            <w:gridSpan w:val="2"/>
            <w:tcBorders/>
            <w:shd w:fill="auto" w:val="clear"/>
            <w:vAlign w:val="center"/>
          </w:tcPr>
          <w:p>
            <w:pPr>
              <w:pStyle w:val="TableContents"/>
              <w:spacing w:before="0" w:after="283"/>
              <w:jc w:val="center"/>
              <w:rPr/>
            </w:pPr>
            <w:r>
              <w:rPr/>
              <w:t>Number of Securities to be Issued Upon Exercise of Outstanding Options, Warrants and Rights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63" w:type="dxa"/>
            <w:gridSpan w:val="2"/>
            <w:tcBorders/>
            <w:shd w:fill="auto" w:val="clear"/>
            <w:vAlign w:val="center"/>
          </w:tcPr>
          <w:p>
            <w:pPr>
              <w:pStyle w:val="TableContents"/>
              <w:spacing w:before="0" w:after="283"/>
              <w:jc w:val="center"/>
              <w:rPr/>
            </w:pPr>
            <w:r>
              <w:rPr/>
              <w:t>Weighted-Average Exercise Price of Outstanding Options, Warrants and Rights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52" w:type="dxa"/>
            <w:gridSpan w:val="2"/>
            <w:tcBorders/>
            <w:shd w:fill="auto" w:val="clear"/>
            <w:vAlign w:val="center"/>
          </w:tcPr>
          <w:p>
            <w:pPr>
              <w:pStyle w:val="TableContents"/>
              <w:spacing w:before="0" w:after="283"/>
              <w:jc w:val="center"/>
              <w:rPr/>
            </w:pPr>
            <w:r>
              <w:rPr/>
              <w:t xml:space="preserve">Number of Securities Remaining Available for Future Issuance Under Equity Compensation Plans (excluding securities </w:t>
              <w:br/>
              <w:t>reflected in</w:t>
            </w:r>
          </w:p>
        </w:tc>
        <w:tc>
          <w:tcPr>
            <w:tcW w:w="79" w:type="dxa"/>
            <w:tcBorders/>
            <w:shd w:fill="auto" w:val="clear"/>
            <w:vAlign w:val="center"/>
          </w:tcPr>
          <w:p>
            <w:pPr>
              <w:pStyle w:val="TableContents"/>
              <w:spacing w:before="0" w:after="283"/>
              <w:rPr/>
            </w:pPr>
            <w:r>
              <w:rPr/>
              <w:t> </w:t>
            </w:r>
          </w:p>
        </w:tc>
      </w:tr>
      <w:tr>
        <w:trPr/>
        <w:tc>
          <w:tcPr>
            <w:tcW w:w="1985" w:type="dxa"/>
            <w:tcBorders>
              <w:bottom w:val="single" w:sz="12" w:space="0" w:color="000000"/>
            </w:tcBorders>
            <w:shd w:fill="auto" w:val="clear"/>
            <w:tcMar>
              <w:bottom w:w="28" w:type="dxa"/>
            </w:tcMar>
            <w:vAlign w:val="center"/>
          </w:tcPr>
          <w:p>
            <w:pPr>
              <w:pStyle w:val="TableContents"/>
              <w:spacing w:before="0" w:after="283"/>
              <w:jc w:val="center"/>
              <w:rPr/>
            </w:pPr>
            <w:r>
              <w:rPr/>
              <w:t>Plan Category</w:t>
            </w:r>
          </w:p>
        </w:tc>
        <w:tc>
          <w:tcPr>
            <w:tcW w:w="60" w:type="dxa"/>
            <w:tcBorders/>
            <w:shd w:fill="auto" w:val="clear"/>
            <w:vAlign w:val="center"/>
          </w:tcPr>
          <w:p>
            <w:pPr>
              <w:pStyle w:val="TableContents"/>
              <w:spacing w:before="0" w:after="283"/>
              <w:rPr/>
            </w:pPr>
            <w:r>
              <w:rPr/>
              <w:t> </w:t>
            </w:r>
          </w:p>
        </w:tc>
        <w:tc>
          <w:tcPr>
            <w:tcW w:w="2326" w:type="dxa"/>
            <w:gridSpan w:val="2"/>
            <w:tcBorders>
              <w:bottom w:val="single" w:sz="12" w:space="0" w:color="000000"/>
            </w:tcBorders>
            <w:shd w:fill="auto" w:val="clear"/>
            <w:tcMar>
              <w:bottom w:w="28" w:type="dxa"/>
            </w:tcMar>
            <w:vAlign w:val="center"/>
          </w:tcPr>
          <w:p>
            <w:pPr>
              <w:pStyle w:val="TableContents"/>
              <w:spacing w:before="0" w:after="283"/>
              <w:jc w:val="center"/>
              <w:rPr/>
            </w:pPr>
            <w:r>
              <w:rPr/>
              <w:t>(a)</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63" w:type="dxa"/>
            <w:gridSpan w:val="2"/>
            <w:tcBorders>
              <w:bottom w:val="single" w:sz="12" w:space="0" w:color="000000"/>
            </w:tcBorders>
            <w:shd w:fill="auto" w:val="clear"/>
            <w:tcMar>
              <w:bottom w:w="28" w:type="dxa"/>
            </w:tcMar>
            <w:vAlign w:val="center"/>
          </w:tcPr>
          <w:p>
            <w:pPr>
              <w:pStyle w:val="TableContents"/>
              <w:spacing w:before="0" w:after="283"/>
              <w:jc w:val="center"/>
              <w:rPr/>
            </w:pPr>
            <w:r>
              <w:rPr/>
              <w:t>(b)</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52" w:type="dxa"/>
            <w:gridSpan w:val="2"/>
            <w:tcBorders>
              <w:bottom w:val="single" w:sz="12" w:space="0" w:color="000000"/>
            </w:tcBorders>
            <w:shd w:fill="auto" w:val="clear"/>
            <w:tcMar>
              <w:bottom w:w="28" w:type="dxa"/>
            </w:tcMar>
            <w:vAlign w:val="center"/>
          </w:tcPr>
          <w:p>
            <w:pPr>
              <w:pStyle w:val="TableContents"/>
              <w:spacing w:before="0" w:after="283"/>
              <w:jc w:val="center"/>
              <w:rPr/>
            </w:pPr>
            <w:r>
              <w:rPr/>
              <w:t>Column (a)</w:t>
            </w:r>
          </w:p>
        </w:tc>
        <w:tc>
          <w:tcPr>
            <w:tcW w:w="79" w:type="dxa"/>
            <w:tcBorders/>
            <w:shd w:fill="auto" w:val="clear"/>
            <w:vAlign w:val="center"/>
          </w:tcPr>
          <w:p>
            <w:pPr>
              <w:pStyle w:val="TableContents"/>
              <w:spacing w:before="0" w:after="283"/>
              <w:rPr/>
            </w:pPr>
            <w:r>
              <w:rPr/>
              <w:t> </w:t>
            </w:r>
          </w:p>
        </w:tc>
      </w:tr>
      <w:tr>
        <w:trPr/>
        <w:tc>
          <w:tcPr>
            <w:tcW w:w="19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6"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63"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52" w:type="dxa"/>
            <w:gridSpan w:val="2"/>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r>
      <w:tr>
        <w:trPr/>
        <w:tc>
          <w:tcPr>
            <w:tcW w:w="1985" w:type="dxa"/>
            <w:tcBorders/>
            <w:shd w:fill="CCEEFF" w:val="clear"/>
            <w:vAlign w:val="center"/>
          </w:tcPr>
          <w:p>
            <w:pPr>
              <w:pStyle w:val="TableContents"/>
              <w:spacing w:before="0" w:after="283"/>
              <w:jc w:val="left"/>
              <w:rPr/>
            </w:pPr>
            <w:r>
              <w:rPr/>
              <w:t>Equity compensation plans approved by security holders</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jc w:val="left"/>
              <w:rPr/>
            </w:pPr>
            <w:r>
              <w:rPr/>
              <w:t> </w:t>
            </w:r>
          </w:p>
        </w:tc>
        <w:tc>
          <w:tcPr>
            <w:tcW w:w="2194" w:type="dxa"/>
            <w:tcBorders/>
            <w:shd w:fill="CCEEFF" w:val="clear"/>
            <w:vAlign w:val="center"/>
          </w:tcPr>
          <w:p>
            <w:pPr>
              <w:pStyle w:val="TableContents"/>
              <w:spacing w:before="0" w:after="283"/>
              <w:jc w:val="right"/>
              <w:rPr/>
            </w:pPr>
            <w:r>
              <w:rPr/>
              <w:t>9,417,898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42" w:type="dxa"/>
            <w:tcBorders/>
            <w:shd w:fill="CCEEFF" w:val="clear"/>
            <w:vAlign w:val="center"/>
          </w:tcPr>
          <w:p>
            <w:pPr>
              <w:pStyle w:val="TableContents"/>
              <w:spacing w:before="0" w:after="283"/>
              <w:jc w:val="left"/>
              <w:rPr/>
            </w:pPr>
            <w:r>
              <w:rPr/>
              <w:t>$</w:t>
            </w:r>
          </w:p>
        </w:tc>
        <w:tc>
          <w:tcPr>
            <w:tcW w:w="2021" w:type="dxa"/>
            <w:tcBorders/>
            <w:shd w:fill="CCEEFF" w:val="clear"/>
            <w:vAlign w:val="center"/>
          </w:tcPr>
          <w:p>
            <w:pPr>
              <w:pStyle w:val="TableContents"/>
              <w:spacing w:before="0" w:after="283"/>
              <w:jc w:val="right"/>
              <w:rPr/>
            </w:pPr>
            <w:r>
              <w:rPr/>
              <w:t>1.19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jc w:val="left"/>
              <w:rPr/>
            </w:pPr>
            <w:r>
              <w:rPr/>
              <w:t> </w:t>
            </w:r>
          </w:p>
        </w:tc>
        <w:tc>
          <w:tcPr>
            <w:tcW w:w="2690" w:type="dxa"/>
            <w:tcBorders/>
            <w:shd w:fill="CCEEFF" w:val="clear"/>
            <w:vAlign w:val="center"/>
          </w:tcPr>
          <w:p>
            <w:pPr>
              <w:pStyle w:val="TableContents"/>
              <w:spacing w:before="0" w:after="283"/>
              <w:jc w:val="right"/>
              <w:rPr/>
            </w:pPr>
            <w:r>
              <w:rPr/>
              <w:t>3,874,048</w:t>
            </w:r>
          </w:p>
        </w:tc>
        <w:tc>
          <w:tcPr>
            <w:tcW w:w="79" w:type="dxa"/>
            <w:tcBorders/>
            <w:shd w:fill="CCEEFF" w:val="clear"/>
            <w:vAlign w:val="center"/>
          </w:tcPr>
          <w:p>
            <w:pPr>
              <w:pStyle w:val="TableContents"/>
              <w:spacing w:before="0" w:after="283"/>
              <w:jc w:val="left"/>
              <w:rPr/>
            </w:pPr>
            <w:r>
              <w:rPr/>
              <w:t> </w:t>
            </w:r>
          </w:p>
        </w:tc>
      </w:tr>
      <w:tr>
        <w:trPr/>
        <w:tc>
          <w:tcPr>
            <w:tcW w:w="1985" w:type="dxa"/>
            <w:tcBorders/>
            <w:shd w:fill="FFFFFF" w:val="clear"/>
            <w:vAlign w:val="center"/>
          </w:tcPr>
          <w:p>
            <w:pPr>
              <w:pStyle w:val="TableContents"/>
              <w:spacing w:before="0" w:after="283"/>
              <w:jc w:val="left"/>
              <w:rPr/>
            </w:pPr>
            <w:r>
              <w:rPr/>
              <w:t>Equity compensation plans not approved by security holders</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jc w:val="left"/>
              <w:rPr/>
            </w:pPr>
            <w:r>
              <w:rPr/>
              <w:t> </w:t>
            </w:r>
          </w:p>
        </w:tc>
        <w:tc>
          <w:tcPr>
            <w:tcW w:w="2194"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2" w:type="dxa"/>
            <w:tcBorders/>
            <w:shd w:fill="FFFFFF" w:val="clear"/>
            <w:vAlign w:val="center"/>
          </w:tcPr>
          <w:p>
            <w:pPr>
              <w:pStyle w:val="TableContents"/>
              <w:spacing w:before="0" w:after="283"/>
              <w:jc w:val="left"/>
              <w:rPr/>
            </w:pPr>
            <w:r>
              <w:rPr/>
              <w:t>$</w:t>
            </w:r>
          </w:p>
        </w:tc>
        <w:tc>
          <w:tcPr>
            <w:tcW w:w="2021"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2" w:type="dxa"/>
            <w:tcBorders/>
            <w:shd w:fill="FFFFFF" w:val="clear"/>
            <w:vAlign w:val="center"/>
          </w:tcPr>
          <w:p>
            <w:pPr>
              <w:pStyle w:val="TableContents"/>
              <w:spacing w:before="0" w:after="283"/>
              <w:jc w:val="left"/>
              <w:rPr/>
            </w:pPr>
            <w:r>
              <w:rPr/>
              <w:t> </w:t>
            </w:r>
          </w:p>
        </w:tc>
        <w:tc>
          <w:tcPr>
            <w:tcW w:w="2690" w:type="dxa"/>
            <w:tcBorders/>
            <w:shd w:fill="FFFFFF" w:val="clear"/>
            <w:vAlign w:val="center"/>
          </w:tcPr>
          <w:p>
            <w:pPr>
              <w:pStyle w:val="TableContents"/>
              <w:spacing w:before="0" w:after="283"/>
              <w:jc w:val="right"/>
              <w:rPr/>
            </w:pPr>
            <w:r>
              <w:rPr/>
              <w:t>-</w:t>
            </w:r>
          </w:p>
        </w:tc>
        <w:tc>
          <w:tcPr>
            <w:tcW w:w="79" w:type="dxa"/>
            <w:tcBorders/>
            <w:shd w:fill="FFFFFF" w:val="clear"/>
            <w:vAlign w:val="center"/>
          </w:tcPr>
          <w:p>
            <w:pPr>
              <w:pStyle w:val="TableContents"/>
              <w:spacing w:before="0" w:after="283"/>
              <w:jc w:val="left"/>
              <w:rPr/>
            </w:pPr>
            <w:r>
              <w:rPr/>
              <w:t> </w:t>
            </w:r>
          </w:p>
        </w:tc>
      </w:tr>
      <w:tr>
        <w:trPr/>
        <w:tc>
          <w:tcPr>
            <w:tcW w:w="1985" w:type="dxa"/>
            <w:tcBorders/>
            <w:shd w:fill="CCEEFF" w:val="clear"/>
            <w:vAlign w:val="center"/>
          </w:tcPr>
          <w:p>
            <w:pPr>
              <w:pStyle w:val="TableContents"/>
              <w:spacing w:before="0" w:after="283"/>
              <w:rPr/>
            </w:pPr>
            <w:r>
              <w:rPr/>
              <w:t>TOTAL</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jc w:val="left"/>
              <w:rPr/>
            </w:pPr>
            <w:r>
              <w:rPr/>
              <w:t> </w:t>
            </w:r>
          </w:p>
        </w:tc>
        <w:tc>
          <w:tcPr>
            <w:tcW w:w="2194" w:type="dxa"/>
            <w:tcBorders/>
            <w:shd w:fill="CCEEFF" w:val="clear"/>
            <w:vAlign w:val="center"/>
          </w:tcPr>
          <w:p>
            <w:pPr>
              <w:pStyle w:val="TableContents"/>
              <w:spacing w:before="0" w:after="283"/>
              <w:jc w:val="right"/>
              <w:rPr/>
            </w:pPr>
            <w:r>
              <w:rPr/>
              <w:t>9,417,898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42" w:type="dxa"/>
            <w:tcBorders/>
            <w:shd w:fill="CCEEFF" w:val="clear"/>
            <w:vAlign w:val="center"/>
          </w:tcPr>
          <w:p>
            <w:pPr>
              <w:pStyle w:val="TableContents"/>
              <w:spacing w:before="0" w:after="283"/>
              <w:jc w:val="left"/>
              <w:rPr/>
            </w:pPr>
            <w:r>
              <w:rPr/>
              <w:t>$</w:t>
            </w:r>
          </w:p>
        </w:tc>
        <w:tc>
          <w:tcPr>
            <w:tcW w:w="2021" w:type="dxa"/>
            <w:tcBorders/>
            <w:shd w:fill="CCEEFF" w:val="clear"/>
            <w:vAlign w:val="center"/>
          </w:tcPr>
          <w:p>
            <w:pPr>
              <w:pStyle w:val="TableContents"/>
              <w:spacing w:before="0" w:after="283"/>
              <w:jc w:val="right"/>
              <w:rPr/>
            </w:pPr>
            <w:r>
              <w:rPr/>
              <w:t>1.19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jc w:val="left"/>
              <w:rPr/>
            </w:pPr>
            <w:r>
              <w:rPr/>
              <w:t> </w:t>
            </w:r>
          </w:p>
        </w:tc>
        <w:tc>
          <w:tcPr>
            <w:tcW w:w="2690" w:type="dxa"/>
            <w:tcBorders/>
            <w:shd w:fill="CCEEFF" w:val="clear"/>
            <w:vAlign w:val="center"/>
          </w:tcPr>
          <w:p>
            <w:pPr>
              <w:pStyle w:val="TableContents"/>
              <w:spacing w:before="0" w:after="283"/>
              <w:jc w:val="right"/>
              <w:rPr/>
            </w:pPr>
            <w:r>
              <w:rPr/>
              <w:t>3,874,048</w:t>
            </w:r>
          </w:p>
        </w:tc>
        <w:tc>
          <w:tcPr>
            <w:tcW w:w="79"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08" w:name="c_014"/>
      <w:bookmarkEnd w:id="908"/>
      <w:r>
        <w:rPr>
          <w:rFonts w:ascii="Times New Roman;Times;Serif" w:hAnsi="Times New Roman;Times;Serif"/>
          <w:b/>
          <w:i w:val="false"/>
          <w:caps w:val="false"/>
          <w:smallCaps w:val="false"/>
          <w:sz w:val="20"/>
        </w:rPr>
        <w:t>Item 13. Certain Relationships and Related Transactions, and Director Independence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written policies and procedures for the review of any transaction, arrangement or relationship between Reed’s and one of our executive officers, directors, director nominees or 5% or greater stockholders (or their immediate family members), each of whom we refer to as a “related person,” in which such related person has a direct or indirect material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related person proposes to enter into such a transaction, arrangement or relationship, defined as a “related party transaction,” the related party must report the proposed related party transaction to our Chief Financial Officer. The policy calls for the proposed related party transaction to be reviewed and, if deemed appropriate, approved by the Governance Committee. Our Governance Committee is comprised of John Bello, Lewis Jaffe and Scott R. Grossman. Mr. Jaffe serves as Chairman. The board of directors has determined all of the members of the Governance Committee are independent under the rules of the Nasdaq Stock Market, LLC. If practicable, the reporting, review and approval will occur prior to entry into the transaction. If advance review and approval is not practicable, the Governance Committee will review, and, in its discretion, may ratify the related party transaction. Any related party transactions that are ongoing in nature will be reviewed annually at a minimum. The related party transactions listed below were reviewed by the full board of directors. Prior to August 2005, we did not have independent directors on our board to review and approve related party transactions. The Governance Committee shall review future 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summary of transactions since the beginning of fiscal 2019 or any currently proposed transaction, in which we were or are to be a participant and the amount involved exceeded or exceeds the lesser of $120,000 or one percent of the average of our total assets at year-end for the last two completed fiscal years and in which any related person had or will have a direct or indirect material interest (other than compensation described under “Executive Compensation”). We believe the terms obtained or consideration that we paid or received, as applicable, in connection with the transactions described below were comparable to or better than terms available or the amounts that would be paid or received, as applicable, in arm’s-length transactions.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California Custom Beverage, LLC (“CCB”)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2018, after completion of bidding process, Reed’s sold its beverage manufacturing equipment and private label beverage business for a purchase price of $1.25 million pursuant to an asset purchase agreement of the same date with California Custom Beverage, LLC (“CCB”), an entity owned by Christopher J. Reed, founder, Chief Innovation Officer and director of Reed’s. Mr. Reed obtained debt financing from a commercial bank, PMC Financial Services, LLC, in the amount of $1,050,000. In addition, in support of the transaction, a group of current Reed’s stockholders, including Chairman John J. Bello and certain institutional investors, purchased 350,000 shares of common stock of REED from Christopher J. Reed at $2.00 per share, in a private transaction exempt from the registration requirements of the Securities Act of 1933. The pricing was based on the higher of $2.00 per share or a 10% discount to the 5-day volume weighted average price ending December 28, 2018.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transaction, CCB assumed the monthly payments on our lease obligation for the Los Angeles manufacturing plant. Our release from the obligation by the lessor, however, is dependent upon CCB’s deposit of $1.2 million of security with the lessor. The deposit is secured by Mr. Reed’s pledge of common stock to the lessor and guaranteed personally by Mr. Reed and his wife. As of December 31, 2020, $800 has been deposited with the lessor and Mr. Reed has placed approximately 363,000 pledged shares valued at $338 that remain pledged in in escrow in favor of lessor.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equipment was sold to CCB on an “as-is, where is” basis. In addition, the parties entered into a 3-year co-packing contract for the production of Reed’s beverages in glass bottles at prevailing West Coast market rates. Certain transitional services were provided by Reed’s to CCB for 30 days. The transaction documents also contain customary protections for intellectual property, indemnification and non-competition provisions.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2019, we began receiving a 5% royalty on CCB’s private label sales to existing customers for three years and a 5% referral fee on CCB’s private label sales to referred customers for three years. During the year ended December 31, 2020, the Company recorded royalty revenue from CCB of $98. During the year ended December 31, 2019, the Company recorded royalty revenue from CCB of $128.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2019, the Company had royalty revenue receivable from CCB of $128. In addition, at December 31, 2019, the Company has outstanding receivable from CCB of $228 consisting of inventory advances to CCB. The aggregate receivable from CCB at December 31, 2019 was $356. During the year ended December 31, 2020, the Company recorded royalty revenue receivable of $98, advanced inventory and equipment of $381, and reduced CCB receivable by $153 and reducing CCB payable of $153, leaving an aggregate receivable balance of $682 at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2020 and December 31, 2019, the Company had accounts payable due to CCB of $557 and $182, respectively.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Settlement of Secured Convertible Subordinated Non-redeemable Note with Raptor/ Harbor Reeds SPV, LLC </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11, 2020, we entered into a Satisfaction, Settlement and Release Agreement (“Satisfaction Agreement”) with Raptor/ Harbor Reeds SPV, LLC (“Raptor”) satisfying all of our obligations to Raptor as our junior secured lender. Raptor is a related party. Daniel J. Doherty III, a former director of Reed’s, is a principal and member of Raptor. The transaction was completed on December 15, 2020.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transaction, our obligation under that certain Senior Secured Amended and Restated Subordinated Convertible Non-Redeemable Secured Note (“Subordinated Note”) dated October 4, 2018 in favor of Raptor, including accrued and unpaid interest through maturity on April 21, 2021, was approximately $5.5 million.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full satisfaction of the Subordinated Note, including release of collateral, and termination of related junior lender documentation, we (a) paid Raptor $4,250,000 in cash, (b) issued to Raptor a 5-year warrant to purchase 1,000,000 shares of common stock, $0.0001 par value, of Reed’s (“Common Stock”) with an exercise price of $0.644 (“Satisfaction Warrant”), and (c) issued to Raptor 1,339,286 shares of Common Stock upon conversion of $750,000.00 of the Subordinated Note at the reduced per share conversion price of $0.56.</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Satisfaction Agreement includes a mutual release of liability. The Satisfaction Warrant contains customary protection for stock splits, dividends and reclassifications and provides certain rights in the event of a “Fundamental Transaction” as therein defined. Pursuant to a Registration Rights Agreement (“RRA”) dated December 11, 2020, the company also agreed to file a registration statement registering shares of Common Stock underlying the warrant for resale, provided however, sales under the registration statement may not commence until the 6th trading day after Reed’s files its Annual Report on Form 10-K for the period ending December 31, 2020 with the Securities Exchange Commission.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senior lender, Rosenthal &amp; Rosenthal Inc. (“Rosenthal”), a New York corporation consented to the settlement transaction subject to pay-down by Reed’s of senior credit line obligation to zero, in compliance with terms of existing financing documents, release of collateral securing the Subordinated Note and other customary requirements.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Amendment to Financing Agreement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2021, we entered into an amendment (“Amendment”) to that certain Financing Agreement dated October 4, 2018, as amended or supplemented with our senior secured lender, Rosenthal &amp; Rosenthal, Inc. (“Rosenthal”) releasing that irrevocable standby letter of credit by Daniel J. Doherty, III and Daniel J. Doherty, III 2002 Family Trust in the amount of $1.5 million (“LC”), which served as financial collateral for certain obligations of Reed’s under the Rosenthal credit facility, with a two million dollar ($2,000,000) pledge of securities to Rosenthal by John J. Bello and Nancy E. Bello, as Co-Trustees of THE JOHN AND NANCY BELLO REVOCABLE LIVING TRUST, under trust agreement dated December 3, 2012, evidenced by that certain Pledge Agreement to Rosenthal, and as to which Rosenthal has a first and only perfected security interest by the Securities Account Control Agreement held by securities broker (“Bello Pledge”).</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J. Bello, current Chairman and former Interim Chief Executive Officer of Reed’s, is a related party. He is also a greater than 5% beneficial owner of Reed’s common stock. As consideration for the collateral support, Mr. Bello received 400,000 shares of Reed’s restricted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Martin, daughter of a director of the Company, was employed as Vice President of Marketing during the years ended December 31, 2020 and 2019. Ms. Martin was paid approximately $215 and $161, respectively, for her services during the years ended December 31, 2020 and 2019,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board has seven directors and the following four standing committees: an Audit Committee, a Compensation Committee, a Governance Committee and an Operations Committee. The board, upon recommendation from the Compensation Committee, determined through 2020, each of John J. Bello, Lewis Jaffe, James C. Bass, Scott R. Grossman and Louis Imbrogno is an “independent director” as defined by Rule 5605(a)(2) of The NASDAQ Stock Market Rules (the “NASDAQ Rules”). Independence of board members is re-evaluated by the board annually. The board determined affirmatively that John J. Bello’s service as Interim Chief Executive Officer and the compensation received for such service would not interfere with his ability to exercise independent judgment as a director. Subsequently, in March of 2021, the board, upon recommendation from the Compensation Committee, determined that John J. Bello is no longer an “independent director” due to collateral support he now provides on behalf of the Company to the Company’s senior secured lender, Rosenthal &amp; Rosenthal, Inc. We intend to maintain at least a majority of independent directors on our board in the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09" w:name="c_015"/>
      <w:bookmarkEnd w:id="909"/>
      <w:r>
        <w:rPr>
          <w:rFonts w:ascii="Times New Roman;Times;Serif" w:hAnsi="Times New Roman;Times;Serif"/>
          <w:b/>
          <w:i w:val="false"/>
          <w:caps w:val="false"/>
          <w:smallCaps w:val="false"/>
          <w:sz w:val="20"/>
        </w:rPr>
        <w:t>Item 14. Principal Accounting Fees and Services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&amp; Company, P.A. (“Weinberg”) was our independent registered public accounting firm for the years ended December 31, 2020 and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fees paid or accrued by us for the audit and other services provided by Weinberg for the years ended December 31, 2020 and 2019:</w:t>
      </w:r>
    </w:p>
    <w:p>
      <w:pPr>
        <w:pStyle w:val="TextBody"/>
        <w:spacing w:before="0" w:after="0"/>
        <w:ind w:left="0" w:right="0" w:hanging="0"/>
        <w:jc w:val="both"/>
        <w:rPr>
          <w:caps w:val="false"/>
          <w:smallCaps w:val="false"/>
        </w:rPr>
      </w:pPr>
      <w:r>
        <w:rPr>
          <w:caps w:val="false"/>
          <w:smallCaps w:val="false"/>
        </w:rPr>
        <w:t> </w:t>
      </w:r>
    </w:p>
    <w:tbl>
      <w:tblPr>
        <w:tblW w:w="4000" w:type="dxa"/>
        <w:jc w:val="left"/>
        <w:tblInd w:w="0" w:type="dxa"/>
        <w:tblCellMar>
          <w:top w:w="0" w:type="dxa"/>
          <w:left w:w="0" w:type="dxa"/>
          <w:bottom w:w="0" w:type="dxa"/>
          <w:right w:w="0" w:type="dxa"/>
        </w:tblCellMar>
      </w:tblPr>
      <w:tblGrid>
        <w:gridCol w:w="1865"/>
        <w:gridCol w:w="60"/>
        <w:gridCol w:w="140"/>
        <w:gridCol w:w="800"/>
        <w:gridCol w:w="60"/>
        <w:gridCol w:w="60"/>
        <w:gridCol w:w="140"/>
        <w:gridCol w:w="800"/>
        <w:gridCol w:w="75"/>
      </w:tblGrid>
      <w:tr>
        <w:trPr/>
        <w:tc>
          <w:tcPr>
            <w:tcW w:w="18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75" w:type="dxa"/>
            <w:tcBorders/>
            <w:shd w:fill="auto"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Audit Fees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161,597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267,184</w:t>
            </w:r>
          </w:p>
        </w:tc>
        <w:tc>
          <w:tcPr>
            <w:tcW w:w="75" w:type="dxa"/>
            <w:tcBorders/>
            <w:shd w:fill="CCEEFF" w:val="clear"/>
            <w:vAlign w:val="center"/>
          </w:tcPr>
          <w:p>
            <w:pPr>
              <w:pStyle w:val="TableContents"/>
              <w:spacing w:before="0" w:after="283"/>
              <w:jc w:val="left"/>
              <w:rPr/>
            </w:pPr>
            <w:r>
              <w:rPr/>
              <w:t> </w:t>
            </w:r>
          </w:p>
        </w:tc>
      </w:tr>
      <w:tr>
        <w:trPr/>
        <w:tc>
          <w:tcPr>
            <w:tcW w:w="18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Audit-Related Fees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186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Tax Fees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36,169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63,561</w:t>
            </w:r>
          </w:p>
        </w:tc>
        <w:tc>
          <w:tcPr>
            <w:tcW w:w="75" w:type="dxa"/>
            <w:tcBorders/>
            <w:shd w:fill="CCEEFF" w:val="clear"/>
            <w:vAlign w:val="center"/>
          </w:tcPr>
          <w:p>
            <w:pPr>
              <w:pStyle w:val="TableContents"/>
              <w:spacing w:before="0" w:after="283"/>
              <w:jc w:val="left"/>
              <w:rPr/>
            </w:pPr>
            <w:r>
              <w:rPr/>
              <w:t> </w:t>
            </w:r>
          </w:p>
        </w:tc>
      </w:tr>
      <w:tr>
        <w:trPr/>
        <w:tc>
          <w:tcPr>
            <w:tcW w:w="186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All Other Fees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93,548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83,670</w:t>
            </w:r>
          </w:p>
        </w:tc>
        <w:tc>
          <w:tcPr>
            <w:tcW w:w="75" w:type="dxa"/>
            <w:tcBorders/>
            <w:shd w:fill="FFFFFF" w:val="clear"/>
            <w:vAlign w:val="center"/>
          </w:tcPr>
          <w:p>
            <w:pPr>
              <w:pStyle w:val="TableContents"/>
              <w:spacing w:before="0" w:after="283"/>
              <w:jc w:val="left"/>
              <w:rPr/>
            </w:pPr>
            <w:r>
              <w:rPr/>
              <w:t> </w:t>
            </w:r>
          </w:p>
        </w:tc>
      </w:tr>
      <w:tr>
        <w:trPr/>
        <w:tc>
          <w:tcPr>
            <w:tcW w:w="186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291,314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414,415</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defined by the SEC, (i) “audit fees” are fees for professional services rendered by our principal accountant for the audit of our annual financial statements and review of financial statements included in our Form 10-K, or for services that are normally provided by the accountant in connection with statutory and regulatory filings or engagements for those fiscal years; (ii) “audit-related fees” are fees for assurance and related services by our principal accountant that are reasonably related to the performance of the audit or review of our financial statements and are not reported under “audit fees;” (iii) “tax fees” are fees for professional services rendered by our principal accountant for tax compliance, tax advice, and tax planning; and (iv) “all other fees” are fees for products and services provided by our principal accountant, other than the services reported under “audit fees,” “audit-related fees,” and “tax fees.”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provided services for the audits of our financial statements included in Annual Reports on Form 10-K and limited reviews of the financial statements included in Quarterly Reports on Form 10-Q.</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Related Fees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did not provide any professional services which would be considered “audit related fees.”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Fees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prepared our 2019 and 2018 Federal and state income tax returns.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Fees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provided by Weinberg with respect to the filing of various registration statements made throughout the year are considered “all other fees.”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 and Procedures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SEC’s rules, the Audit Committee is required to pre-approve the audit and non-audit services performed by the independent registered public accounting firm in order to ensure that they do not impair the auditors’ independence. The SEC’s rules specify the types of non-audit services that an independent auditor may not provide to its audit client and establish the Audit Committee’s responsibility for administration of the engagement of the independent registered public accounting firm.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SEC’s rules, the Audit Committee Charter requires that the Audit Committee review and pre-approve all audit services and permitted non-audit services provided by the independent registered public accounting firm to us or any of our subsidiaries. The Audit Committee may delegate pre-approval authority to a member of the Audit Committee and if it does, the decisions of that member must be presented to the full Audit Committee at its next scheduled meeting. Accordingly, 100% of audit services and non-audit services described in this Item 14 were pre-approved by the Audit Committee.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hours expended on the principal accountant’s engagement to audit the registrant’s financial statements for the most recent fiscal year that were attributed to work performed by persons other than the principal accountant’s full-time, permanent employees.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910" w:name="c_016"/>
      <w:bookmarkEnd w:id="910"/>
      <w:r>
        <w:rPr>
          <w:rFonts w:ascii="Times New Roman;Times;Serif" w:hAnsi="Times New Roman;Times;Serif"/>
          <w:b/>
          <w:i w:val="false"/>
          <w:caps w:val="false"/>
          <w:smallCaps w:val="false"/>
          <w:sz w:val="20"/>
        </w:rPr>
        <w:t>PART IV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11" w:name="c_017"/>
      <w:bookmarkEnd w:id="911"/>
      <w:r>
        <w:rPr>
          <w:rFonts w:ascii="Times New Roman;Times;Serif" w:hAnsi="Times New Roman;Times;Serif"/>
          <w:b/>
          <w:i w:val="false"/>
          <w:caps w:val="false"/>
          <w:smallCaps w:val="false"/>
          <w:sz w:val="20"/>
        </w:rPr>
        <w:t>Item 15. Exhibits and Financial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1. Financial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Index to Financial Statements in Item 8 of this Annual Report on Form 10-K, which is incorporated herein by reference.</w:t>
      </w:r>
    </w:p>
    <w:p>
      <w:pPr>
        <w:pStyle w:val="TextBody"/>
        <w:spacing w:before="0" w:after="0"/>
        <w:ind w:left="0" w:right="0" w:firstLine="49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Financial Statement Schedules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financial statement schedules have been omitted because they are either not applicable or the required information is shown in the financial statements or notes thereto.</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Exhibits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which follows the signature page of this Annual Report on Form 10-K, which is incorporated herein by reference.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Exhibits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15(a) (3) above.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Financial Statement Schedules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15(a) (2) above.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12" w:name="c_018"/>
      <w:bookmarkEnd w:id="912"/>
      <w:r>
        <w:rPr>
          <w:rFonts w:ascii="Times New Roman;Times;Serif" w:hAnsi="Times New Roman;Times;Serif"/>
          <w:b/>
          <w:i w:val="false"/>
          <w:caps w:val="false"/>
          <w:smallCaps w:val="false"/>
          <w:sz w:val="20"/>
        </w:rPr>
        <w:t>Item 16. Form 10K Summary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13 or 15(d) of the Exchange Act, the registrant caused this Report to be signed on its behalf by the undersigned, thereunto duly authorized.</w:t>
      </w:r>
    </w:p>
    <w:p>
      <w:pPr>
        <w:pStyle w:val="TextBody"/>
        <w:spacing w:before="0" w:after="0"/>
        <w:ind w:left="0" w:right="0" w:firstLine="720"/>
        <w:jc w:val="both"/>
        <w:rPr>
          <w:caps w:val="false"/>
          <w:smallCaps w:val="false"/>
        </w:rPr>
      </w:pPr>
      <w:r>
        <w:rPr>
          <w:caps w:val="false"/>
          <w:smallCaps w:val="false"/>
        </w:rPr>
        <w:t> </w:t>
      </w:r>
    </w:p>
    <w:tbl>
      <w:tblPr>
        <w:tblW w:w="4230" w:type="dxa"/>
        <w:jc w:val="left"/>
        <w:tblInd w:w="0" w:type="dxa"/>
        <w:tblCellMar>
          <w:top w:w="0" w:type="dxa"/>
          <w:left w:w="0" w:type="dxa"/>
          <w:bottom w:w="0" w:type="dxa"/>
          <w:right w:w="0" w:type="dxa"/>
        </w:tblCellMar>
      </w:tblPr>
      <w:tblGrid>
        <w:gridCol w:w="1805"/>
        <w:gridCol w:w="365"/>
        <w:gridCol w:w="2060"/>
      </w:tblGrid>
      <w:tr>
        <w:trPr/>
        <w:tc>
          <w:tcPr>
            <w:tcW w:w="18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2021</w:t>
            </w:r>
          </w:p>
        </w:tc>
        <w:tc>
          <w:tcPr>
            <w:tcW w:w="2425" w:type="dxa"/>
            <w:gridSpan w:val="2"/>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425"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0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60"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0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0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Exchange Act, this Report has been signed below by the following persons on behalf of the registrant and in the capacities and on the dates indicated.</w:t>
      </w:r>
    </w:p>
    <w:p>
      <w:pPr>
        <w:pStyle w:val="TextBody"/>
        <w:spacing w:before="0" w:after="0"/>
        <w:ind w:left="0" w:right="0" w:hanging="0"/>
        <w:jc w:val="both"/>
        <w:rPr>
          <w:caps w:val="false"/>
          <w:smallCaps w:val="false"/>
        </w:rPr>
      </w:pPr>
      <w:r>
        <w:rPr>
          <w:caps w:val="false"/>
          <w:smallCaps w:val="false"/>
        </w:rPr>
        <w:t> </w:t>
      </w:r>
    </w:p>
    <w:tbl>
      <w:tblPr>
        <w:tblW w:w="6600" w:type="dxa"/>
        <w:jc w:val="left"/>
        <w:tblInd w:w="0" w:type="dxa"/>
        <w:tblCellMar>
          <w:top w:w="0" w:type="dxa"/>
          <w:left w:w="0" w:type="dxa"/>
          <w:bottom w:w="28" w:type="dxa"/>
          <w:right w:w="0" w:type="dxa"/>
        </w:tblCellMar>
      </w:tblPr>
      <w:tblGrid>
        <w:gridCol w:w="2060"/>
        <w:gridCol w:w="60"/>
        <w:gridCol w:w="3095"/>
        <w:gridCol w:w="60"/>
        <w:gridCol w:w="1325"/>
      </w:tblGrid>
      <w:tr>
        <w:trPr/>
        <w:tc>
          <w:tcPr>
            <w:tcW w:w="20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09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32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206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J. Spisak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206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Spisak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Officer)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J. Bello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206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J. Bello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Christopher J. Reed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Innovation Officer, 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206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J. Reed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Lewis Jaffe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206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Lewis Jaffe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C. Bass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206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C. Bass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20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R. Grossman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206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R. Grossman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0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Louis Imbrogno, Jr.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206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 Imbrogno, Jr.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0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65"/>
        <w:gridCol w:w="60"/>
        <w:gridCol w:w="5696"/>
        <w:gridCol w:w="60"/>
        <w:gridCol w:w="800"/>
        <w:gridCol w:w="60"/>
        <w:gridCol w:w="525"/>
        <w:gridCol w:w="60"/>
        <w:gridCol w:w="650"/>
        <w:gridCol w:w="60"/>
        <w:gridCol w:w="811"/>
        <w:gridCol w:w="60"/>
        <w:gridCol w:w="698"/>
      </w:tblGrid>
      <w:tr>
        <w:trPr/>
        <w:tc>
          <w:tcPr>
            <w:tcW w:w="665"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shd w:fill="auto" w:val="clear"/>
            <w:vAlign w:val="center"/>
          </w:tcPr>
          <w:p>
            <w:pPr>
              <w:pStyle w:val="TableContents"/>
              <w:spacing w:before="0" w:after="283"/>
              <w:rPr/>
            </w:pPr>
            <w:r>
              <w:rPr/>
              <w:t> </w:t>
            </w:r>
          </w:p>
        </w:tc>
        <w:tc>
          <w:tcPr>
            <w:tcW w:w="5696"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tc>
        <w:tc>
          <w:tcPr>
            <w:tcW w:w="60" w:type="dxa"/>
            <w:tcBorders/>
            <w:shd w:fill="auto" w:val="clear"/>
            <w:vAlign w:val="center"/>
          </w:tcPr>
          <w:p>
            <w:pPr>
              <w:pStyle w:val="TableContents"/>
              <w:spacing w:before="0" w:after="283"/>
              <w:rPr/>
            </w:pPr>
            <w:r>
              <w:rPr/>
              <w:t> </w:t>
            </w:r>
          </w:p>
        </w:tc>
        <w:tc>
          <w:tcPr>
            <w:tcW w:w="2864" w:type="dxa"/>
            <w:gridSpan w:val="7"/>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66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shd w:fill="auto" w:val="clear"/>
            <w:vAlign w:val="center"/>
          </w:tcPr>
          <w:p>
            <w:pPr>
              <w:pStyle w:val="TableContents"/>
              <w:spacing w:before="0" w:after="283"/>
              <w:jc w:val="center"/>
              <w:rPr/>
            </w:pPr>
            <w:r>
              <w:rPr/>
              <w:t> </w:t>
            </w:r>
          </w:p>
        </w:tc>
        <w:tc>
          <w:tcPr>
            <w:tcW w:w="5696"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shd w:fill="auto" w:val="clear"/>
            <w:vAlign w:val="center"/>
          </w:tcPr>
          <w:p>
            <w:pPr>
              <w:pStyle w:val="TableContents"/>
              <w:spacing w:before="0" w:after="283"/>
              <w:jc w:val="center"/>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shd w:fill="auto" w:val="clear"/>
            <w:vAlign w:val="center"/>
          </w:tcPr>
          <w:p>
            <w:pPr>
              <w:pStyle w:val="TableContents"/>
              <w:spacing w:before="0" w:after="283"/>
              <w:jc w:val="center"/>
              <w:rPr/>
            </w:pPr>
            <w:r>
              <w:rPr/>
              <w:t> </w:t>
            </w:r>
          </w:p>
        </w:tc>
        <w:tc>
          <w:tcPr>
            <w:tcW w:w="52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shd w:fill="auto" w:val="clear"/>
            <w:vAlign w:val="center"/>
          </w:tcPr>
          <w:p>
            <w:pPr>
              <w:pStyle w:val="TableContents"/>
              <w:spacing w:before="0" w:after="283"/>
              <w:jc w:val="center"/>
              <w:rPr/>
            </w:pPr>
            <w:r>
              <w:rPr/>
              <w:t> </w:t>
            </w:r>
          </w:p>
        </w:tc>
        <w:tc>
          <w:tcPr>
            <w:tcW w:w="65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shd w:fill="auto" w:val="clear"/>
            <w:vAlign w:val="center"/>
          </w:tcPr>
          <w:p>
            <w:pPr>
              <w:pStyle w:val="TableContents"/>
              <w:spacing w:before="0" w:after="283"/>
              <w:jc w:val="center"/>
              <w:rPr/>
            </w:pPr>
            <w:r>
              <w:rPr/>
              <w:t> </w:t>
            </w:r>
          </w:p>
        </w:tc>
        <w:tc>
          <w:tcPr>
            <w:tcW w:w="811"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shd w:fill="auto" w:val="clear"/>
            <w:vAlign w:val="center"/>
          </w:tcPr>
          <w:p>
            <w:pPr>
              <w:pStyle w:val="TableContents"/>
              <w:spacing w:before="0" w:after="283"/>
              <w:jc w:val="center"/>
              <w:rPr/>
            </w:pPr>
            <w:r>
              <w:rPr/>
              <w:t> </w:t>
            </w:r>
          </w:p>
        </w:tc>
        <w:tc>
          <w:tcPr>
            <w:tcW w:w="698"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Filed</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w:anchor="ex3-i.htm">
              <w:r>
                <w:rPr>
                  <w:rStyle w:val="InternetLink"/>
                  <w:rFonts w:ascii="Times New Roman;Times;Serif" w:hAnsi="Times New Roman;Times;Serif"/>
                  <w:b w:val="false"/>
                  <w:i w:val="false"/>
                  <w:caps w:val="false"/>
                  <w:smallCaps w:val="false"/>
                  <w:sz w:val="20"/>
                </w:rPr>
                <w:t>Certificate of Incorporation of Reed’s Inc., as amended</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(ii)</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r:id="rId2">
              <w:r>
                <w:rPr>
                  <w:rStyle w:val="InternetLink"/>
                  <w:rFonts w:ascii="Times New Roman;Times;Serif" w:hAnsi="Times New Roman;Times;Serif"/>
                  <w:b w:val="false"/>
                  <w:i w:val="false"/>
                  <w:caps w:val="false"/>
                  <w:smallCaps w:val="false"/>
                  <w:sz w:val="20"/>
                </w:rPr>
                <w:t>Amended and Restated Bylaws of Reed’s, Inc.</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04/08/2020</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r:id="rId3">
              <w:r>
                <w:rPr>
                  <w:rStyle w:val="InternetLink"/>
                  <w:rFonts w:ascii="Times New Roman;Times;Serif" w:hAnsi="Times New Roman;Times;Serif"/>
                  <w:b w:val="false"/>
                  <w:i w:val="false"/>
                  <w:caps w:val="false"/>
                  <w:smallCaps w:val="false"/>
                  <w:sz w:val="20"/>
                </w:rPr>
                <w:t>Form of common stock certificate</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SB-2</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333-120451</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r:id="rId4">
              <w:r>
                <w:rPr>
                  <w:rStyle w:val="InternetLink"/>
                  <w:rFonts w:ascii="Times New Roman;Times;Serif" w:hAnsi="Times New Roman;Times;Serif"/>
                  <w:b w:val="false"/>
                  <w:i w:val="false"/>
                  <w:caps w:val="false"/>
                  <w:smallCaps w:val="false"/>
                  <w:sz w:val="20"/>
                </w:rPr>
                <w:t xml:space="preserve">Form of series A preferred stock certificate </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SB-2</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333-120451</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rPr/>
            </w:pPr>
            <w:hyperlink r:id="rId5">
              <w:r>
                <w:rPr>
                  <w:rStyle w:val="InternetLink"/>
                  <w:rFonts w:ascii="Times New Roman;Times;Serif" w:hAnsi="Times New Roman;Times;Serif"/>
                  <w:b w:val="false"/>
                  <w:i w:val="false"/>
                  <w:caps w:val="false"/>
                  <w:smallCaps w:val="false"/>
                  <w:sz w:val="20"/>
                </w:rPr>
                <w:t>Form of common stock purchase warrant issued to investors on June 2, 2016</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6/03/2016</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r:id="rId6">
              <w:r>
                <w:rPr>
                  <w:rStyle w:val="InternetLink"/>
                  <w:rFonts w:ascii="Times New Roman;Times;Serif" w:hAnsi="Times New Roman;Times;Serif"/>
                  <w:b w:val="false"/>
                  <w:i w:val="false"/>
                  <w:caps w:val="false"/>
                  <w:smallCaps w:val="false"/>
                  <w:sz w:val="20"/>
                </w:rPr>
                <w:t xml:space="preserve">Form of common stock purchase warrant issued to Maxim Group LLC on June 2, 2016 </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6/03/2016</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r:id="rId7">
              <w:r>
                <w:rPr>
                  <w:rStyle w:val="InternetLink"/>
                  <w:rFonts w:ascii="Times New Roman;Times;Serif" w:hAnsi="Times New Roman;Times;Serif"/>
                  <w:b w:val="false"/>
                  <w:i w:val="false"/>
                  <w:caps w:val="false"/>
                  <w:smallCaps w:val="false"/>
                  <w:sz w:val="20"/>
                </w:rPr>
                <w:t>Form of common stock purchase warrant issued to PMC Financial Services Group, LLC on November 9, 2015</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5/11/2016</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r:id="rId8">
              <w:r>
                <w:rPr>
                  <w:rStyle w:val="InternetLink"/>
                  <w:rFonts w:ascii="Times New Roman;Times;Serif" w:hAnsi="Times New Roman;Times;Serif"/>
                  <w:b w:val="false"/>
                  <w:i w:val="false"/>
                  <w:caps w:val="false"/>
                  <w:smallCaps w:val="false"/>
                  <w:sz w:val="20"/>
                </w:rPr>
                <w:t>Form of 2017-1 common stock purchase warrant</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4/24/2017</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r:id="rId9">
              <w:r>
                <w:rPr>
                  <w:rStyle w:val="InternetLink"/>
                  <w:rFonts w:ascii="Times New Roman;Times;Serif" w:hAnsi="Times New Roman;Times;Serif"/>
                  <w:b w:val="false"/>
                  <w:i w:val="false"/>
                  <w:caps w:val="false"/>
                  <w:smallCaps w:val="false"/>
                  <w:sz w:val="20"/>
                </w:rPr>
                <w:t>Form of 2017-2 common stock purchase warrant</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4/24/2017</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r:id="rId10">
              <w:r>
                <w:rPr>
                  <w:rStyle w:val="InternetLink"/>
                  <w:rFonts w:ascii="Times New Roman;Times;Serif" w:hAnsi="Times New Roman;Times;Serif"/>
                  <w:b w:val="false"/>
                  <w:i w:val="false"/>
                  <w:caps w:val="false"/>
                  <w:smallCaps w:val="false"/>
                  <w:sz w:val="20"/>
                </w:rPr>
                <w:t>Form of 2017-3 common stock purchase warrant</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7/14/2017</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r:id="rId11">
              <w:r>
                <w:rPr>
                  <w:rStyle w:val="InternetLink"/>
                  <w:rFonts w:ascii="Times New Roman;Times;Serif" w:hAnsi="Times New Roman;Times;Serif"/>
                  <w:b w:val="false"/>
                  <w:i w:val="false"/>
                  <w:caps w:val="false"/>
                  <w:smallCaps w:val="false"/>
                  <w:sz w:val="20"/>
                </w:rPr>
                <w:t>Form of 2017-4 common stock purchase warrant</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7/14/2017</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w:anchor="ex4-10.htm">
              <w:r>
                <w:rPr>
                  <w:rStyle w:val="InternetLink"/>
                  <w:rFonts w:ascii="Times New Roman;Times;Serif" w:hAnsi="Times New Roman;Times;Serif"/>
                  <w:b w:val="false"/>
                  <w:i w:val="false"/>
                  <w:caps w:val="false"/>
                  <w:smallCaps w:val="false"/>
                  <w:sz w:val="20"/>
                </w:rPr>
                <w:t>Form of common stock purchase Warrant issued to Raptor/ Harbor Reed’s SPV on December 11, 2020</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(vi)</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w:anchor="ex4-vi.htm">
              <w:r>
                <w:rPr>
                  <w:rStyle w:val="InternetLink"/>
                  <w:rFonts w:ascii="Times New Roman;Times;Serif" w:hAnsi="Times New Roman;Times;Serif"/>
                  <w:b w:val="false"/>
                  <w:i w:val="false"/>
                  <w:caps w:val="false"/>
                  <w:smallCaps w:val="false"/>
                  <w:sz w:val="20"/>
                </w:rPr>
                <w:t>Description of registrant’s common stock</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w:anchor="ex10-1.htm">
              <w:r>
                <w:rPr>
                  <w:rStyle w:val="InternetLink"/>
                  <w:rFonts w:ascii="Times New Roman;Times;Serif" w:hAnsi="Times New Roman;Times;Serif"/>
                  <w:b w:val="false"/>
                  <w:i w:val="false"/>
                  <w:caps w:val="false"/>
                  <w:smallCaps w:val="false"/>
                  <w:sz w:val="20"/>
                </w:rPr>
                <w:t>Satisfaction Settlement and Release Agreement by and between Reed’s, Inc. and Raptor/ Harbor Reeds SPV, dated December 11, 2020</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w:anchor="ex10-2.htm">
              <w:r>
                <w:rPr>
                  <w:rStyle w:val="InternetLink"/>
                  <w:rFonts w:ascii="Times New Roman;Times;Serif" w:hAnsi="Times New Roman;Times;Serif"/>
                  <w:b w:val="false"/>
                  <w:i w:val="false"/>
                  <w:caps w:val="false"/>
                  <w:smallCaps w:val="false"/>
                  <w:sz w:val="20"/>
                </w:rPr>
                <w:t>Registration Rights Agreement by and between Reed’s, Inc. and Raptor/ Harbor Reeds SPV, dated December 11, 2020</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w:anchor="ex10-3.htm">
              <w:r>
                <w:rPr>
                  <w:rStyle w:val="InternetLink"/>
                  <w:rFonts w:ascii="Times New Roman;Times;Serif" w:hAnsi="Times New Roman;Times;Serif"/>
                  <w:b w:val="false"/>
                  <w:i w:val="false"/>
                  <w:caps w:val="false"/>
                  <w:smallCaps w:val="false"/>
                  <w:sz w:val="20"/>
                </w:rPr>
                <w:t>Amendment dated March 11, 2021 to Financing Agreement dated October 4, 2018 by and between Reed’s Inc. and Rosenthal &amp; Rosenthal, Inc.</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r:id="rId12">
              <w:r>
                <w:rPr>
                  <w:rStyle w:val="InternetLink"/>
                  <w:rFonts w:ascii="Times New Roman;Times;Serif" w:hAnsi="Times New Roman;Times;Serif"/>
                  <w:b w:val="false"/>
                  <w:i w:val="false"/>
                  <w:caps w:val="false"/>
                  <w:smallCaps w:val="false"/>
                  <w:sz w:val="20"/>
                </w:rPr>
                <w:t xml:space="preserve">Registration Rights Agreement by and between Reed’s Inc. and purchasers signatory thereto dated May 26, 2016 </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6/03/2016</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r:id="rId13">
              <w:r>
                <w:rPr>
                  <w:rStyle w:val="InternetLink"/>
                  <w:rFonts w:ascii="Times New Roman;Times;Serif" w:hAnsi="Times New Roman;Times;Serif"/>
                  <w:b w:val="false"/>
                  <w:i w:val="false"/>
                  <w:caps w:val="false"/>
                  <w:smallCaps w:val="false"/>
                  <w:sz w:val="20"/>
                </w:rPr>
                <w:t>Form of Registration Rights Agreement by and between Reed’s Inc. and Raptor/Harbor Reeds SPV LLC dated April 21, 2017</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4/24/2017</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r:id="rId14">
              <w:r>
                <w:rPr>
                  <w:rStyle w:val="InternetLink"/>
                  <w:rFonts w:ascii="Times New Roman;Times;Serif" w:hAnsi="Times New Roman;Times;Serif"/>
                  <w:b w:val="false"/>
                  <w:i w:val="false"/>
                  <w:caps w:val="false"/>
                  <w:smallCaps w:val="false"/>
                  <w:sz w:val="20"/>
                </w:rPr>
                <w:t>Reed’s, Inc. 2017 Incentive Compensation Plan</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333-222741</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r:id="rId15">
              <w:r>
                <w:rPr>
                  <w:rStyle w:val="InternetLink"/>
                  <w:rFonts w:ascii="Times New Roman;Times;Serif" w:hAnsi="Times New Roman;Times;Serif"/>
                  <w:b w:val="false"/>
                  <w:i w:val="false"/>
                  <w:caps w:val="false"/>
                  <w:smallCaps w:val="false"/>
                  <w:sz w:val="20"/>
                </w:rPr>
                <w:t>Reed’s, Inc. 2020 Equity Incentive Plan</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S-8</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333-252140</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1/15/2021</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w:anchor="ex10-8.htm">
              <w:r>
                <w:rPr>
                  <w:rStyle w:val="InternetLink"/>
                  <w:rFonts w:ascii="Times New Roman;Times;Serif" w:hAnsi="Times New Roman;Times;Serif"/>
                  <w:b w:val="false"/>
                  <w:i w:val="false"/>
                  <w:caps w:val="false"/>
                  <w:smallCaps w:val="false"/>
                  <w:sz w:val="20"/>
                </w:rPr>
                <w:t>Amendment dated December 23, 2020 to Financing Agreement dated October 4, 2018 between Reed’s, Inc. and Rosenthal &amp; Rosenthal, Inc.</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r:id="rId16">
              <w:r>
                <w:rPr>
                  <w:rStyle w:val="InternetLink"/>
                  <w:rFonts w:ascii="Times New Roman;Times;Serif" w:hAnsi="Times New Roman;Times;Serif"/>
                  <w:b w:val="false"/>
                  <w:i w:val="false"/>
                  <w:caps w:val="false"/>
                  <w:smallCaps w:val="false"/>
                  <w:sz w:val="20"/>
                </w:rPr>
                <w:t xml:space="preserve">Inventory Security Agreement by and between Reed’s Inc. and Rosenthal &amp; Rosenthal Inc. dated October 4, 2018 </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11/14/2018</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r:id="rId17">
              <w:r>
                <w:rPr>
                  <w:rStyle w:val="InternetLink"/>
                  <w:rFonts w:ascii="Times New Roman;Times;Serif" w:hAnsi="Times New Roman;Times;Serif"/>
                  <w:b w:val="false"/>
                  <w:i w:val="false"/>
                  <w:caps w:val="false"/>
                  <w:smallCaps w:val="false"/>
                  <w:sz w:val="20"/>
                </w:rPr>
                <w:t>Intellectual Property Security Agreement by and between Reed’s, Inc. and Rosenthal &amp; Rosenthal Inc. dated October 4, 2018</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11/14/2018</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r:id="rId18">
              <w:r>
                <w:rPr>
                  <w:rStyle w:val="InternetLink"/>
                  <w:rFonts w:ascii="Times New Roman;Times;Serif" w:hAnsi="Times New Roman;Times;Serif"/>
                  <w:b w:val="false"/>
                  <w:i w:val="false"/>
                  <w:caps w:val="false"/>
                  <w:smallCaps w:val="false"/>
                  <w:sz w:val="20"/>
                </w:rPr>
                <w:t xml:space="preserve">Security Interest (short form) by Reed’s, Inc. in favor of Rosenthal &amp; Rosenthal Inc. dated October 4, 2018 </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11/14/2018</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w:anchor="ex10-12.htm">
              <w:r>
                <w:rPr>
                  <w:rStyle w:val="InternetLink"/>
                  <w:rFonts w:ascii="Times New Roman;Times;Serif" w:hAnsi="Times New Roman;Times;Serif"/>
                  <w:b w:val="false"/>
                  <w:i w:val="false"/>
                  <w:caps w:val="false"/>
                  <w:smallCaps w:val="false"/>
                  <w:sz w:val="20"/>
                </w:rPr>
                <w:t xml:space="preserve">Termination Agreement by and between Rosenthal &amp; Rosenthal Inc. and Raptor/Harbor Reeds SPV LLC dated October 4, 2018 </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6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spacing w:before="0" w:after="283"/>
              <w:rPr/>
            </w:pPr>
            <w:r>
              <w:rPr/>
              <w:t> </w:t>
            </w:r>
          </w:p>
        </w:tc>
        <w:tc>
          <w:tcPr>
            <w:tcW w:w="5696" w:type="dxa"/>
            <w:tcBorders/>
            <w:shd w:fill="FFFFFF" w:val="clear"/>
            <w:vAlign w:val="center"/>
          </w:tcPr>
          <w:p>
            <w:pPr>
              <w:pStyle w:val="TableContents"/>
              <w:spacing w:before="0" w:after="283"/>
              <w:jc w:val="both"/>
              <w:rPr/>
            </w:pPr>
            <w:hyperlink r:id="rId19">
              <w:r>
                <w:rPr>
                  <w:rStyle w:val="InternetLink"/>
                  <w:rFonts w:ascii="Times New Roman;Times;Serif" w:hAnsi="Times New Roman;Times;Serif"/>
                  <w:b w:val="false"/>
                  <w:i w:val="false"/>
                  <w:caps w:val="false"/>
                  <w:smallCaps w:val="false"/>
                  <w:sz w:val="20"/>
                </w:rPr>
                <w:t xml:space="preserve">Sublease Agreement by and between Reed’s, Inc., Merritt 7 Venture L.L.C., and GE Capital US Holdings, Inc., dated September 1, 2018 </w:t>
              </w:r>
            </w:hyperlink>
          </w:p>
        </w:tc>
        <w:tc>
          <w:tcPr>
            <w:tcW w:w="60"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52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vAlign w:val="center"/>
          </w:tcPr>
          <w:p>
            <w:pPr>
              <w:pStyle w:val="TableContents"/>
              <w:spacing w:before="0" w:after="283"/>
              <w:rPr/>
            </w:pPr>
            <w:r>
              <w:rPr/>
              <w:t> </w:t>
            </w:r>
          </w:p>
        </w:tc>
        <w:tc>
          <w:tcPr>
            <w:tcW w:w="811"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11/14/2018</w:t>
            </w:r>
          </w:p>
        </w:tc>
      </w:tr>
      <w:tr>
        <w:trPr/>
        <w:tc>
          <w:tcPr>
            <w:tcW w:w="66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CCEEFF" w:val="clear"/>
            <w:vAlign w:val="center"/>
          </w:tcPr>
          <w:p>
            <w:pPr>
              <w:pStyle w:val="TableContents"/>
              <w:spacing w:before="0" w:after="283"/>
              <w:rPr/>
            </w:pPr>
            <w:r>
              <w:rPr/>
              <w:t> </w:t>
            </w:r>
          </w:p>
        </w:tc>
        <w:tc>
          <w:tcPr>
            <w:tcW w:w="5696" w:type="dxa"/>
            <w:tcBorders/>
            <w:shd w:fill="CCEEFF" w:val="clear"/>
            <w:vAlign w:val="center"/>
          </w:tcPr>
          <w:p>
            <w:pPr>
              <w:pStyle w:val="TableContents"/>
              <w:spacing w:before="0" w:after="283"/>
              <w:jc w:val="both"/>
              <w:rPr/>
            </w:pPr>
            <w:hyperlink r:id="rId20">
              <w:r>
                <w:rPr>
                  <w:rStyle w:val="InternetLink"/>
                  <w:rFonts w:ascii="Times New Roman;Times;Serif" w:hAnsi="Times New Roman;Times;Serif"/>
                  <w:b w:val="false"/>
                  <w:i w:val="false"/>
                  <w:caps w:val="false"/>
                  <w:smallCaps w:val="false"/>
                  <w:sz w:val="20"/>
                </w:rPr>
                <w:t>Asset Purchase Agreement by and between Reed’s, Inc. and California Custom Beverage LLC dated December 31, 2018</w:t>
              </w:r>
            </w:hyperlink>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52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spacing w:before="0" w:after="283"/>
              <w:rPr/>
            </w:pPr>
            <w:r>
              <w:rPr/>
              <w:t> </w:t>
            </w:r>
          </w:p>
        </w:tc>
        <w:tc>
          <w:tcPr>
            <w:tcW w:w="811"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12/31/2018</w:t>
            </w:r>
          </w:p>
        </w:tc>
      </w:tr>
    </w:tbl>
    <w:p>
      <w:pPr>
        <w:pStyle w:val="TextBody"/>
        <w:rPr/>
      </w:pPr>
      <w:r>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pPr>
      <w:r>
        <w:rPr/>
        <w:t> </w:t>
      </w:r>
    </w:p>
    <w:tbl>
      <w:tblPr>
        <w:tblW w:w="10205" w:type="dxa"/>
        <w:jc w:val="left"/>
        <w:tblInd w:w="0" w:type="dxa"/>
        <w:tblCellMar>
          <w:top w:w="0" w:type="dxa"/>
          <w:left w:w="0" w:type="dxa"/>
          <w:bottom w:w="0" w:type="dxa"/>
          <w:right w:w="0" w:type="dxa"/>
        </w:tblCellMar>
      </w:tblPr>
      <w:tblGrid>
        <w:gridCol w:w="659"/>
        <w:gridCol w:w="60"/>
        <w:gridCol w:w="6609"/>
        <w:gridCol w:w="60"/>
        <w:gridCol w:w="155"/>
        <w:gridCol w:w="60"/>
        <w:gridCol w:w="426"/>
        <w:gridCol w:w="60"/>
        <w:gridCol w:w="485"/>
        <w:gridCol w:w="60"/>
        <w:gridCol w:w="815"/>
        <w:gridCol w:w="60"/>
        <w:gridCol w:w="696"/>
      </w:tblGrid>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pPr>
            <w:hyperlink r:id="rId21">
              <w:r>
                <w:rPr>
                  <w:rStyle w:val="InternetLink"/>
                  <w:rFonts w:ascii="Times New Roman;Times;Serif" w:hAnsi="Times New Roman;Times;Serif"/>
                  <w:b w:val="false"/>
                  <w:i w:val="false"/>
                  <w:caps w:val="false"/>
                  <w:smallCaps w:val="false"/>
                  <w:sz w:val="20"/>
                </w:rPr>
                <w:t>Assignment and Assumption of Lease and Consent of Lessor by and between Reed’s, Inc. and California Custom Beverage LLC dated December 31, 2018</w:t>
              </w:r>
            </w:hyperlink>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12/31/2018</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pPr>
            <w:hyperlink r:id="rId22">
              <w:r>
                <w:rPr>
                  <w:rStyle w:val="InternetLink"/>
                  <w:rFonts w:ascii="Times New Roman;Times;Serif" w:hAnsi="Times New Roman;Times;Serif"/>
                  <w:b w:val="false"/>
                  <w:i w:val="false"/>
                  <w:caps w:val="false"/>
                  <w:smallCaps w:val="false"/>
                  <w:sz w:val="20"/>
                </w:rPr>
                <w:t>Transition Services Agreement by and between Reed’s, Inc. and California Custom Beverage LLC dated December 31, 2018</w:t>
              </w:r>
            </w:hyperlink>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12/31/2018</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pPr>
            <w:hyperlink r:id="rId23">
              <w:r>
                <w:rPr>
                  <w:rStyle w:val="InternetLink"/>
                  <w:rFonts w:ascii="Times New Roman;Times;Serif" w:hAnsi="Times New Roman;Times;Serif"/>
                  <w:b w:val="false"/>
                  <w:i w:val="false"/>
                  <w:caps w:val="false"/>
                  <w:smallCaps w:val="false"/>
                  <w:sz w:val="20"/>
                </w:rPr>
                <w:t xml:space="preserve">Referral Agreement by and between Reed’s Inc. and California Custom Beverage LLC dated December 31, 2018 </w:t>
              </w:r>
            </w:hyperlink>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12/31/2018</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pPr>
            <w:hyperlink r:id="rId24">
              <w:r>
                <w:rPr>
                  <w:rStyle w:val="InternetLink"/>
                  <w:rFonts w:ascii="Times New Roman;Times;Serif" w:hAnsi="Times New Roman;Times;Serif"/>
                  <w:b w:val="false"/>
                  <w:i w:val="false"/>
                  <w:caps w:val="false"/>
                  <w:smallCaps w:val="false"/>
                  <w:sz w:val="20"/>
                </w:rPr>
                <w:t>Form of Indemnification Agreement by and between Reed’s, Inc. and officers and directors</w:t>
              </w:r>
            </w:hyperlink>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4/01/2019</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pPr>
            <w:hyperlink r:id="rId25">
              <w:r>
                <w:rPr>
                  <w:rStyle w:val="InternetLink"/>
                  <w:rFonts w:ascii="Times New Roman;Times;Serif" w:hAnsi="Times New Roman;Times;Serif"/>
                  <w:b w:val="false"/>
                  <w:i w:val="false"/>
                  <w:caps w:val="false"/>
                  <w:smallCaps w:val="false"/>
                  <w:sz w:val="20"/>
                </w:rPr>
                <w:t>Executive Employment Agreement by and between Reed’s Inc. and Thomas J. Spisak dated December 2, 2019</w:t>
              </w:r>
            </w:hyperlink>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4/08/2020</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pPr>
            <w:hyperlink r:id="rId26">
              <w:r>
                <w:rPr>
                  <w:rStyle w:val="InternetLink"/>
                  <w:rFonts w:ascii="Times New Roman;Times;Serif" w:hAnsi="Times New Roman;Times;Serif"/>
                  <w:b w:val="false"/>
                  <w:i w:val="false"/>
                  <w:caps w:val="false"/>
                  <w:smallCaps w:val="false"/>
                  <w:sz w:val="20"/>
                </w:rPr>
                <w:t xml:space="preserve">Form of Non-Employee Director Nonstatutory Stock Option Agreement </w:t>
              </w:r>
            </w:hyperlink>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pPr>
            <w:hyperlink r:id="rId27">
              <w:r>
                <w:rPr>
                  <w:rStyle w:val="InternetLink"/>
                  <w:rFonts w:ascii="Times New Roman;Times;Serif" w:hAnsi="Times New Roman;Times;Serif"/>
                  <w:b w:val="false"/>
                  <w:i w:val="false"/>
                  <w:caps w:val="false"/>
                  <w:smallCaps w:val="false"/>
                  <w:sz w:val="20"/>
                </w:rPr>
                <w:t>Form of Executive Incentive Stock Option Agreement</w:t>
              </w:r>
            </w:hyperlink>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8/10/2020</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pPr>
            <w:hyperlink r:id="rId28">
              <w:r>
                <w:rPr>
                  <w:rStyle w:val="InternetLink"/>
                  <w:rFonts w:ascii="Times New Roman;Times;Serif" w:hAnsi="Times New Roman;Times;Serif"/>
                  <w:b w:val="false"/>
                  <w:i w:val="false"/>
                  <w:caps w:val="false"/>
                  <w:smallCaps w:val="false"/>
                  <w:sz w:val="20"/>
                </w:rPr>
                <w:t>Amended and Restated Employment Agreement by and between Reed’s Inc. and Norman E. Snyder, Jr. dated June 24, 2020</w:t>
              </w:r>
            </w:hyperlink>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8/10/2020</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pPr>
            <w:hyperlink r:id="rId29">
              <w:r>
                <w:rPr>
                  <w:rStyle w:val="InternetLink"/>
                  <w:rFonts w:ascii="Times New Roman;Times;Serif" w:hAnsi="Times New Roman;Times;Serif"/>
                  <w:b w:val="false"/>
                  <w:i w:val="false"/>
                  <w:caps w:val="false"/>
                  <w:smallCaps w:val="false"/>
                  <w:sz w:val="20"/>
                </w:rPr>
                <w:t>Form of Reed’s, Inc. Promissory Note, in the principal amount of $769,816 in favor of City National Bank, dated April 20, 2020.</w:t>
              </w:r>
            </w:hyperlink>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5/01/2020</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pPr>
            <w:hyperlink r:id="rId30">
              <w:r>
                <w:rPr>
                  <w:rStyle w:val="InternetLink"/>
                  <w:rFonts w:ascii="Times New Roman;Times;Serif" w:hAnsi="Times New Roman;Times;Serif"/>
                  <w:b w:val="false"/>
                  <w:i w:val="false"/>
                  <w:caps w:val="false"/>
                  <w:smallCaps w:val="false"/>
                  <w:sz w:val="20"/>
                </w:rPr>
                <w:t>Manufacturing and Distribution Agreement by and between Reed’s, Inc. and B C Marketing Concepts Inc., dba Full Sail Brewing Company dated October 11, 2019</w:t>
              </w:r>
            </w:hyperlink>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11/13/2019</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pPr>
            <w:hyperlink r:id="rId31">
              <w:r>
                <w:rPr>
                  <w:rStyle w:val="InternetLink"/>
                  <w:rFonts w:ascii="Times New Roman;Times;Serif" w:hAnsi="Times New Roman;Times;Serif"/>
                  <w:b w:val="false"/>
                  <w:i w:val="false"/>
                  <w:caps w:val="false"/>
                  <w:smallCaps w:val="false"/>
                  <w:sz w:val="20"/>
                </w:rPr>
                <w:t xml:space="preserve">Recipe Development Agreement Reed’s, Inc. and B C Marketing Concepts Inc., dba Full Sail Brewing Company dated October 11, 2019 </w:t>
              </w:r>
            </w:hyperlink>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11/13/2019</w:t>
            </w:r>
          </w:p>
        </w:tc>
      </w:tr>
      <w:tr>
        <w:trPr/>
        <w:tc>
          <w:tcPr>
            <w:tcW w:w="659" w:type="dxa"/>
            <w:tcBorders/>
            <w:shd w:fill="FFFFFF" w:val="cle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10.26</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pPr>
            <w:hyperlink r:id="rId32">
              <w:r>
                <w:rPr>
                  <w:rStyle w:val="InternetLink"/>
                  <w:rFonts w:ascii="Times New Roman;Times;Serif" w:hAnsi="Times New Roman;Times;Serif"/>
                  <w:b w:val="false"/>
                  <w:i w:val="false"/>
                  <w:caps w:val="false"/>
                  <w:smallCaps w:val="false"/>
                  <w:sz w:val="20"/>
                </w:rPr>
                <w:t>Financing Agreement by and between Reed’s Inc. and Rosenthal &amp; Rosenthal Inc. dated October 4, 2018</w:t>
              </w:r>
            </w:hyperlink>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001-32501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11/14/2018</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pPr>
            <w:hyperlink r:id="rId33">
              <w:r>
                <w:rPr>
                  <w:rStyle w:val="InternetLink"/>
                  <w:rFonts w:ascii="Times New Roman;Times;Serif" w:hAnsi="Times New Roman;Times;Serif"/>
                  <w:b w:val="false"/>
                  <w:i w:val="false"/>
                  <w:caps w:val="false"/>
                  <w:smallCaps w:val="false"/>
                  <w:sz w:val="20"/>
                </w:rPr>
                <w:t>Code of Ethics</w:t>
              </w:r>
            </w:hyperlink>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SB-2</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333-157359</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pPr>
            <w:hyperlink w:anchor="ex21.htm">
              <w:r>
                <w:rPr>
                  <w:rStyle w:val="InternetLink"/>
                  <w:rFonts w:ascii="Times New Roman;Times;Serif" w:hAnsi="Times New Roman;Times;Serif"/>
                  <w:b w:val="false"/>
                  <w:i w:val="false"/>
                  <w:caps w:val="false"/>
                  <w:smallCaps w:val="false"/>
                  <w:sz w:val="20"/>
                </w:rPr>
                <w:t>Subsidiaries of Reed’s, Inc.</w:t>
              </w:r>
            </w:hyperlink>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22(ii)</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pPr>
            <w:hyperlink w:anchor="ex22-ii.htm">
              <w:r>
                <w:rPr>
                  <w:rStyle w:val="InternetLink"/>
                  <w:rFonts w:ascii="Times New Roman;Times;Serif" w:hAnsi="Times New Roman;Times;Serif"/>
                  <w:b w:val="false"/>
                  <w:i w:val="false"/>
                  <w:caps w:val="false"/>
                  <w:smallCaps w:val="false"/>
                  <w:sz w:val="20"/>
                </w:rPr>
                <w:t>Affiliate Guarantor</w:t>
              </w:r>
            </w:hyperlink>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pPr>
            <w:hyperlink w:anchor="ex23-1.htm">
              <w:r>
                <w:rPr>
                  <w:rStyle w:val="InternetLink"/>
                  <w:rFonts w:ascii="Times New Roman;Times;Serif" w:hAnsi="Times New Roman;Times;Serif"/>
                  <w:b w:val="false"/>
                  <w:i w:val="false"/>
                  <w:caps w:val="false"/>
                  <w:smallCaps w:val="false"/>
                  <w:sz w:val="20"/>
                </w:rPr>
                <w:t>Consent of Weinberg &amp; Co., PA</w:t>
              </w:r>
            </w:hyperlink>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 filed herewith.</w:t>
              </w:r>
            </w:hyperlink>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 filed herewith.</w:t>
              </w:r>
            </w:hyperlink>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 filed herewith.</w:t>
              </w:r>
            </w:hyperlink>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 filed herewith.</w:t>
              </w:r>
            </w:hyperlink>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 Document</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 Linkbase Document</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 Linkbase Document</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spacing w:before="0" w:after="283"/>
              <w:rPr/>
            </w:pPr>
            <w:r>
              <w:rPr/>
              <w:t> </w:t>
            </w:r>
          </w:p>
        </w:tc>
        <w:tc>
          <w:tcPr>
            <w:tcW w:w="6609" w:type="dxa"/>
            <w:tcBorders/>
            <w:shd w:fill="CCEE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 Linkbase Document</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spacing w:before="0" w:after="283"/>
              <w:rPr/>
            </w:pPr>
            <w:r>
              <w:rPr/>
              <w:t> </w:t>
            </w:r>
          </w:p>
        </w:tc>
        <w:tc>
          <w:tcPr>
            <w:tcW w:w="426"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659"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spacing w:before="0" w:after="283"/>
              <w:rPr/>
            </w:pPr>
            <w:r>
              <w:rPr/>
              <w:t> </w:t>
            </w:r>
          </w:p>
        </w:tc>
        <w:tc>
          <w:tcPr>
            <w:tcW w:w="6609"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 Linkbase Document</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696" w:type="dxa"/>
            <w:tcBorders/>
            <w:shd w:fill="FFFFFF" w:val="clear"/>
            <w:vAlign w:val="center"/>
          </w:tcPr>
          <w:p>
            <w:pPr>
              <w:pStyle w:val="TableContents"/>
              <w:spacing w:before="0" w:after="283"/>
              <w:jc w:val="center"/>
              <w:rPr>
                <w:caps w:val="false"/>
                <w:smallCaps w:val="false"/>
              </w:rPr>
            </w:pPr>
            <w:r>
              <w:rPr>
                <w:caps w:val="false"/>
                <w:smallCaps w:val="false"/>
              </w:rPr>
              <w:t> </w:t>
            </w:r>
          </w:p>
        </w:tc>
      </w:tr>
    </w:tbl>
    <w:p>
      <w:pPr>
        <w:pStyle w:val="TextBody"/>
        <w:spacing w:before="0" w:after="0"/>
        <w:ind w:left="1440" w:right="0" w:hanging="0"/>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 or arrangement.</w:t>
      </w:r>
    </w:p>
    <w:p>
      <w:pPr>
        <w:pStyle w:val="TextBody"/>
        <w:spacing w:before="0" w:after="0"/>
        <w:ind w:left="0" w:right="0" w:hanging="0"/>
        <w:jc w:val="righ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58</w:t>
            </w:r>
          </w:p>
        </w:tc>
      </w:tr>
    </w:tbl>
    <w:p>
      <w:pPr>
        <w:pStyle w:val="TextBody"/>
        <w:spacing w:before="0" w:after="0"/>
        <w:ind w:left="0" w:right="0" w:hanging="0"/>
        <w:rPr>
          <w:caps w:val="false"/>
          <w:smallCaps w:val="false"/>
        </w:rPr>
      </w:pPr>
      <w:r>
        <w:rPr>
          <w:caps w:val="false"/>
          <w:smallCaps w:val="false"/>
        </w:rPr>
        <w:t> </w:t>
      </w:r>
      <w:r>
        <w:br w:type="page"/>
      </w:r>
    </w:p>
    <w:p>
      <w:pPr>
        <w:pStyle w:val="TextBody"/>
        <w:jc w:val="center"/>
        <w:rPr/>
      </w:pPr>
      <w:bookmarkStart w:id="913" w:name="ex3-i.htm"/>
      <w:bookmarkStart w:id="914" w:name="ksex3i"/>
      <w:bookmarkEnd w:id="913"/>
      <w:bookmarkEnd w:id="914"/>
      <w:r>
        <w:rPr/>
        <w:commentReference w:id="0"/>
      </w:r>
      <w:r>
        <w:rPr/>
        <w:commentReference w:id="1"/>
      </w:r>
      <w:r>
        <w:rPr/>
        <w:t> </w:t>
      </w:r>
    </w:p>
    <w:p>
      <w:pPr>
        <w:pStyle w:val="TextBody"/>
        <w:jc w:val="right"/>
        <w:rPr>
          <w:b/>
        </w:rPr>
      </w:pPr>
      <w:r>
        <w:rPr>
          <w:b/>
        </w:rPr>
        <w:t>Exhibit 3.(i)</w:t>
      </w:r>
    </w:p>
    <w:p>
      <w:pPr>
        <w:pStyle w:val="TextBody"/>
        <w:jc w:val="center"/>
        <w:rPr/>
      </w:pPr>
      <w:r>
        <w:rPr/>
        <w:t> </w:t>
      </w:r>
    </w:p>
    <w:p>
      <w:pPr>
        <w:pStyle w:val="TextBody"/>
        <w:jc w:val="center"/>
        <w:rPr/>
      </w:pPr>
      <w:r>
        <w:rPr/>
        <w:drawing>
          <wp:inline distT="0" distB="0" distL="0" distR="0">
            <wp:extent cx="6381750" cy="9039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4"/>
                    <a:stretch>
                      <a:fillRect/>
                    </a:stretch>
                  </pic:blipFill>
                  <pic:spPr bwMode="auto">
                    <a:xfrm>
                      <a:off x="0" y="0"/>
                      <a:ext cx="6381750" cy="903922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5"/>
                    <a:stretch>
                      <a:fillRect/>
                    </a:stretch>
                  </pic:blipFill>
                  <pic:spPr bwMode="auto">
                    <a:xfrm>
                      <a:off x="0" y="0"/>
                      <a:ext cx="6381750" cy="82677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4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6"/>
                    <a:stretch>
                      <a:fillRect/>
                    </a:stretch>
                  </pic:blipFill>
                  <pic:spPr bwMode="auto">
                    <a:xfrm>
                      <a:off x="0" y="0"/>
                      <a:ext cx="6381750" cy="824865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48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7"/>
                    <a:stretch>
                      <a:fillRect/>
                    </a:stretch>
                  </pic:blipFill>
                  <pic:spPr bwMode="auto">
                    <a:xfrm>
                      <a:off x="0" y="0"/>
                      <a:ext cx="6381750" cy="824865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48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8"/>
                    <a:stretch>
                      <a:fillRect/>
                    </a:stretch>
                  </pic:blipFill>
                  <pic:spPr bwMode="auto">
                    <a:xfrm>
                      <a:off x="0" y="0"/>
                      <a:ext cx="6381750" cy="824865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48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9"/>
                    <a:stretch>
                      <a:fillRect/>
                    </a:stretch>
                  </pic:blipFill>
                  <pic:spPr bwMode="auto">
                    <a:xfrm>
                      <a:off x="0" y="0"/>
                      <a:ext cx="6381750" cy="824865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48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0"/>
                    <a:stretch>
                      <a:fillRect/>
                    </a:stretch>
                  </pic:blipFill>
                  <pic:spPr bwMode="auto">
                    <a:xfrm>
                      <a:off x="0" y="0"/>
                      <a:ext cx="6381750" cy="824865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48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1"/>
                    <a:stretch>
                      <a:fillRect/>
                    </a:stretch>
                  </pic:blipFill>
                  <pic:spPr bwMode="auto">
                    <a:xfrm>
                      <a:off x="0" y="0"/>
                      <a:ext cx="6381750" cy="824865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48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2"/>
                    <a:stretch>
                      <a:fillRect/>
                    </a:stretch>
                  </pic:blipFill>
                  <pic:spPr bwMode="auto">
                    <a:xfrm>
                      <a:off x="0" y="0"/>
                      <a:ext cx="6381750" cy="824865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48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43"/>
                    <a:stretch>
                      <a:fillRect/>
                    </a:stretch>
                  </pic:blipFill>
                  <pic:spPr bwMode="auto">
                    <a:xfrm>
                      <a:off x="0" y="0"/>
                      <a:ext cx="6381750" cy="824865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44"/>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039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45"/>
                    <a:stretch>
                      <a:fillRect/>
                    </a:stretch>
                  </pic:blipFill>
                  <pic:spPr bwMode="auto">
                    <a:xfrm>
                      <a:off x="0" y="0"/>
                      <a:ext cx="6381750" cy="80391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096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6"/>
                    <a:stretch>
                      <a:fillRect/>
                    </a:stretch>
                  </pic:blipFill>
                  <pic:spPr bwMode="auto">
                    <a:xfrm>
                      <a:off x="0" y="0"/>
                      <a:ext cx="6381750" cy="809625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0391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47"/>
                    <a:stretch>
                      <a:fillRect/>
                    </a:stretch>
                  </pic:blipFill>
                  <pic:spPr bwMode="auto">
                    <a:xfrm>
                      <a:off x="0" y="0"/>
                      <a:ext cx="6381750" cy="80391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001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8"/>
                    <a:stretch>
                      <a:fillRect/>
                    </a:stretch>
                  </pic:blipFill>
                  <pic:spPr bwMode="auto">
                    <a:xfrm>
                      <a:off x="0" y="0"/>
                      <a:ext cx="6381750" cy="80010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0391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9"/>
                    <a:stretch>
                      <a:fillRect/>
                    </a:stretch>
                  </pic:blipFill>
                  <pic:spPr bwMode="auto">
                    <a:xfrm>
                      <a:off x="0" y="0"/>
                      <a:ext cx="6381750" cy="80391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001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50"/>
                    <a:stretch>
                      <a:fillRect/>
                    </a:stretch>
                  </pic:blipFill>
                  <pic:spPr bwMode="auto">
                    <a:xfrm>
                      <a:off x="0" y="0"/>
                      <a:ext cx="6381750" cy="80010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0391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51"/>
                    <a:stretch>
                      <a:fillRect/>
                    </a:stretch>
                  </pic:blipFill>
                  <pic:spPr bwMode="auto">
                    <a:xfrm>
                      <a:off x="0" y="0"/>
                      <a:ext cx="6381750" cy="80391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0391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52"/>
                    <a:stretch>
                      <a:fillRect/>
                    </a:stretch>
                  </pic:blipFill>
                  <pic:spPr bwMode="auto">
                    <a:xfrm>
                      <a:off x="0" y="0"/>
                      <a:ext cx="6381750" cy="80391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001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53"/>
                    <a:stretch>
                      <a:fillRect/>
                    </a:stretch>
                  </pic:blipFill>
                  <pic:spPr bwMode="auto">
                    <a:xfrm>
                      <a:off x="0" y="0"/>
                      <a:ext cx="6381750" cy="80010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001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54"/>
                    <a:stretch>
                      <a:fillRect/>
                    </a:stretch>
                  </pic:blipFill>
                  <pic:spPr bwMode="auto">
                    <a:xfrm>
                      <a:off x="0" y="0"/>
                      <a:ext cx="6381750" cy="80010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79724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55"/>
                    <a:stretch>
                      <a:fillRect/>
                    </a:stretch>
                  </pic:blipFill>
                  <pic:spPr bwMode="auto">
                    <a:xfrm>
                      <a:off x="0" y="0"/>
                      <a:ext cx="6381750" cy="797242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248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56"/>
                    <a:stretch>
                      <a:fillRect/>
                    </a:stretch>
                  </pic:blipFill>
                  <pic:spPr bwMode="auto">
                    <a:xfrm>
                      <a:off x="0" y="0"/>
                      <a:ext cx="6381750" cy="812482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57"/>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58"/>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59"/>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60"/>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61"/>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62"/>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63"/>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64"/>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65"/>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66"/>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67"/>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819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68"/>
                    <a:stretch>
                      <a:fillRect/>
                    </a:stretch>
                  </pic:blipFill>
                  <pic:spPr bwMode="auto">
                    <a:xfrm>
                      <a:off x="0" y="0"/>
                      <a:ext cx="6381750" cy="8181975"/>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1724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69"/>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70"/>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71"/>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72"/>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73"/>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74"/>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75"/>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76"/>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77"/>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78"/>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79"/>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80"/>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81"/>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82"/>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83"/>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84"/>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85"/>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86"/>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87"/>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88"/>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89"/>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90"/>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91"/>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92"/>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93"/>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94"/>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1724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95"/>
                    <a:stretch>
                      <a:fillRect/>
                    </a:stretch>
                  </pic:blipFill>
                  <pic:spPr bwMode="auto">
                    <a:xfrm>
                      <a:off x="0" y="0"/>
                      <a:ext cx="6381750" cy="817245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2581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96"/>
                    <a:stretch>
                      <a:fillRect/>
                    </a:stretch>
                  </pic:blipFill>
                  <pic:spPr bwMode="auto">
                    <a:xfrm>
                      <a:off x="0" y="0"/>
                      <a:ext cx="6381750" cy="8258175"/>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2581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97"/>
                    <a:stretch>
                      <a:fillRect/>
                    </a:stretch>
                  </pic:blipFill>
                  <pic:spPr bwMode="auto">
                    <a:xfrm>
                      <a:off x="0" y="0"/>
                      <a:ext cx="6381750" cy="8258175"/>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2581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98"/>
                    <a:stretch>
                      <a:fillRect/>
                    </a:stretch>
                  </pic:blipFill>
                  <pic:spPr bwMode="auto">
                    <a:xfrm>
                      <a:off x="0" y="0"/>
                      <a:ext cx="6381750" cy="8258175"/>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2581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99"/>
                    <a:stretch>
                      <a:fillRect/>
                    </a:stretch>
                  </pic:blipFill>
                  <pic:spPr bwMode="auto">
                    <a:xfrm>
                      <a:off x="0" y="0"/>
                      <a:ext cx="6381750" cy="8258175"/>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2581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100"/>
                    <a:stretch>
                      <a:fillRect/>
                    </a:stretch>
                  </pic:blipFill>
                  <pic:spPr bwMode="auto">
                    <a:xfrm>
                      <a:off x="0" y="0"/>
                      <a:ext cx="6381750" cy="8258175"/>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2581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101"/>
                    <a:stretch>
                      <a:fillRect/>
                    </a:stretch>
                  </pic:blipFill>
                  <pic:spPr bwMode="auto">
                    <a:xfrm>
                      <a:off x="0" y="0"/>
                      <a:ext cx="6381750" cy="8258175"/>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2581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102"/>
                    <a:stretch>
                      <a:fillRect/>
                    </a:stretch>
                  </pic:blipFill>
                  <pic:spPr bwMode="auto">
                    <a:xfrm>
                      <a:off x="0" y="0"/>
                      <a:ext cx="6381750" cy="8258175"/>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rPr/>
        <w:drawing>
          <wp:inline distT="0" distB="0" distL="0" distR="0">
            <wp:extent cx="6381750" cy="82581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103"/>
                    <a:stretch>
                      <a:fillRect/>
                    </a:stretch>
                  </pic:blipFill>
                  <pic:spPr bwMode="auto">
                    <a:xfrm>
                      <a:off x="0" y="0"/>
                      <a:ext cx="6381750" cy="8258175"/>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br w:type="page"/>
      </w:r>
    </w:p>
    <w:p>
      <w:pPr>
        <w:pStyle w:val="TextBody"/>
        <w:jc w:val="center"/>
        <w:rPr>
          <w:caps w:val="false"/>
          <w:smallCaps w:val="false"/>
        </w:rPr>
      </w:pPr>
      <w:bookmarkStart w:id="915" w:name="ex4-10.htm"/>
      <w:bookmarkStart w:id="916" w:name="ksex410"/>
      <w:bookmarkEnd w:id="915"/>
      <w:bookmarkEnd w:id="916"/>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4.10</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WARRANT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jc w:val="center"/>
        <w:rPr>
          <w:caps w:val="false"/>
          <w:smallCaps w:val="false"/>
        </w:rPr>
      </w:pPr>
      <w:r>
        <w:rPr>
          <w:caps w:val="false"/>
          <w:smallCaps w:val="false"/>
        </w:rPr>
        <w:t> </w:t>
      </w:r>
    </w:p>
    <w:tbl>
      <w:tblPr>
        <w:tblW w:w="5545" w:type="dxa"/>
        <w:jc w:val="left"/>
        <w:tblInd w:w="0" w:type="dxa"/>
        <w:tblCellMar>
          <w:top w:w="0" w:type="dxa"/>
          <w:left w:w="0" w:type="dxa"/>
          <w:bottom w:w="0" w:type="dxa"/>
          <w:right w:w="0" w:type="dxa"/>
        </w:tblCellMar>
      </w:tblPr>
      <w:tblGrid>
        <w:gridCol w:w="2180"/>
        <w:gridCol w:w="3365"/>
      </w:tblGrid>
      <w:tr>
        <w:trPr/>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1,000,000</w:t>
            </w:r>
          </w:p>
        </w:tc>
        <w:tc>
          <w:tcPr>
            <w:tcW w:w="336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Issuance Date: December 11, 2020</w:t>
            </w:r>
          </w:p>
        </w:tc>
      </w:tr>
      <w:tr>
        <w:trPr/>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S-1</w:t>
            </w:r>
          </w:p>
        </w:tc>
        <w:tc>
          <w:tcPr>
            <w:tcW w:w="3365" w:type="dxa"/>
            <w:tcBorders/>
            <w:shd w:fill="auto" w:val="clear"/>
            <w:vAlign w:val="center"/>
          </w:tcPr>
          <w:p>
            <w:pPr>
              <w:pStyle w:val="TableContents"/>
              <w:spacing w:before="0" w:after="283"/>
              <w:jc w:val="right"/>
              <w:rPr>
                <w:caps w:val="false"/>
                <w:smallCaps w:val="false"/>
              </w:rPr>
            </w:pPr>
            <w:r>
              <w:rPr>
                <w:caps w:val="false"/>
                <w:smallCaps w:val="false"/>
              </w:rPr>
              <w:t> </w:t>
            </w:r>
          </w:p>
        </w:tc>
      </w:tr>
    </w:tbl>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Raptor/Harbor Reeds SPV LLC, a Delaware limited liability company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Initial Issuance Date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the close of business on December 11, 2025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Reeds,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ONE MILLION (1,000,000)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The purchase price of one share of Common Stock under this Warrant shall be equal to the Exercise Price, as defined in Section 2(b). This Warrant is issued pursuant to that certain Satisfaction, Settlement and Release of Claims by and between the Holder and the Company dated December 11, 2020 (the “</w:t>
      </w:r>
      <w:r>
        <w:rPr>
          <w:rFonts w:ascii="Times New Roman;Times;Serif" w:hAnsi="Times New Roman;Times;Serif"/>
          <w:b w:val="false"/>
          <w:i w:val="false"/>
          <w:caps w:val="false"/>
          <w:smallCaps w:val="false"/>
          <w:sz w:val="20"/>
          <w:u w:val="single"/>
        </w:rPr>
        <w:t>Satisfaction Agreement</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the Satisfaction Agreement.</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51"/>
        <w:gridCol w:w="9994"/>
      </w:tblGrid>
      <w:tr>
        <w:trPr/>
        <w:tc>
          <w:tcPr>
            <w:tcW w:w="6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w:t>
            </w:r>
          </w:p>
        </w:tc>
        <w:tc>
          <w:tcPr>
            <w:tcW w:w="999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except any Saturday, any Sunday, any day which is a federal legal holiday in the United States or any day on which banking institutions in the State of New York are authorized or required by law or other governmental action to close.</w:t>
            </w:r>
          </w:p>
        </w:tc>
      </w:tr>
      <w:tr>
        <w:trPr/>
        <w:tc>
          <w:tcPr>
            <w:tcW w:w="6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jc w:val="both"/>
              <w:rPr/>
            </w:pPr>
            <w:r>
              <w:rPr/>
              <w:t> </w:t>
            </w:r>
          </w:p>
        </w:tc>
        <w:tc>
          <w:tcPr>
            <w:tcW w:w="9994"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w:t>
            </w:r>
          </w:p>
        </w:tc>
        <w:tc>
          <w:tcPr>
            <w:tcW w:w="999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tc>
      </w:tr>
    </w:tbl>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w:t>
            </w:r>
          </w:p>
        </w:tc>
        <w:tc>
          <w:tcPr>
            <w:tcW w:w="1000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common stock of the Company, par value $0.0001 per share, and any other class of securities into which such securities may hereafter be reclassified or changed.</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pPr>
            <w:r>
              <w:rPr/>
              <w:t> </w:t>
            </w:r>
          </w:p>
        </w:tc>
        <w:tc>
          <w:tcPr>
            <w:tcW w:w="10004"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w:t>
            </w:r>
          </w:p>
        </w:tc>
        <w:tc>
          <w:tcPr>
            <w:tcW w:w="1000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pPr>
            <w:r>
              <w:rPr/>
              <w:t> </w:t>
            </w:r>
          </w:p>
        </w:tc>
        <w:tc>
          <w:tcPr>
            <w:tcW w:w="10004"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w:t>
            </w:r>
          </w:p>
        </w:tc>
        <w:tc>
          <w:tcPr>
            <w:tcW w:w="1000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pPr>
            <w:r>
              <w:rPr/>
              <w:t> </w:t>
            </w:r>
          </w:p>
        </w:tc>
        <w:tc>
          <w:tcPr>
            <w:tcW w:w="10004"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w:t>
            </w:r>
          </w:p>
        </w:tc>
        <w:tc>
          <w:tcPr>
            <w:tcW w:w="1000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Rule 144</w:t>
            </w:r>
            <w:r>
              <w:rPr>
                <w:rFonts w:ascii="Times New Roman;Times;Serif" w:hAnsi="Times New Roman;Times;Serif"/>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pPr>
            <w:r>
              <w:rPr/>
              <w:t> </w:t>
            </w:r>
          </w:p>
        </w:tc>
        <w:tc>
          <w:tcPr>
            <w:tcW w:w="10004"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g)</w:t>
            </w:r>
          </w:p>
        </w:tc>
        <w:tc>
          <w:tcPr>
            <w:tcW w:w="1000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pPr>
            <w:r>
              <w:rPr/>
              <w:t> </w:t>
            </w:r>
          </w:p>
        </w:tc>
        <w:tc>
          <w:tcPr>
            <w:tcW w:w="10004"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h)</w:t>
            </w:r>
          </w:p>
        </w:tc>
        <w:tc>
          <w:tcPr>
            <w:tcW w:w="1000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Subsidiary</w:t>
            </w:r>
            <w:r>
              <w:rPr>
                <w:rFonts w:ascii="Times New Roman;Times;Serif" w:hAnsi="Times New Roman;Times;Serif"/>
                <w:sz w:val="20"/>
              </w:rPr>
              <w:t>” means any subsidiary of the Company as set forth in the SEC Reports, and shall, where applicable, also include any direct or indirect subsidiary of the Company formed or acquired after the date hereof.</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pPr>
            <w:r>
              <w:rPr/>
              <w:t> </w:t>
            </w:r>
          </w:p>
        </w:tc>
        <w:tc>
          <w:tcPr>
            <w:tcW w:w="10004"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w:t>
            </w:r>
          </w:p>
        </w:tc>
        <w:tc>
          <w:tcPr>
            <w:tcW w:w="1000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trading.</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pPr>
            <w:r>
              <w:rPr/>
              <w:t> </w:t>
            </w:r>
          </w:p>
        </w:tc>
        <w:tc>
          <w:tcPr>
            <w:tcW w:w="10004"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j)</w:t>
            </w:r>
          </w:p>
        </w:tc>
        <w:tc>
          <w:tcPr>
            <w:tcW w:w="1000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MKT, the Nasdaq Capital Market, the Nasdaq Global Market, the Nasdaq Global Select Market, the New York Stock Exchange, OTCQB or OTCQX (or any successors to any of the foregoing).</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pPr>
            <w:r>
              <w:rPr/>
              <w:t> </w:t>
            </w:r>
          </w:p>
        </w:tc>
        <w:tc>
          <w:tcPr>
            <w:tcW w:w="10004" w:type="dxa"/>
            <w:tcBorders/>
            <w:shd w:fill="auto" w:val="clear"/>
            <w:vAlign w:val="center"/>
          </w:tcPr>
          <w:p>
            <w:pPr>
              <w:pStyle w:val="TableContents"/>
              <w:spacing w:before="0" w:after="283"/>
              <w:jc w:val="both"/>
              <w:rPr/>
            </w:pPr>
            <w:r>
              <w:rPr/>
              <w:t> </w:t>
            </w:r>
          </w:p>
        </w:tc>
      </w:tr>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k)</w:t>
            </w:r>
          </w:p>
        </w:tc>
        <w:tc>
          <w:tcPr>
            <w:tcW w:w="10004" w:type="dxa"/>
            <w:tcBorders/>
            <w:shd w:fill="auto" w:val="clear"/>
            <w:vAlign w:val="center"/>
          </w:tcPr>
          <w:p>
            <w:pPr>
              <w:pStyle w:val="TableContents"/>
              <w:spacing w:before="0" w:after="283"/>
              <w:jc w:val="both"/>
              <w:rPr/>
            </w:pPr>
            <w:r>
              <w:rPr/>
              <w:t>“</w:t>
            </w:r>
            <w:r>
              <w:rPr>
                <w:rFonts w:ascii="Times New Roman;Times;Serif" w:hAnsi="Times New Roman;Times;Serif"/>
                <w:sz w:val="20"/>
                <w:u w:val="single"/>
              </w:rPr>
              <w:t>Transfer Agent</w:t>
            </w:r>
            <w:r>
              <w:rPr>
                <w:rFonts w:ascii="Times New Roman;Times;Serif" w:hAnsi="Times New Roman;Times;Serif"/>
                <w:sz w:val="20"/>
              </w:rPr>
              <w:t>” means Transfer Online, the current transfer agent of the Company, with a mailing address of 317 SW Alder St # 200, Portland, Oregon 97204, and any successor transfer agent of the Company.</w:t>
            </w:r>
          </w:p>
        </w:tc>
      </w:tr>
    </w:tbl>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and completed facsimile copy (or e-mail attachment) of the Notice of Exercise in the form annexed hereto and, within three (3) Trading Days of the date of said Notice of Exercise is delivered to the Company, payment of the aggregate Exercise Price of the shares thereby purchased by wire transfer or cashier’s check drawn on a United States bank or, if available, pursuant to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Business Days of receipt of such notice.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the Common Stock under this Warrant shall be $0.644,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xml:space="preserve"> This Warrant may also be exercised, in whole or in part, at such time by means of a “cashless exercise” in which the Holder shall be entitled to receive a number of Warrant Shares equal to the quotient obtained by dividing [(A-B) (X)] by (A), where:</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370"/>
        <w:gridCol w:w="9760"/>
      </w:tblGrid>
      <w:tr>
        <w:trPr/>
        <w:tc>
          <w:tcPr>
            <w:tcW w:w="75"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w:t>
            </w:r>
          </w:p>
        </w:tc>
        <w:tc>
          <w:tcPr>
            <w:tcW w:w="97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VWAP immediately preceding the time of delivery of the Notice of Exercise giving rise to the applicable “cashless exercise”, as set forth in the applicable Notice of Exercise (to clarify, the “last VWAP” will be the last VWAP as calculated over an entire Trading Day such that, in the event that this Warrant is exercised at a time that the Trading Market is open, the prior Trading Day’s VWAP shall be used in this calculation);</w:t>
            </w:r>
          </w:p>
        </w:tc>
      </w:tr>
      <w:tr>
        <w:trPr/>
        <w:tc>
          <w:tcPr>
            <w:tcW w:w="75"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7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 </w:t>
            </w:r>
          </w:p>
        </w:tc>
        <w:tc>
          <w:tcPr>
            <w:tcW w:w="97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this Warrant, as adjusted hereunder; and</w:t>
            </w:r>
          </w:p>
        </w:tc>
      </w:tr>
      <w:tr>
        <w:trPr/>
        <w:tc>
          <w:tcPr>
            <w:tcW w:w="75"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7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w:t>
            </w:r>
          </w:p>
        </w:tc>
        <w:tc>
          <w:tcPr>
            <w:tcW w:w="97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Warrant Shares that would be issuable upon exercise of this Warrant in accordance with the terms of this Warrant if such exercise were by means of a cash exercise rather than a cashless exercise.</w:t>
            </w:r>
          </w:p>
        </w:tc>
      </w:tr>
    </w:tbl>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ind w:left="0" w:right="0" w:firstLine="720"/>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Transfer Agent to transmit the Warrant Shares purchased hereunder to the Holder by (a)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 sale limitations pursuant to Rule 144 or (b)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one (1) Trading Day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For purposes of Rule 200 under Regulation SHO of the Securities Act, the Warrant Shares shall be deemed to have been issued, and Holder shall be deemed for all such purposes to have become the holder of record of the Warrant Shares with respect to which this Warrant has been exercised upon delivery of the Notice of Exercise, irrespective of the date of delivery of the Warrant Shares; provided payment of the aggregate Exercise Price (other than in the case of a Cashless Exercise) is received within three Trading Days of delivery of the Notice of Exercise. The Company agrees to maintain a transfer agent that is a participant in the FAST Automated Securities Transfer program so long as this Warrant remains outstanding and exercisable.</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jc w:val="both"/>
        <w:rPr>
          <w:caps w:val="false"/>
          <w:smallCaps w:val="false"/>
        </w:rPr>
      </w:pPr>
      <w:r>
        <w:rPr>
          <w:caps w:val="false"/>
          <w:smallCaps w:val="false"/>
        </w:rPr>
        <w:t> </w:t>
      </w:r>
    </w:p>
    <w:p>
      <w:pPr>
        <w:pStyle w:val="TextBody"/>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subject to receipt of the aggregate exercise price for the applicable exercise (other than in the case of a Cashless Exercise), then the Holder will have the right to rescind such exercise.</w:t>
      </w:r>
    </w:p>
    <w:p>
      <w:pPr>
        <w:pStyle w:val="TextBody"/>
        <w:ind w:left="0" w:right="0" w:firstLine="459"/>
        <w:jc w:val="both"/>
        <w:rPr>
          <w:caps w:val="false"/>
          <w:smallCaps w:val="false"/>
        </w:rPr>
      </w:pPr>
      <w:r>
        <w:rPr>
          <w:caps w:val="false"/>
          <w:smallCaps w:val="false"/>
        </w:rPr>
        <w:t> </w:t>
      </w:r>
    </w:p>
    <w:p>
      <w:pPr>
        <w:pStyle w:val="TextBody"/>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If the Company fails to cause the Transfer Agent to transmit to the Holder the Warrant Shares in accordance with the provisions of Section 2(d)(i) above pursuant to an exercise on or before the Warrant Share Delivery Date (subject to receipt of the aggregate Exercise Price for the applicable exercise (other than in the case of a Cashless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 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jc w:val="both"/>
        <w:rPr>
          <w:caps w:val="false"/>
          <w:smallCaps w:val="false"/>
        </w:rPr>
      </w:pPr>
      <w:r>
        <w:rPr>
          <w:caps w:val="false"/>
          <w:smallCaps w:val="false"/>
        </w:rPr>
        <w:t> </w:t>
      </w:r>
    </w:p>
    <w:p>
      <w:pPr>
        <w:pStyle w:val="TextBody"/>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jc w:val="both"/>
        <w:rPr>
          <w:caps w:val="false"/>
          <w:smallCaps w:val="false"/>
        </w:rPr>
      </w:pPr>
      <w:r>
        <w:rPr>
          <w:caps w:val="false"/>
          <w:smallCaps w:val="false"/>
        </w:rPr>
        <w:t> </w:t>
      </w:r>
    </w:p>
    <w:p>
      <w:pPr>
        <w:pStyle w:val="TextBody"/>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[RESERVED]</w:t>
      </w:r>
    </w:p>
    <w:p>
      <w:pPr>
        <w:pStyle w:val="TextBody"/>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Subsequent Rights Offerings. In addition to any adjustments pursuant to Section 3(a) above, if at any time the Company grants, issues or sells any Common Stock Equivalents or rights to purchase stock, warrants, securities or other property pro rata to all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as a class,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the number of shares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(other than a Fundamental Transaction not approved by the Company’s Board of Directors)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of the remaining unexercised portion of this Warrant on the date of the consummation of such Fundamental Transaction; provided, however, that for the avoidance of doubt, if the Fundamental Transaction is not approved by the Company’s Board of Directors, Holder shall not have the option to require the Company to purchase this Warrant. “Black Scholes Value” means the value of this Warrant based on the Black and Scholes Option Pricing Model obtained from the “OV” function on Bloomberg, L.P.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as of the Trading Day immediately following the public announcement of the applicable Fundamental Transaction, (C) the underlying price per share used in such calculation shall be the sum of the price per share being offered in cash, if any, plus the value of any non- cash consideration, if any, being offered in such Fundamental Transaction and (D) a remaining option time equal to the time between the date of the public announcement of the applicable Fundamental Transaction and the Termination Date.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 after the date of such Fundamental Transaction, the provisions of this Warrant and the other Transaction Documents referring to the “Company” shall refer instead to the Successor Entity), and the Successor Entity may exercise every right and power of the Company and shall assume all of the obligations of the Company under this Warrant and the other Transaction Documents with the same effect as if such Successor Entity had been named as the Company herein. Notwithstanding anything to the contrary contained in the Warrant, and without limiting the buy-in provision in Section 2(d)(iv), in the event that the Company does not have an effective registration statement registering, or the prospectus contained therein is not available for the issuance of, the Warrant Shares to the Holder, there is no circumstance that would require the Company to net cash settle the Warrant.</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ind w:left="0" w:right="0" w:hanging="721"/>
        <w:jc w:val="both"/>
        <w:rPr>
          <w:caps w:val="false"/>
          <w:smallCaps w:val="false"/>
        </w:rPr>
      </w:pPr>
      <w:r>
        <w:rPr>
          <w:caps w:val="false"/>
          <w:smallCaps w:val="false"/>
        </w:rPr>
        <w:t> </w:t>
      </w:r>
    </w:p>
    <w:p>
      <w:pPr>
        <w:pStyle w:val="TextBody"/>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ind w:left="0" w:right="0" w:firstLine="593"/>
        <w:jc w:val="both"/>
        <w:rPr>
          <w:caps w:val="false"/>
          <w:smallCaps w:val="false"/>
        </w:rPr>
      </w:pPr>
      <w:r>
        <w:rPr>
          <w:caps w:val="false"/>
          <w:smallCaps w:val="false"/>
        </w:rPr>
        <w:t> </w:t>
      </w:r>
    </w:p>
    <w:p>
      <w:pPr>
        <w:pStyle w:val="TextBody"/>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30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Sections 4(f), 4(g) and 4(h)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full. The Warrant, if properly assigned in accordance herewith, may be exercised by a new holder for the purchase of Warrant Shares without having a new Warrant issued.</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issuance date and shall be identical with this Warrant except as to the number of Warrant Shares issuable pursuant thereto.</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Sections 4(f), 4(g) and 4(h) hereof.</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Warrant Shares may only be disposed of in compliance with state and federal securities laws. In connection with any transfer of Warrant Shares other than pursuant to an effective registration statement or Rule 144, to the Company or to an affiliate of Holder, the Company shall, upon the request of the transferor and at the expense of the Company, provide an opinion of counsel selected by the transferor and reasonably acceptable to the Company effect that registration of such Warrant Shares shall not be required under the Securities Act. As a condition of transfer, in the event that such transfer is not made (i) in accordance with Rule 144, (ii) pursuant to an effective registration statement or (iii) in a transfer not involving a change in beneficial ownership, any such transferee shall agree in writing to be bound by the terms of this Agreement and the Registration Rights Agreement; provided, however, that notwithstanding the other provisions of this sentence, if the transfer does not satisfy parts (i) and (ii) of this sentence but satisfies part (iii) of this sentence, the transferee shall agree in writing to be bound by the terms of this Warrant and the Registration Rights Agreement. If such conditions are satisfied, such transferee shall have the rights and obligations of the Holder under this Warrant and the Registration Rights Agreement</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Certificates evidencing the Warrant Shares shall not contain any legend (i) if sold pursuant to a registration statement covering the resale of such security that is effective under the Securities Act, (ii) in connection with a sale, assignment or other transfer, in which a holder of the Warrant Shares provides the Company with an opinion of counsel, the form and substance of which opinion shall be reasonably acceptable to the Company, that the sale, assignment or transfer of the Warrant Shares may be made without registration under the applicable requirements of the Securities Act, (iii) following any sale of such Warrant Shares pursuant to Rule 144, (iv) if such Warrant Shares are eligible for sale under Rule 144, without the requirement for the Company to be in compliance with the current public information required under Rule 144 as to such Warrant Shares and without volume or manner-of-sale restrictions, or (v) if such legend is not required under applicable requirements of the Securities Act (including judicial interpretations and pronouncements issued by the staff of the Commission). The Company shall cause its counsel to issue a legal opinion to the Transfer Agent promptly after the Effective Date (but no later than 3 Business Days after the Effective Date) if required by the Transfer Agent to effect the removal of the legend in accordance with the provisions of this Warrant, at Company’s expense. If all or any portion of this Warrant is exercised at a time when there is an effective registration statement to cover the resale of the Warrant Shares, or if such Warrant Shares may be sold under Rule 144 and the Company is then in compliance with the current public information required under Rule 144, or if the Warrant Shares may be sold under Rule 144 without the requirement for the Company to be in compliance with the current public information required under Rule 144 as to such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it will, no later than three (3) Trading Days following the delivery by the Holder to the Company or the Transfer Agent of a certificate representing Warrant Shares, as the case may be, issued with a restrictive legend (such third Trading Day, the “</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Warrant Shares subject to legend removal hereunder shall be transmitted by the Transfer Agent to the Purchaser by crediting the account of the Holder’s prime broker with the Depository Trust Company System as directed by the Holder.</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Holder agrees with the Company that such Holder will sell any Warrant Shares pursuant to either the registration requirements of the Securities Act, including any applicable prospectus delivery requirements, or an exemption therefrom, and that if Warrant Shares are sold pursuant to a registration statement, they will be sold in compliance with the plan of distribution set forth therein, and acknowledges that the removal of any restrictive legend from certificates representing Warrant Shares is predicated upon the Company’s reliance upon this understanding.</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ind w:left="0" w:right="0" w:firstLine="720"/>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ind w:left="0" w:right="0" w:firstLine="1440"/>
        <w:jc w:val="both"/>
        <w:rPr>
          <w:caps w:val="false"/>
          <w:smallCaps w:val="false"/>
        </w:rPr>
      </w:pPr>
      <w:r>
        <w:rPr>
          <w:caps w:val="false"/>
          <w:smallCaps w:val="false"/>
        </w:rPr>
        <w:t> </w:t>
      </w:r>
    </w:p>
    <w:p>
      <w:pPr>
        <w:pStyle w:val="TextBody"/>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it has reserved and, during the period the Warrant is outstanding, it will reserve and keep available at all times, its authorized and unissued Common Stock, free of preemptive rights, a sufficient number of shares to provide for the issuance of the Warrant Shares upon the exercise of this Warrant. If at any time the number of authorized but unissued shares of Common Stock shall not be sufficient to effect the conversion of the Warrants, the Company shall take such corporate act as may, in the opinion of its counsel, be necessary to increase its authorized but unissued shares of Common Stock to such number as shall be sufficient for such purposes.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jc w:val="both"/>
        <w:rPr>
          <w:caps w:val="false"/>
          <w:smallCaps w:val="false"/>
        </w:rPr>
      </w:pPr>
      <w:r>
        <w:rPr>
          <w:caps w:val="false"/>
          <w:smallCaps w:val="false"/>
        </w:rPr>
        <w:t> </w:t>
      </w:r>
    </w:p>
    <w:p>
      <w:pPr>
        <w:pStyle w:val="TextBody"/>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Warrant),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Warrant, then the prevailing party in such action, suit or proceeding shall be reimbursed by the other party for its reasonable attorneys’ fees and other costs and expenses incurred with the investigation, preparation and prosecution of such action or proceeding.</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will have restrictions upon resale imposed by state and federal securities laws.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delivered via facsimile or e-mail at the facsimile number or e-mail address set forth on the signature pages attached hereto at or prior to 5:30 p.m. (New York City time) on a ***Trading Day, (b) the next Trading Day after the date of transmission, if such notice or communication is delivered via facsimile or e-mail at the facsimile number or e-mail address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ind w:left="0" w:right="0" w:firstLine="720"/>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ind w:left="0" w:right="0" w:firstLine="720"/>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each Holder.</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ind w:left="0" w:right="0" w:firstLine="720"/>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Acceptance</w:t>
      </w:r>
      <w:r>
        <w:rPr>
          <w:rFonts w:ascii="Times New Roman;Times;Serif" w:hAnsi="Times New Roman;Times;Serif"/>
          <w:b w:val="false"/>
          <w:i w:val="false"/>
          <w:caps w:val="false"/>
          <w:smallCaps w:val="false"/>
          <w:sz w:val="20"/>
        </w:rPr>
        <w:t>. Receipt of this Warrant by the Holder shall constitute acceptance of and agreement to all of the terms and conditions contained herein.</w:t>
      </w:r>
    </w:p>
    <w:p>
      <w:pPr>
        <w:pStyle w:val="TextBody"/>
        <w:ind w:left="0" w:right="0" w:firstLine="720"/>
        <w:jc w:val="both"/>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Warrant shall be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In the event that any provision of this Warrant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Warrant.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IRREVOCABLY WAIVES ANY RIGHT IT MAY HAVE TO, AND AGREES NOT TO REQUEST, A JURY TRIAL FOR THE ADJUDICATION OF ANY DISPUTE HEREUNDER OR IN CONNECTION WITH OR ARISING OUT OF THIS WARRANT OR ANY TRANSACTION CONTEMPLATED HEREBY.</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ind w:left="0" w:right="0" w:firstLine="1440"/>
        <w:jc w:val="both"/>
        <w:rPr>
          <w:caps w:val="false"/>
          <w:smallCaps w:val="false"/>
        </w:rPr>
      </w:pPr>
      <w:r>
        <w:rPr>
          <w:caps w:val="false"/>
          <w:smallCaps w:val="false"/>
        </w:rPr>
        <w:t> </w:t>
      </w:r>
    </w:p>
    <w:tbl>
      <w:tblPr>
        <w:tblW w:w="2575" w:type="dxa"/>
        <w:jc w:val="left"/>
        <w:tblInd w:w="0" w:type="dxa"/>
        <w:tblCellMar>
          <w:top w:w="0" w:type="dxa"/>
          <w:left w:w="0" w:type="dxa"/>
          <w:bottom w:w="0" w:type="dxa"/>
          <w:right w:w="0" w:type="dxa"/>
        </w:tblCellMar>
      </w:tblPr>
      <w:tblGrid>
        <w:gridCol w:w="75"/>
        <w:gridCol w:w="545"/>
        <w:gridCol w:w="1955"/>
      </w:tblGrid>
      <w:tr>
        <w:trPr/>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500" w:type="dxa"/>
            <w:gridSpan w:val="2"/>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54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95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5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shd w:fill="auto" w:val="clear"/>
            <w:tcMar>
              <w:bottom w:w="28" w:type="dxa"/>
            </w:tcM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5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5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jc w:val="both"/>
        <w:rPr>
          <w:caps w:val="false"/>
          <w:smallCaps w:val="false"/>
        </w:rPr>
      </w:pPr>
      <w:r>
        <w:rPr>
          <w:caps w:val="false"/>
          <w:smallCaps w:val="false"/>
        </w:rPr>
        <w:t> </w:t>
      </w:r>
    </w:p>
    <w:tbl>
      <w:tblPr>
        <w:tblW w:w="1465" w:type="dxa"/>
        <w:jc w:val="left"/>
        <w:tblInd w:w="0" w:type="dxa"/>
        <w:tblCellMar>
          <w:top w:w="0" w:type="dxa"/>
          <w:left w:w="0" w:type="dxa"/>
          <w:bottom w:w="0" w:type="dxa"/>
          <w:right w:w="0" w:type="dxa"/>
        </w:tblCellMar>
      </w:tblPr>
      <w:tblGrid>
        <w:gridCol w:w="350"/>
        <w:gridCol w:w="1115"/>
      </w:tblGrid>
      <w:tr>
        <w:trPr/>
        <w:tc>
          <w:tcPr>
            <w:tcW w:w="3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11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bl>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____________ Warrant Shares of the Company pursuant to the terms of the attached Warrant (only if exercised in full), and tenders herewith payment of the exercise price in full, together with all applicable transfer taxes, if any.</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ind w:left="0" w:right="0" w:hanging="720"/>
        <w:jc w:val="both"/>
        <w:rPr>
          <w:caps w:val="false"/>
          <w:smallCaps w:val="false"/>
        </w:rPr>
      </w:pPr>
      <w:r>
        <w:rPr>
          <w:caps w:val="false"/>
          <w:smallCaps w:val="false"/>
        </w:rPr>
        <w:t> </w:t>
      </w:r>
    </w:p>
    <w:p>
      <w:pPr>
        <w:pStyle w:val="TextBody"/>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ind w:left="0" w:right="0" w:hanging="720"/>
        <w:jc w:val="both"/>
        <w:rPr>
          <w:caps w:val="false"/>
          <w:smallCaps w:val="false"/>
        </w:rPr>
      </w:pPr>
      <w:r>
        <w:rPr>
          <w:caps w:val="false"/>
          <w:smallCaps w:val="false"/>
        </w:rPr>
        <w:t> </w:t>
      </w:r>
    </w:p>
    <w:p>
      <w:pPr>
        <w:pStyle w:val="TextBody"/>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jc w:val="both"/>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jc w:val="both"/>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___________________________________________________________________________</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_____________________________________________________</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_______________________________________________________________________</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________________________________________________________________________</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___________________________________________________________________________________________</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jc w:val="center"/>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ind w:left="0" w:right="0" w:firstLine="27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ind w:left="0" w:right="0" w:firstLine="104"/>
        <w:jc w:val="both"/>
        <w:rPr>
          <w:caps w:val="false"/>
          <w:smallCaps w:val="false"/>
        </w:rPr>
      </w:pPr>
      <w:r>
        <w:rPr>
          <w:caps w:val="false"/>
          <w:smallCaps w:val="false"/>
        </w:rPr>
        <w:t> </w:t>
      </w:r>
    </w:p>
    <w:tbl>
      <w:tblPr>
        <w:tblW w:w="5440" w:type="dxa"/>
        <w:jc w:val="left"/>
        <w:tblInd w:w="0" w:type="dxa"/>
        <w:tblCellMar>
          <w:top w:w="0" w:type="dxa"/>
          <w:left w:w="0" w:type="dxa"/>
          <w:bottom w:w="0" w:type="dxa"/>
          <w:right w:w="0" w:type="dxa"/>
        </w:tblCellMar>
      </w:tblPr>
      <w:tblGrid>
        <w:gridCol w:w="4280"/>
        <w:gridCol w:w="60"/>
        <w:gridCol w:w="1100"/>
      </w:tblGrid>
      <w:tr>
        <w:trPr/>
        <w:tc>
          <w:tcPr>
            <w:tcW w:w="42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bottom w:val="single" w:sz="12"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2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bottom w:val="single" w:sz="12"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2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bottom w:val="single" w:sz="12"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bottom w:val="single" w:sz="12"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 _________</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_________________________</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__________________________</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r>
        <w:br w:type="page"/>
      </w:r>
    </w:p>
    <w:p>
      <w:pPr>
        <w:pStyle w:val="TextBody"/>
        <w:rPr>
          <w:caps w:val="false"/>
          <w:smallCaps w:val="false"/>
        </w:rPr>
      </w:pPr>
      <w:bookmarkStart w:id="917" w:name="ex4-vi.htm"/>
      <w:bookmarkStart w:id="918" w:name="ksex4vi"/>
      <w:bookmarkEnd w:id="917"/>
      <w:bookmarkEnd w:id="918"/>
      <w:r>
        <w:rPr>
          <w:caps w:val="false"/>
          <w:smallCaps w:val="false"/>
        </w:rPr>
        <w:t> </w:t>
      </w:r>
    </w:p>
    <w:p>
      <w:pPr>
        <w:pStyle w:val="TextBody"/>
        <w:jc w:val="right"/>
        <w:rPr>
          <w:b/>
        </w:rPr>
      </w:pPr>
      <w:r>
        <w:rPr>
          <w:b/>
        </w:rPr>
        <w:t>Exhibit 4(vi)</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REGISTRANT’S SECURITIES</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PURSUANT TO SECTION 12 OF THE</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Reed’s, Inc.’s (“Reed’s,” the “Company,” “we,” “our,” “us”) common stock, par value $0.0001 per share (“Common Stock”) was registered under Section 12(b) of the Securities Exchange Act of 1934, as amended (the “Exchange Act”) and listed on The Nasdaq Capital Market under the symbol “REED”.</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CAPITAL STOCK</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our common stock. This summary does not purport to be exhaustive and is qualified in its entirety by reference to our certificate of incorporation, as amended (“Certificate”) and our amended and restated bylaws, as further amended (“Bylaws”) and to the applicable provisions of Delaware law.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120,000,000 shares of common stock, $0.0001 par value. Holders of common stock are each entitled to cast one vote for each share held of record on all matters presented to shareholders. Cumulative voting is not authorized; the holders of a majority of our outstanding shares of common stock may elect all directors. Holders of common stock are entitled to receive such dividends as may be declared by our board out of funds legally available and, in the event of liquidation, to share pro rata in any distribution of our assets after payment of liabilities. Our directors are not obligated to declare a dividend. It is not anticipated that dividends will be paid in the foreseeable future. Holders of common stock do not have preemptive rights to subscribe to any additional shares we may issue in the future. There are no conversion, redemption, sinking fund or similar provisions regarding the common stock. All outstanding shares of common stock are fully paid and nonassessable.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we had 86,317,096 shares of common stock issued and outstanding.</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Delaware Law and Our Certificate and Bylaws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Delaware General Corporation Law (the “DGCL”),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such date, the board of directors of the corporation approved either the business combination or the transaction which resulted in the stockholder becoming an interested stockholder;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(1) by persons who are directors and also officers and (2) by employee stock plans in which employee participants do not have the right to determine confidentially whether shares held subject to the plan will be tendered in a tender or exchange offer; or</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tc>
      </w:tr>
    </w:tbl>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authorized but unissued shares of common stock are available for our board to issue without stockholder approval. We may use these additional shares for a variety of corporate purposes, including future public or private offerings to raise additional capital, corporate acquisitions and employee benefit plans. The existence of our authorized but unissued shares of common stock could render more difficult or discourage an attempt to obtain control of our company by means of a proxy contest, tender offer, merger or other transaction. Our authorized but unissued shares may be used to delay, defer or prevent a tender offer or takeover attempt that a stockholder might consider in its best interest, including those attempts that might result in a premium over the market price for the shares held by our stockholders. The board of directors is also authorized to adopt, amend or repeal our Bylaws (provided, however, that no such adoption, amendment, or repeal shall be valid with respect to bylaw provisions which have been adopted, amended, or repealed by the stockholders; and further provided, that bylaw provisions adopted or amended by the board of directors and any powers thereby conferred may be amended, altered, or repealed by the stockholders) which could delay, defer or prevent a change in control.</w:t>
      </w:r>
    </w:p>
    <w:p>
      <w:pPr>
        <w:pStyle w:val="TextBody"/>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laws of Delaware on corporate matters, including their indemnification provisions. 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as the same exists or may hereafter be amended, provides that a Delaware corporation may indemnify any persons who were,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that no indemnification is permitted without judicial approval if the officer, director, employee or agent is adjudged to be liable to the corporation. Where an officer, director, employee, or agent is successful on the merits or otherwise in the defense of any action referred to above, the corporation must indemnify him or her against the expenses which such officer or director has actually and reasonably incurred.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arising out of his or her status as such, whether or not the corporation would otherwise have the power to indemnify him or her under Section 145 of the DGCL.</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provides that, to the fullest extent permitted by Delaware law, as it may be amended from time to time, none of our directors will be personally liable to us or our stockholders for monetary damages resulting from a breach of fiduciary duty as a director. Our Certificate also provides discretionary indemnification for the benefit of our directors, officers and employees, to the fullest extent permitted by Delaware law, as it may be amended from time to time. Pursuant to our Bylaws, we are required to indemnify our directors, officers, employees and agents, and we have the discretion to advance his or her related expenses, to the fullest extent permitted by law.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currently provide liability insurance coverage for our directors and officers. We also have entered into indemnification agreements with certain of our officers and directors.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 Market Listing</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the Company’s common stock is Transfer Online, Inc., telephone (503) 227-2950. Our common stock is listed on The Nasdaq Capital Market under the symbol “REED.”</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r>
        <w:br w:type="page"/>
      </w:r>
    </w:p>
    <w:p>
      <w:pPr>
        <w:pStyle w:val="TextBody"/>
        <w:jc w:val="center"/>
        <w:rPr>
          <w:caps w:val="false"/>
          <w:smallCaps w:val="false"/>
        </w:rPr>
      </w:pPr>
      <w:bookmarkStart w:id="919" w:name="ex10-1.htm"/>
      <w:bookmarkStart w:id="920" w:name="ksex101"/>
      <w:bookmarkEnd w:id="919"/>
      <w:bookmarkEnd w:id="920"/>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jc w:val="center"/>
        <w:rPr>
          <w:caps/>
        </w:rPr>
      </w:pPr>
      <w:r>
        <w:rPr>
          <w:caps/>
        </w:rPr>
        <w:t> </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Satisfaction, Settlement and Release of Claims</w:t>
      </w:r>
    </w:p>
    <w:p>
      <w:pPr>
        <w:pStyle w:val="TextBody"/>
        <w:jc w:val="center"/>
        <w:rPr>
          <w:caps/>
        </w:rPr>
      </w:pPr>
      <w:r>
        <w:rPr>
          <w:caps/>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SATISFACTION </w:t>
      </w:r>
      <w:r>
        <w:rPr>
          <w:rFonts w:ascii="Times New Roman;Times;Serif" w:hAnsi="Times New Roman;Times;Serif"/>
          <w:b/>
          <w:i w:val="false"/>
          <w:caps/>
          <w:sz w:val="20"/>
        </w:rPr>
        <w:t>Settlement and Release of Claims</w:t>
      </w:r>
      <w:r>
        <w:rPr>
          <w:rFonts w:ascii="Times New Roman;Times;Serif" w:hAnsi="Times New Roman;Times;Serif"/>
          <w:b w:val="false"/>
          <w:i w:val="false"/>
          <w:caps w:val="false"/>
          <w:smallCaps w:val="false"/>
          <w:sz w:val="20"/>
        </w:rPr>
        <w:t xml:space="preserve"> dated December 11, 2020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is made by and between Reed’s Inc., a Delaware corporation </w:t>
      </w:r>
      <w:r>
        <w:rPr>
          <w:rFonts w:ascii="Times New Roman;Times;Serif" w:hAnsi="Times New Roman;Times;Serif"/>
          <w:b/>
          <w:i/>
          <w:caps w:val="false"/>
          <w:smallCaps w:val="false"/>
          <w:sz w:val="20"/>
        </w:rPr>
        <w:t>(“Reed’s”</w:t>
      </w:r>
      <w:r>
        <w:rPr>
          <w:rFonts w:ascii="Times New Roman;Times;Serif" w:hAnsi="Times New Roman;Times;Serif"/>
          <w:b w:val="false"/>
          <w:i w:val="false"/>
          <w:caps w:val="false"/>
          <w:smallCaps w:val="false"/>
          <w:sz w:val="20"/>
        </w:rPr>
        <w:t xml:space="preserve">) and Raptor/Harbor Reeds SPV LLC, a Delaware limited liability company </w:t>
      </w:r>
      <w:r>
        <w:rPr>
          <w:rFonts w:ascii="Times New Roman;Times;Serif" w:hAnsi="Times New Roman;Times;Serif"/>
          <w:b/>
          <w:i/>
          <w:caps w:val="false"/>
          <w:smallCaps w:val="false"/>
          <w:sz w:val="20"/>
        </w:rPr>
        <w:t>(“Raptor”</w:t>
      </w:r>
      <w:r>
        <w:rPr>
          <w:rFonts w:ascii="Times New Roman;Times;Serif" w:hAnsi="Times New Roman;Times;Serif"/>
          <w:b w:val="false"/>
          <w:i w:val="false"/>
          <w:caps w:val="false"/>
          <w:smallCaps w:val="false"/>
          <w:sz w:val="20"/>
        </w:rPr>
        <w:t>). Raptor and Reed’s are each referred to herein as a “Party”, and collectively, the “Parties”.</w:t>
      </w:r>
    </w:p>
    <w:p>
      <w:pPr>
        <w:pStyle w:val="TextBody"/>
        <w:ind w:left="0" w:right="0" w:firstLine="36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Raptor and Reed’s are parties to that certain Securities Purchase Agreement dated April 21, 2017 (“</w:t>
      </w:r>
      <w:r>
        <w:rPr>
          <w:rFonts w:ascii="Times New Roman;Times;Serif" w:hAnsi="Times New Roman;Times;Serif"/>
          <w:b/>
          <w:i/>
          <w:caps w:val="false"/>
          <w:smallCaps w:val="false"/>
          <w:sz w:val="20"/>
        </w:rPr>
        <w:t>SPA”</w:t>
      </w:r>
      <w:r>
        <w:rPr>
          <w:rFonts w:ascii="Times New Roman;Times;Serif" w:hAnsi="Times New Roman;Times;Serif"/>
          <w:b w:val="false"/>
          <w:i w:val="false"/>
          <w:caps w:val="false"/>
          <w:smallCaps w:val="false"/>
          <w:sz w:val="20"/>
        </w:rPr>
        <w:t xml:space="preserve">) and that certain Second Lien Security Agreement dated April 21, 2017 </w:t>
      </w:r>
      <w:r>
        <w:rPr>
          <w:rFonts w:ascii="Times New Roman;Times;Serif" w:hAnsi="Times New Roman;Times;Serif"/>
          <w:b/>
          <w:i/>
          <w:caps w:val="false"/>
          <w:smallCaps w:val="false"/>
          <w:sz w:val="20"/>
        </w:rPr>
        <w:t>(“Second Lien Security Agreement”</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Raptor and Reed’s are parties to that certain First Amendment to Securities Purchase Agreement and Transaction Documents dated as of October 4, 2018 (“</w:t>
      </w:r>
      <w:r>
        <w:rPr>
          <w:rFonts w:ascii="Times New Roman;Times;Serif" w:hAnsi="Times New Roman;Times;Serif"/>
          <w:b/>
          <w:i/>
          <w:caps w:val="false"/>
          <w:smallCaps w:val="false"/>
          <w:sz w:val="20"/>
        </w:rPr>
        <w:t>First Amendment”</w:t>
      </w:r>
      <w:r>
        <w:rPr>
          <w:rFonts w:ascii="Times New Roman;Times;Serif" w:hAnsi="Times New Roman;Times;Serif"/>
          <w:b w:val="false"/>
          <w:i w:val="false"/>
          <w:caps w:val="false"/>
          <w:smallCaps w:val="false"/>
          <w:sz w:val="20"/>
        </w:rPr>
        <w:t>), which amended the SPA and the Second Lien Security Agreement;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Raptor is holder of that certain Amended and Restated Subordinated Convertible Non-Redeemable Secured Note (“</w:t>
      </w:r>
      <w:r>
        <w:rPr>
          <w:rFonts w:ascii="Times New Roman;Times;Serif" w:hAnsi="Times New Roman;Times;Serif"/>
          <w:b/>
          <w:i/>
          <w:caps w:val="false"/>
          <w:smallCaps w:val="false"/>
          <w:sz w:val="20"/>
        </w:rPr>
        <w:t>Subordinated Note”</w:t>
      </w:r>
      <w:r>
        <w:rPr>
          <w:rFonts w:ascii="Times New Roman;Times;Serif" w:hAnsi="Times New Roman;Times;Serif"/>
          <w:b w:val="false"/>
          <w:i w:val="false"/>
          <w:caps w:val="false"/>
          <w:smallCaps w:val="false"/>
          <w:sz w:val="20"/>
        </w:rPr>
        <w:t>) dated October 4, 2018 in the maximum principal amount of Seven Million Four Hundred Thousand and 00/100 Dollars ($7,400,000.00), issued by Reed’s;</w:t>
      </w:r>
    </w:p>
    <w:p>
      <w:pPr>
        <w:pStyle w:val="TextBody"/>
        <w:ind w:left="0" w:right="0" w:firstLine="36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Reed’s and Rosenthal &amp; Rosenthal Inc., a New York corporation (“</w:t>
      </w:r>
      <w:r>
        <w:rPr>
          <w:rFonts w:ascii="Times New Roman;Times;Serif" w:hAnsi="Times New Roman;Times;Serif"/>
          <w:b/>
          <w:i/>
          <w:caps w:val="false"/>
          <w:smallCaps w:val="false"/>
          <w:sz w:val="20"/>
        </w:rPr>
        <w:t>Rosenthal”</w:t>
      </w:r>
      <w:r>
        <w:rPr>
          <w:rFonts w:ascii="Times New Roman;Times;Serif" w:hAnsi="Times New Roman;Times;Serif"/>
          <w:b w:val="false"/>
          <w:i w:val="false"/>
          <w:caps w:val="false"/>
          <w:smallCaps w:val="false"/>
          <w:sz w:val="20"/>
        </w:rPr>
        <w:t>) are parties to that certain Financing Agreement dated October 4, 2018 pursuant to which Rosenthal makes certain loans and other financial accommodations available to Reed’s;</w:t>
      </w:r>
    </w:p>
    <w:p>
      <w:pPr>
        <w:pStyle w:val="TextBody"/>
        <w:ind w:left="0" w:right="0" w:firstLine="36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Raptor, the “</w:t>
      </w:r>
      <w:r>
        <w:rPr>
          <w:rFonts w:ascii="Times New Roman;Times;Serif" w:hAnsi="Times New Roman;Times;Serif"/>
          <w:b/>
          <w:i/>
          <w:caps w:val="false"/>
          <w:smallCaps w:val="false"/>
          <w:sz w:val="20"/>
        </w:rPr>
        <w:t>Junior Lender</w:t>
      </w:r>
      <w:r>
        <w:rPr>
          <w:rFonts w:ascii="Times New Roman;Times;Serif" w:hAnsi="Times New Roman;Times;Serif"/>
          <w:b w:val="false"/>
          <w:i w:val="false"/>
          <w:caps w:val="false"/>
          <w:smallCaps w:val="false"/>
          <w:sz w:val="20"/>
        </w:rPr>
        <w:t>”, and Rosenthal, the “</w:t>
      </w:r>
      <w:r>
        <w:rPr>
          <w:rFonts w:ascii="Times New Roman;Times;Serif" w:hAnsi="Times New Roman;Times;Serif"/>
          <w:b/>
          <w:i/>
          <w:caps w:val="false"/>
          <w:smallCaps w:val="false"/>
          <w:sz w:val="20"/>
        </w:rPr>
        <w:t>Senior Lender</w:t>
      </w:r>
      <w:r>
        <w:rPr>
          <w:rFonts w:ascii="Times New Roman;Times;Serif" w:hAnsi="Times New Roman;Times;Serif"/>
          <w:b w:val="false"/>
          <w:i w:val="false"/>
          <w:caps w:val="false"/>
          <w:smallCaps w:val="false"/>
          <w:sz w:val="20"/>
        </w:rPr>
        <w:t>”, are parties to that certain Subordination Agreement dated October 4, 2018 (“</w:t>
      </w:r>
      <w:r>
        <w:rPr>
          <w:rFonts w:ascii="Times New Roman;Times;Serif" w:hAnsi="Times New Roman;Times;Serif"/>
          <w:b/>
          <w:i/>
          <w:caps w:val="false"/>
          <w:smallCaps w:val="false"/>
          <w:sz w:val="20"/>
        </w:rPr>
        <w:t>Subordination Agreement</w:t>
      </w:r>
      <w:r>
        <w:rPr>
          <w:rFonts w:ascii="Times New Roman;Times;Serif" w:hAnsi="Times New Roman;Times;Serif"/>
          <w:b w:val="false"/>
          <w:i w:val="false"/>
          <w:caps w:val="false"/>
          <w:smallCaps w:val="false"/>
          <w:sz w:val="20"/>
        </w:rPr>
        <w:t>”);</w:t>
      </w:r>
    </w:p>
    <w:p>
      <w:pPr>
        <w:pStyle w:val="TextBody"/>
        <w:ind w:left="0" w:right="0" w:firstLine="36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Raptor and Reed’s desire to settle and release their claims related to the “</w:t>
      </w:r>
      <w:r>
        <w:rPr>
          <w:rFonts w:ascii="Times New Roman;Times;Serif" w:hAnsi="Times New Roman;Times;Serif"/>
          <w:b/>
          <w:i/>
          <w:caps w:val="false"/>
          <w:smallCaps w:val="false"/>
          <w:sz w:val="20"/>
        </w:rPr>
        <w:t>Junior Lender Indebtedness</w:t>
      </w:r>
      <w:r>
        <w:rPr>
          <w:rFonts w:ascii="Times New Roman;Times;Serif" w:hAnsi="Times New Roman;Times;Serif"/>
          <w:b w:val="false"/>
          <w:i w:val="false"/>
          <w:caps w:val="false"/>
          <w:smallCaps w:val="false"/>
          <w:sz w:val="20"/>
        </w:rPr>
        <w:t>” (as defined in the Subordination Agreement), including but not limited to termination of the Subordinated Note, Note Purchase Agreement, First Amendment and Second Lien Security Agreement (“</w:t>
      </w:r>
      <w:r>
        <w:rPr>
          <w:rFonts w:ascii="Times New Roman;Times;Serif" w:hAnsi="Times New Roman;Times;Serif"/>
          <w:b/>
          <w:i/>
          <w:caps w:val="false"/>
          <w:smallCaps w:val="false"/>
          <w:sz w:val="20"/>
        </w:rPr>
        <w:t>Junior Lender Transaction Documents</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WHEREAS</w:t>
      </w:r>
      <w:r>
        <w:rPr>
          <w:rFonts w:ascii="Times New Roman;Times;Serif" w:hAnsi="Times New Roman;Times;Serif"/>
          <w:b w:val="false"/>
          <w:i w:val="false"/>
          <w:caps w:val="false"/>
          <w:smallCaps w:val="false"/>
          <w:sz w:val="20"/>
        </w:rPr>
        <w:t>, Rosenthal has consented to and waived as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(as defined in the Financing Agreement) the payment by Reed’s to Raptor of consideration set forth herein as payment in full of Junior Lender Indebtedness subject to terms set forth herein.</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promises contained herein, and other good and valuable consideration, the receipt and sufficiency of which are hereby acknowledged, and intending to be legally bound, the parties hereto agree as follows: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Incorporation of Recitals</w:t>
      </w:r>
      <w:r>
        <w:rPr>
          <w:rFonts w:ascii="Times New Roman;Times;Serif" w:hAnsi="Times New Roman;Times;Serif"/>
          <w:b w:val="false"/>
          <w:i w:val="false"/>
          <w:caps w:val="false"/>
          <w:smallCaps w:val="false"/>
          <w:sz w:val="20"/>
        </w:rPr>
        <w:t>. The Recitals set forth above are incorporated into this Agreement by this reference.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Pay-Off Consideration</w:t>
      </w:r>
      <w:r>
        <w:rPr>
          <w:rFonts w:ascii="Times New Roman;Times;Serif" w:hAnsi="Times New Roman;Times;Serif"/>
          <w:b w:val="false"/>
          <w:i w:val="false"/>
          <w:caps w:val="false"/>
          <w:smallCaps w:val="false"/>
          <w:sz w:val="20"/>
        </w:rPr>
        <w:t>. In full and complete satisfaction of the Junior Lender Indebtedness and termination of the Junior Lender Transaction Documents, with no further obligations or liabilities to Raptor, Reed’s hereby agrees to pay and issue to Raptor the following consideration ((a) through (c) collectively referred to herein as the “</w:t>
      </w:r>
      <w:r>
        <w:rPr>
          <w:rFonts w:ascii="Times New Roman;Times;Serif" w:hAnsi="Times New Roman;Times;Serif"/>
          <w:b/>
          <w:i/>
          <w:caps w:val="false"/>
          <w:smallCaps w:val="false"/>
          <w:sz w:val="20"/>
        </w:rPr>
        <w:t>Pay-Off Consideration</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$4,250,000 in cash proceeds received from Reed’s recently completed public offering, which closed on or about November 24, 2020, payable only after “</w:t>
      </w:r>
      <w:r>
        <w:rPr>
          <w:rFonts w:ascii="Times New Roman;Times;Serif" w:hAnsi="Times New Roman;Times;Serif"/>
          <w:b/>
          <w:i/>
          <w:caps w:val="false"/>
          <w:smallCaps w:val="false"/>
          <w:sz w:val="20"/>
        </w:rPr>
        <w:t>Senior Lender Indebtedness</w:t>
      </w:r>
      <w:r>
        <w:rPr>
          <w:rFonts w:ascii="Times New Roman;Times;Serif" w:hAnsi="Times New Roman;Times;Serif"/>
          <w:b w:val="false"/>
          <w:i w:val="false"/>
          <w:caps w:val="false"/>
          <w:smallCaps w:val="false"/>
          <w:sz w:val="20"/>
        </w:rPr>
        <w:t>” (as defined in the Subordination Agreement) is reduced to a zero balance;</w:t>
      </w:r>
    </w:p>
    <w:p>
      <w:pPr>
        <w:pStyle w:val="TextBody"/>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695" w:type="dxa"/>
        <w:jc w:val="left"/>
        <w:tblInd w:w="0" w:type="dxa"/>
        <w:tblCellMar>
          <w:top w:w="0" w:type="dxa"/>
          <w:left w:w="0" w:type="dxa"/>
          <w:bottom w:w="0" w:type="dxa"/>
          <w:right w:w="0" w:type="dxa"/>
        </w:tblCellMar>
      </w:tblPr>
      <w:tblGrid>
        <w:gridCol w:w="695"/>
      </w:tblGrid>
      <w:tr>
        <w:trPr/>
        <w:tc>
          <w:tcPr>
            <w:tcW w:w="695" w:type="dxa"/>
            <w:tcBorders/>
            <w:shd w:fill="auto" w:val="clear"/>
            <w:vAlign w:val="center"/>
          </w:tcPr>
          <w:p>
            <w:pPr>
              <w:pStyle w:val="TableContents"/>
              <w:spacing w:before="0" w:after="283"/>
              <w:jc w:val="right"/>
              <w:rPr/>
            </w:pPr>
            <w:r>
              <w:rPr/>
              <w:t>Page 2</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5-year warrant to purchase 1,000,000 shares of common stock, $0.0001 par value, of Reed’s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with an exercise price of $0.644, in the form set forth on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attached hereto and incorporated herein by this reference (the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xml:space="preserve">”), which Common Stock shall be subject to resale pursuant to a registration statement meeting the requirements set forth in the Registration Rights Agreement in the form set forth on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attached hereto and incorporated herein by this reference (the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and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1,339,286 unrestricted shares of Common Stock to be issued upon conversion of $750,000.00 of the Subordinated Note at the Offering Price of $0.56 (“</w:t>
      </w:r>
      <w:r>
        <w:rPr>
          <w:rFonts w:ascii="Times New Roman;Times;Serif" w:hAnsi="Times New Roman;Times;Serif"/>
          <w:b/>
          <w:i/>
          <w:caps w:val="false"/>
          <w:smallCaps w:val="false"/>
          <w:sz w:val="20"/>
        </w:rPr>
        <w:t>Conversion Shares</w:t>
      </w:r>
      <w:r>
        <w:rPr>
          <w:rFonts w:ascii="Times New Roman;Times;Serif" w:hAnsi="Times New Roman;Times;Serif"/>
          <w:b w:val="false"/>
          <w:i w:val="false"/>
          <w:caps w:val="false"/>
          <w:smallCaps w:val="false"/>
          <w:sz w:val="20"/>
        </w:rPr>
        <w:t>”). The Conversion Shares are registered on an effective Registration Statement on Form S-3 (Registration No. 333-212206)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xml:space="preserve">”) and shall be delivered to First Republic Securities Company LLC in accordance with the instructions set forth on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Pay-Off Consideration shall be due and payable no later than December 11, 2020, and the Company shall deliver the Registration Rights Agreement, duly executed by the Company, concurrent with the payment of the Pay-Off Consideration.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Termination of Junior Lender Transaction Documents</w:t>
      </w:r>
      <w:r>
        <w:rPr>
          <w:rFonts w:ascii="Times New Roman;Times;Serif" w:hAnsi="Times New Roman;Times;Serif"/>
          <w:b w:val="false"/>
          <w:i w:val="false"/>
          <w:caps w:val="false"/>
          <w:smallCaps w:val="false"/>
          <w:sz w:val="20"/>
        </w:rPr>
        <w:t xml:space="preserve">. The Junior Lender Transaction Documents are hereby terminated and neither Party has any obligations or liabilities to the other Party arising under the Junior Lender Transaction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herein, the Junior Lender Transaction Documents shall be reinstated if (and to the extent) after receipt of the Pay-Off Consideration, any such payment or part thereof is subsequently invalidated, declared to be fraudulent or preferential, set aside, and/or required to be repaid to a trustee, receiver, or any similar official in respect of Reed’s under any bankruptcy law, any other state or federal law, common law, or any equitable cause, then, to the extent of such recovery, the obligation or part thereof originally intended to be satisfied, and all security interests, liens, rights, and remedies therefor or related thereto, shall be revived and continued in full force and effect as if such payment or payments had not been made or such enforcement or setoff had not occurred.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Termination of UCC Financing Statement</w:t>
      </w:r>
      <w:r>
        <w:rPr>
          <w:rFonts w:ascii="Times New Roman;Times;Serif" w:hAnsi="Times New Roman;Times;Serif"/>
          <w:b w:val="false"/>
          <w:i w:val="false"/>
          <w:caps w:val="false"/>
          <w:smallCaps w:val="false"/>
          <w:sz w:val="20"/>
        </w:rPr>
        <w:t>. Upon receipt of the Pay-Off Consideration, Raptor agrees to promptly terminate Financing Statement No. 20172660931 filed April 24, 2017 at the office of the Delaware Secretary of State, evidencing release of Raptor’s security interest in Reed’s intellectual property.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Release</w:t>
      </w:r>
      <w:r>
        <w:rPr>
          <w:rFonts w:ascii="Times New Roman;Times;Serif" w:hAnsi="Times New Roman;Times;Serif"/>
          <w:b w:val="false"/>
          <w:i w:val="false"/>
          <w:caps w:val="false"/>
          <w:smallCaps w:val="false"/>
          <w:sz w:val="20"/>
        </w:rPr>
        <w:t>. Raptor and Reed’s do hereby release, cancel, and forever discharge the other Party, including but not limited to, its directors, officers, employees, subsidiaries, affiliates, agents, and representatives from any and all claims, complaints, causes of action, demands, damages, obligations, liabilities, losses, promises, agreements, controversies, penalties, expenses, and executions of any kind or nature whatsoever, whether known or unknown, actual or potential, whether arising in law or in equity, which each Party may have, may have had, or may in the future obtain, arising out of or relating out of the acts, omissions, agreements, or events relating in any manner to the Junior Lender Indebtedness and Junior Lender Transaction Documents (the “</w:t>
      </w:r>
      <w:r>
        <w:rPr>
          <w:rFonts w:ascii="Times New Roman;Times;Serif" w:hAnsi="Times New Roman;Times;Serif"/>
          <w:b/>
          <w:i/>
          <w:caps w:val="false"/>
          <w:smallCaps w:val="false"/>
          <w:sz w:val="20"/>
        </w:rPr>
        <w:t>Release</w:t>
      </w:r>
      <w:r>
        <w:rPr>
          <w:rFonts w:ascii="Times New Roman;Times;Serif" w:hAnsi="Times New Roman;Times;Serif"/>
          <w:b w:val="false"/>
          <w:i w:val="false"/>
          <w:caps w:val="false"/>
          <w:smallCaps w:val="false"/>
          <w:sz w:val="20"/>
        </w:rPr>
        <w:t>”). Each Party represents and warrants that it has not filed any action or initiated any other proceeding with any court or government authority against or involving the other Party that may constitute a claim or provide the basis for any liability that is excluded from the Release provide for in this Section 5. Each Party also represents and warrants that it is not aware of any action by the other Party that could result in a claim filed or initiated in another proceeding with any court or government authority against or involving the other Party that may provide the basis for any liability that is excluded from the Release provided for in this Section 5.</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Consideration</w:t>
      </w:r>
      <w:r>
        <w:rPr>
          <w:rFonts w:ascii="Times New Roman;Times;Serif" w:hAnsi="Times New Roman;Times;Serif"/>
          <w:b w:val="false"/>
          <w:i w:val="false"/>
          <w:caps w:val="false"/>
          <w:smallCaps w:val="false"/>
          <w:sz w:val="20"/>
        </w:rPr>
        <w:t>. Each of Raptor and Reed’s acknowledges and agrees that it has received good, valuable and sufficient consideration for making the Release. In particular, upon execution of and compliance with this Agreement by Raptor, Reed’s shall pay and issue, and Raptor shall receive the Pay-Off Consideration. Raptor acknowledges and agrees that it will not be entitled to and shall not assert any claim for any additional amount from Reed’s, other than the aforementioned Pay-Off Consideration. Raptor agrees that it will not seek anything further, directly or indirectly, for itself or any person, corporation, partnership or other entity, including any other payment or consideration, with respect to the Junior Lender Indebtedness and Junior Lender Transaction Documents and the claims released pursuant to this Agreement. Raptor shall be solely responsible for all taxes and withholdings that may be owed to any federal, state, or local taxing authority as a result of the Pay-Off Consideration received under this Agreement.</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695" w:type="dxa"/>
        <w:jc w:val="left"/>
        <w:tblInd w:w="0" w:type="dxa"/>
        <w:tblCellMar>
          <w:top w:w="0" w:type="dxa"/>
          <w:left w:w="0" w:type="dxa"/>
          <w:bottom w:w="0" w:type="dxa"/>
          <w:right w:w="0" w:type="dxa"/>
        </w:tblCellMar>
      </w:tblPr>
      <w:tblGrid>
        <w:gridCol w:w="695"/>
      </w:tblGrid>
      <w:tr>
        <w:trPr/>
        <w:tc>
          <w:tcPr>
            <w:tcW w:w="695" w:type="dxa"/>
            <w:tcBorders/>
            <w:shd w:fill="auto" w:val="clear"/>
            <w:vAlign w:val="center"/>
          </w:tcPr>
          <w:p>
            <w:pPr>
              <w:pStyle w:val="TableContents"/>
              <w:spacing w:before="0" w:after="283"/>
              <w:jc w:val="right"/>
              <w:rPr/>
            </w:pPr>
            <w:r>
              <w:rPr/>
              <w:t>Page 3</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Effect</w:t>
      </w:r>
      <w:r>
        <w:rPr>
          <w:rFonts w:ascii="Times New Roman;Times;Serif" w:hAnsi="Times New Roman;Times;Serif"/>
          <w:b w:val="false"/>
          <w:i w:val="false"/>
          <w:caps w:val="false"/>
          <w:smallCaps w:val="false"/>
          <w:sz w:val="20"/>
        </w:rPr>
        <w:t>. This Agreement and the Release is intended to be a general release in the broadest form. It is understood and agreed that the Parties hereby expressly waive any and all laws and statutes, of all jurisdictions whatsoever, which may provide that a general release does not extend to claims not known or suspected to exist at the time of executing a release which if known would have materially affected the decision to give said release. It is expressly intended and agreed that this Agreement and the Release does, in fact, extend to such unknown and unsuspected claims related to anything which has happened to the date hereof which is covered by this Agreement and the Release, even if knowledge thereof would have materially affected the decision to give the Release. Each Party further represents and warrants that it has not assigned any of its rights with respect to the Junior Lender Indebtedness or the Junior Lender Transaction Documents to any other party. In addition, the Parties warrant and represent to the other that the execution and delivery of this Agreement and the Release does not, and with the passage of time will not, violate any obligation of the Party to any third party.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Rosenthal Waiver and Consent</w:t>
      </w:r>
      <w:r>
        <w:rPr>
          <w:rFonts w:ascii="Times New Roman;Times;Serif" w:hAnsi="Times New Roman;Times;Serif"/>
          <w:b w:val="false"/>
          <w:i w:val="false"/>
          <w:caps w:val="false"/>
          <w:smallCaps w:val="false"/>
          <w:sz w:val="20"/>
        </w:rPr>
        <w:t>. The Parties acknowledge and agree that Rosenthal consented to and waived as an Event of Default the payment by Reed’s to Raptor of the Pay-Off Consideration as payment in full of Junior Lender Indebtedness.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No Admission</w:t>
      </w:r>
      <w:r>
        <w:rPr>
          <w:rFonts w:ascii="Times New Roman;Times;Serif" w:hAnsi="Times New Roman;Times;Serif"/>
          <w:b w:val="false"/>
          <w:i w:val="false"/>
          <w:caps w:val="false"/>
          <w:smallCaps w:val="false"/>
          <w:sz w:val="20"/>
        </w:rPr>
        <w:t>. Raptor and Reed’s expressly agree and acknowledge that this Agreement represents the final settlement and compromise of the Junior Lender Indebtedness and the Junior Lender Transaction Documents, and that by entering into this Agreement, neither Party hereto admits or acknowledges the existence of any liability, obligation, or wrongdoing on its part. Each Party expressly denies any and all liability or wrongdoing with respect to the Junior Lender Indebtedness and the Junior Lender Transaction Documents.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Independent Legal Counsel</w:t>
      </w:r>
      <w:r>
        <w:rPr>
          <w:rFonts w:ascii="Times New Roman;Times;Serif" w:hAnsi="Times New Roman;Times;Serif"/>
          <w:b w:val="false"/>
          <w:i w:val="false"/>
          <w:caps w:val="false"/>
          <w:smallCaps w:val="false"/>
          <w:sz w:val="20"/>
        </w:rPr>
        <w:t>. The Parties acknowledge that they have had an opportunity to consult with independent legal counsel of their choosing regarding the legal effect of this Agreement and the Release and that each Party freely and voluntarily enters into this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Who Is Bound</w:t>
      </w:r>
      <w:r>
        <w:rPr>
          <w:rFonts w:ascii="Times New Roman;Times;Serif" w:hAnsi="Times New Roman;Times;Serif"/>
          <w:b w:val="false"/>
          <w:i w:val="false"/>
          <w:caps w:val="false"/>
          <w:smallCaps w:val="false"/>
          <w:sz w:val="20"/>
        </w:rPr>
        <w:t>. Each Party intends to be legally bound by this Agreement. Any person or corporation, partnership or other entity which succeeds to a Party’s rights and responsibilities is also bound. This Agreement is made for the benefit of the Parties, their past, present and future officers, directors, shareholders, employees, and agents, and the Parties’ affiliates and subsidiaries, and all who succeed to their rights and responsibilities, as well as any successors and assigns of the Parties.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Governing Law; Venue</w:t>
      </w:r>
      <w:r>
        <w:rPr>
          <w:rFonts w:ascii="Times New Roman;Times;Serif" w:hAnsi="Times New Roman;Times;Serif"/>
          <w:b w:val="false"/>
          <w:i w:val="false"/>
          <w:caps w:val="false"/>
          <w:smallCaps w:val="false"/>
          <w:sz w:val="20"/>
        </w:rPr>
        <w:t>. This Agreement shall be governed by and construed in accordance with the laws of the State of New York, notwithstanding its choice of law provisions. The Parties agree that any claims or legal actions by one Party against the other to enforce the terms of this Agreement or concerning any rights under this Agreement shall be commenced and maintained in any state or federal court located in the State of New York, Borough of Manhattan.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Confidentiality</w:t>
      </w:r>
      <w:r>
        <w:rPr>
          <w:rFonts w:ascii="Times New Roman;Times;Serif" w:hAnsi="Times New Roman;Times;Serif"/>
          <w:b w:val="false"/>
          <w:i w:val="false"/>
          <w:caps w:val="false"/>
          <w:smallCaps w:val="false"/>
          <w:sz w:val="20"/>
        </w:rPr>
        <w:t>. The Parties agree to keep confidential all negotiations and discussions leading up to this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Fees and Expenses</w:t>
      </w:r>
      <w:r>
        <w:rPr>
          <w:rFonts w:ascii="Times New Roman;Times;Serif" w:hAnsi="Times New Roman;Times;Serif"/>
          <w:b w:val="false"/>
          <w:i w:val="false"/>
          <w:caps w:val="false"/>
          <w:smallCaps w:val="false"/>
          <w:sz w:val="20"/>
        </w:rPr>
        <w:t>. Each Party hereto shall bear its own fees and expenses (including attorneys’ fees) incurred in connection with this Agreement and the consummation of the transactions contemplated hereby.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will be deemed to be an original, but all of which together will constitute one and the same instrument, without necessity of production of the others. An executed signature page delivered via facsimile transmission or electronic signature shall be deemed as effective as an original executed signature page.</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695" w:type="dxa"/>
        <w:jc w:val="left"/>
        <w:tblInd w:w="0" w:type="dxa"/>
        <w:tblCellMar>
          <w:top w:w="0" w:type="dxa"/>
          <w:left w:w="0" w:type="dxa"/>
          <w:bottom w:w="0" w:type="dxa"/>
          <w:right w:w="0" w:type="dxa"/>
        </w:tblCellMar>
      </w:tblPr>
      <w:tblGrid>
        <w:gridCol w:w="695"/>
      </w:tblGrid>
      <w:tr>
        <w:trPr/>
        <w:tc>
          <w:tcPr>
            <w:tcW w:w="695" w:type="dxa"/>
            <w:tcBorders/>
            <w:shd w:fill="auto" w:val="clear"/>
            <w:vAlign w:val="center"/>
          </w:tcPr>
          <w:p>
            <w:pPr>
              <w:pStyle w:val="TableContents"/>
              <w:spacing w:before="0" w:after="283"/>
              <w:jc w:val="right"/>
              <w:rPr/>
            </w:pPr>
            <w:r>
              <w:rPr/>
              <w:t>Page 4</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Waiver</w:t>
      </w:r>
      <w:r>
        <w:rPr>
          <w:rFonts w:ascii="Times New Roman;Times;Serif" w:hAnsi="Times New Roman;Times;Serif"/>
          <w:b w:val="false"/>
          <w:i w:val="false"/>
          <w:caps w:val="false"/>
          <w:smallCaps w:val="false"/>
          <w:sz w:val="20"/>
        </w:rPr>
        <w:t>. No waiver of any term or right in this Agreement shall be effective unless in writing, signed by an authorized representative of the waiving Party. The failure of either Party to enforce any provision of this Agreement shall not be construed as a waiver or modification of such provision, or impairment of its right to enforce such provision or any other provision of this Agreement thereafter.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The headings/captions appearing in this Agreement have been inserted for the purposes of convenience and ready reference, and do not purport to and shall not be deemed to define, limit or extend the scope or intent of the provisions to which they appertain. This Agreement shall not be construed more strongly against either Party regardless of which Party is more responsible for its preparation.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the Warrant set forth the entire and complete understanding and agreement between the Parties regarding the subject matter hereof including, but not limited to the settlement of all disputes and claims with respect to the Junior Lender Indebtedness and the Junior Lender Transaction Documents and supersede any and all other prior agreements or discussions, whether oral, written, electronic or otherwise, relating to the subject matter hereunder. Any additions or modifications to this Agreement must be made in writing and signed by authorized representatives of both Parties. The Parties acknowledge and agree that they are not relying upon any representations or statements made by the other Party or the other Party’s employees, agents, representatives or attorneys regarding this Agreement, except to the extent such representations are expressly set forth herein.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term of this Agreement is deemed to be invalid, illegal, or otherwise unenforceable (a) the Parties shall use all reasonable efforts to negotiate in good faith to amend the term to eliminate any such invalidity, illegality, or unenforceability to the extent practically possible, taking into full account their original intent when entering into this Agreement in the first instance, and (b) the remaining provisions hereof shall continue in full force and effect.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i w:val="false"/>
          <w:caps w:val="false"/>
          <w:smallCaps w:val="false"/>
          <w:sz w:val="20"/>
          <w:u w:val="single"/>
        </w:rPr>
        <w:t>Authority to Bind</w:t>
      </w:r>
      <w:r>
        <w:rPr>
          <w:rFonts w:ascii="Times New Roman;Times;Serif" w:hAnsi="Times New Roman;Times;Serif"/>
          <w:b w:val="false"/>
          <w:i w:val="false"/>
          <w:caps w:val="false"/>
          <w:smallCaps w:val="false"/>
          <w:sz w:val="20"/>
        </w:rPr>
        <w:t>. By signing below the Parties represent that the signatories are authorized to execute this Agreement on behalf of themselves and/or their respective corporations and that the execution and delivery of this Agreement are the duly authorized and binding acts of their respective corporations.</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695" w:type="dxa"/>
        <w:jc w:val="left"/>
        <w:tblInd w:w="0" w:type="dxa"/>
        <w:tblCellMar>
          <w:top w:w="0" w:type="dxa"/>
          <w:left w:w="0" w:type="dxa"/>
          <w:bottom w:w="0" w:type="dxa"/>
          <w:right w:w="0" w:type="dxa"/>
        </w:tblCellMar>
      </w:tblPr>
      <w:tblGrid>
        <w:gridCol w:w="695"/>
      </w:tblGrid>
      <w:tr>
        <w:trPr/>
        <w:tc>
          <w:tcPr>
            <w:tcW w:w="695" w:type="dxa"/>
            <w:tcBorders/>
            <w:shd w:fill="auto" w:val="clear"/>
            <w:vAlign w:val="center"/>
          </w:tcPr>
          <w:p>
            <w:pPr>
              <w:pStyle w:val="TableContents"/>
              <w:spacing w:before="0" w:after="283"/>
              <w:jc w:val="right"/>
              <w:rPr/>
            </w:pPr>
            <w:r>
              <w:rPr/>
              <w:t>Page 5</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Satisfaction, Settlement and Release of Claims effective as of the date set forth above.</w:t>
      </w:r>
    </w:p>
    <w:p>
      <w:pPr>
        <w:pStyle w:val="TextBody"/>
        <w:rPr>
          <w:caps w:val="false"/>
          <w:smallCaps w:val="false"/>
        </w:rPr>
      </w:pPr>
      <w:r>
        <w:rPr>
          <w:caps w:val="false"/>
          <w:smallCaps w:val="false"/>
        </w:rPr>
        <w:t> </w:t>
      </w:r>
    </w:p>
    <w:tbl>
      <w:tblPr>
        <w:tblW w:w="7304" w:type="dxa"/>
        <w:jc w:val="left"/>
        <w:tblInd w:w="0" w:type="dxa"/>
        <w:tblCellMar>
          <w:top w:w="0" w:type="dxa"/>
          <w:left w:w="0" w:type="dxa"/>
          <w:bottom w:w="0" w:type="dxa"/>
          <w:right w:w="0" w:type="dxa"/>
        </w:tblCellMar>
      </w:tblPr>
      <w:tblGrid>
        <w:gridCol w:w="380"/>
        <w:gridCol w:w="3725"/>
        <w:gridCol w:w="60"/>
        <w:gridCol w:w="441"/>
        <w:gridCol w:w="2698"/>
      </w:tblGrid>
      <w:tr>
        <w:trPr/>
        <w:tc>
          <w:tcPr>
            <w:tcW w:w="4105" w:type="dxa"/>
            <w:gridSpan w:val="2"/>
            <w:tcBorders/>
            <w:shd w:fill="auto" w:val="cle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i w:val="false"/>
                <w:caps/>
                <w:sz w:val="20"/>
              </w:rPr>
              <w:t>RaPTOR/HARBOR REEDS SPV LLC</w:t>
            </w:r>
            <w:r>
              <w:rPr>
                <w:rFonts w:ascii="Times New Roman;Times;Serif" w:hAnsi="Times New Roman;Times;Serif"/>
                <w:b w:val="false"/>
                <w:i w:val="false"/>
                <w:caps/>
                <w:sz w:val="20"/>
              </w:rPr>
              <w:t>,</w:t>
            </w:r>
          </w:p>
        </w:tc>
        <w:tc>
          <w:tcPr>
            <w:tcW w:w="60" w:type="dxa"/>
            <w:tcBorders/>
            <w:shd w:fill="auto" w:val="clear"/>
            <w:vAlign w:val="center"/>
          </w:tcPr>
          <w:p>
            <w:pPr>
              <w:pStyle w:val="TableContents"/>
              <w:spacing w:before="0" w:after="283"/>
              <w:rPr/>
            </w:pPr>
            <w:r>
              <w:rPr/>
              <w:t> </w:t>
            </w:r>
          </w:p>
        </w:tc>
        <w:tc>
          <w:tcPr>
            <w:tcW w:w="313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REED’S INC.</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a Delaware corporation</w:t>
            </w:r>
          </w:p>
        </w:tc>
      </w:tr>
      <w:tr>
        <w:trPr/>
        <w:tc>
          <w:tcPr>
            <w:tcW w:w="410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6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8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72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6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80" w:type="dxa"/>
            <w:tcBorders/>
            <w:shd w:fill="auto" w:val="clear"/>
            <w:vAlign w:val="center"/>
          </w:tcPr>
          <w:p>
            <w:pPr>
              <w:pStyle w:val="TableContents"/>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By:</w:t>
            </w:r>
          </w:p>
        </w:tc>
        <w:tc>
          <w:tcPr>
            <w:tcW w:w="3725" w:type="dxa"/>
            <w:tcBorders/>
            <w:shd w:fill="auto" w:val="clear"/>
            <w:vAlign w:val="center"/>
          </w:tcPr>
          <w:p>
            <w:pPr>
              <w:pStyle w:val="TableContents"/>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Raptor Holdco gp llc, its manager</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6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8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72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6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4105" w:type="dxa"/>
            <w:gridSpan w:val="2"/>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Needham</w:t>
            </w:r>
          </w:p>
        </w:tc>
        <w:tc>
          <w:tcPr>
            <w:tcW w:w="60" w:type="dxa"/>
            <w:tcBorders/>
            <w:shd w:fill="auto" w:val="clear"/>
            <w:vAlign w:val="center"/>
          </w:tcPr>
          <w:p>
            <w:pPr>
              <w:pStyle w:val="TableContents"/>
              <w:spacing w:before="0" w:after="283"/>
              <w:rPr/>
            </w:pPr>
            <w:r>
              <w:rPr/>
              <w:t> </w:t>
            </w:r>
          </w:p>
        </w:tc>
        <w:tc>
          <w:tcPr>
            <w:tcW w:w="3139" w:type="dxa"/>
            <w:gridSpan w:val="2"/>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38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72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6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7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Needham</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3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37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269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rPr>
          <w:caps w:val="false"/>
          <w:smallCaps w:val="false"/>
        </w:rPr>
      </w:pPr>
      <w:r>
        <w:rPr>
          <w:caps w:val="false"/>
          <w:smallCaps w:val="false"/>
        </w:rPr>
        <w:t> </w:t>
      </w:r>
      <w:r>
        <w:br w:type="page"/>
      </w:r>
    </w:p>
    <w:p>
      <w:pPr>
        <w:pStyle w:val="TextBody"/>
        <w:ind w:left="0" w:right="0" w:firstLine="720"/>
        <w:rPr/>
      </w:pPr>
      <w:bookmarkStart w:id="921" w:name="ex10-2.htm"/>
      <w:bookmarkStart w:id="922" w:name="ksex102"/>
      <w:bookmarkEnd w:id="921"/>
      <w:bookmarkEnd w:id="922"/>
      <w:r>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December 11, 2020, between Reeds,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purchaser signatory hereto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is made pursuant to the Satisfaction, Settlement and Release of Claims, </w:t>
      </w:r>
      <w:r>
        <w:rPr>
          <w:rFonts w:ascii="Times New Roman;Times;Serif" w:hAnsi="Times New Roman;Times;Serif"/>
          <w:b w:val="false"/>
          <w:i w:val="false"/>
          <w:caps w:val="false"/>
          <w:smallCaps w:val="false"/>
          <w:spacing w:val="-1"/>
          <w:sz w:val="20"/>
        </w:rPr>
        <w:t xml:space="preserve">dated </w:t>
      </w:r>
      <w:r>
        <w:rPr>
          <w:rFonts w:ascii="Times New Roman;Times;Serif" w:hAnsi="Times New Roman;Times;Serif"/>
          <w:b w:val="false"/>
          <w:i w:val="false"/>
          <w:caps w:val="false"/>
          <w:smallCaps w:val="false"/>
          <w:sz w:val="20"/>
        </w:rPr>
        <w:t>as of the date hereof, between the Company and the Purchaser (the “</w:t>
      </w:r>
      <w:r>
        <w:rPr>
          <w:rFonts w:ascii="Times New Roman;Times;Serif" w:hAnsi="Times New Roman;Times;Serif"/>
          <w:b w:val="false"/>
          <w:i w:val="false"/>
          <w:caps w:val="false"/>
          <w:smallCaps w:val="false"/>
          <w:sz w:val="20"/>
          <w:u w:val="single"/>
        </w:rPr>
        <w:t>Settlement Agreement</w:t>
      </w:r>
      <w:r>
        <w:rPr>
          <w:rFonts w:ascii="Times New Roman;Times;Serif" w:hAnsi="Times New Roman;Times;Serif"/>
          <w:b w:val="false"/>
          <w:i w:val="false"/>
          <w:caps w:val="false"/>
          <w:smallCaps w:val="false"/>
          <w:sz w:val="20"/>
        </w:rPr>
        <w: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Purchaser hereby agree as follows:</w:t>
      </w:r>
    </w:p>
    <w:p>
      <w:pPr>
        <w:pStyle w:val="TextBody"/>
        <w:ind w:left="0" w:right="0" w:firstLine="720"/>
        <w:jc w:val="both"/>
        <w:rPr>
          <w:caps w:val="false"/>
          <w:smallCaps w:val="false"/>
        </w:rPr>
      </w:pPr>
      <w:r>
        <w:rPr>
          <w:caps w:val="false"/>
          <w:smallCaps w:val="false"/>
        </w:rPr>
        <w:t> </w:t>
      </w:r>
    </w:p>
    <w:tbl>
      <w:tblPr>
        <w:tblW w:w="1323" w:type="dxa"/>
        <w:jc w:val="left"/>
        <w:tblInd w:w="0" w:type="dxa"/>
        <w:tblCellMar>
          <w:top w:w="0" w:type="dxa"/>
          <w:left w:w="0" w:type="dxa"/>
          <w:bottom w:w="0" w:type="dxa"/>
          <w:right w:w="0" w:type="dxa"/>
        </w:tblCellMar>
      </w:tblPr>
      <w:tblGrid>
        <w:gridCol w:w="38"/>
        <w:gridCol w:w="200"/>
        <w:gridCol w:w="108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1085" w:type="dxa"/>
            <w:tcBorders/>
            <w:shd w:fill="auto" w:val="clear"/>
            <w:vAlign w:val="center"/>
          </w:tcPr>
          <w:p>
            <w:pPr>
              <w:pStyle w:val="TableContents"/>
              <w:spacing w:before="0" w:after="283"/>
              <w:jc w:val="both"/>
              <w:rPr>
                <w:rFonts w:ascii="Times New Roman;Times;Serif" w:hAnsi="Times New Roman;Times;Serif"/>
                <w:u w:val="single"/>
              </w:rPr>
            </w:pPr>
            <w:r>
              <w:rPr>
                <w:rFonts w:ascii="Times New Roman;Times;Serif" w:hAnsi="Times New Roman;Times;Serif"/>
                <w:u w:val="single"/>
              </w:rPr>
              <w:t>Definitions</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Capitalized terms used and not otherwise defined herein that are defined in the Settlement Agreement shall have the meanings given such terms in the Settlement Agreement.</w:t>
      </w:r>
      <w:r>
        <w:rPr>
          <w:rFonts w:ascii="Times New Roman;Times;Serif" w:hAnsi="Times New Roman;Times;Serif"/>
          <w:b w:val="false"/>
          <w:i w:val="false"/>
          <w:caps w:val="false"/>
          <w:smallCaps w:val="false"/>
          <w:sz w:val="20"/>
        </w:rPr>
        <w:t xml:space="preserve"> As used in this Agreement, the following terms shall have the following meanings:</w:t>
      </w:r>
    </w:p>
    <w:p>
      <w:pPr>
        <w:pStyle w:val="TextBody"/>
        <w:ind w:left="0" w:right="0" w:firstLine="720"/>
        <w:jc w:val="both"/>
        <w:rPr>
          <w:caps w:val="false"/>
          <w:smallCaps w:val="false"/>
        </w:rPr>
      </w:pPr>
      <w:r>
        <w:rPr>
          <w:caps w:val="false"/>
          <w:smallCaps w:val="false"/>
        </w:rPr>
        <w:t> </w:t>
      </w:r>
    </w:p>
    <w:p>
      <w:pPr>
        <w:pStyle w:val="TextBody"/>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shall have the meaning set forth in Section 6(c).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Date</w:t>
      </w:r>
      <w:r>
        <w:rPr>
          <w:rFonts w:ascii="Times New Roman;Times;Serif" w:hAnsi="Times New Roman;Times;Serif"/>
          <w:b w:val="false"/>
          <w:i w:val="false"/>
          <w:caps w:val="false"/>
          <w:smallCaps w:val="false"/>
          <w:sz w:val="20"/>
        </w:rPr>
        <w:t>” means, with respect to the Initial Registration Statement required to be filed hereunder,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hereof (or, in the event of a “full review” by the Commission,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hereof) and with respect to any additional Registration Statements which may be required pursuant to Section 2(c) or Section 3(c),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on which an additional Registration Statement is required to be filed hereunder (or, in the event of a “full review” by the Commission,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such additional Registration Statement is required to be filed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shall have the meaning set forth in Section 2(a). “</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shall have the meaning set forth in Section 2(d).</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Date</w:t>
      </w:r>
      <w:r>
        <w:rPr>
          <w:rFonts w:ascii="Times New Roman;Times;Serif" w:hAnsi="Times New Roman;Times;Serif"/>
          <w:b w:val="false"/>
          <w:i w:val="false"/>
          <w:caps w:val="false"/>
          <w:smallCaps w:val="false"/>
          <w:sz w:val="20"/>
        </w:rPr>
        <w:t>” shall have the meaning set forth in Section 2(d).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means, with respect to the Initial Registration Statement required hereunder,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means the holder or holders, as the case may be, from time to time of Registrable Securities.</w:t>
      </w:r>
    </w:p>
    <w:p>
      <w:pPr>
        <w:pStyle w:val="TextBody"/>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have the meaning set forth in Section 5(c).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shall have the meaning set forth in Section 5(c)</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Registration Statement</w:t>
      </w:r>
      <w:r>
        <w:rPr>
          <w:rFonts w:ascii="Times New Roman;Times;Serif" w:hAnsi="Times New Roman;Times;Serif"/>
          <w:b w:val="false"/>
          <w:i w:val="false"/>
          <w:caps w:val="false"/>
          <w:smallCaps w:val="false"/>
          <w:sz w:val="20"/>
        </w:rPr>
        <w:t>” means the initial Registration Statement filed pursuant to this Agreement.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shall have the meaning set forth in Section 5(a).</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shall have the meaning set forth in Section 2(a).</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xml:space="preserve">”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w:t>
      </w:r>
      <w:r>
        <w:rPr>
          <w:rFonts w:ascii="Times New Roman;Times;Serif" w:hAnsi="Times New Roman;Times;Serif"/>
          <w:b w:val="false"/>
          <w:i w:val="false"/>
          <w:caps w:val="false"/>
          <w:smallCaps w:val="false"/>
          <w:spacing w:val="-1"/>
          <w:sz w:val="20"/>
        </w:rPr>
        <w:t xml:space="preserve">covered by a Registration </w:t>
      </w:r>
      <w:r>
        <w:rPr>
          <w:rFonts w:ascii="Times New Roman;Times;Serif" w:hAnsi="Times New Roman;Times;Serif"/>
          <w:b w:val="false"/>
          <w:i w:val="false"/>
          <w:caps w:val="false"/>
          <w:smallCaps w:val="false"/>
          <w:sz w:val="20"/>
        </w:rPr>
        <w:t>Statement, and all other amendments and supplements to the Prospectus, including post-effective amendments, and all material incorporated by reference or deemed to be incorporated by reference in such Prospectus.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means, as of any date of determination, (a) all Warrant Shares then issued or issuable upon exercise of the Warrant (assuming on such date the Warrant is exercised in full without regard to any exercise limitations therein) and (c) any securities issued or then issuable upon any stock split, dividend or other distribution, recapitalization or similar event with respect to the foregoing;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any such Registrable Securities shall cease to be </w:t>
      </w:r>
      <w:r>
        <w:rPr>
          <w:rFonts w:ascii="Times New Roman;Times;Serif" w:hAnsi="Times New Roman;Times;Serif"/>
          <w:b w:val="false"/>
          <w:i w:val="false"/>
          <w:caps w:val="false"/>
          <w:smallCaps w:val="false"/>
          <w:spacing w:val="-1"/>
          <w:sz w:val="20"/>
        </w:rPr>
        <w:t>Registrable Securities</w:t>
      </w:r>
      <w:r>
        <w:rPr>
          <w:rFonts w:ascii="Times New Roman;Times;Serif" w:hAnsi="Times New Roman;Times;Serif"/>
          <w:b w:val="false"/>
          <w:i w:val="false"/>
          <w:caps w:val="false"/>
          <w:smallCaps w:val="false"/>
          <w:sz w:val="20"/>
        </w:rPr>
        <w:t xml:space="preserve"> (and the Company shall not be required to maintain the effectiveness of any, or file another, Registration Statement hereunder with respect thereto) upon the earlier of (i) the fifth anniversary of the date hereof or such time that (i) a Registration Statement with respect to </w:t>
      </w:r>
      <w:r>
        <w:rPr>
          <w:rFonts w:ascii="Times New Roman;Times;Serif" w:hAnsi="Times New Roman;Times;Serif"/>
          <w:b w:val="false"/>
          <w:i w:val="false"/>
          <w:caps w:val="false"/>
          <w:smallCaps w:val="false"/>
          <w:spacing w:val="-1"/>
          <w:sz w:val="20"/>
        </w:rPr>
        <w:t>the sale of such</w:t>
      </w:r>
      <w:r>
        <w:rPr>
          <w:rFonts w:ascii="Times New Roman;Times;Serif" w:hAnsi="Times New Roman;Times;Serif"/>
          <w:b w:val="false"/>
          <w:i w:val="false"/>
          <w:caps w:val="false"/>
          <w:smallCaps w:val="false"/>
          <w:sz w:val="20"/>
        </w:rPr>
        <w:t xml:space="preserve"> Registrable Securities is declared effective by the Commission under the Securities Act and such Registrable Securities have been disposed of by the Holder in accordance with such effective Registration Statement, (iii) such Registrable Securities have been previously sold in accordance with Rule 144, or (iv) such securities become eligible for resale without volume or manner-of-sale restrictions and without current public information pursuant to Rule 144 as set forth in a written opinion letter to such effect, addressed, delivered and acceptable to the Transfer Agent and the Holder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 and all stock transfer restrictions and restrictive legends applicable thereto shall have been removed..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60"/>
        <w:gridCol w:w="15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pPr>
            <w:r>
              <w:rPr/>
              <w:t>2</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Selling Stockholder Questionnaire</w:t>
      </w:r>
      <w:r>
        <w:rPr>
          <w:rFonts w:ascii="Times New Roman;Times;Serif" w:hAnsi="Times New Roman;Times;Serif"/>
          <w:b w:val="false"/>
          <w:i w:val="false"/>
          <w:caps w:val="false"/>
          <w:smallCaps w:val="false"/>
          <w:sz w:val="20"/>
        </w:rPr>
        <w:t>” shall have the meaning set forth in Section 3(a).</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Guidance</w:t>
      </w:r>
      <w:r>
        <w:rPr>
          <w:rFonts w:ascii="Times New Roman;Times;Serif" w:hAnsi="Times New Roman;Times;Serif"/>
          <w:b w:val="false"/>
          <w:i w:val="false"/>
          <w:caps w:val="false"/>
          <w:smallCaps w:val="false"/>
          <w:sz w:val="20"/>
        </w:rPr>
        <w:t>” means (i) any publicly-available written or oral guidance of the Commission staff, or any comments, requirements or requests of the Commission staff and (ii) the Securities Act.</w:t>
      </w:r>
    </w:p>
    <w:p>
      <w:pPr>
        <w:pStyle w:val="TextBody"/>
        <w:ind w:left="0" w:right="0" w:firstLine="720"/>
        <w:jc w:val="both"/>
        <w:rPr>
          <w:caps w:val="false"/>
          <w:smallCaps w:val="false"/>
        </w:rPr>
      </w:pPr>
      <w:r>
        <w:rPr>
          <w:caps w:val="false"/>
          <w:smallCaps w:val="false"/>
        </w:rPr>
        <w:t> </w:t>
      </w:r>
    </w:p>
    <w:tbl>
      <w:tblPr>
        <w:tblW w:w="1968" w:type="dxa"/>
        <w:jc w:val="left"/>
        <w:tblInd w:w="0" w:type="dxa"/>
        <w:tblCellMar>
          <w:top w:w="0" w:type="dxa"/>
          <w:left w:w="0" w:type="dxa"/>
          <w:bottom w:w="0" w:type="dxa"/>
          <w:right w:w="0" w:type="dxa"/>
        </w:tblCellMar>
      </w:tblPr>
      <w:tblGrid>
        <w:gridCol w:w="38"/>
        <w:gridCol w:w="200"/>
        <w:gridCol w:w="173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2.</w:t>
            </w:r>
          </w:p>
        </w:tc>
        <w:tc>
          <w:tcPr>
            <w:tcW w:w="1730" w:type="dxa"/>
            <w:tcBorders/>
            <w:shd w:fill="auto" w:val="clear"/>
            <w:vAlign w:val="center"/>
          </w:tcPr>
          <w:p>
            <w:pPr>
              <w:pStyle w:val="TableContents"/>
              <w:spacing w:before="0" w:after="283"/>
              <w:jc w:val="both"/>
              <w:rPr>
                <w:rFonts w:ascii="Times New Roman;Times;Serif" w:hAnsi="Times New Roman;Times;Serif"/>
                <w:u w:val="single"/>
              </w:rPr>
            </w:pPr>
            <w:r>
              <w:rPr>
                <w:rFonts w:ascii="Times New Roman;Times;Serif" w:hAnsi="Times New Roman;Times;Serif"/>
                <w:u w:val="single"/>
              </w:rPr>
              <w:t>Shelf Registration</w:t>
            </w:r>
          </w:p>
        </w:tc>
      </w:tr>
    </w:tbl>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val="false"/>
          <w:i w:val="false"/>
          <w:caps w:val="false"/>
          <w:smallCaps w:val="false"/>
          <w:sz w:val="20"/>
        </w:rPr>
        <w:t xml:space="preserve">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w:t>
      </w:r>
      <w:r>
        <w:rPr>
          <w:rFonts w:ascii="Times New Roman;Times;Serif" w:hAnsi="Times New Roman;Times;Serif"/>
          <w:b w:val="false"/>
          <w:i w:val="false"/>
          <w:caps w:val="false"/>
          <w:smallCaps w:val="false"/>
          <w:spacing w:val="-1"/>
          <w:sz w:val="20"/>
        </w:rPr>
        <w:t>Form S-3 (except if the Company</w:t>
      </w:r>
      <w:r>
        <w:rPr>
          <w:rFonts w:ascii="Times New Roman;Times;Serif" w:hAnsi="Times New Roman;Times;Serif"/>
          <w:b w:val="false"/>
          <w:i w:val="false"/>
          <w:caps w:val="false"/>
          <w:smallCaps w:val="false"/>
          <w:sz w:val="20"/>
        </w:rPr>
        <w:t xml:space="preserve"> is not then eligible to register for resale the Registrable Securities on Form S-3, in which case such registration shall be on another appropriate form in accordance herewith, subject to the provisions of Section 2(e)) and shall contain substantially the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xml:space="preserve">”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earliest of (i) the fifth anniversary of the Closing Date or (ii) until all Registrable Securities covered by such Registration Statement have been sold, thereunder or pursuant to Rule 144, or (iii) until all Registrable Securities covered by such Registration Statement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The Company shall telephonically request effectiveness of a Registration Statement as of 5:00 p.m. Eastern Time on a Trading Day. The Company shall promptly notify the Purchaser via facsimile or by e-mail of the effectiveness of a Registration Statement. The Company shall, by 9:30 a.m. Eastern Time on the Trading Day after the effective date of such Registration Statement, file a final Prospectus with the Commission as required by Rule 424.</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60"/>
        <w:gridCol w:w="15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pPr>
            <w:r>
              <w:rPr/>
              <w:t>3</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val="false"/>
          <w:i w:val="false"/>
          <w:caps w:val="false"/>
          <w:smallCaps w:val="false"/>
          <w:sz w:val="20"/>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and subject to the provisions of Section 2(d) with respect to the payment of liquidated damages;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be obligated to use its best efforts to advocate with the Commission for the registration of all of the Registrable Securities.</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c. </w:t>
      </w:r>
      <w:r>
        <w:rPr>
          <w:rFonts w:ascii="Times New Roman;Times;Serif" w:hAnsi="Times New Roman;Times;Serif"/>
          <w:b w:val="false"/>
          <w:i w:val="false"/>
          <w:caps w:val="false"/>
          <w:smallCaps w:val="false"/>
          <w:sz w:val="20"/>
        </w:rPr>
        <w:t xml:space="preserve">Notwithstanding any other provision of this Agreement and subject to the payment </w:t>
      </w:r>
      <w:r>
        <w:rPr>
          <w:rFonts w:ascii="Times New Roman;Times;Serif" w:hAnsi="Times New Roman;Times;Serif"/>
          <w:b w:val="false"/>
          <w:i w:val="false"/>
          <w:caps w:val="false"/>
          <w:smallCaps w:val="false"/>
          <w:spacing w:val="-1"/>
          <w:sz w:val="20"/>
        </w:rPr>
        <w:t>of liquidated damages</w:t>
      </w:r>
      <w:r>
        <w:rPr>
          <w:rFonts w:ascii="Times New Roman;Times;Serif" w:hAnsi="Times New Roman;Times;Serif"/>
          <w:b w:val="false"/>
          <w:i w:val="false"/>
          <w:caps w:val="false"/>
          <w:smallCaps w:val="false"/>
          <w:sz w:val="20"/>
        </w:rPr>
        <w:t xml:space="preserve">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w:t>
            </w:r>
          </w:p>
        </w:tc>
        <w:tc>
          <w:tcPr>
            <w:tcW w:w="1002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First, the Company shall reduce or eliminate any securities to be included by any Person other than a Holder; and</w:t>
            </w:r>
          </w:p>
        </w:tc>
      </w:tr>
    </w:tbl>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0"/>
        <w:gridCol w:w="9967"/>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ii.</w:t>
            </w:r>
          </w:p>
        </w:tc>
        <w:tc>
          <w:tcPr>
            <w:tcW w:w="996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Second, the Company shall reduce Registrable Securities (applied, in the case that some Registrable Securities may be registered, to the Holders on a pro rata basis based on the total number of unregistered Registrable Shares held by such Holders).</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w:t>
      </w:r>
      <w:r>
        <w:rPr>
          <w:rFonts w:ascii="Times New Roman;Times;Serif" w:hAnsi="Times New Roman;Times;Serif"/>
          <w:b w:val="false"/>
          <w:i w:val="false"/>
          <w:caps w:val="false"/>
          <w:smallCaps w:val="false"/>
          <w:spacing w:val="-1"/>
          <w:sz w:val="20"/>
        </w:rPr>
        <w:t xml:space="preserve">those Registrable Securities </w:t>
      </w:r>
      <w:r>
        <w:rPr>
          <w:rFonts w:ascii="Times New Roman;Times;Serif" w:hAnsi="Times New Roman;Times;Serif"/>
          <w:b w:val="false"/>
          <w:i w:val="false"/>
          <w:caps w:val="false"/>
          <w:smallCaps w:val="false"/>
          <w:sz w:val="20"/>
        </w:rPr>
        <w:t>that were not registered for resale on the Initial Registration Statement, as amended. Notwithstanding anything to the contrary contained herein, no liquidated damages are payable to Holders in the event of a cutback by the SEC, as described in this Section 2(e).</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60"/>
        <w:gridCol w:w="15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pPr>
            <w:r>
              <w:rPr/>
              <w:t>4</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d. </w:t>
      </w:r>
      <w:r>
        <w:rPr>
          <w:rFonts w:ascii="Times New Roman;Times;Serif" w:hAnsi="Times New Roman;Times;Serif"/>
          <w:b w:val="false"/>
          <w:i w:val="false"/>
          <w:caps w:val="false"/>
          <w:smallCaps w:val="false"/>
          <w:sz w:val="20"/>
        </w:rPr>
        <w:t xml:space="preserve">If: (i) the Initial Registration Statement is not filed on or prior to its Filing Date,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(iv) a Registration Statement registering for resale all of the Registrable Securities is not declared effective by the Commission by the Effectiveness Date of the Initial Registration Statement, (v) the Company fails to file a final Prospectus with the Commission or (vi) after the effective date of </w:t>
      </w:r>
      <w:r>
        <w:rPr>
          <w:rFonts w:ascii="Times New Roman;Times;Serif" w:hAnsi="Times New Roman;Times;Serif"/>
          <w:b w:val="false"/>
          <w:i w:val="false"/>
          <w:caps w:val="false"/>
          <w:smallCaps w:val="false"/>
          <w:spacing w:val="-1"/>
          <w:sz w:val="20"/>
        </w:rPr>
        <w:t>a Registration Statement,</w:t>
      </w:r>
      <w:r>
        <w:rPr>
          <w:rFonts w:ascii="Times New Roman;Times;Serif" w:hAnsi="Times New Roman;Times;Serif"/>
          <w:b w:val="false"/>
          <w:i w:val="false"/>
          <w:caps w:val="false"/>
          <w:smallCaps w:val="false"/>
          <w:sz w:val="20"/>
        </w:rPr>
        <w:t xml:space="preserve">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Trading Days or more than an aggregate of fifteen (15) Trading Days (which need not be consecutive) during any 12-month period (any such failure or breach being referred to as an “</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and for purposes of clauses (i), (iv) and (v), the date on which such Event occurs, and for purpose of clause (ii) the date on which such five (5) Trading Day period is exceeded, and for purpose of clause (iii) the date which such ten (10) calendar day period is exceeded, as applicable, is exceeded and for purposes of clause (vi), the date which such ten or fifteen days, as applicable, is exceeded, being referred to as “</w:t>
      </w:r>
      <w:r>
        <w:rPr>
          <w:rFonts w:ascii="Times New Roman;Times;Serif" w:hAnsi="Times New Roman;Times;Serif"/>
          <w:b w:val="false"/>
          <w:i w:val="false"/>
          <w:caps w:val="false"/>
          <w:smallCaps w:val="false"/>
          <w:sz w:val="20"/>
          <w:u w:val="single"/>
        </w:rPr>
        <w:t>Event Date</w:t>
      </w:r>
      <w:r>
        <w:rPr>
          <w:rFonts w:ascii="Times New Roman;Times;Serif" w:hAnsi="Times New Roman;Times;Serif"/>
          <w:b w:val="false"/>
          <w:i w:val="false"/>
          <w:caps w:val="false"/>
          <w:smallCaps w:val="false"/>
          <w:sz w:val="20"/>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liquidated damages and not as a penalty, equal to $8,000. The parties agree that the maximum aggregate liquidated damages payable to a Holder under this Agreement shall be $80,000. The partial liquidated damages pursuant to the terms hereof shall apply on a daily pro rata basis for any portion of a month prior to the cure of an Event.</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e. </w:t>
      </w:r>
      <w:r>
        <w:rPr>
          <w:rFonts w:ascii="Times New Roman;Times;Serif" w:hAnsi="Times New Roman;Times;Serif"/>
          <w:b w:val="false"/>
          <w:i w:val="false"/>
          <w:caps w:val="false"/>
          <w:smallCaps w:val="false"/>
          <w:sz w:val="20"/>
        </w:rPr>
        <w:t xml:space="preserve">If Form S-3 is not available for the registration of the resale of Registrable Securities hereunder, the Company shall (subject to the payment of liquidated damages pursuant to Section 2(d)) (i) register the resale of the Registrable Securities on another appropriate form and (ii) undertake to register the Registrable Securities on Form S-3 as soon as such form is available,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maintain the effectiveness of the Registration Statement then in effect until such time as a Registration Statement on Form S-3 covering the Registrable Securities has been declared effective by the Commission.</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f. </w:t>
      </w:r>
      <w:r>
        <w:rPr>
          <w:rFonts w:ascii="Times New Roman;Times;Serif" w:hAnsi="Times New Roman;Times;Serif"/>
          <w:b w:val="false"/>
          <w:i w:val="false"/>
          <w:caps w:val="false"/>
          <w:smallCaps w:val="false"/>
          <w:sz w:val="20"/>
        </w:rPr>
        <w:t>Notwithstanding anything to the contrary contained herein, in no event shall the Company be permitted to name any Holder or affiliate of a Holder as any Underwriter without the prior written consent of such Holder.</w:t>
      </w:r>
    </w:p>
    <w:p>
      <w:pPr>
        <w:pStyle w:val="TextBody"/>
        <w:ind w:left="0" w:right="0" w:firstLine="720"/>
        <w:jc w:val="both"/>
        <w:rPr>
          <w:caps w:val="false"/>
          <w:smallCaps w:val="false"/>
        </w:rPr>
      </w:pPr>
      <w:r>
        <w:rPr>
          <w:caps w:val="false"/>
          <w:smallCaps w:val="false"/>
        </w:rPr>
        <w:t> </w:t>
      </w:r>
    </w:p>
    <w:tbl>
      <w:tblPr>
        <w:tblW w:w="2523" w:type="dxa"/>
        <w:jc w:val="left"/>
        <w:tblInd w:w="0" w:type="dxa"/>
        <w:tblCellMar>
          <w:top w:w="0" w:type="dxa"/>
          <w:left w:w="0" w:type="dxa"/>
          <w:bottom w:w="0" w:type="dxa"/>
          <w:right w:w="0" w:type="dxa"/>
        </w:tblCellMar>
      </w:tblPr>
      <w:tblGrid>
        <w:gridCol w:w="38"/>
        <w:gridCol w:w="200"/>
        <w:gridCol w:w="228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3.</w:t>
            </w:r>
          </w:p>
        </w:tc>
        <w:tc>
          <w:tcPr>
            <w:tcW w:w="2285" w:type="dxa"/>
            <w:tcBorders/>
            <w:shd w:fill="auto" w:val="clear"/>
            <w:vAlign w:val="center"/>
          </w:tcPr>
          <w:p>
            <w:pPr>
              <w:pStyle w:val="TableContents"/>
              <w:spacing w:before="0" w:after="283"/>
              <w:jc w:val="both"/>
              <w:rPr>
                <w:rFonts w:ascii="Times New Roman;Times;Serif" w:hAnsi="Times New Roman;Times;Serif"/>
                <w:u w:val="single"/>
              </w:rPr>
            </w:pPr>
            <w:r>
              <w:rPr>
                <w:rFonts w:ascii="Times New Roman;Times;Serif" w:hAnsi="Times New Roman;Times;Serif"/>
                <w:u w:val="single"/>
              </w:rPr>
              <w:t>Registration Procedures</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registration obligations hereunder, the Company shall: 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and (iii) deliver to such each Holder an Accountant’s cold comfort letter and opinion of counsel to the Company in a form customary for underwritten registrations.</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60"/>
        <w:gridCol w:w="15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pPr>
            <w:r>
              <w:rPr/>
              <w:t>5</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val="false"/>
          <w:i w:val="false"/>
          <w:caps w:val="false"/>
          <w:smallCaps w:val="false"/>
          <w:sz w:val="20"/>
        </w:rPr>
        <w:t xml:space="preserve">Notwithstanding the above, the Company shall not be obligated to provide the Holders advance copies of any universal shelf registration statement registering securities in addition to those required hereunder, or any Prospectus prepared thereto.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Selling Stockholder Questionnaire</w:t>
      </w:r>
      <w:r>
        <w:rPr>
          <w:rFonts w:ascii="Times New Roman;Times;Serif" w:hAnsi="Times New Roman;Times;Serif"/>
          <w:b w:val="false"/>
          <w:i w:val="false"/>
          <w:caps w:val="false"/>
          <w:smallCaps w:val="false"/>
          <w:sz w:val="20"/>
        </w:rPr>
        <w:t>”) within five Trading Days after the Closing Date.</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val="false"/>
          <w:i w:val="false"/>
          <w:caps w:val="false"/>
          <w:smallCaps w:val="false"/>
          <w:sz w:val="20"/>
        </w:rPr>
        <w:t xml:space="preserve">(i) Prepare and file with the Commission such amendments, including post- </w:t>
      </w:r>
      <w:r>
        <w:rPr>
          <w:rFonts w:ascii="Times New Roman;Times;Serif" w:hAnsi="Times New Roman;Times;Serif"/>
          <w:b w:val="false"/>
          <w:i w:val="false"/>
          <w:caps w:val="false"/>
          <w:smallCaps w:val="false"/>
          <w:spacing w:val="-1"/>
          <w:sz w:val="20"/>
        </w:rPr>
        <w:t>effective amendments,</w:t>
      </w:r>
      <w:r>
        <w:rPr>
          <w:rFonts w:ascii="Times New Roman;Times;Serif" w:hAnsi="Times New Roman;Times;Serif"/>
          <w:b w:val="false"/>
          <w:i w:val="false"/>
          <w:caps w:val="false"/>
          <w:smallCaps w:val="false"/>
          <w:sz w:val="20"/>
        </w:rPr>
        <w:t xml:space="preserve">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c. </w:t>
      </w:r>
      <w:r>
        <w:rPr>
          <w:rFonts w:ascii="Times New Roman;Times;Serif" w:hAnsi="Times New Roman;Times;Serif"/>
          <w:b w:val="false"/>
          <w:i w:val="false"/>
          <w:caps w:val="false"/>
          <w:smallCaps w:val="false"/>
          <w:sz w:val="20"/>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60"/>
        <w:gridCol w:w="15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pPr>
            <w:r>
              <w:rPr/>
              <w:t>6</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d. Notify the</w:t>
      </w:r>
      <w:r>
        <w:rPr>
          <w:rFonts w:ascii="Times New Roman;Times;Serif" w:hAnsi="Times New Roman;Times;Serif"/>
          <w:b w:val="false"/>
          <w:i w:val="false"/>
          <w:caps w:val="false"/>
          <w:smallCaps w:val="false"/>
          <w:sz w:val="20"/>
        </w:rPr>
        <w:t xml:space="preserv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w:t>
      </w:r>
      <w:r>
        <w:rPr>
          <w:rFonts w:ascii="Times New Roman;Times;Serif" w:hAnsi="Times New Roman;Times;Serif"/>
          <w:b w:val="false"/>
          <w:i w:val="false"/>
          <w:caps w:val="false"/>
          <w:smallCaps w:val="false"/>
          <w:spacing w:val="-1"/>
          <w:sz w:val="20"/>
        </w:rPr>
        <w:t>inclusion</w:t>
      </w:r>
      <w:r>
        <w:rPr>
          <w:rFonts w:ascii="Times New Roman;Times;Serif" w:hAnsi="Times New Roman;Times;Serif"/>
          <w:b w:val="false"/>
          <w:i w:val="false"/>
          <w:caps w:val="false"/>
          <w:smallCaps w:val="false"/>
          <w:sz w:val="20"/>
        </w:rPr>
        <w:t xml:space="preserve">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no event shall any such notice contain any information which would constitute material, non-public information regarding the Company or any of its Subsidiaries.</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e. </w:t>
      </w:r>
      <w:r>
        <w:rPr>
          <w:rFonts w:ascii="Times New Roman;Times;Serif" w:hAnsi="Times New Roman;Times;Serif"/>
          <w:b w:val="false"/>
          <w:i w:val="false"/>
          <w:caps w:val="false"/>
          <w:smallCaps w:val="false"/>
          <w:sz w:val="20"/>
        </w:rPr>
        <w:t>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f. </w:t>
      </w:r>
      <w:r>
        <w:rPr>
          <w:rFonts w:ascii="Times New Roman;Times;Serif" w:hAnsi="Times New Roman;Times;Serif"/>
          <w:b w:val="false"/>
          <w:i w:val="false"/>
          <w:caps w:val="false"/>
          <w:smallCaps w:val="false"/>
          <w:sz w:val="20"/>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g. </w:t>
      </w:r>
      <w:r>
        <w:rPr>
          <w:rFonts w:ascii="Times New Roman;Times;Serif" w:hAnsi="Times New Roman;Times;Serif"/>
          <w:b w:val="false"/>
          <w:i w:val="false"/>
          <w:caps w:val="false"/>
          <w:smallCaps w:val="false"/>
          <w:sz w:val="20"/>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h. </w:t>
      </w:r>
      <w:r>
        <w:rPr>
          <w:rFonts w:ascii="Times New Roman;Times;Serif" w:hAnsi="Times New Roman;Times;Serif"/>
          <w:b w:val="false"/>
          <w:i w:val="false"/>
          <w:caps w:val="false"/>
          <w:smallCaps w:val="false"/>
          <w:sz w:val="20"/>
        </w:rPr>
        <w:t xml:space="preserve">Should the Company’s common stock cease to be listed on a national securities </w:t>
      </w:r>
      <w:r>
        <w:rPr>
          <w:rFonts w:ascii="Times New Roman;Times;Serif" w:hAnsi="Times New Roman;Times;Serif"/>
          <w:b w:val="false"/>
          <w:i w:val="false"/>
          <w:caps w:val="false"/>
          <w:smallCaps w:val="false"/>
          <w:spacing w:val="-1"/>
          <w:sz w:val="20"/>
        </w:rPr>
        <w:t>exchange,</w:t>
      </w:r>
      <w:r>
        <w:rPr>
          <w:rFonts w:ascii="Times New Roman;Times;Serif" w:hAnsi="Times New Roman;Times;Serif"/>
          <w:b w:val="false"/>
          <w:i w:val="false"/>
          <w:caps w:val="false"/>
          <w:smallCaps w:val="false"/>
          <w:sz w:val="20"/>
        </w:rPr>
        <w:t xml:space="preserve">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60"/>
        <w:gridCol w:w="15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pPr>
            <w:r>
              <w:rPr/>
              <w:t>7</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i. </w:t>
      </w:r>
      <w:r>
        <w:rPr>
          <w:rFonts w:ascii="Times New Roman;Times;Serif" w:hAnsi="Times New Roman;Times;Serif"/>
          <w:b w:val="false"/>
          <w:i w:val="false"/>
          <w:caps w:val="false"/>
          <w:smallCaps w:val="false"/>
          <w:sz w:val="20"/>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Settlement Agreement, of all restrictive legends, and to enable such Registrable Securities to be in such denominations and registered in such names as any such Holder may request.</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j. </w:t>
      </w:r>
      <w:r>
        <w:rPr>
          <w:rFonts w:ascii="Times New Roman;Times;Serif" w:hAnsi="Times New Roman;Times;Serif"/>
          <w:b w:val="false"/>
          <w:i w:val="false"/>
          <w:caps w:val="false"/>
          <w:smallCaps w:val="false"/>
          <w:sz w:val="20"/>
        </w:rPr>
        <w:t xml:space="preserve">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w:t>
      </w:r>
      <w:r>
        <w:rPr>
          <w:rFonts w:ascii="Times New Roman;Times;Serif" w:hAnsi="Times New Roman;Times;Serif"/>
          <w:b w:val="false"/>
          <w:i w:val="false"/>
          <w:caps w:val="false"/>
          <w:smallCaps w:val="false"/>
          <w:spacing w:val="-1"/>
          <w:sz w:val="20"/>
        </w:rPr>
        <w:t>amendment,</w:t>
      </w:r>
      <w:r>
        <w:rPr>
          <w:rFonts w:ascii="Times New Roman;Times;Serif" w:hAnsi="Times New Roman;Times;Serif"/>
          <w:b w:val="false"/>
          <w:i w:val="false"/>
          <w:caps w:val="false"/>
          <w:smallCaps w:val="false"/>
          <w:sz w:val="20"/>
        </w:rPr>
        <w:t xml:space="preserve">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for a period not to exceed 60 calendar days (which need not be consecutive days) in any 12-month period.</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k. </w:t>
      </w:r>
      <w:r>
        <w:rPr>
          <w:rFonts w:ascii="Times New Roman;Times;Serif" w:hAnsi="Times New Roman;Times;Serif"/>
          <w:b w:val="false"/>
          <w:i w:val="false"/>
          <w:caps w:val="false"/>
          <w:smallCaps w:val="false"/>
          <w:sz w:val="20"/>
        </w:rPr>
        <w:t>Comply with all applicable rules and regulations of the Commission.</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l. </w:t>
      </w:r>
      <w:r>
        <w:rPr>
          <w:rFonts w:ascii="Times New Roman;Times;Serif" w:hAnsi="Times New Roman;Times;Serif"/>
          <w:b w:val="false"/>
          <w:i w:val="false"/>
          <w:caps w:val="false"/>
          <w:smallCaps w:val="false"/>
          <w:sz w:val="20"/>
        </w:rPr>
        <w:t>The Company shall use its best efforts to maintain eligibility for use of Form S-3 (or any successor form thereto) for the registration of the resale of Registrable Securities.</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m. </w:t>
      </w:r>
      <w:r>
        <w:rPr>
          <w:rFonts w:ascii="Times New Roman;Times;Serif" w:hAnsi="Times New Roman;Times;Serif"/>
          <w:b w:val="false"/>
          <w:i w:val="false"/>
          <w:caps w:val="false"/>
          <w:smallCaps w:val="false"/>
          <w:sz w:val="20"/>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and the status of Holder as, or affiliation of Holder with, a broker-dealer. During any periods that the Company is unable to meet its obligations hereunder with respect to the registration of the Registrable Securities because any Holder fails to furnish such information within three Trading Days of the Company’s request, any liquidated damages that are accruing shall be tolled and any Event that may otherwise occur because of such delay shall be suspended until such reasonable time required after such information is delivered to Company.</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60"/>
        <w:gridCol w:w="15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pPr>
            <w:r>
              <w:rPr/>
              <w:t>8</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should the Company’s common stock cease to be listed on a national securities exchange, in compliance with applicable state securities or Blue Sky laws reasonably agreed to by the Company in writing (including, without limitation, fees and disbursements of counsel for the Company in connection with Blue Sky qualifications or exemptions of the Registrable Securities) ,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The Company shall pay Holder’s legal fees in an amount not to exceed $50,000 in connection with the registration contemplated hereunder.</w:t>
      </w:r>
    </w:p>
    <w:p>
      <w:pPr>
        <w:pStyle w:val="TextBody"/>
        <w:ind w:left="0" w:right="0" w:firstLine="720"/>
        <w:jc w:val="both"/>
        <w:rPr>
          <w:caps w:val="false"/>
          <w:smallCaps w:val="false"/>
        </w:rPr>
      </w:pPr>
      <w:r>
        <w:rPr>
          <w:caps w:val="false"/>
          <w:smallCaps w:val="false"/>
        </w:rPr>
        <w:t> </w:t>
      </w:r>
    </w:p>
    <w:tbl>
      <w:tblPr>
        <w:tblW w:w="1758" w:type="dxa"/>
        <w:jc w:val="left"/>
        <w:tblInd w:w="0" w:type="dxa"/>
        <w:tblCellMar>
          <w:top w:w="0" w:type="dxa"/>
          <w:left w:w="0" w:type="dxa"/>
          <w:bottom w:w="0" w:type="dxa"/>
          <w:right w:w="0" w:type="dxa"/>
        </w:tblCellMar>
      </w:tblPr>
      <w:tblGrid>
        <w:gridCol w:w="38"/>
        <w:gridCol w:w="200"/>
        <w:gridCol w:w="152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5.</w:t>
            </w:r>
          </w:p>
        </w:tc>
        <w:tc>
          <w:tcPr>
            <w:tcW w:w="1520" w:type="dxa"/>
            <w:tcBorders/>
            <w:shd w:fill="auto" w:val="clear"/>
            <w:vAlign w:val="center"/>
          </w:tcPr>
          <w:p>
            <w:pPr>
              <w:pStyle w:val="TableContents"/>
              <w:spacing w:before="0" w:after="283"/>
              <w:jc w:val="both"/>
              <w:rPr>
                <w:rFonts w:ascii="Times New Roman;Times;Serif" w:hAnsi="Times New Roman;Times;Serif"/>
                <w:u w:val="single"/>
              </w:rPr>
            </w:pPr>
            <w:r>
              <w:rPr>
                <w:rFonts w:ascii="Times New Roman;Times;Serif" w:hAnsi="Times New Roman;Times;Serif"/>
                <w:u w:val="single"/>
              </w:rPr>
              <w:t>Indemnification</w:t>
            </w:r>
          </w:p>
        </w:tc>
      </w:tr>
    </w:tbl>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xml:space="preserve">.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w:t>
      </w:r>
      <w:r>
        <w:rPr>
          <w:rFonts w:ascii="Times New Roman;Times;Serif" w:hAnsi="Times New Roman;Times;Serif"/>
          <w:b w:val="false"/>
          <w:i w:val="false"/>
          <w:caps w:val="false"/>
          <w:smallCaps w:val="false"/>
          <w:spacing w:val="-1"/>
          <w:sz w:val="20"/>
        </w:rPr>
        <w:t>expenses (collectively,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the first and second paragraphs of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but only if and to the extent that following the receipt of the Advice the misstatement or omission giving rise to such Loss would have been corrected or (3) any breach or violation of this Agreement by the Company.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60"/>
        <w:gridCol w:w="15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right"/>
              <w:rPr/>
            </w:pPr>
            <w:r>
              <w:rPr/>
              <w:t>9</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val="false"/>
          <w:i w:val="false"/>
          <w:caps w:val="false"/>
          <w:smallCaps w:val="false"/>
          <w:sz w:val="20"/>
          <w:u w:val="single"/>
        </w:rPr>
        <w:t>Indemnification by Holders</w:t>
      </w:r>
      <w:r>
        <w:rPr>
          <w:rFonts w:ascii="Times New Roman;Times;Serif" w:hAnsi="Times New Roman;Times;Serif"/>
          <w:b w:val="false"/>
          <w:i w:val="false"/>
          <w:caps w:val="false"/>
          <w:smallCaps w:val="false"/>
          <w:sz w:val="20"/>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w:t>
      </w:r>
      <w:r>
        <w:rPr>
          <w:rFonts w:ascii="Times New Roman;Times;Serif" w:hAnsi="Times New Roman;Times;Serif"/>
          <w:b w:val="false"/>
          <w:i w:val="false"/>
          <w:caps w:val="false"/>
          <w:smallCaps w:val="false"/>
          <w:spacing w:val="-1"/>
          <w:sz w:val="20"/>
        </w:rPr>
        <w:t>or supplement</w:t>
      </w:r>
      <w:r>
        <w:rPr>
          <w:rFonts w:ascii="Times New Roman;Times;Serif" w:hAnsi="Times New Roman;Times;Serif"/>
          <w:b w:val="false"/>
          <w:i w:val="false"/>
          <w:caps w:val="false"/>
          <w:smallCaps w:val="false"/>
          <w:sz w:val="20"/>
        </w:rPr>
        <w:t xml:space="preserve">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w:t>
      </w:r>
      <w:r>
        <w:rPr>
          <w:rFonts w:ascii="Times New Roman;Times;Serif" w:hAnsi="Times New Roman;Times;Serif"/>
          <w:b w:val="false"/>
          <w:i w:val="false"/>
          <w:caps w:val="false"/>
          <w:smallCaps w:val="false"/>
          <w:spacing w:val="-1"/>
          <w:sz w:val="20"/>
        </w:rPr>
        <w:t>Prospectus or</w:t>
      </w:r>
      <w:r>
        <w:rPr>
          <w:rFonts w:ascii="Times New Roman;Times;Serif" w:hAnsi="Times New Roman;Times;Serif"/>
          <w:b w:val="false"/>
          <w:i w:val="false"/>
          <w:caps w:val="false"/>
          <w:smallCaps w:val="false"/>
          <w:sz w:val="20"/>
        </w:rPr>
        <w:t xml:space="preserve"> (ii) to the extent, but only to the extent, that such information relates to such Holder’s proposed method of distribution of Registrable Securities and was reviewed and expressly approved in writing by such Holder expressly for use in a Registration Statement (it being understood that the Holder has approved the first and second paragraphs of Annex A hereto for this purpose), such Prospectus or in any amendment or supplement thereto or (iii) in the case of an occurrence of an event of the type specified in Section 3(d)(iii)-(vi), to the extent, but only to the extent, related to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but only if and to the extent that following the receipt of the Advice the misstatement or omission giving rise to such Loss would have been corrected. In no event shall the liability of any selling Holder under this Section 5(b) be greater in amount than the dollar amount of the net proceeds received by such Holder upon the sale of the Registrable Securities giving rise to such indemnification obligation.</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Proceeding shall be brought or asserted against any Person entitled to indemnity hereunder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such Indemnified Party shall promptly notify the Person from whom indemnity is sought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ind w:left="0" w:right="0" w:firstLine="72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An Indemnified</w:t>
      </w:r>
      <w:r>
        <w:rPr>
          <w:rFonts w:ascii="Times New Roman;Times;Serif" w:hAnsi="Times New Roman;Times;Serif"/>
          <w:b w:val="false"/>
          <w:i w:val="false"/>
          <w:caps w:val="false"/>
          <w:smallCaps w:val="false"/>
          <w:sz w:val="20"/>
        </w:rPr>
        <w:t xml:space="preserve">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w:t>
      </w:r>
      <w:r>
        <w:rPr>
          <w:rFonts w:ascii="Times New Roman;Times;Serif" w:hAnsi="Times New Roman;Times;Serif"/>
          <w:b w:val="false"/>
          <w:i w:val="false"/>
          <w:caps w:val="false"/>
          <w:smallCaps w:val="false"/>
          <w:spacing w:val="-1"/>
          <w:sz w:val="20"/>
        </w:rPr>
        <w:t>(including any impleaded</w:t>
      </w:r>
      <w:r>
        <w:rPr>
          <w:rFonts w:ascii="Times New Roman;Times;Serif" w:hAnsi="Times New Roman;Times;Serif"/>
          <w:b w:val="false"/>
          <w:i w:val="false"/>
          <w:caps w:val="false"/>
          <w:smallCaps w:val="false"/>
          <w:sz w:val="20"/>
        </w:rPr>
        <w:t xml:space="preserve">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w:t>
      </w:r>
      <w:r>
        <w:rPr>
          <w:rFonts w:ascii="Times New Roman;Times;Serif" w:hAnsi="Times New Roman;Times;Serif"/>
          <w:b w:val="false"/>
          <w:i w:val="false"/>
          <w:caps w:val="false"/>
          <w:smallCaps w:val="false"/>
          <w:spacing w:val="-1"/>
          <w:sz w:val="20"/>
        </w:rPr>
        <w:t>elects to employ</w:t>
      </w:r>
      <w:r>
        <w:rPr>
          <w:rFonts w:ascii="Times New Roman;Times;Serif" w:hAnsi="Times New Roman;Times;Serif"/>
          <w:b w:val="false"/>
          <w:i w:val="false"/>
          <w:caps w:val="false"/>
          <w:smallCaps w:val="false"/>
          <w:sz w:val="20"/>
        </w:rPr>
        <w:t xml:space="preserve">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ind w:left="0" w:right="0" w:firstLine="72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w:t>
      </w:r>
      <w:r>
        <w:rPr>
          <w:rFonts w:ascii="Times New Roman;Times;Serif" w:hAnsi="Times New Roman;Times;Serif"/>
          <w:b w:val="false"/>
          <w:i w:val="false"/>
          <w:caps w:val="false"/>
          <w:smallCaps w:val="false"/>
          <w:spacing w:val="-1"/>
          <w:sz w:val="20"/>
        </w:rPr>
        <w:t>actions for which</w:t>
      </w:r>
      <w:r>
        <w:rPr>
          <w:rFonts w:ascii="Times New Roman;Times;Serif" w:hAnsi="Times New Roman;Times;Serif"/>
          <w:b w:val="false"/>
          <w:i w:val="false"/>
          <w:caps w:val="false"/>
          <w:smallCaps w:val="false"/>
          <w:sz w:val="20"/>
        </w:rPr>
        <w:t xml:space="preserve"> such Indemnified Party is finally determined by a court of competent jurisdiction (which determination is not subject to appeal or further review) not to be entitled to indemnification hereunder.</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10</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w:t>
      </w:r>
      <w:r>
        <w:rPr>
          <w:rFonts w:ascii="Times New Roman;Times;Serif" w:hAnsi="Times New Roman;Times;Serif"/>
          <w:b w:val="false"/>
          <w:i w:val="false"/>
          <w:caps w:val="false"/>
          <w:smallCaps w:val="false"/>
          <w:spacing w:val="-1"/>
          <w:sz w:val="20"/>
        </w:rPr>
        <w:t>Indemnifying Party</w:t>
      </w:r>
      <w:r>
        <w:rPr>
          <w:rFonts w:ascii="Times New Roman;Times;Serif" w:hAnsi="Times New Roman;Times;Serif"/>
          <w:b w:val="false"/>
          <w:i w:val="false"/>
          <w:caps w:val="false"/>
          <w:smallCaps w:val="false"/>
          <w:sz w:val="20"/>
        </w:rPr>
        <w:t xml:space="preserve">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Notwithstanding the provisions of this Section 5(d), no Holder shall be required to contribute pursuant to this Section 5(d), in the aggregate, any amount in excess of the amount by </w:t>
      </w:r>
      <w:r>
        <w:rPr>
          <w:rFonts w:ascii="Times New Roman;Times;Serif" w:hAnsi="Times New Roman;Times;Serif"/>
          <w:b w:val="false"/>
          <w:i w:val="false"/>
          <w:caps w:val="false"/>
          <w:smallCaps w:val="false"/>
          <w:spacing w:val="-1"/>
          <w:sz w:val="20"/>
        </w:rPr>
        <w:t>which the net</w:t>
      </w:r>
      <w:r>
        <w:rPr>
          <w:rFonts w:ascii="Times New Roman;Times;Serif" w:hAnsi="Times New Roman;Times;Serif"/>
          <w:b w:val="false"/>
          <w:i w:val="false"/>
          <w:caps w:val="false"/>
          <w:smallCaps w:val="false"/>
          <w:sz w:val="20"/>
        </w:rPr>
        <w:t xml:space="preserve">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indemnity and contribution agreements contained in this Section are in addition to any liability that the Indemnifying Parties may have to the Indemnified Parties.</w:t>
      </w:r>
    </w:p>
    <w:p>
      <w:pPr>
        <w:pStyle w:val="TextBody"/>
        <w:ind w:left="0" w:right="0" w:firstLine="720"/>
        <w:jc w:val="both"/>
        <w:rPr>
          <w:caps w:val="false"/>
          <w:smallCaps w:val="false"/>
        </w:rPr>
      </w:pPr>
      <w:r>
        <w:rPr>
          <w:caps w:val="false"/>
          <w:smallCaps w:val="false"/>
        </w:rPr>
        <w:t> </w:t>
      </w:r>
    </w:p>
    <w:tbl>
      <w:tblPr>
        <w:tblW w:w="1623" w:type="dxa"/>
        <w:jc w:val="left"/>
        <w:tblInd w:w="0" w:type="dxa"/>
        <w:tblCellMar>
          <w:top w:w="0" w:type="dxa"/>
          <w:left w:w="0" w:type="dxa"/>
          <w:bottom w:w="0" w:type="dxa"/>
          <w:right w:w="0" w:type="dxa"/>
        </w:tblCellMar>
      </w:tblPr>
      <w:tblGrid>
        <w:gridCol w:w="38"/>
        <w:gridCol w:w="200"/>
        <w:gridCol w:w="138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6.</w:t>
            </w:r>
          </w:p>
        </w:tc>
        <w:tc>
          <w:tcPr>
            <w:tcW w:w="1385" w:type="dxa"/>
            <w:tcBorders/>
            <w:shd w:fill="auto" w:val="clear"/>
            <w:vAlign w:val="center"/>
          </w:tcPr>
          <w:p>
            <w:pPr>
              <w:pStyle w:val="TableContents"/>
              <w:spacing w:before="0" w:after="283"/>
              <w:jc w:val="both"/>
              <w:rPr>
                <w:rFonts w:ascii="Times New Roman;Times;Serif" w:hAnsi="Times New Roman;Times;Serif"/>
                <w:u w:val="single"/>
              </w:rPr>
            </w:pPr>
            <w:r>
              <w:rPr>
                <w:rFonts w:ascii="Times New Roman;Times;Serif" w:hAnsi="Times New Roman;Times;Serif"/>
                <w:u w:val="single"/>
              </w:rPr>
              <w:t>Miscellaneous</w:t>
            </w:r>
          </w:p>
        </w:tc>
      </w:tr>
    </w:tbl>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In the event of a breach by the Company or by the Holder of any of their respective obligations under this Agreement, the Holder or the Company, as the case may be, in addition to being entitled to exercise all rights granted by law and under this Agreement, including recovery of damages, shall be entitled to specific performance of its rights under this Agreement. Each of the Company and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val="false"/>
          <w:i w:val="false"/>
          <w:caps w:val="false"/>
          <w:smallCaps w:val="false"/>
          <w:sz w:val="20"/>
          <w:u w:val="single"/>
        </w:rPr>
        <w:t>Prohibition on Filing Other Registration Statements; Restriction on Sales under Registration Statement</w:t>
      </w:r>
      <w:r>
        <w:rPr>
          <w:rFonts w:ascii="Times New Roman;Times;Serif" w:hAnsi="Times New Roman;Times;Serif"/>
          <w:b w:val="false"/>
          <w:i w:val="false"/>
          <w:caps w:val="false"/>
          <w:smallCaps w:val="false"/>
          <w:sz w:val="20"/>
        </w:rPr>
        <w:t xml:space="preserve">. The Company shall not file any other registration statements until all Registrable Securities are registered pursuant to a Registration Statement that is declared effective by the Commission, provided that this Section 6(a) (i) shall not prohibit the Company from filing amendments to registration statements filed prior to the date of this Agreement, (ii) shall not prohibit the Company from filing a shelf registration statement on Form S-3 for a primary offering </w:t>
      </w:r>
      <w:r>
        <w:rPr>
          <w:rFonts w:ascii="Times New Roman;Times;Serif" w:hAnsi="Times New Roman;Times;Serif"/>
          <w:b w:val="false"/>
          <w:i w:val="false"/>
          <w:caps w:val="false"/>
          <w:smallCaps w:val="false"/>
          <w:spacing w:val="-1"/>
          <w:sz w:val="20"/>
        </w:rPr>
        <w:t>by the Company,</w:t>
      </w:r>
      <w:r>
        <w:rPr>
          <w:rFonts w:ascii="Times New Roman;Times;Serif" w:hAnsi="Times New Roman;Times;Serif"/>
          <w:b w:val="false"/>
          <w:i w:val="false"/>
          <w:caps w:val="false"/>
          <w:smallCaps w:val="false"/>
          <w:sz w:val="20"/>
        </w:rPr>
        <w:t xml:space="preserve"> provided that the Company makes no offering of securities pursuant to such shelf registration statement prior to the effective date of the Registration Statement required hereunder that includes all of the Registrable Securities and (iii) shall not prohibit the Company from filing a registration statement on Form S-8. Notwithstanding anything to the contrary contained in this Agreement, Holder agrees that no sales will be made pursuant to the Registration Statement prior to the sixth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Company’s Annual Report on Form 10-K for the fiscal year ending December 31, 2020 has been filed with the SEC.</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11</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c.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Each Holder covenants and agrees that it will comply with the prospectus delivery requirements of the Securities Act as applicable to it (unless an exemption therefrom is available) in connection with sales of Registrable Securities pursuant to a Registration Statement.</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d. </w:t>
      </w:r>
      <w:r>
        <w:rPr>
          <w:rFonts w:ascii="Times New Roman;Times;Serif" w:hAnsi="Times New Roman;Times;Serif"/>
          <w:b w:val="false"/>
          <w:i w:val="false"/>
          <w:caps w:val="false"/>
          <w:smallCaps w:val="false"/>
          <w:spacing w:val="-1"/>
          <w:sz w:val="20"/>
          <w:u w:val="single"/>
        </w:rPr>
        <w:t>Discontinued Disposition</w:t>
      </w:r>
      <w:r>
        <w:rPr>
          <w:rFonts w:ascii="Times New Roman;Times;Serif" w:hAnsi="Times New Roman;Times;Serif"/>
          <w:b w:val="false"/>
          <w:i w:val="false"/>
          <w:caps w:val="false"/>
          <w:smallCaps w:val="false"/>
          <w:spacing w:val="-1"/>
          <w:sz w:val="20"/>
        </w:rPr>
        <w:t>.</w:t>
      </w:r>
      <w:r>
        <w:rPr>
          <w:rFonts w:ascii="Times New Roman;Times;Serif" w:hAnsi="Times New Roman;Times;Serif"/>
          <w:b w:val="false"/>
          <w:i w:val="false"/>
          <w:caps w:val="false"/>
          <w:smallCaps w:val="false"/>
          <w:sz w:val="20"/>
        </w:rPr>
        <w:t xml:space="preserve">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e.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a majority of the then outstanding Registrable Securities (for purposes of clarification, this includes any Registrable Securities </w:t>
      </w:r>
      <w:r>
        <w:rPr>
          <w:rFonts w:ascii="Times New Roman;Times;Serif" w:hAnsi="Times New Roman;Times;Serif"/>
          <w:b w:val="false"/>
          <w:i w:val="false"/>
          <w:caps w:val="false"/>
          <w:smallCaps w:val="false"/>
          <w:spacing w:val="-1"/>
          <w:sz w:val="20"/>
        </w:rPr>
        <w:t>issuable upon exercise or conversion</w:t>
      </w:r>
      <w:r>
        <w:rPr>
          <w:rFonts w:ascii="Times New Roman;Times;Serif" w:hAnsi="Times New Roman;Times;Serif"/>
          <w:b w:val="false"/>
          <w:i w:val="false"/>
          <w:caps w:val="false"/>
          <w:smallCaps w:val="false"/>
          <w:sz w:val="20"/>
        </w:rPr>
        <w:t xml:space="preserve"> of any Security).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delivered as set forth in the Settlement Agreement.</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12</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g. </w:t>
      </w:r>
      <w:r>
        <w:rPr>
          <w:rFonts w:ascii="Times New Roman;Times;Serif" w:hAnsi="Times New Roman;Times;Serif"/>
          <w:b w:val="false"/>
          <w:i w:val="false"/>
          <w:caps w:val="false"/>
          <w:smallCaps w:val="false"/>
          <w:spacing w:val="-1"/>
          <w:sz w:val="20"/>
          <w:u w:val="single"/>
        </w:rPr>
        <w:t>Successors</w:t>
      </w:r>
      <w:r>
        <w:rPr>
          <w:rFonts w:ascii="Times New Roman;Times;Serif" w:hAnsi="Times New Roman;Times;Serif"/>
          <w:b w:val="false"/>
          <w:i w:val="false"/>
          <w:caps w:val="false"/>
          <w:smallCaps w:val="false"/>
          <w:sz w:val="20"/>
          <w:u w:val="single"/>
        </w:rPr>
        <w:t xml:space="preserve"> and Assigns</w:t>
      </w:r>
      <w:r>
        <w:rPr>
          <w:rFonts w:ascii="Times New Roman;Times;Serif" w:hAnsi="Times New Roman;Times;Serif"/>
          <w:b w:val="false"/>
          <w:i w:val="false"/>
          <w:caps w:val="false"/>
          <w:smallCaps w:val="false"/>
          <w:sz w:val="20"/>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at least a majority of the Holders of the then outstanding Registrable Securities. Purchaser may assign any or all of its rights under this Agreement to any controlled Affiliate, provided that such transferee agrees in writing to be bound, with respect to the transferred Securities, by the provisions of the Transaction Documents that apply to the “Purchaser.”</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h.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xml:space="preserve">. Neither the Company nor any of its Subsidiaries has entered, as of the date hereof, nor shall the Company or any of its Subsidiaries, on or after the date </w:t>
      </w:r>
      <w:r>
        <w:rPr>
          <w:rFonts w:ascii="Times New Roman;Times;Serif" w:hAnsi="Times New Roman;Times;Serif"/>
          <w:b w:val="false"/>
          <w:i w:val="false"/>
          <w:caps w:val="false"/>
          <w:smallCaps w:val="false"/>
          <w:spacing w:val="-1"/>
          <w:sz w:val="20"/>
        </w:rPr>
        <w:t>of this Agreement, enter</w:t>
      </w:r>
      <w:r>
        <w:rPr>
          <w:rFonts w:ascii="Times New Roman;Times;Serif" w:hAnsi="Times New Roman;Times;Serif"/>
          <w:b w:val="false"/>
          <w:i w:val="false"/>
          <w:caps w:val="false"/>
          <w:smallCaps w:val="false"/>
          <w:sz w:val="20"/>
        </w:rPr>
        <w:t xml:space="preserve">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i. </w:t>
      </w:r>
      <w:r>
        <w:rPr>
          <w:rFonts w:ascii="Times New Roman;Times;Serif" w:hAnsi="Times New Roman;Times;Serif"/>
          <w:b w:val="false"/>
          <w:i w:val="false"/>
          <w:caps w:val="false"/>
          <w:smallCaps w:val="false"/>
          <w:sz w:val="20"/>
          <w:u w:val="single"/>
        </w:rPr>
        <w:t>Execution and Counterparts</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j.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determined in accordance with the provisions of the Settlement Agreement.</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k.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other remedies provided by law.</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l.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If any term, provision, covenant or restriction of this Agreement is </w:t>
      </w:r>
      <w:r>
        <w:rPr>
          <w:rFonts w:ascii="Times New Roman;Times;Serif" w:hAnsi="Times New Roman;Times;Serif"/>
          <w:b w:val="false"/>
          <w:i w:val="false"/>
          <w:caps w:val="false"/>
          <w:smallCaps w:val="false"/>
          <w:spacing w:val="-1"/>
          <w:sz w:val="20"/>
        </w:rPr>
        <w:t>held by a court of competent</w:t>
      </w:r>
      <w:r>
        <w:rPr>
          <w:rFonts w:ascii="Times New Roman;Times;Serif" w:hAnsi="Times New Roman;Times;Serif"/>
          <w:b w:val="false"/>
          <w:i w:val="false"/>
          <w:caps w:val="false"/>
          <w:smallCaps w:val="false"/>
          <w:sz w:val="20"/>
        </w:rPr>
        <w:t xml:space="preserve">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m.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convenience only, do not constitute a part of the Agreement and shall not be deemed to limit or affect any of the provisions hereof.</w:t>
      </w:r>
    </w:p>
    <w:p>
      <w:pPr>
        <w:pStyle w:val="TextBody"/>
        <w:ind w:left="0" w:right="0" w:firstLine="720"/>
        <w:jc w:val="both"/>
        <w:rPr>
          <w:caps w:val="false"/>
          <w:smallCaps w:val="false"/>
        </w:rPr>
      </w:pPr>
      <w:r>
        <w:rPr>
          <w:caps w:val="false"/>
          <w:smallCaps w:val="false"/>
        </w:rPr>
        <w:t> </w:t>
      </w:r>
    </w:p>
    <w:p>
      <w:pPr>
        <w:pStyle w:val="TextBody"/>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n. </w:t>
      </w:r>
      <w:r>
        <w:rPr>
          <w:rFonts w:ascii="Times New Roman;Times;Serif" w:hAnsi="Times New Roman;Times;Serif"/>
          <w:b w:val="false"/>
          <w:i w:val="false"/>
          <w:caps w:val="false"/>
          <w:smallCaps w:val="false"/>
          <w:sz w:val="20"/>
          <w:u w:val="single"/>
        </w:rPr>
        <w:t>Independent Nature of Holders’ Obligations and Rights</w:t>
      </w:r>
      <w:r>
        <w:rPr>
          <w:rFonts w:ascii="Times New Roman;Times;Serif" w:hAnsi="Times New Roman;Times;Serif"/>
          <w:b w:val="false"/>
          <w:i w:val="false"/>
          <w:caps w:val="false"/>
          <w:smallCaps w:val="false"/>
          <w:sz w:val="20"/>
        </w:rPr>
        <w:t xml:space="preserve">.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asset any such claim, with respect to such obligations or transactions. Each Holder shall be entitled to protect and enforce its rights, including without </w:t>
      </w:r>
      <w:r>
        <w:rPr>
          <w:rFonts w:ascii="Times New Roman;Times;Serif" w:hAnsi="Times New Roman;Times;Serif"/>
          <w:b w:val="false"/>
          <w:i w:val="false"/>
          <w:caps w:val="false"/>
          <w:smallCaps w:val="false"/>
          <w:spacing w:val="-1"/>
          <w:sz w:val="20"/>
        </w:rPr>
        <w:t xml:space="preserve">limitation </w:t>
      </w:r>
      <w:r>
        <w:rPr>
          <w:rFonts w:ascii="Times New Roman;Times;Serif" w:hAnsi="Times New Roman;Times;Serif"/>
          <w:b w:val="false"/>
          <w:i w:val="false"/>
          <w:caps w:val="false"/>
          <w:smallCaps w:val="false"/>
          <w:sz w:val="20"/>
        </w:rPr>
        <w:t>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ind w:left="0" w:right="0" w:firstLine="720"/>
        <w:jc w:val="center"/>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13</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Registration Rights Agreement as of the date first written above.</w:t>
      </w:r>
    </w:p>
    <w:p>
      <w:pPr>
        <w:pStyle w:val="TextBody"/>
        <w:ind w:left="0" w:right="0" w:firstLine="720"/>
        <w:jc w:val="both"/>
        <w:rPr>
          <w:caps w:val="false"/>
          <w:smallCaps w:val="false"/>
        </w:rPr>
      </w:pPr>
      <w:r>
        <w:rPr>
          <w:caps w:val="false"/>
          <w:smallCaps w:val="false"/>
        </w:rPr>
        <w:t> </w:t>
      </w:r>
    </w:p>
    <w:tbl>
      <w:tblPr>
        <w:tblW w:w="2455" w:type="dxa"/>
        <w:jc w:val="left"/>
        <w:tblInd w:w="0" w:type="dxa"/>
        <w:tblCellMar>
          <w:top w:w="0" w:type="dxa"/>
          <w:left w:w="0" w:type="dxa"/>
          <w:bottom w:w="0" w:type="dxa"/>
          <w:right w:w="0" w:type="dxa"/>
        </w:tblCellMar>
      </w:tblPr>
      <w:tblGrid>
        <w:gridCol w:w="75"/>
        <w:gridCol w:w="320"/>
        <w:gridCol w:w="2060"/>
      </w:tblGrid>
      <w:tr>
        <w:trPr/>
        <w:tc>
          <w:tcPr>
            <w:tcW w:w="75" w:type="dxa"/>
            <w:tcBorders/>
            <w:shd w:fill="auto" w:val="clear"/>
            <w:vAlign w:val="center"/>
          </w:tcPr>
          <w:p>
            <w:pPr>
              <w:pStyle w:val="TableContents"/>
              <w:spacing w:before="0" w:after="283"/>
              <w:rPr/>
            </w:pPr>
            <w:r>
              <w:rPr/>
              <w:t> </w:t>
            </w:r>
          </w:p>
        </w:tc>
        <w:tc>
          <w:tcPr>
            <w:tcW w:w="2380"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REEDS, INC.</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/s/ Norman E. Snyder, Jr.</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Norman E. Snyder, Jr.</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December 11, 2020</w:t>
            </w:r>
          </w:p>
        </w:tc>
      </w:tr>
    </w:tbl>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OF PURCHASER FOLLOWS]</w:t>
      </w:r>
    </w:p>
    <w:p>
      <w:pPr>
        <w:pStyle w:val="TextBody"/>
        <w:ind w:left="0" w:right="0" w:firstLine="720"/>
        <w:jc w:val="center"/>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14</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OF HOLDERS TO REEDS, INC. REGISTRATION RIGHTS AGREEMENT]</w:t>
      </w:r>
    </w:p>
    <w:p>
      <w:pPr>
        <w:pStyle w:val="TextBody"/>
        <w:ind w:left="0" w:right="0" w:firstLine="720"/>
        <w:rPr>
          <w:caps w:val="false"/>
          <w:smallCaps w:val="false"/>
        </w:rPr>
      </w:pPr>
      <w:r>
        <w:rPr>
          <w:caps w:val="false"/>
          <w:smallCaps w:val="false"/>
        </w:rPr>
        <w:t> </w:t>
      </w:r>
    </w:p>
    <w:tbl>
      <w:tblPr>
        <w:tblW w:w="4570" w:type="dxa"/>
        <w:jc w:val="left"/>
        <w:tblInd w:w="0" w:type="dxa"/>
        <w:tblCellMar>
          <w:top w:w="0" w:type="dxa"/>
          <w:left w:w="0" w:type="dxa"/>
          <w:bottom w:w="0" w:type="dxa"/>
          <w:right w:w="0" w:type="dxa"/>
        </w:tblCellMar>
      </w:tblPr>
      <w:tblGrid>
        <w:gridCol w:w="1370"/>
        <w:gridCol w:w="3125"/>
        <w:gridCol w:w="75"/>
      </w:tblGrid>
      <w:tr>
        <w:trPr/>
        <w:tc>
          <w:tcPr>
            <w:tcW w:w="13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of Holder:</w:t>
            </w:r>
          </w:p>
        </w:tc>
        <w:tc>
          <w:tcPr>
            <w:tcW w:w="312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RAPTOR/HARBOR REEDS SPV LLC</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tbl>
      <w:tblPr>
        <w:tblW w:w="6295" w:type="dxa"/>
        <w:jc w:val="left"/>
        <w:tblInd w:w="0" w:type="dxa"/>
        <w:tblCellMar>
          <w:top w:w="0" w:type="dxa"/>
          <w:left w:w="0" w:type="dxa"/>
          <w:bottom w:w="0" w:type="dxa"/>
          <w:right w:w="0" w:type="dxa"/>
        </w:tblCellMar>
      </w:tblPr>
      <w:tblGrid>
        <w:gridCol w:w="3740"/>
        <w:gridCol w:w="2480"/>
        <w:gridCol w:w="75"/>
      </w:tblGrid>
      <w:tr>
        <w:trPr/>
        <w:tc>
          <w:tcPr>
            <w:tcW w:w="37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i/>
                <w:sz w:val="20"/>
              </w:rPr>
              <w:t>Signature of Authorized Signatory of Holder</w:t>
            </w:r>
            <w:r>
              <w:rPr>
                <w:rFonts w:ascii="Times New Roman;Times;Serif" w:hAnsi="Times New Roman;Times;Serif"/>
                <w:sz w:val="20"/>
              </w:rPr>
              <w:t>:</w:t>
            </w:r>
          </w:p>
        </w:tc>
        <w:tc>
          <w:tcPr>
            <w:tcW w:w="2480" w:type="dxa"/>
            <w:tcBorders>
              <w:bottom w:val="single" w:sz="12"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of Authorized Signatory:</w:t>
            </w:r>
          </w:p>
        </w:tc>
        <w:tc>
          <w:tcPr>
            <w:tcW w:w="248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rPr>
            </w:pPr>
            <w:r>
              <w:rPr>
                <w:rFonts w:ascii="Times New Roman;Times;Serif" w:hAnsi="Times New Roman;Times;Serif"/>
              </w:rPr>
              <w:t>ROBERT NEEDHAM</w:t>
            </w:r>
          </w:p>
        </w:tc>
        <w:tc>
          <w:tcPr>
            <w:tcW w:w="75" w:type="dxa"/>
            <w:tcBorders/>
            <w:shd w:fill="auto"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of Authorized Signatory:</w:t>
            </w:r>
          </w:p>
        </w:tc>
        <w:tc>
          <w:tcPr>
            <w:tcW w:w="248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c>
          <w:tcPr>
            <w:tcW w:w="75"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ind w:left="0" w:right="0" w:firstLine="720"/>
        <w:jc w:val="center"/>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15</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Plan of Distribution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(the “</w:t>
      </w:r>
      <w:r>
        <w:rPr>
          <w:rFonts w:ascii="Times New Roman;Times;Serif" w:hAnsi="Times New Roman;Times;Serif"/>
          <w:b w:val="false"/>
          <w:i w:val="false"/>
          <w:caps w:val="false"/>
          <w:smallCaps w:val="false"/>
          <w:sz w:val="20"/>
          <w:u w:val="single"/>
        </w:rPr>
        <w:t>Selling Stockholders</w:t>
      </w:r>
      <w:r>
        <w:rPr>
          <w:rFonts w:ascii="Times New Roman;Times;Serif" w:hAnsi="Times New Roman;Times;Serif"/>
          <w:b w:val="false"/>
          <w:i w:val="false"/>
          <w:caps w:val="false"/>
          <w:smallCaps w:val="false"/>
          <w:sz w:val="20"/>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90"/>
        <w:gridCol w:w="9840"/>
      </w:tblGrid>
      <w:tr>
        <w:trPr/>
        <w:tc>
          <w:tcPr>
            <w:tcW w:w="7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  ]</w:t>
            </w:r>
          </w:p>
        </w:tc>
        <w:tc>
          <w:tcPr>
            <w:tcW w:w="98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8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  ]</w:t>
            </w:r>
          </w:p>
        </w:tc>
        <w:tc>
          <w:tcPr>
            <w:tcW w:w="98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securities as agent but may position and resell a portion of the block as principal to facilitate the transaction;</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8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w:t>
            </w:r>
          </w:p>
        </w:tc>
        <w:tc>
          <w:tcPr>
            <w:tcW w:w="98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pPr>
            <w:r>
              <w:rPr/>
              <w:t> </w:t>
            </w:r>
          </w:p>
        </w:tc>
        <w:tc>
          <w:tcPr>
            <w:tcW w:w="98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w:t>
            </w:r>
          </w:p>
        </w:tc>
        <w:tc>
          <w:tcPr>
            <w:tcW w:w="98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pPr>
            <w:r>
              <w:rPr/>
              <w:t> </w:t>
            </w:r>
          </w:p>
        </w:tc>
        <w:tc>
          <w:tcPr>
            <w:tcW w:w="98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w:t>
            </w:r>
          </w:p>
        </w:tc>
        <w:tc>
          <w:tcPr>
            <w:tcW w:w="98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privately negotiated transactions;</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pPr>
            <w:r>
              <w:rPr/>
              <w:t> </w:t>
            </w:r>
          </w:p>
        </w:tc>
        <w:tc>
          <w:tcPr>
            <w:tcW w:w="98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w:t>
            </w:r>
          </w:p>
        </w:tc>
        <w:tc>
          <w:tcPr>
            <w:tcW w:w="98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settlement of short sales;</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pPr>
            <w:r>
              <w:rPr/>
              <w:t> </w:t>
            </w:r>
          </w:p>
        </w:tc>
        <w:tc>
          <w:tcPr>
            <w:tcW w:w="98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  ]</w:t>
            </w:r>
          </w:p>
        </w:tc>
        <w:tc>
          <w:tcPr>
            <w:tcW w:w="98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 transactions through broker-dealers that agree with the Selling Stockholders to sell a specified number of such securities at a stipulated price per security;</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8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  ]</w:t>
            </w:r>
          </w:p>
        </w:tc>
        <w:tc>
          <w:tcPr>
            <w:tcW w:w="98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8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w:t>
            </w:r>
          </w:p>
        </w:tc>
        <w:tc>
          <w:tcPr>
            <w:tcW w:w="98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 combination of any such methods of sale; or</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pPr>
            <w:r>
              <w:rPr/>
              <w:t> </w:t>
            </w:r>
          </w:p>
        </w:tc>
        <w:tc>
          <w:tcPr>
            <w:tcW w:w="98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w:t>
            </w:r>
          </w:p>
        </w:tc>
        <w:tc>
          <w:tcPr>
            <w:tcW w:w="98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if available, rather than under this prospectus.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16</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Selling Stockholders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Stockholders have advised us that there is no underwriter or coordinating broker acting in connection with the proposed sale of the resale securities by the Selling Stockholders.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earliest of (ii) the fifth anniversary of the Closing Date, (ii)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securities of the common stock by the Selling Stockholders or any other person. We will make copies of this prospectus available to the Selling Stockholders and have informed them of the need to deliver a </w:t>
      </w:r>
      <w:r>
        <w:rPr>
          <w:rFonts w:ascii="Times New Roman;Times;Serif" w:hAnsi="Times New Roman;Times;Serif"/>
          <w:b w:val="false"/>
          <w:i w:val="false"/>
          <w:caps w:val="false"/>
          <w:smallCaps w:val="false"/>
          <w:spacing w:val="-1"/>
          <w:sz w:val="20"/>
        </w:rPr>
        <w:t xml:space="preserve">copy </w:t>
      </w:r>
      <w:r>
        <w:rPr>
          <w:rFonts w:ascii="Times New Roman;Times;Serif" w:hAnsi="Times New Roman;Times;Serif"/>
          <w:b w:val="false"/>
          <w:i w:val="false"/>
          <w:caps w:val="false"/>
          <w:smallCaps w:val="false"/>
          <w:sz w:val="20"/>
        </w:rPr>
        <w:t>of this prospectus to each purchaser at or prior to the time of the sale (including by compliance with Rule 172 under the Securities Act).</w:t>
      </w:r>
    </w:p>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17</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 Notice and Questionnaire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of common stock (the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of Reeds,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understands that the Company has filed or intends to file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registration statement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for the registration and resale under Rule 415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the Registrable Securities, in accordance with the terms of the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(the “</w:t>
      </w:r>
      <w:r>
        <w:rPr>
          <w:rFonts w:ascii="Times New Roman;Times;Serif" w:hAnsi="Times New Roman;Times;Serif"/>
          <w:b w:val="false"/>
          <w:i w:val="false"/>
          <w:caps w:val="false"/>
          <w:smallCaps w:val="false"/>
          <w:sz w:val="20"/>
          <w:u w:val="single"/>
        </w:rPr>
        <w:t>Selling Stockholder</w:t>
      </w:r>
      <w:r>
        <w:rPr>
          <w:rFonts w:ascii="Times New Roman;Times;Serif" w:hAnsi="Times New Roman;Times;Serif"/>
          <w:b w:val="false"/>
          <w:i w:val="false"/>
          <w:caps w:val="false"/>
          <w:smallCaps w:val="false"/>
          <w:sz w:val="20"/>
        </w:rPr>
        <w:t>”) of Registrable Securities hereby elects to include the Registrable Securities owned by it in the Registration Statement.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undersigned</w:t>
      </w:r>
      <w:r>
        <w:rPr>
          <w:rFonts w:ascii="Times New Roman;Times;Serif" w:hAnsi="Times New Roman;Times;Serif"/>
          <w:b w:val="false"/>
          <w:i w:val="false"/>
          <w:caps w:val="false"/>
          <w:smallCaps w:val="false"/>
          <w:sz w:val="20"/>
        </w:rPr>
        <w:t xml:space="preserve"> hereby provides the following information to the Company and represents and warrants that such information is accurate:</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QUESTIONNAIRE</w:t>
      </w:r>
    </w:p>
    <w:p>
      <w:pPr>
        <w:pStyle w:val="TextBody"/>
        <w:ind w:left="0" w:right="0" w:firstLine="720"/>
        <w:jc w:val="both"/>
        <w:rPr>
          <w:caps w:val="false"/>
          <w:smallCaps w:val="false"/>
        </w:rPr>
      </w:pPr>
      <w:r>
        <w:rPr>
          <w:caps w:val="false"/>
          <w:smallCaps w:val="false"/>
        </w:rPr>
        <w:t> </w:t>
      </w:r>
    </w:p>
    <w:tbl>
      <w:tblPr>
        <w:tblW w:w="903" w:type="dxa"/>
        <w:jc w:val="left"/>
        <w:tblInd w:w="0" w:type="dxa"/>
        <w:tblCellMar>
          <w:top w:w="0" w:type="dxa"/>
          <w:left w:w="0" w:type="dxa"/>
          <w:bottom w:w="0" w:type="dxa"/>
          <w:right w:w="0" w:type="dxa"/>
        </w:tblCellMar>
      </w:tblPr>
      <w:tblGrid>
        <w:gridCol w:w="38"/>
        <w:gridCol w:w="200"/>
        <w:gridCol w:w="66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66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Name.</w:t>
            </w:r>
          </w:p>
        </w:tc>
      </w:tr>
    </w:tbl>
    <w:p>
      <w:pPr>
        <w:pStyle w:val="TextBody"/>
        <w:ind w:left="0" w:right="0" w:firstLine="720"/>
        <w:rPr>
          <w:caps w:val="false"/>
          <w:smallCaps w:val="false"/>
        </w:rPr>
      </w:pPr>
      <w:r>
        <w:rPr>
          <w:caps w:val="false"/>
          <w:smallCaps w:val="false"/>
        </w:rPr>
        <w:t> </w:t>
      </w:r>
    </w:p>
    <w:tbl>
      <w:tblPr>
        <w:tblW w:w="9545" w:type="dxa"/>
        <w:jc w:val="center"/>
        <w:tblInd w:w="0" w:type="dxa"/>
        <w:tblCellMar>
          <w:top w:w="0" w:type="dxa"/>
          <w:left w:w="0" w:type="dxa"/>
          <w:bottom w:w="0" w:type="dxa"/>
          <w:right w:w="0" w:type="dxa"/>
        </w:tblCellMar>
      </w:tblPr>
      <w:tblGrid>
        <w:gridCol w:w="9545"/>
      </w:tblGrid>
      <w:tr>
        <w:trPr/>
        <w:tc>
          <w:tcPr>
            <w:tcW w:w="9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 Full Legal Name of Selling Stockholder</w:t>
            </w:r>
          </w:p>
        </w:tc>
      </w:tr>
      <w:tr>
        <w:trPr/>
        <w:tc>
          <w:tcPr>
            <w:tcW w:w="9545" w:type="dxa"/>
            <w:tcBorders/>
            <w:shd w:fill="auto" w:val="clear"/>
            <w:vAlign w:val="center"/>
          </w:tcPr>
          <w:p>
            <w:pPr>
              <w:pStyle w:val="TableContents"/>
              <w:spacing w:before="0" w:after="283"/>
              <w:rPr/>
            </w:pPr>
            <w:r>
              <w:rPr/>
              <w:t> </w:t>
            </w:r>
          </w:p>
        </w:tc>
      </w:tr>
      <w:tr>
        <w:trPr/>
        <w:tc>
          <w:tcPr>
            <w:tcW w:w="95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 Full Legal Name of Registered Holder (if not the same as (a) above) through which Registrable Securities are held:</w:t>
            </w:r>
          </w:p>
        </w:tc>
      </w:tr>
    </w:tbl>
    <w:p>
      <w:pPr>
        <w:pStyle w:val="TextBody"/>
        <w:ind w:left="0" w:right="0" w:firstLine="72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18</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tbl>
      <w:tblPr>
        <w:tblW w:w="10205" w:type="dxa"/>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 Full Legal Name of Natural Control Person (which means a natural person who directly or indirectly alone or with others has power to vote or dispose of the securities covered by this Questionnaire):</w:t>
            </w:r>
          </w:p>
        </w:tc>
      </w:tr>
    </w:tbl>
    <w:p>
      <w:pPr>
        <w:pStyle w:val="TextBody"/>
        <w:ind w:left="0" w:right="0" w:firstLine="720"/>
        <w:jc w:val="both"/>
        <w:rPr>
          <w:caps w:val="false"/>
          <w:smallCaps w:val="false"/>
        </w:rPr>
      </w:pPr>
      <w:r>
        <w:rPr>
          <w:caps w:val="false"/>
          <w:smallCaps w:val="false"/>
        </w:rPr>
        <w:t> </w:t>
      </w:r>
    </w:p>
    <w:tbl>
      <w:tblPr>
        <w:tblW w:w="4383" w:type="dxa"/>
        <w:jc w:val="left"/>
        <w:tblInd w:w="0" w:type="dxa"/>
        <w:tblCellMar>
          <w:top w:w="0" w:type="dxa"/>
          <w:left w:w="0" w:type="dxa"/>
          <w:bottom w:w="0" w:type="dxa"/>
          <w:right w:w="0" w:type="dxa"/>
        </w:tblCellMar>
      </w:tblPr>
      <w:tblGrid>
        <w:gridCol w:w="38"/>
        <w:gridCol w:w="200"/>
        <w:gridCol w:w="414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2.</w:t>
            </w:r>
          </w:p>
        </w:tc>
        <w:tc>
          <w:tcPr>
            <w:tcW w:w="414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Address for Notices to Selling Stockholder:</w:t>
            </w:r>
          </w:p>
        </w:tc>
      </w:tr>
    </w:tbl>
    <w:p>
      <w:pPr>
        <w:pStyle w:val="TextBody"/>
        <w:ind w:left="0" w:right="0" w:firstLine="72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r>
    </w:p>
    <w:p>
      <w:pPr>
        <w:pStyle w:val="TextBody"/>
        <w:ind w:left="0" w:right="0" w:firstLine="72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w:t>
      </w:r>
    </w:p>
    <w:p>
      <w:pPr>
        <w:pStyle w:val="TextBody"/>
        <w:ind w:left="0" w:right="0" w:firstLine="72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w:t>
      </w:r>
    </w:p>
    <w:p>
      <w:pPr>
        <w:pStyle w:val="TextBody"/>
        <w:ind w:left="0" w:right="0" w:firstLine="720"/>
        <w:jc w:val="both"/>
        <w:rPr>
          <w:caps w:val="false"/>
          <w:smallCaps w:val="false"/>
        </w:rPr>
      </w:pPr>
      <w:r>
        <w:rPr>
          <w:caps w:val="false"/>
          <w:smallCaps w:val="false"/>
        </w:rPr>
        <w:t> </w:t>
      </w:r>
    </w:p>
    <w:tbl>
      <w:tblPr>
        <w:tblW w:w="2328" w:type="dxa"/>
        <w:jc w:val="left"/>
        <w:tblInd w:w="0" w:type="dxa"/>
        <w:tblCellMar>
          <w:top w:w="0" w:type="dxa"/>
          <w:left w:w="0" w:type="dxa"/>
          <w:bottom w:w="0" w:type="dxa"/>
          <w:right w:w="0" w:type="dxa"/>
        </w:tblCellMar>
      </w:tblPr>
      <w:tblGrid>
        <w:gridCol w:w="38"/>
        <w:gridCol w:w="200"/>
        <w:gridCol w:w="209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3.</w:t>
            </w:r>
          </w:p>
        </w:tc>
        <w:tc>
          <w:tcPr>
            <w:tcW w:w="209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Broker-Dealer Status:</w:t>
            </w:r>
          </w:p>
        </w:tc>
      </w:tr>
    </w:tbl>
    <w:p>
      <w:pPr>
        <w:pStyle w:val="TextBody"/>
        <w:ind w:left="0" w:right="0" w:firstLine="720"/>
        <w:jc w:val="both"/>
        <w:rPr>
          <w:caps w:val="false"/>
          <w:smallCaps w:val="false"/>
          <w:spacing w:val="-2"/>
        </w:rPr>
      </w:pPr>
      <w:r>
        <w:rPr>
          <w:caps w:val="false"/>
          <w:smallCaps w:val="false"/>
          <w:spacing w:val="-2"/>
        </w:rPr>
        <w:t> </w:t>
      </w:r>
    </w:p>
    <w:tbl>
      <w:tblPr>
        <w:tblW w:w="2611" w:type="dxa"/>
        <w:jc w:val="left"/>
        <w:tblInd w:w="0" w:type="dxa"/>
        <w:tblCellMar>
          <w:top w:w="0" w:type="dxa"/>
          <w:left w:w="0" w:type="dxa"/>
          <w:bottom w:w="0" w:type="dxa"/>
          <w:right w:w="0" w:type="dxa"/>
        </w:tblCellMar>
      </w:tblPr>
      <w:tblGrid>
        <w:gridCol w:w="38"/>
        <w:gridCol w:w="273"/>
        <w:gridCol w:w="2300"/>
      </w:tblGrid>
      <w:tr>
        <w:trPr/>
        <w:tc>
          <w:tcPr>
            <w:tcW w:w="38"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rFonts w:ascii="Times New Roman;Times;Serif" w:hAnsi="Times New Roman;Times;Serif"/>
                <w:spacing w:val="-2"/>
              </w:rPr>
            </w:pPr>
            <w:r>
              <w:rPr>
                <w:rFonts w:ascii="Times New Roman;Times;Serif" w:hAnsi="Times New Roman;Times;Serif"/>
                <w:spacing w:val="-2"/>
              </w:rPr>
              <w:t>(a)</w:t>
            </w:r>
          </w:p>
        </w:tc>
        <w:tc>
          <w:tcPr>
            <w:tcW w:w="230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Are you a broker-dealer</w:t>
            </w:r>
          </w:p>
        </w:tc>
      </w:tr>
    </w:tbl>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             No [  ]</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69"/>
        <w:gridCol w:w="9898"/>
      </w:tblGrid>
      <w:tr>
        <w:trPr/>
        <w:tc>
          <w:tcPr>
            <w:tcW w:w="3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rFonts w:ascii="Times New Roman;Times;Serif" w:hAnsi="Times New Roman;Times;Serif"/>
                <w:spacing w:val="-2"/>
              </w:rPr>
            </w:pPr>
            <w:r>
              <w:rPr>
                <w:rFonts w:ascii="Times New Roman;Times;Serif" w:hAnsi="Times New Roman;Times;Serif"/>
                <w:spacing w:val="-2"/>
              </w:rPr>
              <w:t>(b)</w:t>
            </w:r>
          </w:p>
        </w:tc>
        <w:tc>
          <w:tcPr>
            <w:tcW w:w="989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If “yes” to Section 3(a), did you receive your Registrable Securities as compensation for investment banking services to the Company?</w:t>
            </w:r>
          </w:p>
        </w:tc>
      </w:tr>
    </w:tbl>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             No [  ]</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9"/>
        <w:gridCol w:w="527"/>
        <w:gridCol w:w="9629"/>
      </w:tblGrid>
      <w:tr>
        <w:trPr/>
        <w:tc>
          <w:tcPr>
            <w:tcW w:w="49" w:type="dxa"/>
            <w:tcBorders/>
            <w:shd w:fill="auto" w:val="clear"/>
            <w:vAlign w:val="center"/>
          </w:tcPr>
          <w:p>
            <w:pPr>
              <w:pStyle w:val="TableContents"/>
              <w:spacing w:before="0" w:after="283"/>
              <w:ind w:left="0" w:right="0" w:hanging="200"/>
              <w:rPr/>
            </w:pPr>
            <w:r>
              <w:rPr/>
              <w:t> </w:t>
            </w:r>
          </w:p>
        </w:tc>
        <w:tc>
          <w:tcPr>
            <w:tcW w:w="52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Note:</w:t>
            </w:r>
          </w:p>
        </w:tc>
        <w:tc>
          <w:tcPr>
            <w:tcW w:w="9629"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If “no” to Section 3(b), the Commission’s staff has indicated that you should be identified as an underwriter in the Registration Statement.</w:t>
            </w:r>
          </w:p>
        </w:tc>
      </w:tr>
    </w:tbl>
    <w:p>
      <w:pPr>
        <w:pStyle w:val="TextBody"/>
        <w:ind w:left="0" w:right="0" w:firstLine="720"/>
        <w:jc w:val="both"/>
        <w:rPr>
          <w:caps w:val="false"/>
          <w:smallCaps w:val="false"/>
        </w:rPr>
      </w:pPr>
      <w:r>
        <w:rPr>
          <w:caps w:val="false"/>
          <w:smallCaps w:val="false"/>
        </w:rPr>
        <w:t> </w:t>
      </w:r>
    </w:p>
    <w:tbl>
      <w:tblPr>
        <w:tblW w:w="4021" w:type="dxa"/>
        <w:jc w:val="left"/>
        <w:tblInd w:w="0" w:type="dxa"/>
        <w:tblCellMar>
          <w:top w:w="0" w:type="dxa"/>
          <w:left w:w="0" w:type="dxa"/>
          <w:bottom w:w="0" w:type="dxa"/>
          <w:right w:w="0" w:type="dxa"/>
        </w:tblCellMar>
      </w:tblPr>
      <w:tblGrid>
        <w:gridCol w:w="38"/>
        <w:gridCol w:w="273"/>
        <w:gridCol w:w="3710"/>
      </w:tblGrid>
      <w:tr>
        <w:trPr/>
        <w:tc>
          <w:tcPr>
            <w:tcW w:w="38"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rFonts w:ascii="Times New Roman;Times;Serif" w:hAnsi="Times New Roman;Times;Serif"/>
                <w:spacing w:val="-2"/>
              </w:rPr>
            </w:pPr>
            <w:r>
              <w:rPr>
                <w:rFonts w:ascii="Times New Roman;Times;Serif" w:hAnsi="Times New Roman;Times;Serif"/>
                <w:spacing w:val="-2"/>
              </w:rPr>
              <w:t>(c)</w:t>
            </w:r>
          </w:p>
        </w:tc>
        <w:tc>
          <w:tcPr>
            <w:tcW w:w="371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Are you an affiliate of a broker-dealer?</w:t>
            </w:r>
          </w:p>
        </w:tc>
      </w:tr>
    </w:tbl>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             No [  ]</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4"/>
        <w:gridCol w:w="9933"/>
      </w:tblGrid>
      <w:tr>
        <w:trPr/>
        <w:tc>
          <w:tcPr>
            <w:tcW w:w="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rFonts w:ascii="Times New Roman;Times;Serif" w:hAnsi="Times New Roman;Times;Serif"/>
                <w:spacing w:val="-2"/>
              </w:rPr>
            </w:pPr>
            <w:r>
              <w:rPr>
                <w:rFonts w:ascii="Times New Roman;Times;Serif" w:hAnsi="Times New Roman;Times;Serif"/>
                <w:spacing w:val="-2"/>
              </w:rPr>
              <w:t>(d)</w:t>
            </w:r>
          </w:p>
        </w:tc>
        <w:tc>
          <w:tcPr>
            <w:tcW w:w="993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bl>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             No [  ]</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9"/>
        <w:gridCol w:w="527"/>
        <w:gridCol w:w="9629"/>
      </w:tblGrid>
      <w:tr>
        <w:trPr/>
        <w:tc>
          <w:tcPr>
            <w:tcW w:w="49" w:type="dxa"/>
            <w:tcBorders/>
            <w:shd w:fill="auto" w:val="clear"/>
            <w:vAlign w:val="center"/>
          </w:tcPr>
          <w:p>
            <w:pPr>
              <w:pStyle w:val="TableContents"/>
              <w:spacing w:before="0" w:after="283"/>
              <w:ind w:left="0" w:right="0" w:hanging="200"/>
              <w:rPr/>
            </w:pPr>
            <w:r>
              <w:rPr/>
              <w:t> </w:t>
            </w:r>
          </w:p>
        </w:tc>
        <w:tc>
          <w:tcPr>
            <w:tcW w:w="52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Note:</w:t>
            </w:r>
          </w:p>
        </w:tc>
        <w:tc>
          <w:tcPr>
            <w:tcW w:w="9629"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If “no” to Section 3(d), the Commission’s staff has indicated that you should be identified as an underwriter in the Registration Statement.</w:t>
            </w:r>
          </w:p>
        </w:tc>
      </w:tr>
    </w:tbl>
    <w:p>
      <w:pPr>
        <w:pStyle w:val="TextBody"/>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19</w:t>
            </w:r>
          </w:p>
        </w:tc>
      </w:tr>
    </w:tbl>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0" w:right="0" w:firstLine="720"/>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tbl>
      <w:tblPr>
        <w:tblW w:w="8553" w:type="dxa"/>
        <w:jc w:val="left"/>
        <w:tblInd w:w="0" w:type="dxa"/>
        <w:tblCellMar>
          <w:top w:w="0" w:type="dxa"/>
          <w:left w:w="0" w:type="dxa"/>
          <w:bottom w:w="0" w:type="dxa"/>
          <w:right w:w="0" w:type="dxa"/>
        </w:tblCellMar>
      </w:tblPr>
      <w:tblGrid>
        <w:gridCol w:w="38"/>
        <w:gridCol w:w="200"/>
        <w:gridCol w:w="831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4.</w:t>
            </w:r>
          </w:p>
        </w:tc>
        <w:tc>
          <w:tcPr>
            <w:tcW w:w="831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Beneficial Ownership of Securities of the Company Owned by the Selling Stockholder.</w:t>
            </w:r>
          </w:p>
        </w:tc>
      </w:tr>
    </w:tbl>
    <w:p>
      <w:pPr>
        <w:pStyle w:val="TextBody"/>
        <w:ind w:left="0" w:right="0" w:firstLine="720"/>
        <w:jc w:val="both"/>
        <w:rPr>
          <w:caps w:val="false"/>
          <w:smallCaps w:val="false"/>
        </w:rPr>
      </w:pPr>
      <w:r>
        <w:rPr>
          <w:caps w:val="false"/>
          <w:smallCaps w:val="false"/>
        </w:rPr>
        <w:t> </w:t>
      </w:r>
    </w:p>
    <w:p>
      <w:pPr>
        <w:pStyle w:val="TextBody"/>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in this Item 4, the undersigned is not the beneficial or registered owner of any securities of the Company other than the securities issuable pursuant to the Settlement Agreement.</w:t>
      </w:r>
    </w:p>
    <w:p>
      <w:pPr>
        <w:pStyle w:val="TextBody"/>
        <w:ind w:left="0" w:right="0" w:firstLine="720"/>
        <w:jc w:val="both"/>
        <w:rPr>
          <w:caps w:val="false"/>
          <w:smallCaps w:val="false"/>
        </w:rPr>
      </w:pPr>
      <w:r>
        <w:rPr>
          <w:caps w:val="false"/>
          <w:smallCaps w:val="false"/>
        </w:rPr>
        <w:t> </w:t>
      </w:r>
    </w:p>
    <w:tbl>
      <w:tblPr>
        <w:tblW w:w="8296" w:type="dxa"/>
        <w:jc w:val="left"/>
        <w:tblInd w:w="0" w:type="dxa"/>
        <w:tblCellMar>
          <w:top w:w="0" w:type="dxa"/>
          <w:left w:w="0" w:type="dxa"/>
          <w:bottom w:w="0" w:type="dxa"/>
          <w:right w:w="0" w:type="dxa"/>
        </w:tblCellMar>
      </w:tblPr>
      <w:tblGrid>
        <w:gridCol w:w="38"/>
        <w:gridCol w:w="273"/>
        <w:gridCol w:w="7985"/>
      </w:tblGrid>
      <w:tr>
        <w:trPr/>
        <w:tc>
          <w:tcPr>
            <w:tcW w:w="38"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rFonts w:ascii="Times New Roman;Times;Serif" w:hAnsi="Times New Roman;Times;Serif"/>
                <w:spacing w:val="-2"/>
              </w:rPr>
            </w:pPr>
            <w:r>
              <w:rPr>
                <w:rFonts w:ascii="Times New Roman;Times;Serif" w:hAnsi="Times New Roman;Times;Serif"/>
                <w:spacing w:val="-2"/>
              </w:rPr>
              <w:t>(a)</w:t>
            </w:r>
          </w:p>
        </w:tc>
        <w:tc>
          <w:tcPr>
            <w:tcW w:w="798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Type and Amount of other securities beneficially owned by the Selling Stockholder:</w:t>
            </w:r>
          </w:p>
        </w:tc>
      </w:tr>
    </w:tbl>
    <w:p>
      <w:pPr>
        <w:pStyle w:val="TextBody"/>
        <w:ind w:left="0" w:right="0" w:firstLine="720"/>
        <w:jc w:val="both"/>
        <w:rPr>
          <w:caps w:val="false"/>
          <w:smallCaps w:val="false"/>
        </w:rPr>
      </w:pPr>
      <w:r>
        <w:rPr>
          <w:caps w:val="false"/>
          <w:smallCaps w:val="false"/>
        </w:rPr>
        <w:t> </w:t>
      </w:r>
    </w:p>
    <w:tbl>
      <w:tblPr>
        <w:tblW w:w="4383" w:type="dxa"/>
        <w:jc w:val="left"/>
        <w:tblInd w:w="0" w:type="dxa"/>
        <w:tblCellMar>
          <w:top w:w="0" w:type="dxa"/>
          <w:left w:w="0" w:type="dxa"/>
          <w:bottom w:w="0" w:type="dxa"/>
          <w:right w:w="0" w:type="dxa"/>
        </w:tblCellMar>
      </w:tblPr>
      <w:tblGrid>
        <w:gridCol w:w="38"/>
        <w:gridCol w:w="200"/>
        <w:gridCol w:w="414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5.</w:t>
            </w:r>
          </w:p>
        </w:tc>
        <w:tc>
          <w:tcPr>
            <w:tcW w:w="414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Address for Notices to Selling Stockholder:</w:t>
            </w:r>
          </w:p>
        </w:tc>
      </w:tr>
    </w:tbl>
    <w:p>
      <w:pPr>
        <w:pStyle w:val="TextBody"/>
        <w:ind w:left="0" w:right="0" w:firstLine="720"/>
        <w:jc w:val="both"/>
        <w:rPr>
          <w:caps w:val="false"/>
          <w:smallCaps w:val="false"/>
        </w:rPr>
      </w:pPr>
      <w:r>
        <w:rPr>
          <w:caps w:val="false"/>
          <w:smallCaps w:val="false"/>
        </w:rPr>
        <w:t> </w:t>
      </w:r>
    </w:p>
    <w:p>
      <w:pPr>
        <w:pStyle w:val="TextBody"/>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promptly notify the Company of any inaccuracies or changes in the information provided herein that may occur subsequent to the date hereof at any time while the Registration Statement remains effective.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Notice and Questionnaire to be executed and delivered either in person or by its duly authorized agent.</w:t>
      </w:r>
    </w:p>
    <w:p>
      <w:pPr>
        <w:pStyle w:val="TextBody"/>
        <w:ind w:left="0" w:right="0" w:firstLine="720"/>
        <w:jc w:val="both"/>
        <w:rPr>
          <w:caps w:val="false"/>
          <w:smallCaps w:val="false"/>
        </w:rPr>
      </w:pPr>
      <w:r>
        <w:rPr>
          <w:caps w:val="false"/>
          <w:smallCaps w:val="false"/>
        </w:rPr>
        <w:t> </w:t>
      </w:r>
    </w:p>
    <w:tbl>
      <w:tblPr>
        <w:tblW w:w="1525" w:type="dxa"/>
        <w:jc w:val="left"/>
        <w:tblInd w:w="0" w:type="dxa"/>
        <w:tblCellMar>
          <w:top w:w="0" w:type="dxa"/>
          <w:left w:w="0" w:type="dxa"/>
          <w:bottom w:w="0" w:type="dxa"/>
          <w:right w:w="0" w:type="dxa"/>
        </w:tblCellMar>
      </w:tblPr>
      <w:tblGrid>
        <w:gridCol w:w="470"/>
        <w:gridCol w:w="60"/>
        <w:gridCol w:w="60"/>
        <w:gridCol w:w="860"/>
        <w:gridCol w:w="75"/>
      </w:tblGrid>
      <w:tr>
        <w:trPr/>
        <w:tc>
          <w:tcPr>
            <w:tcW w:w="470" w:type="dxa"/>
            <w:tcBorders/>
            <w:shd w:fill="auto" w:val="clear"/>
            <w:vAlign w:val="center"/>
          </w:tcPr>
          <w:p>
            <w:pPr>
              <w:pStyle w:val="TableContents"/>
              <w:spacing w:lineRule="atLeast" w:line="266" w:before="0" w:after="283"/>
              <w:rPr>
                <w:rFonts w:ascii="Times New Roman;Times;Serif" w:hAnsi="Times New Roman;Times;Serif"/>
                <w:sz w:val="20"/>
              </w:rPr>
            </w:pPr>
            <w:r>
              <w:rPr>
                <w:rFonts w:ascii="Times New Roman;Times;Serif" w:hAnsi="Times New Roman;Times;Serif"/>
                <w:sz w:val="20"/>
              </w:rPr>
              <w:t>Date:</w:t>
            </w:r>
          </w:p>
        </w:tc>
        <w:tc>
          <w:tcPr>
            <w:tcW w:w="60" w:type="dxa"/>
            <w:tcBorders/>
            <w:shd w:fill="auto" w:val="clear"/>
            <w:vAlign w:val="center"/>
          </w:tcPr>
          <w:p>
            <w:pPr>
              <w:pStyle w:val="TableContents"/>
              <w:spacing w:lineRule="atLeast" w:line="266" w:before="0" w:after="283"/>
              <w:rPr/>
            </w:pPr>
            <w:r>
              <w:rPr/>
              <w:t> </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lineRule="atLeast" w:line="266" w:before="0" w:after="283"/>
              <w:rPr>
                <w:rFonts w:ascii="Times New Roman;Times;Serif" w:hAnsi="Times New Roman;Times;Serif"/>
                <w:sz w:val="20"/>
              </w:rPr>
            </w:pPr>
            <w:r>
              <w:rPr>
                <w:rFonts w:ascii="Times New Roman;Times;Serif" w:hAnsi="Times New Roman;Times;Serif"/>
                <w:sz w:val="20"/>
              </w:rPr>
              <w:t>Beneficial</w:t>
            </w:r>
          </w:p>
        </w:tc>
        <w:tc>
          <w:tcPr>
            <w:tcW w:w="75" w:type="dxa"/>
            <w:tcBorders/>
            <w:shd w:fill="auto" w:val="clear"/>
            <w:vAlign w:val="center"/>
          </w:tcPr>
          <w:p>
            <w:pPr>
              <w:pStyle w:val="TableContents"/>
              <w:spacing w:lineRule="atLeast" w:line="266" w:before="0" w:after="283"/>
              <w:rPr/>
            </w:pPr>
            <w:r>
              <w:rPr/>
              <w:t> </w:t>
            </w:r>
          </w:p>
        </w:tc>
      </w:tr>
      <w:tr>
        <w:trPr/>
        <w:tc>
          <w:tcPr>
            <w:tcW w:w="470" w:type="dxa"/>
            <w:tcBorders/>
            <w:shd w:fill="auto" w:val="clear"/>
            <w:vAlign w:val="center"/>
          </w:tcPr>
          <w:p>
            <w:pPr>
              <w:pStyle w:val="TableContents"/>
              <w:spacing w:lineRule="atLeast" w:line="261"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lineRule="atLeast" w:line="261" w:before="0" w:after="283"/>
              <w:rPr/>
            </w:pPr>
            <w:r>
              <w:rPr/>
              <w:t> </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lineRule="atLeast" w:line="261" w:before="0" w:after="283"/>
              <w:rPr>
                <w:rFonts w:ascii="Times New Roman;Times;Serif" w:hAnsi="Times New Roman;Times;Serif"/>
                <w:sz w:val="20"/>
              </w:rPr>
            </w:pPr>
            <w:r>
              <w:rPr>
                <w:rFonts w:ascii="Times New Roman;Times;Serif" w:hAnsi="Times New Roman;Times;Serif"/>
                <w:sz w:val="20"/>
              </w:rPr>
              <w:t>Owner:</w:t>
            </w:r>
          </w:p>
        </w:tc>
        <w:tc>
          <w:tcPr>
            <w:tcW w:w="75" w:type="dxa"/>
            <w:tcBorders>
              <w:bottom w:val="single" w:sz="12" w:space="0" w:color="000000"/>
            </w:tcBorders>
            <w:shd w:fill="auto" w:val="clear"/>
            <w:tcMar>
              <w:bottom w:w="28" w:type="dxa"/>
            </w:tcMar>
            <w:vAlign w:val="center"/>
          </w:tcPr>
          <w:p>
            <w:pPr>
              <w:pStyle w:val="TableContents"/>
              <w:spacing w:lineRule="atLeast" w:line="261" w:before="0" w:after="283"/>
              <w:rPr/>
            </w:pPr>
            <w:r>
              <w:rPr/>
              <w:t> </w:t>
            </w:r>
          </w:p>
        </w:tc>
      </w:tr>
      <w:tr>
        <w:trPr/>
        <w:tc>
          <w:tcPr>
            <w:tcW w:w="4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75" w:type="dxa"/>
            <w:tcBorders>
              <w:bottom w:val="single" w:sz="12" w:space="0" w:color="000000"/>
            </w:tcBorders>
            <w:shd w:fill="auto" w:val="clear"/>
            <w:tcMar>
              <w:bottom w:w="28" w:type="dxa"/>
            </w:tcMar>
            <w:vAlign w:val="center"/>
          </w:tcPr>
          <w:p>
            <w:pPr>
              <w:pStyle w:val="TableContents"/>
              <w:spacing w:before="0" w:after="283"/>
              <w:rPr/>
            </w:pPr>
            <w:r>
              <w:rPr/>
              <w:t> </w:t>
            </w:r>
          </w:p>
        </w:tc>
      </w:tr>
      <w:tr>
        <w:trPr/>
        <w:tc>
          <w:tcPr>
            <w:tcW w:w="4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75" w:type="dxa"/>
            <w:tcBorders/>
            <w:shd w:fill="auto" w:val="clear"/>
            <w:vAlign w:val="center"/>
          </w:tcPr>
          <w:p>
            <w:pPr>
              <w:pStyle w:val="TableContents"/>
              <w:spacing w:before="0" w:after="283"/>
              <w:rPr/>
            </w:pPr>
            <w:r>
              <w:rPr/>
              <w:t> </w:t>
            </w:r>
          </w:p>
        </w:tc>
      </w:tr>
      <w:tr>
        <w:trPr/>
        <w:tc>
          <w:tcPr>
            <w:tcW w:w="4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75"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FAX A COPY (OR EMAIL A .PDF COPY) OF THE COMPLETED AND EXECUTED NOTICE AND QUESTIONNAIRE, AND RETURN THE ORIGINAL BY OVERNIGHT MAIL, TO:</w:t>
      </w:r>
    </w:p>
    <w:p>
      <w:pPr>
        <w:pStyle w:val="TextBody"/>
        <w:ind w:left="0" w:right="0" w:firstLine="720"/>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Libertas Law Group, Inc.</w:t>
      </w:r>
    </w:p>
    <w:p>
      <w:pPr>
        <w:pStyle w:val="TextBody"/>
        <w:ind w:left="0" w:right="0" w:firstLine="720"/>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Ruba Qashu</w:t>
      </w:r>
    </w:p>
    <w:p>
      <w:pPr>
        <w:pStyle w:val="TextBody"/>
        <w:ind w:left="0" w:right="0" w:firstLine="720"/>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Santa Monica Boulevard, 5th Floor</w:t>
      </w:r>
    </w:p>
    <w:p>
      <w:pPr>
        <w:pStyle w:val="TextBody"/>
        <w:ind w:left="0" w:right="0" w:firstLine="720"/>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Monica, CA 90401</w:t>
      </w:r>
    </w:p>
    <w:p>
      <w:pPr>
        <w:pStyle w:val="TextBody"/>
        <w:ind w:left="0" w:right="0" w:firstLine="720"/>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(310) 356-1922</w:t>
      </w:r>
    </w:p>
    <w:p>
      <w:pPr>
        <w:pStyle w:val="TextBody"/>
        <w:ind w:left="0" w:right="0" w:firstLine="720"/>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ruba@libertaslaw.com</w:t>
      </w:r>
    </w:p>
    <w:p>
      <w:pPr>
        <w:pStyle w:val="TextBody"/>
        <w:ind w:left="0" w:right="0" w:firstLine="720"/>
        <w:jc w:val="center"/>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60"/>
        <w:gridCol w:w="2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20</w:t>
            </w:r>
          </w:p>
        </w:tc>
      </w:tr>
    </w:tbl>
    <w:p>
      <w:pPr>
        <w:pStyle w:val="TextBody"/>
        <w:ind w:left="0" w:right="0" w:firstLine="720"/>
        <w:rPr>
          <w:caps w:val="false"/>
          <w:smallCaps w:val="false"/>
        </w:rPr>
      </w:pPr>
      <w:r>
        <w:rPr>
          <w:caps w:val="false"/>
          <w:smallCaps w:val="false"/>
        </w:rPr>
        <w:t> </w:t>
      </w:r>
      <w:r>
        <w:br w:type="page"/>
      </w:r>
    </w:p>
    <w:p>
      <w:pPr>
        <w:pStyle w:val="TextBody"/>
        <w:spacing w:before="0" w:after="0"/>
        <w:jc w:val="center"/>
        <w:rPr>
          <w:caps w:val="false"/>
          <w:smallCaps w:val="false"/>
        </w:rPr>
      </w:pPr>
      <w:bookmarkStart w:id="923" w:name="ex10-3.htm"/>
      <w:bookmarkStart w:id="924" w:name="ksex103"/>
      <w:bookmarkEnd w:id="923"/>
      <w:bookmarkEnd w:id="924"/>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ROSENTHAL &amp; ROSENTHAL, INC.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 Broadway</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Merritt 7 Corporate Park</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Financing Agreement entered into between us dated October 4, 2018, as amended and/or supplemented (the “</w:t>
      </w:r>
      <w:r>
        <w:rPr>
          <w:rFonts w:ascii="Times New Roman;Times;Serif" w:hAnsi="Times New Roman;Times;Serif"/>
          <w:b/>
          <w:i w:val="false"/>
          <w:caps w:val="false"/>
          <w:smallCaps w:val="false"/>
          <w:sz w:val="20"/>
        </w:rPr>
        <w:t>Financing Agreement</w:t>
      </w:r>
      <w:r>
        <w:rPr>
          <w:rFonts w:ascii="Times New Roman;Times;Serif" w:hAnsi="Times New Roman;Times;Serif"/>
          <w:b w:val="false"/>
          <w:i w:val="false"/>
          <w:caps w:val="false"/>
          <w:smallCaps w:val="false"/>
          <w:sz w:val="20"/>
        </w:rPr>
        <w:t>”). Capitalized terms used herein and not otherwise defined shall have the meanings set forth in the Financing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hereby amends the Financing Agreement as follows:</w:t>
      </w:r>
    </w:p>
    <w:p>
      <w:pPr>
        <w:pStyle w:val="TextBody"/>
        <w:spacing w:before="0" w:after="0"/>
        <w:ind w:left="0" w:right="0" w:hanging="0"/>
        <w:jc w:val="both"/>
        <w:rPr>
          <w:caps w:val="false"/>
          <w:smallCaps w:val="false"/>
        </w:rPr>
      </w:pPr>
      <w:r>
        <w:rPr>
          <w:caps w:val="false"/>
          <w:smallCaps w:val="false"/>
        </w:rPr>
        <w:t> </w:t>
      </w:r>
    </w:p>
    <w:tbl>
      <w:tblPr>
        <w:tblW w:w="7240" w:type="dxa"/>
        <w:jc w:val="left"/>
        <w:tblInd w:w="0" w:type="dxa"/>
        <w:tblCellMar>
          <w:top w:w="0" w:type="dxa"/>
          <w:left w:w="0" w:type="dxa"/>
          <w:bottom w:w="0" w:type="dxa"/>
          <w:right w:w="0" w:type="dxa"/>
        </w:tblCellMar>
      </w:tblPr>
      <w:tblGrid>
        <w:gridCol w:w="75"/>
        <w:gridCol w:w="170"/>
        <w:gridCol w:w="6995"/>
      </w:tblGrid>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of the Financing Agreement is hereby amended, in its entirety, as follows: </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Collateral Documents</w:t>
      </w:r>
      <w:r>
        <w:rPr>
          <w:rFonts w:ascii="Times New Roman;Times;Serif" w:hAnsi="Times New Roman;Times;Serif"/>
          <w:b w:val="false"/>
          <w:i w:val="false"/>
          <w:caps w:val="false"/>
          <w:smallCaps w:val="false"/>
          <w:sz w:val="20"/>
        </w:rPr>
        <w:t>” shall mean any and all security agreements, deposit account control agreements, mortgages and other documents executed and delivered to Lender to secure the Obligations including but not limited to the Pledged Securities, the Pledge Agreement executed by John J. Bello and Nancy E. Bello, as Co-Trustees of THE JOHN AND NANCY BELLO REVOCABLE LIVING TRUST, under agreement dated December 3, 2012, executed contemporaneously with this Agreement (“</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 and the Control Agreement defined in the Pledge Agreement.”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8"/>
        <w:gridCol w:w="9992"/>
      </w:tblGrid>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3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is deleted in its entirety and all references to Intercreditor Agreement in the Financing Agreement are hereby deleted by virtue of Satisfaction, Settlement and Release of Claims dated December 11, 2020 and Termination Agreement dated December 23, 2020 which provided for, among other things, the payment in full of the defined Junior Lender Indebtedness. </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38"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992"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3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1.17 is deleted in its entirety, and the following is added as a new Section 1.31(a): </w:t>
            </w:r>
          </w:p>
        </w:tc>
      </w:tr>
    </w:tbl>
    <w:p>
      <w:pPr>
        <w:pStyle w:val="TextBody"/>
        <w:spacing w:before="0" w:after="0"/>
        <w:ind w:left="10" w:right="0" w:hanging="1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1.31(a) “</w:t>
      </w:r>
      <w:r>
        <w:rPr>
          <w:rFonts w:ascii="Times New Roman;Times;Serif" w:hAnsi="Times New Roman;Times;Serif"/>
          <w:b/>
          <w:i w:val="false"/>
          <w:caps w:val="false"/>
          <w:smallCaps w:val="false"/>
          <w:sz w:val="20"/>
        </w:rPr>
        <w:t>Pledged Securities”</w:t>
      </w:r>
      <w:r>
        <w:rPr>
          <w:rFonts w:ascii="Times New Roman;Times;Serif" w:hAnsi="Times New Roman;Times;Serif"/>
          <w:b w:val="false"/>
          <w:i w:val="false"/>
          <w:caps w:val="false"/>
          <w:smallCaps w:val="false"/>
          <w:sz w:val="20"/>
        </w:rPr>
        <w:t xml:space="preserve"> shall have the meaning set forth in Section 2.1”</w:t>
      </w:r>
    </w:p>
    <w:p>
      <w:pPr>
        <w:pStyle w:val="TextBody"/>
        <w:spacing w:before="0" w:after="0"/>
        <w:ind w:left="10" w:right="0" w:hanging="10"/>
        <w:jc w:val="both"/>
        <w:rPr>
          <w:caps w:val="false"/>
          <w:smallCaps w:val="false"/>
        </w:rPr>
      </w:pPr>
      <w:r>
        <w:rPr>
          <w:caps w:val="false"/>
          <w:smallCaps w:val="false"/>
        </w:rPr>
        <w:t> </w:t>
      </w:r>
    </w:p>
    <w:tbl>
      <w:tblPr>
        <w:tblW w:w="6400" w:type="dxa"/>
        <w:jc w:val="left"/>
        <w:tblInd w:w="0" w:type="dxa"/>
        <w:tblCellMar>
          <w:top w:w="0" w:type="dxa"/>
          <w:left w:w="0" w:type="dxa"/>
          <w:bottom w:w="0" w:type="dxa"/>
          <w:right w:w="0" w:type="dxa"/>
        </w:tblCellMar>
      </w:tblPr>
      <w:tblGrid>
        <w:gridCol w:w="75"/>
        <w:gridCol w:w="170"/>
        <w:gridCol w:w="6155"/>
      </w:tblGrid>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 is amended and restated in its entirety so as to read as follows: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xml:space="preserve"> shall mean, collectively, this Agreement, the Pledged Securities, the Collateral Documents, and each guaranty, certificate, agreement, or document now or hereafter executed by Borrower or any of its future guarantors and delivered to Lender in connection with the foregoing or as they may be amended.”</w:t>
      </w:r>
    </w:p>
    <w:p>
      <w:pPr>
        <w:pStyle w:val="TextBody"/>
        <w:spacing w:before="0" w:after="0"/>
        <w:ind w:left="72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720" w:right="0" w:hanging="0"/>
        <w:jc w:val="both"/>
        <w:rPr>
          <w:caps w:val="false"/>
          <w:smallCaps w:val="false"/>
        </w:rPr>
      </w:pPr>
      <w:r>
        <w:rPr>
          <w:caps w:val="false"/>
          <w:smallCaps w:val="false"/>
        </w:rPr>
        <w:t> </w:t>
      </w:r>
    </w:p>
    <w:tbl>
      <w:tblPr>
        <w:tblW w:w="7465" w:type="dxa"/>
        <w:jc w:val="left"/>
        <w:tblInd w:w="0" w:type="dxa"/>
        <w:tblCellMar>
          <w:top w:w="0" w:type="dxa"/>
          <w:left w:w="0" w:type="dxa"/>
          <w:bottom w:w="0" w:type="dxa"/>
          <w:right w:w="0" w:type="dxa"/>
        </w:tblCellMar>
      </w:tblPr>
      <w:tblGrid>
        <w:gridCol w:w="75"/>
        <w:gridCol w:w="170"/>
        <w:gridCol w:w="7220"/>
      </w:tblGrid>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2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(B) (y) is hereby amended and restated in its entirety so as to read as follows: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.(y) an amount equal to one million five hundred thousand dollars ($1,500,000) provided that the Obligations are secured by the value of securities having a fair market value determined by Lender on the date of this amendment of not less than two million dollars ($2,000,000) and at all times thereafter of not less than one million seven hundred sixty-five thousand dollars ($1,765,000) pledged to Lender by John J. Bello and Nancy E. Bello, as Co-Trustees of THE JOHN AND NANCY BELLO REVOCABLE LIVING TRUST, under agreement dated December 3, 2012, held in account #1134-4851 at Charles Schwab &amp; Co., Inc., evidenced by that certain Pledge Agreement, and as to which Pledged Securities Lender has a first and only perfected security interest by the Control Agreement in form and substance acceptable to Lender (the “</w:t>
      </w:r>
      <w:r>
        <w:rPr>
          <w:rFonts w:ascii="Times New Roman;Times;Serif" w:hAnsi="Times New Roman;Times;Serif"/>
          <w:b/>
          <w:i w:val="false"/>
          <w:caps w:val="false"/>
          <w:smallCaps w:val="false"/>
          <w:sz w:val="20"/>
        </w:rPr>
        <w:t>Pledged Securities</w:t>
      </w:r>
      <w:r>
        <w:rPr>
          <w:rFonts w:ascii="Times New Roman;Times;Serif" w:hAnsi="Times New Roman;Times;Serif"/>
          <w:b w:val="false"/>
          <w:i w:val="false"/>
          <w:caps w:val="false"/>
          <w:smallCaps w:val="false"/>
          <w:sz w:val="20"/>
        </w:rPr>
        <w:t>”), minus such reserves as Lender may deem, in its sole discretion, to be necessary from time to time.”</w:t>
      </w:r>
    </w:p>
    <w:p>
      <w:pPr>
        <w:pStyle w:val="TextBody"/>
        <w:spacing w:before="0" w:after="0"/>
        <w:ind w:left="0" w:right="0" w:hanging="0"/>
        <w:jc w:val="both"/>
        <w:rPr>
          <w:caps w:val="false"/>
          <w:smallCaps w:val="false"/>
        </w:rPr>
      </w:pPr>
      <w:r>
        <w:rPr>
          <w:caps w:val="false"/>
          <w:smallCaps w:val="false"/>
        </w:rPr>
        <w:t> </w:t>
      </w:r>
    </w:p>
    <w:tbl>
      <w:tblPr>
        <w:tblW w:w="6438" w:type="dxa"/>
        <w:jc w:val="left"/>
        <w:tblInd w:w="0" w:type="dxa"/>
        <w:tblCellMar>
          <w:top w:w="0" w:type="dxa"/>
          <w:left w:w="0" w:type="dxa"/>
          <w:bottom w:w="0" w:type="dxa"/>
          <w:right w:w="0" w:type="dxa"/>
        </w:tblCellMar>
      </w:tblPr>
      <w:tblGrid>
        <w:gridCol w:w="38"/>
        <w:gridCol w:w="170"/>
        <w:gridCol w:w="62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2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4.1(v) is amended and restated in its entirety so as to read as follows: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 all accounts, instruments, chattel paper, documents, general intangibles, deposit accounts, investment property, and the Pledged Securities, and all letter of credit rights, whether or not arising out of the sale of goods or rendition of services, and including choses in action, causes of action, tax refunds (and claims), and reversions from terminated pension plans……”</w:t>
      </w:r>
    </w:p>
    <w:p>
      <w:pPr>
        <w:pStyle w:val="TextBody"/>
        <w:spacing w:before="0" w:after="0"/>
        <w:ind w:left="720" w:right="0" w:hanging="0"/>
        <w:jc w:val="both"/>
        <w:rPr>
          <w:caps w:val="false"/>
          <w:smallCaps w:val="false"/>
        </w:rPr>
      </w:pPr>
      <w:r>
        <w:rPr>
          <w:caps w:val="false"/>
          <w:smallCaps w:val="false"/>
        </w:rPr>
        <w:t> </w:t>
      </w:r>
    </w:p>
    <w:tbl>
      <w:tblPr>
        <w:tblW w:w="6483" w:type="dxa"/>
        <w:jc w:val="left"/>
        <w:tblInd w:w="0" w:type="dxa"/>
        <w:tblCellMar>
          <w:top w:w="0" w:type="dxa"/>
          <w:left w:w="0" w:type="dxa"/>
          <w:bottom w:w="0" w:type="dxa"/>
          <w:right w:w="0" w:type="dxa"/>
        </w:tblCellMar>
      </w:tblPr>
      <w:tblGrid>
        <w:gridCol w:w="38"/>
        <w:gridCol w:w="170"/>
        <w:gridCol w:w="627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2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(2) is amended and restated in its entirety so as to read as follows: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 if any person or party who has pledged, granted, issued or arranged collateral security or the Pledged Securities for the Obligations (a “</w:t>
      </w:r>
      <w:r>
        <w:rPr>
          <w:rFonts w:ascii="Times New Roman;Times;Serif" w:hAnsi="Times New Roman;Times;Serif"/>
          <w:b/>
          <w:i w:val="false"/>
          <w:caps w:val="false"/>
          <w:smallCaps w:val="false"/>
          <w:sz w:val="20"/>
        </w:rPr>
        <w:t>Pledgor</w:t>
      </w:r>
      <w:r>
        <w:rPr>
          <w:rFonts w:ascii="Times New Roman;Times;Serif" w:hAnsi="Times New Roman;Times;Serif"/>
          <w:b w:val="false"/>
          <w:i w:val="false"/>
          <w:caps w:val="false"/>
          <w:smallCaps w:val="false"/>
          <w:sz w:val="20"/>
        </w:rPr>
        <w:t>”), shall die, dissolve, liquidate, terminate or attempt to terminate its obligations; or if there shall be any breach by such person or party of, or any default of, any of the terms, covenants, conditions or provisions of any agreement by which Lender is secured or has a perfected security interest in such Collateral; or if a material portion of any Collateral or the Pledged Securities for the Obligations is destroyed or lost or rendered valueless or no longer subject to insurance……”</w:t>
      </w:r>
    </w:p>
    <w:p>
      <w:pPr>
        <w:pStyle w:val="TextBody"/>
        <w:spacing w:before="0" w:after="0"/>
        <w:ind w:left="720" w:right="0" w:hanging="0"/>
        <w:jc w:val="both"/>
        <w:rPr>
          <w:caps w:val="false"/>
          <w:smallCaps w:val="false"/>
        </w:rPr>
      </w:pPr>
      <w:r>
        <w:rPr>
          <w:caps w:val="false"/>
          <w:smallCaps w:val="false"/>
        </w:rPr>
        <w:t> </w:t>
      </w:r>
    </w:p>
    <w:tbl>
      <w:tblPr>
        <w:tblW w:w="2898" w:type="dxa"/>
        <w:jc w:val="left"/>
        <w:tblInd w:w="0" w:type="dxa"/>
        <w:tblCellMar>
          <w:top w:w="0" w:type="dxa"/>
          <w:left w:w="0" w:type="dxa"/>
          <w:bottom w:w="0" w:type="dxa"/>
          <w:right w:w="0" w:type="dxa"/>
        </w:tblCellMar>
      </w:tblPr>
      <w:tblGrid>
        <w:gridCol w:w="38"/>
        <w:gridCol w:w="170"/>
        <w:gridCol w:w="26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6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(9) is hereby deleted.</w:t>
            </w:r>
          </w:p>
        </w:tc>
      </w:tr>
    </w:tbl>
    <w:p>
      <w:pPr>
        <w:pStyle w:val="TextBody"/>
        <w:spacing w:before="0" w:after="0"/>
        <w:ind w:left="1080" w:right="0" w:hanging="0"/>
        <w:jc w:val="both"/>
        <w:rPr>
          <w:caps w:val="false"/>
          <w:smallCaps w:val="false"/>
        </w:rPr>
      </w:pPr>
      <w:r>
        <w:rPr>
          <w:caps w:val="false"/>
          <w:smallCaps w:val="false"/>
        </w:rPr>
        <w:t> </w:t>
      </w:r>
    </w:p>
    <w:tbl>
      <w:tblPr>
        <w:tblW w:w="3003" w:type="dxa"/>
        <w:jc w:val="left"/>
        <w:tblInd w:w="0" w:type="dxa"/>
        <w:tblCellMar>
          <w:top w:w="0" w:type="dxa"/>
          <w:left w:w="0" w:type="dxa"/>
          <w:bottom w:w="0" w:type="dxa"/>
          <w:right w:w="0" w:type="dxa"/>
        </w:tblCellMar>
      </w:tblPr>
      <w:tblGrid>
        <w:gridCol w:w="38"/>
        <w:gridCol w:w="17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(10) is hereby deleted.</w:t>
            </w:r>
          </w:p>
        </w:tc>
      </w:tr>
    </w:tbl>
    <w:p>
      <w:pPr>
        <w:pStyle w:val="TextBody"/>
        <w:spacing w:before="0" w:after="0"/>
        <w:ind w:left="720" w:right="0" w:hanging="0"/>
        <w:jc w:val="both"/>
        <w:rPr>
          <w:caps w:val="false"/>
          <w:smallCaps w:val="false"/>
        </w:rPr>
      </w:pPr>
      <w:r>
        <w:rPr>
          <w:caps w:val="false"/>
          <w:smallCaps w:val="false"/>
        </w:rPr>
        <w:t> </w:t>
      </w:r>
    </w:p>
    <w:tbl>
      <w:tblPr>
        <w:tblW w:w="6693" w:type="dxa"/>
        <w:jc w:val="left"/>
        <w:tblInd w:w="0" w:type="dxa"/>
        <w:tblCellMar>
          <w:top w:w="0" w:type="dxa"/>
          <w:left w:w="0" w:type="dxa"/>
          <w:bottom w:w="0" w:type="dxa"/>
          <w:right w:w="0" w:type="dxa"/>
        </w:tblCellMar>
      </w:tblPr>
      <w:tblGrid>
        <w:gridCol w:w="38"/>
        <w:gridCol w:w="275"/>
        <w:gridCol w:w="6380"/>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3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(11) is amended and restated in its entirety so as to read as follows:</w:t>
            </w:r>
          </w:p>
        </w:tc>
      </w:tr>
    </w:tbl>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5"/>
        <w:gridCol w:w="9922"/>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2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fair market value of the Pledged Securities as determined by Lender is less than one million seven hundred sixty-five thousand dollars ( $1,765,000) and is not restored within three (3) business days to a value of two million dollars ($2,000,000) in substance satisfactory to Lender as provided in the Pledge Agreement;</w:t>
            </w:r>
          </w:p>
        </w:tc>
      </w:tr>
    </w:tbl>
    <w:p>
      <w:pPr>
        <w:pStyle w:val="TextBody"/>
        <w:spacing w:before="0" w:after="0"/>
        <w:ind w:left="720" w:right="0" w:hanging="0"/>
        <w:jc w:val="both"/>
        <w:rPr>
          <w:caps w:val="false"/>
          <w:smallCaps w:val="false"/>
        </w:rPr>
      </w:pPr>
      <w:r>
        <w:rPr>
          <w:caps w:val="false"/>
          <w:smallCaps w:val="false"/>
        </w:rPr>
        <w:t> </w:t>
      </w:r>
    </w:p>
    <w:tbl>
      <w:tblPr>
        <w:tblW w:w="3633" w:type="dxa"/>
        <w:jc w:val="left"/>
        <w:tblInd w:w="0" w:type="dxa"/>
        <w:tblCellMar>
          <w:top w:w="0" w:type="dxa"/>
          <w:left w:w="0" w:type="dxa"/>
          <w:bottom w:w="0" w:type="dxa"/>
          <w:right w:w="0" w:type="dxa"/>
        </w:tblCellMar>
      </w:tblPr>
      <w:tblGrid>
        <w:gridCol w:w="38"/>
        <w:gridCol w:w="275"/>
        <w:gridCol w:w="3320"/>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33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(12) is deleted in its entirety.</w:t>
            </w:r>
          </w:p>
        </w:tc>
      </w:tr>
    </w:tbl>
    <w:p>
      <w:pPr>
        <w:pStyle w:val="TextBody"/>
        <w:spacing w:before="0" w:after="0"/>
        <w:ind w:left="720" w:right="0" w:hanging="0"/>
        <w:jc w:val="both"/>
        <w:rPr>
          <w:caps w:val="false"/>
          <w:smallCaps w:val="false"/>
        </w:rPr>
      </w:pPr>
      <w:r>
        <w:rPr>
          <w:caps w:val="false"/>
          <w:smallCaps w:val="false"/>
        </w:rPr>
        <w:t> </w:t>
      </w:r>
    </w:p>
    <w:tbl>
      <w:tblPr>
        <w:tblW w:w="7743" w:type="dxa"/>
        <w:jc w:val="left"/>
        <w:tblInd w:w="0" w:type="dxa"/>
        <w:tblCellMar>
          <w:top w:w="0" w:type="dxa"/>
          <w:left w:w="0" w:type="dxa"/>
          <w:bottom w:w="0" w:type="dxa"/>
          <w:right w:w="0" w:type="dxa"/>
        </w:tblCellMar>
      </w:tblPr>
      <w:tblGrid>
        <w:gridCol w:w="38"/>
        <w:gridCol w:w="275"/>
        <w:gridCol w:w="7430"/>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4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9.1(ii) is amended and restated to the extent set forth below so as to read as follows: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(ii) Lender shall have the right (in addition to any other rights Lender may have under this Agreement or otherwise) without further notice or demand to Borrower, to enforce payment of any Receivables or Collateral, to settle, compromise, or release in whole or in part, any amounts owing on Receivables or Collateral, to prosecute any action, suit or proceeding with respect to Receivables or Collateral, to extend the time of payment of any and all Receivables or Collateral, to make allowances and adjustments with respect thereto, to issue credits in Lender’s name or Borrower’s, to require additional Collateral, to reduce the amount of the Permitted Overadvance, to reduce the amount of Loan Availability, to exercise any other remedies set forth in the Loan Documents, to sell, assign and deliver the Receivables or Collateral (or any part thereof) and any returned, reclaimed or repossessed merchandise or other property held by Lender or by Borrower for Lender’s account, at public or private sale, at broker’s board, for cash, upon credit or otherwise, at Lender’s sole option and discretion, and Lender may bid or become purchaser at any such sale if public, free from any right of redemption which is hereby expressly waived. Borrower agrees that the giving of five days’ notice by Lender, sent by ordinary mail, postage prepaid, to the mailing address of Borrower set forth in this Agreement, designating the place and time of any public sale or the time after which any private sale or other intended disposition of the Receivables or Collateral or any other security held by Lender is to be made, shall be deemed to be reasonable notice thereof and Borrower waives any other notice with respect thereto… .”</w:t>
      </w:r>
    </w:p>
    <w:p>
      <w:pPr>
        <w:pStyle w:val="TextBody"/>
        <w:spacing w:before="0" w:after="0"/>
        <w:ind w:left="0" w:right="0" w:hanging="0"/>
        <w:jc w:val="both"/>
        <w:rPr>
          <w:caps w:val="false"/>
          <w:smallCaps w:val="false"/>
        </w:rPr>
      </w:pPr>
      <w:r>
        <w:rPr>
          <w:caps w:val="false"/>
          <w:smallCaps w:val="false"/>
        </w:rPr>
        <w:t> </w:t>
      </w:r>
    </w:p>
    <w:tbl>
      <w:tblPr>
        <w:tblW w:w="6423" w:type="dxa"/>
        <w:jc w:val="left"/>
        <w:tblInd w:w="0" w:type="dxa"/>
        <w:tblCellMar>
          <w:top w:w="0" w:type="dxa"/>
          <w:left w:w="0" w:type="dxa"/>
          <w:bottom w:w="0" w:type="dxa"/>
          <w:right w:w="0" w:type="dxa"/>
        </w:tblCellMar>
      </w:tblPr>
      <w:tblGrid>
        <w:gridCol w:w="38"/>
        <w:gridCol w:w="275"/>
        <w:gridCol w:w="6110"/>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1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 is amended and restated in its entirety so as to read as follows:</w:t>
            </w:r>
          </w:p>
        </w:tc>
      </w:tr>
    </w:tbl>
    <w:p>
      <w:pPr>
        <w:pStyle w:val="TextBody"/>
        <w:spacing w:before="0" w:after="0"/>
        <w:ind w:left="1080" w:right="0" w:hanging="0"/>
        <w:jc w:val="both"/>
        <w:rPr>
          <w:caps w:val="false"/>
          <w:smallCaps w:val="false"/>
        </w:rPr>
      </w:pPr>
      <w:r>
        <w:rPr>
          <w:caps w:val="false"/>
          <w:smallCaps w:val="false"/>
        </w:rPr>
        <w:t> </w:t>
      </w:r>
    </w:p>
    <w:tbl>
      <w:tblPr>
        <w:tblW w:w="4975" w:type="dxa"/>
        <w:jc w:val="center"/>
        <w:tblInd w:w="0" w:type="dxa"/>
        <w:tblCellMar>
          <w:top w:w="0" w:type="dxa"/>
          <w:left w:w="0" w:type="dxa"/>
          <w:bottom w:w="0" w:type="dxa"/>
          <w:right w:w="0" w:type="dxa"/>
        </w:tblCellMar>
      </w:tblPr>
      <w:tblGrid>
        <w:gridCol w:w="2360"/>
        <w:gridCol w:w="60"/>
        <w:gridCol w:w="2555"/>
      </w:tblGrid>
      <w:tr>
        <w:trPr/>
        <w:tc>
          <w:tcPr>
            <w:tcW w:w="23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Lender: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Borrower:</w:t>
            </w:r>
          </w:p>
        </w:tc>
      </w:tr>
      <w:tr>
        <w:trPr/>
        <w:tc>
          <w:tcPr>
            <w:tcW w:w="23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5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3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Rosenthal &amp; Rosenthal, Inc.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Reed’s Inc. </w:t>
            </w:r>
          </w:p>
        </w:tc>
      </w:tr>
      <w:tr>
        <w:trPr/>
        <w:tc>
          <w:tcPr>
            <w:tcW w:w="23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1370 Broadway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Merritt 7 Corporate Park</w:t>
            </w:r>
          </w:p>
        </w:tc>
      </w:tr>
      <w:tr>
        <w:trPr/>
        <w:tc>
          <w:tcPr>
            <w:tcW w:w="23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New York 10018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Norwalk, Connecticut 06851 </w:t>
            </w:r>
          </w:p>
        </w:tc>
      </w:tr>
      <w:tr>
        <w:trPr/>
        <w:tc>
          <w:tcPr>
            <w:tcW w:w="23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Attn: Robert Miller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Attn: Thomas J. Spisak </w:t>
            </w:r>
          </w:p>
        </w:tc>
      </w:tr>
      <w:tr>
        <w:trPr/>
        <w:tc>
          <w:tcPr>
            <w:tcW w:w="23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Facsimile: (212) 356-0989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5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tspisak@Reedsinc.com </w:t>
            </w:r>
          </w:p>
        </w:tc>
      </w:tr>
    </w:tbl>
    <w:p>
      <w:pPr>
        <w:pStyle w:val="TextBody"/>
        <w:spacing w:before="0" w:after="0"/>
        <w:ind w:left="10" w:right="0" w:hanging="10"/>
        <w:jc w:val="both"/>
        <w:rPr>
          <w:caps w:val="false"/>
          <w:smallCaps w:val="false"/>
        </w:rPr>
      </w:pPr>
      <w:r>
        <w:rPr>
          <w:caps w:val="false"/>
          <w:smallCaps w:val="false"/>
        </w:rPr>
        <w:t> </w:t>
      </w:r>
    </w:p>
    <w:tbl>
      <w:tblPr>
        <w:tblW w:w="6355" w:type="dxa"/>
        <w:jc w:val="center"/>
        <w:tblInd w:w="0" w:type="dxa"/>
        <w:tblCellMar>
          <w:top w:w="0" w:type="dxa"/>
          <w:left w:w="0" w:type="dxa"/>
          <w:bottom w:w="0" w:type="dxa"/>
          <w:right w:w="0" w:type="dxa"/>
        </w:tblCellMar>
      </w:tblPr>
      <w:tblGrid>
        <w:gridCol w:w="3515"/>
        <w:gridCol w:w="60"/>
        <w:gridCol w:w="2780"/>
      </w:tblGrid>
      <w:tr>
        <w:trPr/>
        <w:tc>
          <w:tcPr>
            <w:tcW w:w="35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a copy to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r>
      <w:tr>
        <w:trPr/>
        <w:tc>
          <w:tcPr>
            <w:tcW w:w="35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5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Becker &amp; Poliakoff LLP Paul H. Shur, Esq.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Libertas Law Group Inc. </w:t>
            </w:r>
          </w:p>
        </w:tc>
      </w:tr>
      <w:tr>
        <w:trPr/>
        <w:tc>
          <w:tcPr>
            <w:tcW w:w="35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Broadway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Ruba Qashu </w:t>
            </w:r>
          </w:p>
        </w:tc>
      </w:tr>
      <w:tr>
        <w:trPr/>
        <w:tc>
          <w:tcPr>
            <w:tcW w:w="3515" w:type="dxa"/>
            <w:tcBorders/>
            <w:shd w:fill="auto" w:val="clear"/>
            <w:vAlign w:val="center"/>
          </w:tcPr>
          <w:p>
            <w:pPr>
              <w:pStyle w:val="TableContents"/>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17</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 xml:space="preserve">Floor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Santa Monica Blvd.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tc>
      </w:tr>
      <w:tr>
        <w:trPr/>
        <w:tc>
          <w:tcPr>
            <w:tcW w:w="35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New York 10006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Santa Monica, CA 90401 </w:t>
            </w:r>
          </w:p>
        </w:tc>
      </w:tr>
      <w:tr>
        <w:trPr/>
        <w:tc>
          <w:tcPr>
            <w:tcW w:w="35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pshur@beckerlawyers.com</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Email:ruba@libertaslaw.com </w:t>
            </w:r>
          </w:p>
        </w:tc>
      </w:tr>
    </w:tbl>
    <w:p>
      <w:pPr>
        <w:pStyle w:val="TextBody"/>
        <w:spacing w:before="0" w:after="0"/>
        <w:ind w:left="108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Left Intentionally Blank-Signature Page Follows</w:t>
      </w:r>
      <w:r>
        <w:rPr>
          <w:rFonts w:ascii="Times New Roman;Times;Serif" w:hAnsi="Times New Roman;Times;Serif"/>
          <w:b w:val="false"/>
          <w:i w:val="false"/>
          <w:caps w:val="false"/>
          <w:smallCaps w:val="false"/>
          <w:sz w:val="20"/>
        </w:rPr>
        <w:t>]</w:t>
      </w:r>
    </w:p>
    <w:p>
      <w:pPr>
        <w:pStyle w:val="TextBody"/>
        <w:spacing w:before="0" w:after="0"/>
        <w:ind w:left="108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hereinabove specifically set forth, all of the terms and conditions of the Financing Agreement remain in full force and effect and shall continue unmodified.</w:t>
      </w:r>
    </w:p>
    <w:p>
      <w:pPr>
        <w:pStyle w:val="TextBody"/>
        <w:spacing w:before="0" w:after="0"/>
        <w:ind w:left="698" w:right="0" w:hanging="0"/>
        <w:jc w:val="center"/>
        <w:rPr>
          <w:caps w:val="false"/>
          <w:smallCaps w:val="false"/>
        </w:rPr>
      </w:pPr>
      <w:r>
        <w:rPr>
          <w:caps w:val="false"/>
          <w:smallCaps w:val="false"/>
        </w:rPr>
        <w:t> </w:t>
      </w:r>
    </w:p>
    <w:tbl>
      <w:tblPr>
        <w:tblW w:w="6659" w:type="dxa"/>
        <w:jc w:val="left"/>
        <w:tblInd w:w="0" w:type="dxa"/>
        <w:tblCellMar>
          <w:top w:w="0" w:type="dxa"/>
          <w:left w:w="0" w:type="dxa"/>
          <w:bottom w:w="0" w:type="dxa"/>
          <w:right w:w="0" w:type="dxa"/>
        </w:tblCellMar>
      </w:tblPr>
      <w:tblGrid>
        <w:gridCol w:w="335"/>
        <w:gridCol w:w="3020"/>
        <w:gridCol w:w="60"/>
        <w:gridCol w:w="473"/>
        <w:gridCol w:w="2771"/>
      </w:tblGrid>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244"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Very truly yours, </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244"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244" w:type="dxa"/>
            <w:gridSpan w:val="2"/>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ROSENTHAL &amp; ROSENTHAL, INC. </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244" w:type="dxa"/>
            <w:gridSpan w:val="2"/>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71"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Ian Brown</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Brown, Vice President</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5" w:type="dxa"/>
            <w:gridSpan w:val="2"/>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5" w:type="dxa"/>
            <w:gridSpan w:val="2"/>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REED’S INC.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 CEO</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J. Spisak</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3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0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Spisak, CFO and Secretary</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7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771"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118" w:right="118" w:hanging="0"/>
        <w:jc w:val="right"/>
        <w:rPr>
          <w:caps w:val="false"/>
          <w:smallCaps w:val="false"/>
        </w:rPr>
      </w:pPr>
      <w:bookmarkStart w:id="925" w:name="ex10-8.htm"/>
      <w:bookmarkStart w:id="926" w:name="ksex108"/>
      <w:bookmarkEnd w:id="925"/>
      <w:bookmarkEnd w:id="926"/>
      <w:r>
        <w:rPr>
          <w:caps w:val="false"/>
          <w:smallCaps w:val="false"/>
        </w:rPr>
        <w:t> </w:t>
      </w:r>
    </w:p>
    <w:p>
      <w:pPr>
        <w:pStyle w:val="TextBody"/>
        <w:spacing w:before="0" w:after="0"/>
        <w:ind w:left="118" w:right="11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10.8</w:t>
      </w:r>
    </w:p>
    <w:p>
      <w:pPr>
        <w:pStyle w:val="TextBody"/>
        <w:spacing w:before="0" w:after="0"/>
        <w:ind w:left="118" w:right="118" w:hanging="0"/>
        <w:jc w:val="right"/>
        <w:rPr>
          <w:caps w:val="false"/>
          <w:smallCaps w:val="false"/>
        </w:rPr>
      </w:pPr>
      <w:r>
        <w:rPr>
          <w:caps w:val="false"/>
          <w:smallCaps w:val="false"/>
        </w:rPr>
        <w:t> </w:t>
      </w:r>
    </w:p>
    <w:p>
      <w:pPr>
        <w:pStyle w:val="TextBody"/>
        <w:spacing w:before="0" w:after="0"/>
        <w:ind w:left="118" w:right="118"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OF AMENDMENT TO FINANCING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of Amendment to Financing Agreement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is effective December 23, 2020 by and between </w:t>
      </w:r>
      <w:r>
        <w:rPr>
          <w:rFonts w:ascii="Times New Roman;Times;Serif" w:hAnsi="Times New Roman;Times;Serif"/>
          <w:b/>
          <w:i w:val="false"/>
          <w:caps w:val="false"/>
          <w:smallCaps w:val="false"/>
          <w:sz w:val="20"/>
        </w:rPr>
        <w:t>ROSENTHAL &amp; ROSENTHAL, INC.</w:t>
      </w:r>
      <w:r>
        <w:rPr>
          <w:rFonts w:ascii="Times New Roman;Times;Serif" w:hAnsi="Times New Roman;Times;Serif"/>
          <w:b w:val="false"/>
          <w:i w:val="false"/>
          <w:caps w:val="false"/>
          <w:smallCaps w:val="false"/>
          <w:sz w:val="20"/>
        </w:rPr>
        <w:t>, a New York corporation, with an address at 1370 Broadway, New York, New York 10018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REED’S INC.</w:t>
      </w:r>
      <w:r>
        <w:rPr>
          <w:rFonts w:ascii="Times New Roman;Times;Serif" w:hAnsi="Times New Roman;Times;Serif"/>
          <w:b w:val="false"/>
          <w:i w:val="false"/>
          <w:caps w:val="false"/>
          <w:smallCaps w:val="false"/>
          <w:sz w:val="20"/>
        </w:rPr>
        <w:t>, a Delaware corporation, with an address at 201 Merritt 7 Corporate Park, Norwalk, Connecticut 06851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RECITALS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and Borrower have executed a Financing Agreement dated October 4, 2018 (“</w:t>
      </w:r>
      <w:r>
        <w:rPr>
          <w:rFonts w:ascii="Times New Roman;Times;Serif" w:hAnsi="Times New Roman;Times;Serif"/>
          <w:b/>
          <w:i w:val="false"/>
          <w:caps w:val="false"/>
          <w:smallCaps w:val="false"/>
          <w:sz w:val="20"/>
        </w:rPr>
        <w:t>Financing Agreement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has requested an amendment to the Financing Agreement and Lender has agreed to such modification as set forth in this Amendment.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NOW, THEREFORE, </w:t>
      </w:r>
      <w:r>
        <w:rPr>
          <w:rFonts w:ascii="Times New Roman;Times;Serif" w:hAnsi="Times New Roman;Times;Serif"/>
          <w:b w:val="false"/>
          <w:i w:val="false"/>
          <w:caps w:val="false"/>
          <w:smallCaps w:val="false"/>
          <w:sz w:val="20"/>
        </w:rPr>
        <w:t>in consideration of the promises, covenants and understandings set forth in this Amendment and the benefits to be received from the performance of such promises, covenants and understandings, and for other good and valuable consideration, the receipt and sufficiency of which is hereby acknowledged, the parties agree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Lender and Borrower reaffirm, consent and agree to all of the terms and conditions of the Financing Agreement and the Loan Documents defined therein as binding, effective and enforceable according to their stated terms, except to the extent that such Loan Documents are hereby expressly modified by this Amendment.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any ambiguity or inconsistency between the Loan Documents and this Amendment, the language and interpretation of this Amendment is to be deemed binding and paramount.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Loan Documents (and any exhibits thereto) are hereby amended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82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As to the Financing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540" w:right="0" w:hanging="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definition of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is hereby amended to include this Amendment.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540" w:right="0" w:hanging="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u w:val="single"/>
        </w:rPr>
        <w:t>Section 9.1 (12)</w:t>
      </w:r>
      <w:r>
        <w:rPr>
          <w:rFonts w:ascii="Times New Roman;Times;Serif" w:hAnsi="Times New Roman;Times;Serif"/>
          <w:b w:val="false"/>
          <w:i w:val="false"/>
          <w:caps w:val="false"/>
          <w:smallCaps w:val="false"/>
          <w:sz w:val="20"/>
        </w:rPr>
        <w:t xml:space="preserve"> is amended to read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540" w:right="1544"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(12) if the LC is not extended or renewed to Lender’s satisfaction within sixty (60) days prior to any Renewal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Borrower represents and warrants that there are no Defaults or Events of Default pursuant to or defined in any of the Loan Documents, and that all warranties and covenants which have been made or performed by Borrower in connection with the Loan Documents were true and complete when made or performed.</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Except as otherwise provided herein, the Loan Documents shall continue in full force and effect, in accordance with their respective terms. The parties hereto hereby expressly confirm and reaffirm all of their respective liabilities, obligations, duties and responsibilities under and pursuant to said Loan Documents and consent to the terms of this Amendment. Capitalized terms used in this Amendment which are not otherwise defined herein have the meaning ascribed thereto in the Loan Documents.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parties agree to sign, deliver and file any additional documents and take any other actions that may reasonably be required by Lender including, but not limited to, affidavits, resolutions, or certificates for a full and complete consummation of the matters covered by this Amendment.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Amendment is binding upon, inures to the benefit of, and is enforceable by the heirs, personal representatives, successors and assigns of the parties. This Amendment is not assignable by Borrower without the prior written consent of Lender.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This Amendment may only be changed or amended by a written agreement signed by all of the parties. By the execution of this Amendment, Lender is not to be deemed to consent to any future amendment to the Loan Documents. This Amendment is deemed to be part of and integrated into the Loan Documents.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This Amendment is governed by and is to be construed and enforced in accordance with the laws of New York as though made and to be fully performed in New York (without regard to the conflicts of law rules of New York).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Borrower agrees to pay all attorneys’ fees and other costs incurred by Lender or otherwise payable in connection with this Amendment (in addition to those otherwise payable pursuant to the Loan Documents), which fees and costs are to be paid as of the date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This Amendment may be executed in any number of counterparts, each of which when so executed is deemed to be an original and all of which taken together constitute but one and the same agreement. Delivery of an executed counterpart of this Amendment by telefacsimile or other electronic method of transmission shall be equally as effective as delivery of an original executed counterpart 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1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BORROWER, FOR ITSELF, ITS SUBSIDIARIES (IF ANY) AND LENDER HEREBY WAIVE ALL RIGHTS TO A TRIAL BY JURY IN ANY LITIGATION RELATING TO THIS AMENDMENT OR THE LOAN DOCUMENTS AS AN INDUCEMENT TO THE EXECUTION OF THIS AMENDMENT.</w:t>
      </w:r>
    </w:p>
    <w:p>
      <w:pPr>
        <w:pStyle w:val="TextBody"/>
        <w:spacing w:before="0" w:after="0"/>
        <w:ind w:left="100" w:right="116" w:firstLine="719"/>
        <w:jc w:val="both"/>
        <w:rPr>
          <w:caps w:val="false"/>
          <w:smallCaps w:val="false"/>
        </w:rPr>
      </w:pPr>
      <w:r>
        <w:rPr>
          <w:caps w:val="false"/>
          <w:smallCaps w:val="false"/>
        </w:rPr>
        <w:t> </w:t>
      </w:r>
    </w:p>
    <w:p>
      <w:pPr>
        <w:pStyle w:val="TextBody"/>
        <w:spacing w:before="0" w:after="0"/>
        <w:ind w:left="3501"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spacing w:before="0" w:after="0"/>
        <w:ind w:left="0" w:right="0" w:hanging="0"/>
        <w:jc w:val="both"/>
        <w:rPr>
          <w:caps w:val="false"/>
          <w:smallCaps w:val="false"/>
        </w:rPr>
      </w:pPr>
      <w:r>
        <w:rPr>
          <w:caps w:val="false"/>
          <w:smallCaps w:val="false"/>
        </w:rPr>
        <w:t> </w:t>
      </w:r>
    </w:p>
    <w:tbl>
      <w:tblPr>
        <w:tblW w:w="320" w:type="dxa"/>
        <w:jc w:val="left"/>
        <w:tblInd w:w="0" w:type="dxa"/>
        <w:tblCellMar>
          <w:top w:w="0" w:type="dxa"/>
          <w:left w:w="0" w:type="dxa"/>
          <w:bottom w:w="0" w:type="dxa"/>
          <w:right w:w="0" w:type="dxa"/>
        </w:tblCellMar>
      </w:tblPr>
      <w:tblGrid>
        <w:gridCol w:w="320"/>
      </w:tblGrid>
      <w:tr>
        <w:trPr/>
        <w:tc>
          <w:tcPr>
            <w:tcW w:w="320" w:type="dxa"/>
            <w:tcBorders/>
            <w:shd w:fill="auto" w:val="clear"/>
            <w:vAlign w:val="center"/>
          </w:tcPr>
          <w:p>
            <w:pPr>
              <w:pStyle w:val="TableContents"/>
              <w:spacing w:before="0" w:after="283"/>
              <w:jc w:val="center"/>
              <w:rPr/>
            </w:pPr>
            <w:r>
              <w:rPr/>
              <w:t>-2-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8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 WITNESS WHEREOF</w:t>
      </w:r>
      <w:r>
        <w:rPr>
          <w:rFonts w:ascii="Times New Roman;Times;Serif" w:hAnsi="Times New Roman;Times;Serif"/>
          <w:b w:val="false"/>
          <w:i w:val="false"/>
          <w:caps w:val="false"/>
          <w:smallCaps w:val="false"/>
          <w:sz w:val="20"/>
        </w:rPr>
        <w:t>, the parties have signed this Amendment.</w:t>
      </w:r>
    </w:p>
    <w:p>
      <w:pPr>
        <w:pStyle w:val="TextBody"/>
        <w:spacing w:before="0" w:after="0"/>
        <w:ind w:left="820" w:right="0" w:hanging="0"/>
        <w:rPr>
          <w:caps w:val="false"/>
          <w:smallCaps w:val="false"/>
        </w:rPr>
      </w:pPr>
      <w:r>
        <w:rPr>
          <w:caps w:val="false"/>
          <w:smallCaps w:val="false"/>
        </w:rPr>
        <w:t> </w:t>
      </w:r>
    </w:p>
    <w:tbl>
      <w:tblPr>
        <w:tblW w:w="3274" w:type="dxa"/>
        <w:jc w:val="left"/>
        <w:tblInd w:w="0" w:type="dxa"/>
        <w:tblCellMar>
          <w:top w:w="0" w:type="dxa"/>
          <w:left w:w="0" w:type="dxa"/>
          <w:bottom w:w="0" w:type="dxa"/>
          <w:right w:w="0" w:type="dxa"/>
        </w:tblCellMar>
      </w:tblPr>
      <w:tblGrid>
        <w:gridCol w:w="75"/>
        <w:gridCol w:w="665"/>
        <w:gridCol w:w="2534"/>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19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tcBorders/>
            <w:shd w:fill="auto" w:val="clear"/>
            <w:vAlign w:val="center"/>
          </w:tcPr>
          <w:p>
            <w:pPr>
              <w:pStyle w:val="TableContents"/>
              <w:spacing w:before="0" w:after="283"/>
              <w:rPr>
                <w:caps w:val="false"/>
                <w:smallCaps w:val="false"/>
              </w:rPr>
            </w:pPr>
            <w:r>
              <w:rPr>
                <w:caps w:val="false"/>
                <w:smallCaps w:val="false"/>
              </w:rPr>
              <w:t> </w:t>
            </w:r>
          </w:p>
        </w:tc>
        <w:tc>
          <w:tcPr>
            <w:tcW w:w="2534"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4"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tcBorders/>
            <w:shd w:fill="auto" w:val="clear"/>
            <w:vAlign w:val="center"/>
          </w:tcPr>
          <w:p>
            <w:pPr>
              <w:pStyle w:val="TableContents"/>
              <w:spacing w:before="0" w:after="283"/>
              <w:rPr>
                <w:caps w:val="false"/>
                <w:smallCaps w:val="false"/>
              </w:rPr>
            </w:pPr>
            <w:r>
              <w:rPr>
                <w:caps w:val="false"/>
                <w:smallCaps w:val="false"/>
              </w:rPr>
              <w:t> </w:t>
            </w:r>
          </w:p>
        </w:tc>
        <w:tc>
          <w:tcPr>
            <w:tcW w:w="2534"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199"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ROSENTHAL &amp; ROSENTHAL, INC.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199"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4"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A. Miller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92" w:right="1517"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Agreement of Amendment to Financing Agreement]</w:t>
      </w:r>
    </w:p>
    <w:p>
      <w:pPr>
        <w:pStyle w:val="TextBody"/>
        <w:spacing w:before="0" w:after="0"/>
        <w:ind w:left="0" w:right="0" w:hanging="0"/>
        <w:jc w:val="both"/>
        <w:rPr>
          <w:caps w:val="false"/>
          <w:smallCaps w:val="false"/>
        </w:rPr>
      </w:pPr>
      <w:r>
        <w:rPr>
          <w:caps w:val="false"/>
          <w:smallCaps w:val="false"/>
        </w:rPr>
        <w:t> </w:t>
      </w:r>
    </w:p>
    <w:tbl>
      <w:tblPr>
        <w:tblW w:w="320" w:type="dxa"/>
        <w:jc w:val="left"/>
        <w:tblInd w:w="0" w:type="dxa"/>
        <w:tblCellMar>
          <w:top w:w="0" w:type="dxa"/>
          <w:left w:w="0" w:type="dxa"/>
          <w:bottom w:w="0" w:type="dxa"/>
          <w:right w:w="0" w:type="dxa"/>
        </w:tblCellMar>
      </w:tblPr>
      <w:tblGrid>
        <w:gridCol w:w="320"/>
      </w:tblGrid>
      <w:tr>
        <w:trPr/>
        <w:tc>
          <w:tcPr>
            <w:tcW w:w="320" w:type="dxa"/>
            <w:tcBorders/>
            <w:shd w:fill="auto" w:val="clear"/>
            <w:vAlign w:val="center"/>
          </w:tcPr>
          <w:p>
            <w:pPr>
              <w:pStyle w:val="TableContents"/>
              <w:spacing w:before="0" w:after="283"/>
              <w:jc w:val="center"/>
              <w:rPr/>
            </w:pPr>
            <w:r>
              <w:rPr/>
              <w:t>-3-</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92" w:right="1517" w:hanging="0"/>
        <w:jc w:val="center"/>
        <w:rPr>
          <w:caps w:val="false"/>
          <w:smallCaps w:val="false"/>
        </w:rPr>
      </w:pPr>
      <w:r>
        <w:rPr>
          <w:caps w:val="false"/>
          <w:smallCaps w:val="false"/>
        </w:rPr>
        <w:t> </w:t>
      </w:r>
      <w:r>
        <w:br w:type="page"/>
      </w:r>
    </w:p>
    <w:p>
      <w:pPr>
        <w:pStyle w:val="TextBody"/>
        <w:jc w:val="right"/>
        <w:rPr>
          <w:caps w:val="false"/>
          <w:smallCaps w:val="false"/>
        </w:rPr>
      </w:pPr>
      <w:bookmarkStart w:id="927" w:name="ex10-12.htm"/>
      <w:bookmarkStart w:id="928" w:name="ksex1012"/>
      <w:bookmarkEnd w:id="927"/>
      <w:bookmarkEnd w:id="928"/>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10.12</w:t>
      </w:r>
    </w:p>
    <w:p>
      <w:pPr>
        <w:pStyle w:val="TextBody"/>
        <w:ind w:left="3058" w:right="307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AGREEMENT</w:t>
      </w:r>
    </w:p>
    <w:p>
      <w:pPr>
        <w:pStyle w:val="TextBody"/>
        <w:ind w:left="3058" w:right="3076" w:hanging="0"/>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TERMINATION AGREEMENT </w:t>
      </w:r>
      <w:r>
        <w:rPr>
          <w:rFonts w:ascii="Times New Roman;Times;Serif" w:hAnsi="Times New Roman;Times;Serif"/>
          <w:b w:val="false"/>
          <w:i w:val="false"/>
          <w:caps w:val="false"/>
          <w:smallCaps w:val="false"/>
          <w:sz w:val="20"/>
        </w:rPr>
        <w:t>(“Termination Agreement”), effective as of December 23, 2020, is entered into by and between ROSENTHAL &amp; ROSENTHAL, INC., a New York corporation (“Senior Lender”) and RAPTOR/HARBOR REEDS SPV LLC, a Delaware limited liability company (“Junior Lender”) and terminates that certain Subordination Agreement by and between the parties dated October 4, 2018 (“Subordination Agreement”). Capitalized terms not defined herein have the meanings ascribed to them in the Subordination Agreement.</w:t>
      </w:r>
    </w:p>
    <w:p>
      <w:pPr>
        <w:pStyle w:val="TextBody"/>
        <w:rPr>
          <w:caps w:val="false"/>
          <w:smallCaps w:val="false"/>
        </w:rPr>
      </w:pPr>
      <w:r>
        <w:rPr>
          <w:caps w:val="false"/>
          <w:smallCaps w:val="false"/>
        </w:rPr>
        <w:t> </w:t>
      </w:r>
    </w:p>
    <w:p>
      <w:pPr>
        <w:pStyle w:val="TextBody"/>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Junior Lender Indebtedness has been satisfied in full pursuant to that certain Satisfaction, Settlement and Release of Claims agreement dated December 11, 2020; and</w:t>
      </w:r>
    </w:p>
    <w:p>
      <w:pPr>
        <w:pStyle w:val="TextBody"/>
        <w:rPr>
          <w:caps w:val="false"/>
          <w:smallCaps w:val="false"/>
        </w:rPr>
      </w:pPr>
      <w:r>
        <w:rPr>
          <w:caps w:val="false"/>
          <w:smallCaps w:val="false"/>
        </w:rPr>
        <w:t> </w:t>
      </w:r>
    </w:p>
    <w:p>
      <w:pPr>
        <w:pStyle w:val="TextBody"/>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Junior Lender and Senior Lender desire to terminate the Subordination Agreement and release each other from all obligations, rights, responsibilities, and duties thereunder, including but not limited to Junior Lender’s purchase right set forth in Section 7.3 of the Subordination Agreement (“Purchase Right”) and the Overadvance Put set forth in Section 7.4.</w:t>
      </w:r>
    </w:p>
    <w:p>
      <w:pPr>
        <w:pStyle w:val="TextBody"/>
        <w:rPr>
          <w:caps w:val="false"/>
          <w:smallCaps w:val="false"/>
        </w:rPr>
      </w:pPr>
      <w:r>
        <w:rPr>
          <w:caps w:val="false"/>
          <w:smallCaps w:val="false"/>
        </w:rPr>
        <w:t> </w:t>
      </w:r>
    </w:p>
    <w:p>
      <w:pPr>
        <w:pStyle w:val="TextBody"/>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promises contained herein and other good and valuable consideration, the receipt and sufficiency of which are hereby acknowledged, the parties, intending to be legally bound, hereby agree as follows: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Each of Senior Lender and Junior Lender hereby terminates the Subordination Agreement, effective as of the date hereof, and hereby agrees that from and after the date hereof, the Subordination Agreement shall be of no further force and effect and none of the parties thereto shall have any further obligations, rights, responsibilities or duties under such Subordination Agreement. As such, Junior Lender’s Purchase Right and Overadvance Put are hereby terminated.</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Termination Agreement contains the sole and entire agreement among the parties with respect to the subject matter hereof, and supersedes any and all prior agreements, understandings, negotiations and discussions, whether oral or written, among the parties with respect to the subject matter hereof.</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Termination Agreement shall be binding upon and inure to the benefit of the parties and their respective successors and assigns.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validity of this Agreement, its construction, interpretation and enforcement, and the rights of the parties hereunder shall be determined under, governed by, and construed in accordance with the laws of the State of New York.</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Termination Agreement may be executed in counterparts, delivered by facsimile, electronic mail (including any electronic signature complying with the U.S. Federal E-SIGN Act of 2000) or other transmission method and any counterpart so delivered shall be deemed to have been duly and validly delivered and be valid and effective for all purposes.</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their duly authorized representatives to execute this Termination Agreement as of the date first written above.</w:t>
      </w:r>
    </w:p>
    <w:p>
      <w:pPr>
        <w:pStyle w:val="TextBody"/>
        <w:rPr>
          <w:caps w:val="false"/>
          <w:smallCaps w:val="false"/>
        </w:rPr>
      </w:pPr>
      <w:r>
        <w:rPr>
          <w:caps w:val="false"/>
          <w:smallCaps w:val="false"/>
        </w:rPr>
        <w:t> </w:t>
      </w:r>
    </w:p>
    <w:tbl>
      <w:tblPr>
        <w:tblW w:w="3319" w:type="dxa"/>
        <w:jc w:val="left"/>
        <w:tblInd w:w="0" w:type="dxa"/>
        <w:tblCellMar>
          <w:top w:w="0" w:type="dxa"/>
          <w:left w:w="0" w:type="dxa"/>
          <w:bottom w:w="0" w:type="dxa"/>
          <w:right w:w="0" w:type="dxa"/>
        </w:tblCellMar>
      </w:tblPr>
      <w:tblGrid>
        <w:gridCol w:w="941"/>
        <w:gridCol w:w="2303"/>
        <w:gridCol w:w="75"/>
      </w:tblGrid>
      <w:tr>
        <w:trPr/>
        <w:tc>
          <w:tcPr>
            <w:tcW w:w="324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ROSENTHAL &amp; ROSENTHAL, INC.</w:t>
            </w:r>
            <w:r>
              <w:rPr>
                <w:rFonts w:ascii="Times New Roman;Times;Serif" w:hAnsi="Times New Roman;Times;Serif"/>
                <w:b w:val="false"/>
                <w:i w:val="false"/>
                <w:caps w:val="false"/>
                <w:smallCaps w:val="false"/>
                <w:sz w:val="20"/>
              </w:rPr>
              <w:t>,</w:t>
            </w:r>
          </w:p>
        </w:tc>
        <w:tc>
          <w:tcPr>
            <w:tcW w:w="75" w:type="dxa"/>
            <w:tcBorders/>
            <w:shd w:fill="auto" w:val="clear"/>
            <w:vAlign w:val="center"/>
          </w:tcPr>
          <w:p>
            <w:pPr>
              <w:pStyle w:val="TableContents"/>
              <w:spacing w:before="0" w:after="283"/>
              <w:rPr/>
            </w:pPr>
            <w:r>
              <w:rPr/>
              <w:t> </w:t>
            </w:r>
          </w:p>
        </w:tc>
      </w:tr>
      <w:tr>
        <w:trPr/>
        <w:tc>
          <w:tcPr>
            <w:tcW w:w="324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York corporation</w:t>
            </w:r>
          </w:p>
        </w:tc>
        <w:tc>
          <w:tcPr>
            <w:tcW w:w="75" w:type="dxa"/>
            <w:tcBorders/>
            <w:shd w:fill="auto" w:val="clear"/>
            <w:vAlign w:val="center"/>
          </w:tcPr>
          <w:p>
            <w:pPr>
              <w:pStyle w:val="TableContents"/>
              <w:spacing w:before="0" w:after="283"/>
              <w:rPr/>
            </w:pPr>
            <w:r>
              <w:rPr/>
              <w:t> </w:t>
            </w:r>
          </w:p>
        </w:tc>
      </w:tr>
      <w:tr>
        <w:trPr/>
        <w:tc>
          <w:tcPr>
            <w:tcW w:w="941" w:type="dxa"/>
            <w:tcBorders/>
            <w:shd w:fill="auto" w:val="clear"/>
            <w:vAlign w:val="center"/>
          </w:tcPr>
          <w:p>
            <w:pPr>
              <w:pStyle w:val="TableContents"/>
              <w:spacing w:before="0" w:after="283"/>
              <w:rPr>
                <w:caps w:val="false"/>
                <w:smallCaps w:val="false"/>
              </w:rPr>
            </w:pPr>
            <w:r>
              <w:rPr>
                <w:caps w:val="false"/>
                <w:smallCaps w:val="false"/>
              </w:rPr>
              <w:t> </w:t>
            </w:r>
          </w:p>
        </w:tc>
        <w:tc>
          <w:tcPr>
            <w:tcW w:w="2303"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pPr>
            <w:r>
              <w:rPr/>
              <w:t> </w:t>
            </w:r>
          </w:p>
        </w:tc>
      </w:tr>
      <w:tr>
        <w:trPr/>
        <w:tc>
          <w:tcPr>
            <w:tcW w:w="9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3"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Miller</w:t>
            </w:r>
          </w:p>
        </w:tc>
        <w:tc>
          <w:tcPr>
            <w:tcW w:w="75" w:type="dxa"/>
            <w:tcBorders/>
            <w:shd w:fill="auto" w:val="clear"/>
            <w:vAlign w:val="center"/>
          </w:tcPr>
          <w:p>
            <w:pPr>
              <w:pStyle w:val="TableContents"/>
              <w:spacing w:before="0" w:after="283"/>
              <w:rPr/>
            </w:pPr>
            <w:r>
              <w:rPr/>
              <w:t> </w:t>
            </w:r>
          </w:p>
        </w:tc>
      </w:tr>
      <w:tr>
        <w:trPr/>
        <w:tc>
          <w:tcPr>
            <w:tcW w:w="9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0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Miller</w:t>
            </w:r>
          </w:p>
        </w:tc>
        <w:tc>
          <w:tcPr>
            <w:tcW w:w="75" w:type="dxa"/>
            <w:tcBorders/>
            <w:shd w:fill="auto" w:val="clear"/>
            <w:vAlign w:val="center"/>
          </w:tcPr>
          <w:p>
            <w:pPr>
              <w:pStyle w:val="TableContents"/>
              <w:spacing w:before="0" w:after="283"/>
              <w:rPr/>
            </w:pPr>
            <w:r>
              <w:rPr/>
              <w:t> </w:t>
            </w:r>
          </w:p>
        </w:tc>
      </w:tr>
      <w:tr>
        <w:trPr/>
        <w:tc>
          <w:tcPr>
            <w:tcW w:w="9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0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EVP</w:t>
            </w:r>
          </w:p>
        </w:tc>
        <w:tc>
          <w:tcPr>
            <w:tcW w:w="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3409" w:type="dxa"/>
        <w:jc w:val="left"/>
        <w:tblInd w:w="0" w:type="dxa"/>
        <w:tblCellMar>
          <w:top w:w="0" w:type="dxa"/>
          <w:left w:w="0" w:type="dxa"/>
          <w:bottom w:w="0" w:type="dxa"/>
          <w:right w:w="0" w:type="dxa"/>
        </w:tblCellMar>
      </w:tblPr>
      <w:tblGrid>
        <w:gridCol w:w="854"/>
        <w:gridCol w:w="2480"/>
        <w:gridCol w:w="75"/>
      </w:tblGrid>
      <w:tr>
        <w:trPr/>
        <w:tc>
          <w:tcPr>
            <w:tcW w:w="333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RAPTOR/HARBOR REEDS SPV LLC</w:t>
            </w:r>
            <w:r>
              <w:rPr>
                <w:rFonts w:ascii="Times New Roman;Times;Serif" w:hAnsi="Times New Roman;Times;Serif"/>
                <w:b w:val="false"/>
                <w:i w:val="false"/>
                <w:caps w:val="false"/>
                <w:smallCaps w:val="false"/>
                <w:sz w:val="20"/>
              </w:rPr>
              <w:t>,</w:t>
            </w:r>
          </w:p>
        </w:tc>
        <w:tc>
          <w:tcPr>
            <w:tcW w:w="75" w:type="dxa"/>
            <w:tcBorders/>
            <w:shd w:fill="auto" w:val="clear"/>
            <w:vAlign w:val="center"/>
          </w:tcPr>
          <w:p>
            <w:pPr>
              <w:pStyle w:val="TableContents"/>
              <w:spacing w:before="0" w:after="283"/>
              <w:rPr/>
            </w:pPr>
            <w:r>
              <w:rPr/>
              <w:t> </w:t>
            </w:r>
          </w:p>
        </w:tc>
      </w:tr>
      <w:tr>
        <w:trPr/>
        <w:tc>
          <w:tcPr>
            <w:tcW w:w="333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c>
          <w:tcPr>
            <w:tcW w:w="75" w:type="dxa"/>
            <w:tcBorders/>
            <w:shd w:fill="auto" w:val="clear"/>
            <w:vAlign w:val="center"/>
          </w:tcPr>
          <w:p>
            <w:pPr>
              <w:pStyle w:val="TableContents"/>
              <w:spacing w:before="0" w:after="283"/>
              <w:rPr/>
            </w:pPr>
            <w:r>
              <w:rPr/>
              <w:t> </w:t>
            </w:r>
          </w:p>
        </w:tc>
      </w:tr>
      <w:tr>
        <w:trPr/>
        <w:tc>
          <w:tcPr>
            <w:tcW w:w="854" w:type="dxa"/>
            <w:tcBorders/>
            <w:shd w:fill="auto" w:val="clear"/>
            <w:vAlign w:val="center"/>
          </w:tcPr>
          <w:p>
            <w:pPr>
              <w:pStyle w:val="TableContents"/>
              <w:spacing w:before="0" w:after="283"/>
              <w:rPr>
                <w:caps w:val="false"/>
                <w:smallCaps w:val="false"/>
              </w:rPr>
            </w:pPr>
            <w:r>
              <w:rPr>
                <w:caps w:val="false"/>
                <w:smallCaps w:val="false"/>
              </w:rPr>
              <w:t> </w:t>
            </w:r>
          </w:p>
        </w:tc>
        <w:tc>
          <w:tcPr>
            <w:tcW w:w="248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pPr>
            <w:r>
              <w:rPr/>
              <w:t> </w:t>
            </w:r>
          </w:p>
        </w:tc>
      </w:tr>
      <w:tr>
        <w:trPr/>
        <w:tc>
          <w:tcPr>
            <w:tcW w:w="85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Needham</w:t>
            </w:r>
          </w:p>
        </w:tc>
        <w:tc>
          <w:tcPr>
            <w:tcW w:w="75" w:type="dxa"/>
            <w:tcBorders/>
            <w:shd w:fill="auto" w:val="clear"/>
            <w:vAlign w:val="center"/>
          </w:tcPr>
          <w:p>
            <w:pPr>
              <w:pStyle w:val="TableContents"/>
              <w:spacing w:before="0" w:after="283"/>
              <w:rPr/>
            </w:pPr>
            <w:r>
              <w:rPr/>
              <w:t> </w:t>
            </w:r>
          </w:p>
        </w:tc>
      </w:tr>
      <w:tr>
        <w:trPr/>
        <w:tc>
          <w:tcPr>
            <w:tcW w:w="85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Needham</w:t>
            </w:r>
          </w:p>
        </w:tc>
        <w:tc>
          <w:tcPr>
            <w:tcW w:w="75" w:type="dxa"/>
            <w:tcBorders/>
            <w:shd w:fill="auto" w:val="clear"/>
            <w:vAlign w:val="center"/>
          </w:tcPr>
          <w:p>
            <w:pPr>
              <w:pStyle w:val="TableContents"/>
              <w:spacing w:before="0" w:after="283"/>
              <w:rPr/>
            </w:pPr>
            <w:r>
              <w:rPr/>
              <w:t> </w:t>
            </w:r>
          </w:p>
        </w:tc>
      </w:tr>
      <w:tr>
        <w:trPr/>
        <w:tc>
          <w:tcPr>
            <w:tcW w:w="85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c>
          <w:tcPr>
            <w:tcW w:w="75" w:type="dxa"/>
            <w:tcBorders/>
            <w:shd w:fill="auto" w:val="clear"/>
            <w:vAlign w:val="center"/>
          </w:tcPr>
          <w:p>
            <w:pPr>
              <w:pStyle w:val="TableContents"/>
              <w:spacing w:before="0" w:after="283"/>
              <w:rPr/>
            </w:pPr>
            <w:r>
              <w:rPr/>
              <w:t> </w:t>
            </w:r>
          </w:p>
        </w:tc>
      </w:tr>
    </w:tbl>
    <w:p>
      <w:pPr>
        <w:pStyle w:val="TextBody"/>
        <w:ind w:left="10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r>
        <w:br w:type="page"/>
      </w:r>
    </w:p>
    <w:p>
      <w:pPr>
        <w:pStyle w:val="TextBody"/>
        <w:spacing w:before="0" w:after="0"/>
        <w:jc w:val="center"/>
        <w:rPr>
          <w:caps w:val="false"/>
          <w:smallCaps w:val="false"/>
        </w:rPr>
      </w:pPr>
      <w:bookmarkStart w:id="929" w:name="ex21.htm"/>
      <w:bookmarkStart w:id="930" w:name="ksex21"/>
      <w:bookmarkEnd w:id="929"/>
      <w:bookmarkEnd w:id="930"/>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Subsidiaries of Reed’s,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r>
        <w:br w:type="page"/>
      </w:r>
    </w:p>
    <w:p>
      <w:pPr>
        <w:pStyle w:val="TextBody"/>
        <w:spacing w:before="0" w:after="0"/>
        <w:jc w:val="center"/>
        <w:rPr>
          <w:caps w:val="false"/>
          <w:smallCaps w:val="false"/>
        </w:rPr>
      </w:pPr>
      <w:bookmarkStart w:id="931" w:name="ex22-ii.htm"/>
      <w:bookmarkStart w:id="932" w:name="ksex22ii"/>
      <w:bookmarkEnd w:id="931"/>
      <w:bookmarkEnd w:id="932"/>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22(ii)</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Affiliate Guarantor of Reed’s,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2021, Reed’s, Inc. (“Reed’s) entered into an amendment to that certain Financing Agreement dated October 4, 2018,as amended or supplemented, with its senior secured lender, Rosenthal &amp; Rosenthal, Inc. (“Rosenthal”) releasing that irrevocable standby letter of credit by Daniel J. Doherty, III and Daniel J. Doherty, III 2002 Family Trust in the amount of $1.5 million, which letter of credit served as financial collateral for certain obligations of Reed’s under the Rosenthal credit facility, with a $2 million dollar pledge of securities to Rosenthal by John J. Bello and Nancy E. Bello, as Co-Trustees of The John and Nancy Bello Revocable Living Trust, under trust agreement dated December 3, 2012, evidenced by that certain Pledge Agreement to Rosenthal (“Bello Pledge”). Pledged securities do not includes securities in Reed’s, Inc.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Bello, current Chairman and former Interim Chief Executive Officer of Reed’s, is a related party. He is also a greater than 5% beneficial owner of common stock of Reed’s, Inc. As consideration for the Bello Pledge, Mr. Bello received 400,000 shares of Reed’s restricted stock from Reed’s.</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r>
        <w:br w:type="page"/>
      </w:r>
    </w:p>
    <w:p>
      <w:pPr>
        <w:pStyle w:val="TextBody"/>
        <w:pBdr/>
        <w:spacing w:before="0" w:after="0"/>
        <w:ind w:left="0" w:right="0" w:hanging="0"/>
        <w:jc w:val="center"/>
        <w:rPr>
          <w:caps w:val="false"/>
          <w:smallCaps w:val="false"/>
        </w:rPr>
      </w:pPr>
      <w:bookmarkStart w:id="933" w:name="ex23-1.htm"/>
      <w:bookmarkStart w:id="934" w:name="ksex231"/>
      <w:bookmarkEnd w:id="933"/>
      <w:bookmarkEnd w:id="934"/>
      <w:r>
        <w:rPr>
          <w:caps w:val="false"/>
          <w:smallCaps w:val="false"/>
        </w:rPr>
        <w:t> </w:t>
      </w:r>
    </w:p>
    <w:p>
      <w:pPr>
        <w:pStyle w:val="TextBody"/>
        <w:pBd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pBdr/>
        <w:spacing w:before="0" w:after="0"/>
        <w:ind w:left="0" w:right="0" w:hanging="0"/>
        <w:jc w:val="center"/>
        <w:rPr>
          <w:caps w:val="false"/>
          <w:smallCaps w:val="false"/>
        </w:rPr>
      </w:pPr>
      <w:r>
        <w:rPr>
          <w:caps w:val="false"/>
          <w:smallCaps w:val="false"/>
        </w:rPr>
        <w:t> </w:t>
      </w:r>
    </w:p>
    <w:p>
      <w:pPr>
        <w:pStyle w:val="TextBody"/>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pBdr/>
        <w:spacing w:before="0" w:after="0"/>
        <w:ind w:left="0" w:right="0" w:hanging="0"/>
        <w:jc w:val="center"/>
        <w:rPr>
          <w:caps w:val="false"/>
          <w:smallCaps w:val="false"/>
        </w:rPr>
      </w:pPr>
      <w:r>
        <w:rPr>
          <w:caps w:val="false"/>
          <w:smallCaps w:val="false"/>
        </w:rPr>
        <w:t> </w:t>
      </w:r>
    </w:p>
    <w:p>
      <w:pPr>
        <w:pStyle w:val="TextBody"/>
        <w:pBd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S-1 (No. 333-221059), Forms S-3 (Nos. 333- 212206, 333-218679, 333-220184, 333-223037, 333-229105, 333-172614, 333-164965) and Forms S-8 (Nos. 333-203469, 333-222741, 333-178623, 333-235851 and 333-252140) of Reed’s, Inc. of our report dated March 30, 2021, relating to the financial statements of Reed’s, Inc. as of December 31, 2020 and 2019, and for the years then ended, which appear in the Company’s Annual Report on Form 10-K for the year ended December 31, 2020, filed with the Securities and Exchange Commission on March 30, 2021.</w:t>
      </w:r>
    </w:p>
    <w:p>
      <w:pPr>
        <w:pStyle w:val="TextBody"/>
        <w:pBdr/>
        <w:spacing w:before="0" w:after="0"/>
        <w:ind w:left="0" w:right="0" w:hanging="0"/>
        <w:jc w:val="both"/>
        <w:rPr>
          <w:caps w:val="false"/>
          <w:smallCaps w:val="false"/>
        </w:rPr>
      </w:pPr>
      <w:r>
        <w:rPr>
          <w:caps w:val="false"/>
          <w:smallCaps w:val="false"/>
        </w:rPr>
        <w:t> </w:t>
      </w:r>
    </w:p>
    <w:p>
      <w:pPr>
        <w:pStyle w:val="TextBody"/>
        <w:pBd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p>
      <w:pPr>
        <w:pStyle w:val="TextBody"/>
        <w:pBd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pBd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p>
      <w:pPr>
        <w:pStyle w:val="TextBody"/>
        <w:pBdr/>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br w:type="page"/>
      </w:r>
      <w:bookmarkStart w:id="935" w:name="ex31-1.htm"/>
      <w:bookmarkStart w:id="936" w:name="ksex311"/>
      <w:bookmarkEnd w:id="935"/>
      <w:bookmarkEnd w:id="936"/>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 SECTION 302</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Norman E. Snyder, Jr., certify that:</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4"/>
        <w:gridCol w:w="170"/>
        <w:gridCol w:w="9881"/>
      </w:tblGrid>
      <w:tr>
        <w:trPr/>
        <w:tc>
          <w:tcPr>
            <w:tcW w:w="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Reed’s, Inc.;</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1"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1"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1"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1"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8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8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8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8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1"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8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firstLine="720"/>
        <w:rPr>
          <w:caps w:val="false"/>
          <w:smallCaps w:val="false"/>
        </w:rPr>
      </w:pPr>
      <w:r>
        <w:rPr>
          <w:caps w:val="false"/>
          <w:smallCaps w:val="false"/>
        </w:rPr>
        <w:t> </w:t>
      </w:r>
    </w:p>
    <w:tbl>
      <w:tblPr>
        <w:tblW w:w="4165" w:type="dxa"/>
        <w:jc w:val="left"/>
        <w:tblInd w:w="0" w:type="dxa"/>
        <w:tblCellMar>
          <w:top w:w="0" w:type="dxa"/>
          <w:left w:w="0" w:type="dxa"/>
          <w:bottom w:w="0" w:type="dxa"/>
          <w:right w:w="0" w:type="dxa"/>
        </w:tblCellMar>
      </w:tblPr>
      <w:tblGrid>
        <w:gridCol w:w="1805"/>
        <w:gridCol w:w="2360"/>
      </w:tblGrid>
      <w:tr>
        <w:trPr/>
        <w:tc>
          <w:tcPr>
            <w:tcW w:w="18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2021</w:t>
            </w:r>
          </w:p>
        </w:tc>
        <w:tc>
          <w:tcPr>
            <w:tcW w:w="23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both"/>
        <w:rPr>
          <w:caps w:val="false"/>
          <w:smallCaps w:val="false"/>
        </w:rPr>
      </w:pPr>
      <w:bookmarkStart w:id="937" w:name="ex31-2.htm"/>
      <w:bookmarkStart w:id="938" w:name="ksex312"/>
      <w:bookmarkEnd w:id="937"/>
      <w:bookmarkEnd w:id="938"/>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 TO SECTION 302</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Thomas J. Spisak, certify that:</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4"/>
        <w:gridCol w:w="170"/>
        <w:gridCol w:w="9881"/>
      </w:tblGrid>
      <w:tr>
        <w:trPr/>
        <w:tc>
          <w:tcPr>
            <w:tcW w:w="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Reed’s, Inc.;</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1"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1"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1"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1"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8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8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8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8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0051"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88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54"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firstLine="720"/>
        <w:rPr>
          <w:caps w:val="false"/>
          <w:smallCaps w:val="false"/>
        </w:rPr>
      </w:pPr>
      <w:r>
        <w:rPr>
          <w:caps w:val="false"/>
          <w:smallCaps w:val="false"/>
        </w:rPr>
        <w:t> </w:t>
      </w:r>
    </w:p>
    <w:tbl>
      <w:tblPr>
        <w:tblW w:w="4105" w:type="dxa"/>
        <w:jc w:val="left"/>
        <w:tblInd w:w="0" w:type="dxa"/>
        <w:tblCellMar>
          <w:top w:w="0" w:type="dxa"/>
          <w:left w:w="0" w:type="dxa"/>
          <w:bottom w:w="0" w:type="dxa"/>
          <w:right w:w="0" w:type="dxa"/>
        </w:tblCellMar>
      </w:tblPr>
      <w:tblGrid>
        <w:gridCol w:w="1805"/>
        <w:gridCol w:w="2300"/>
      </w:tblGrid>
      <w:tr>
        <w:trPr/>
        <w:tc>
          <w:tcPr>
            <w:tcW w:w="18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2021</w:t>
            </w:r>
          </w:p>
        </w:tc>
        <w:tc>
          <w:tcPr>
            <w:tcW w:w="2300"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J. Spisak</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Spisak</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both"/>
        <w:rPr>
          <w:caps w:val="false"/>
          <w:smallCaps w:val="false"/>
        </w:rPr>
      </w:pPr>
      <w:bookmarkStart w:id="939" w:name="ex32-1.htm"/>
      <w:bookmarkStart w:id="940" w:name="ksex321"/>
      <w:bookmarkEnd w:id="939"/>
      <w:bookmarkEnd w:id="940"/>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Reed’s, Inc., a Delaware corporation (the “Company”) for the year ended December 31, 2020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spacing w:before="0" w:after="0"/>
        <w:ind w:left="0" w:right="0" w:firstLine="720"/>
        <w:rPr>
          <w:caps w:val="false"/>
          <w:smallCaps w:val="false"/>
        </w:rPr>
      </w:pPr>
      <w:r>
        <w:rPr>
          <w:caps w:val="false"/>
          <w:smallCaps w:val="false"/>
        </w:rPr>
        <w:t> </w:t>
      </w:r>
    </w:p>
    <w:tbl>
      <w:tblPr>
        <w:tblW w:w="4530" w:type="dxa"/>
        <w:jc w:val="left"/>
        <w:tblInd w:w="0" w:type="dxa"/>
        <w:tblCellMar>
          <w:top w:w="0" w:type="dxa"/>
          <w:left w:w="0" w:type="dxa"/>
          <w:bottom w:w="0" w:type="dxa"/>
          <w:right w:w="0" w:type="dxa"/>
        </w:tblCellMar>
      </w:tblPr>
      <w:tblGrid>
        <w:gridCol w:w="1805"/>
        <w:gridCol w:w="365"/>
        <w:gridCol w:w="2360"/>
      </w:tblGrid>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725"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8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2021</w:t>
            </w:r>
          </w:p>
        </w:tc>
        <w:tc>
          <w:tcPr>
            <w:tcW w:w="3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360"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both"/>
        <w:rPr>
          <w:caps w:val="false"/>
          <w:smallCaps w:val="false"/>
        </w:rPr>
      </w:pPr>
      <w:bookmarkStart w:id="941" w:name="ex32-2.htm"/>
      <w:bookmarkStart w:id="942" w:name="ksex322"/>
      <w:bookmarkEnd w:id="941"/>
      <w:bookmarkEnd w:id="942"/>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Reed’s, Inc., a Delaware corporation (the “Company”) for the year ended December 31, 2020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spacing w:before="0" w:after="0"/>
        <w:ind w:left="0" w:right="0" w:firstLine="720"/>
        <w:rPr>
          <w:caps w:val="false"/>
          <w:smallCaps w:val="false"/>
        </w:rPr>
      </w:pPr>
      <w:r>
        <w:rPr>
          <w:caps w:val="false"/>
          <w:smallCaps w:val="false"/>
        </w:rPr>
        <w:t> </w:t>
      </w:r>
    </w:p>
    <w:tbl>
      <w:tblPr>
        <w:tblW w:w="4470" w:type="dxa"/>
        <w:jc w:val="left"/>
        <w:tblInd w:w="0" w:type="dxa"/>
        <w:tblCellMar>
          <w:top w:w="0" w:type="dxa"/>
          <w:left w:w="0" w:type="dxa"/>
          <w:bottom w:w="0" w:type="dxa"/>
          <w:right w:w="0" w:type="dxa"/>
        </w:tblCellMar>
      </w:tblPr>
      <w:tblGrid>
        <w:gridCol w:w="1805"/>
        <w:gridCol w:w="365"/>
        <w:gridCol w:w="2300"/>
      </w:tblGrid>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665"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0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8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2021</w:t>
            </w:r>
          </w:p>
        </w:tc>
        <w:tc>
          <w:tcPr>
            <w:tcW w:w="3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300"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J. Spisak</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Spisak</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0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36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23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283"/>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1-03-30T23:15:21Z" w:initials="">
    <w:p>
      <w:r>
        <w:rPr>
          <w:rFonts w:eastAsia="DejaVu Sans"/>
          <w:lang w:val="en-US" w:eastAsia="en-US" w:bidi="en-US"/>
        </w:rPr>
        <w:t>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</w:t>
      </w:r>
    </w:p>
    <w:p>
      <w:r>
        <w:rPr>
          <w:rFonts w:eastAsia="DejaVu Sans"/>
          <w:lang w:val="en-US" w:eastAsia="en-US" w:bidi="en-US"/>
        </w:rPr>
        <w:t xml:space="preserve">     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</w:t>
      </w:r>
    </w:p>
  </w:comment>
  <w:comment w:id="1" w:author="" w:date="2021-03-30T23:15:21Z" w:initials="">
    <w:p>
      <w:r>
        <w:rPr>
          <w:rFonts w:eastAsia="DejaVu Sans"/>
          <w:lang w:val="en-US" w:eastAsia="en-US" w:bidi="en-US"/>
        </w:rPr>
        <w:t>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</w:t>
      </w:r>
    </w:p>
    <w:p>
      <w:r>
        <w:rPr>
          <w:rFonts w:eastAsia="DejaVu Sans"/>
          <w:lang w:val="en-US" w:eastAsia="en-US" w:bidi="en-US"/>
        </w:rPr>
        <w:t xml:space="preserve">     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</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0215/000149315220006033/ex3-8.htm" TargetMode="External"/><Relationship Id="rId3" Type="http://schemas.openxmlformats.org/officeDocument/2006/relationships/hyperlink" Target="https://www.sec.gov/Archives/edgar/data/1140215/000114420405013149/ex4-1.htm" TargetMode="External"/><Relationship Id="rId4" Type="http://schemas.openxmlformats.org/officeDocument/2006/relationships/hyperlink" Target="https://www.sec.gov/Archives/edgar/data/1140215/000114420405013149/ex4-2.htm" TargetMode="External"/><Relationship Id="rId5" Type="http://schemas.openxmlformats.org/officeDocument/2006/relationships/hyperlink" Target="https://www.sec.gov/Archives/edgar/data/1140215/000149315216010520/ex4-1.htm" TargetMode="External"/><Relationship Id="rId6" Type="http://schemas.openxmlformats.org/officeDocument/2006/relationships/hyperlink" Target="https://www.sec.gov/Archives/edgar/data/1140215/000149315216010520/ex4-2.htm" TargetMode="External"/><Relationship Id="rId7" Type="http://schemas.openxmlformats.org/officeDocument/2006/relationships/hyperlink" Target="https://www.sec.gov/Archives/edgar/data/1140215/000149315216009631/ex10-1.htm" TargetMode="External"/><Relationship Id="rId8" Type="http://schemas.openxmlformats.org/officeDocument/2006/relationships/hyperlink" Target="https://www.sec.gov/Archives/edgar/data/1140215/000149315217004312/ex4-1.htm" TargetMode="External"/><Relationship Id="rId9" Type="http://schemas.openxmlformats.org/officeDocument/2006/relationships/hyperlink" Target="https://www.sec.gov/Archives/edgar/data/1140215/000149315217004312/ex4-2.htm" TargetMode="External"/><Relationship Id="rId10" Type="http://schemas.openxmlformats.org/officeDocument/2006/relationships/hyperlink" Target="https://www.sec.gov/Archives/edgar/data/1140215/000149315217007818/ex4-1.htm" TargetMode="External"/><Relationship Id="rId11" Type="http://schemas.openxmlformats.org/officeDocument/2006/relationships/hyperlink" Target="https://www.sec.gov/Archives/edgar/data/1140215/000149315217007818/ex4-2.htm" TargetMode="External"/><Relationship Id="rId12" Type="http://schemas.openxmlformats.org/officeDocument/2006/relationships/hyperlink" Target="https://www.sec.gov/Archives/edgar/data/1140215/000149315216010520/ex10-3.htm" TargetMode="External"/><Relationship Id="rId13" Type="http://schemas.openxmlformats.org/officeDocument/2006/relationships/hyperlink" Target="https://www.sec.gov/Archives/edgar/data/1140215/000149315217004312/ex10-3.htm" TargetMode="External"/><Relationship Id="rId14" Type="http://schemas.openxmlformats.org/officeDocument/2006/relationships/hyperlink" Target="https://www.sec.gov/Archives/edgar/data/1140215/000149315218001119/ex4-2.htm" TargetMode="External"/><Relationship Id="rId15" Type="http://schemas.openxmlformats.org/officeDocument/2006/relationships/hyperlink" Target="https://www.sec.gov/Archives/edgar/data/1140215/000149315221001155/ex4-2.htm" TargetMode="External"/><Relationship Id="rId16" Type="http://schemas.openxmlformats.org/officeDocument/2006/relationships/hyperlink" Target="https://www.sec.gov/Archives/edgar/data/1140215/000149315218015883/ex10-2.htm" TargetMode="External"/><Relationship Id="rId17" Type="http://schemas.openxmlformats.org/officeDocument/2006/relationships/hyperlink" Target="https://www.sec.gov/Archives/edgar/data/1140215/000149315218015883/ex10-3.htm" TargetMode="External"/><Relationship Id="rId18" Type="http://schemas.openxmlformats.org/officeDocument/2006/relationships/hyperlink" Target="https://www.sec.gov/Archives/edgar/data/1140215/000149315218015883/ex10-4.htm" TargetMode="External"/><Relationship Id="rId19" Type="http://schemas.openxmlformats.org/officeDocument/2006/relationships/hyperlink" Target="https://www.sec.gov/Archives/edgar/data/1140215/000149315218015883/ex10-7.htm" TargetMode="External"/><Relationship Id="rId20" Type="http://schemas.openxmlformats.org/officeDocument/2006/relationships/hyperlink" Target="https://www.sec.gov/Archives/edgar/data/1140215/000149315219002075/ex10-1.htm" TargetMode="External"/><Relationship Id="rId21" Type="http://schemas.openxmlformats.org/officeDocument/2006/relationships/hyperlink" Target="https://www.sec.gov/Archives/edgar/data/1140215/000149315219002075/ex10-2.htm" TargetMode="External"/><Relationship Id="rId22" Type="http://schemas.openxmlformats.org/officeDocument/2006/relationships/hyperlink" Target="https://www.sec.gov/Archives/edgar/data/1140215/000149315219002075/ex10-3.htm" TargetMode="External"/><Relationship Id="rId23" Type="http://schemas.openxmlformats.org/officeDocument/2006/relationships/hyperlink" Target="https://www.sec.gov/Archives/edgar/data/1140215/000149315219002075/ex10-4.htm" TargetMode="External"/><Relationship Id="rId24" Type="http://schemas.openxmlformats.org/officeDocument/2006/relationships/hyperlink" Target="https://www.sec.gov/Archives/edgar/data/1140215/000149315219004430/ex10-31.htm" TargetMode="External"/><Relationship Id="rId25" Type="http://schemas.openxmlformats.org/officeDocument/2006/relationships/hyperlink" Target="https://www.sec.gov/Archives/edgar/data/1140215/000149315220004211/ex10-38.htm" TargetMode="External"/><Relationship Id="rId26" Type="http://schemas.openxmlformats.org/officeDocument/2006/relationships/hyperlink" Target="https://www.sec.gov/Archives/edgar/data/1140215/000149315220005418/ex10-1.htm" TargetMode="External"/><Relationship Id="rId27" Type="http://schemas.openxmlformats.org/officeDocument/2006/relationships/hyperlink" Target="https://www.sec.gov/Archives/edgar/data/1140215/000149315220015105/ex4-1.htm" TargetMode="External"/><Relationship Id="rId28" Type="http://schemas.openxmlformats.org/officeDocument/2006/relationships/hyperlink" Target="https://www.sec.gov/Archives/edgar/data/1140215/000149315220015105/ex10-1.htm" TargetMode="External"/><Relationship Id="rId29" Type="http://schemas.openxmlformats.org/officeDocument/2006/relationships/hyperlink" Target="https://www.sec.gov/Archives/edgar/data/1140215/000149315220007547/ex10-1.htm" TargetMode="External"/><Relationship Id="rId30" Type="http://schemas.openxmlformats.org/officeDocument/2006/relationships/hyperlink" Target="https://www.sec.gov/Archives/edgar/data/1140215/000149315219017032/ex10-3.htm" TargetMode="External"/><Relationship Id="rId31" Type="http://schemas.openxmlformats.org/officeDocument/2006/relationships/hyperlink" Target="https://www.sec.gov/Archives/edgar/data/1140215/000149315219017032/ex10-4.htm" TargetMode="External"/><Relationship Id="rId32" Type="http://schemas.openxmlformats.org/officeDocument/2006/relationships/hyperlink" Target="https://www.sec.gov/Archives/edgar/data/1140215/000149315218015883/ex10-1.htm" TargetMode="External"/><Relationship Id="rId33" Type="http://schemas.openxmlformats.org/officeDocument/2006/relationships/hyperlink" Target="https://www.sec.gov/Archives/edgar/data/1140215/000114420406025563/v045243_ex14-1.htm" TargetMode="External"/><Relationship Id="rId34" Type="http://schemas.openxmlformats.org/officeDocument/2006/relationships/image" Target="media/image1.jpeg"/><Relationship Id="rId35" Type="http://schemas.openxmlformats.org/officeDocument/2006/relationships/image" Target="media/image2.jpeg"/><Relationship Id="rId36" Type="http://schemas.openxmlformats.org/officeDocument/2006/relationships/image" Target="media/image3.jpeg"/><Relationship Id="rId37" Type="http://schemas.openxmlformats.org/officeDocument/2006/relationships/image" Target="media/image4.jpeg"/><Relationship Id="rId38" Type="http://schemas.openxmlformats.org/officeDocument/2006/relationships/image" Target="media/image5.jpeg"/><Relationship Id="rId39" Type="http://schemas.openxmlformats.org/officeDocument/2006/relationships/image" Target="media/image6.jpeg"/><Relationship Id="rId40" Type="http://schemas.openxmlformats.org/officeDocument/2006/relationships/image" Target="media/image7.jpeg"/><Relationship Id="rId41" Type="http://schemas.openxmlformats.org/officeDocument/2006/relationships/image" Target="media/image8.jpeg"/><Relationship Id="rId42" Type="http://schemas.openxmlformats.org/officeDocument/2006/relationships/image" Target="media/image9.jpeg"/><Relationship Id="rId43" Type="http://schemas.openxmlformats.org/officeDocument/2006/relationships/image" Target="media/image10.jpeg"/><Relationship Id="rId44" Type="http://schemas.openxmlformats.org/officeDocument/2006/relationships/image" Target="media/image11.jpeg"/><Relationship Id="rId45" Type="http://schemas.openxmlformats.org/officeDocument/2006/relationships/image" Target="media/image12.jpeg"/><Relationship Id="rId46" Type="http://schemas.openxmlformats.org/officeDocument/2006/relationships/image" Target="media/image13.jpeg"/><Relationship Id="rId47" Type="http://schemas.openxmlformats.org/officeDocument/2006/relationships/image" Target="media/image14.jpeg"/><Relationship Id="rId48" Type="http://schemas.openxmlformats.org/officeDocument/2006/relationships/image" Target="media/image15.jpeg"/><Relationship Id="rId49" Type="http://schemas.openxmlformats.org/officeDocument/2006/relationships/image" Target="media/image16.jpeg"/><Relationship Id="rId50" Type="http://schemas.openxmlformats.org/officeDocument/2006/relationships/image" Target="media/image17.jpeg"/><Relationship Id="rId51" Type="http://schemas.openxmlformats.org/officeDocument/2006/relationships/image" Target="media/image18.jpeg"/><Relationship Id="rId52" Type="http://schemas.openxmlformats.org/officeDocument/2006/relationships/image" Target="media/image19.jpeg"/><Relationship Id="rId53" Type="http://schemas.openxmlformats.org/officeDocument/2006/relationships/image" Target="media/image20.jpeg"/><Relationship Id="rId54" Type="http://schemas.openxmlformats.org/officeDocument/2006/relationships/image" Target="media/image21.jpeg"/><Relationship Id="rId55" Type="http://schemas.openxmlformats.org/officeDocument/2006/relationships/image" Target="media/image22.jpeg"/><Relationship Id="rId56" Type="http://schemas.openxmlformats.org/officeDocument/2006/relationships/image" Target="media/image23.jpeg"/><Relationship Id="rId57" Type="http://schemas.openxmlformats.org/officeDocument/2006/relationships/image" Target="media/image24.jpeg"/><Relationship Id="rId58" Type="http://schemas.openxmlformats.org/officeDocument/2006/relationships/image" Target="media/image25.jpeg"/><Relationship Id="rId59" Type="http://schemas.openxmlformats.org/officeDocument/2006/relationships/image" Target="media/image26.jpeg"/><Relationship Id="rId60" Type="http://schemas.openxmlformats.org/officeDocument/2006/relationships/image" Target="media/image27.jpeg"/><Relationship Id="rId61" Type="http://schemas.openxmlformats.org/officeDocument/2006/relationships/image" Target="media/image28.jpeg"/><Relationship Id="rId62" Type="http://schemas.openxmlformats.org/officeDocument/2006/relationships/image" Target="media/image29.jpeg"/><Relationship Id="rId63" Type="http://schemas.openxmlformats.org/officeDocument/2006/relationships/image" Target="media/image30.jpeg"/><Relationship Id="rId64" Type="http://schemas.openxmlformats.org/officeDocument/2006/relationships/image" Target="media/image31.jpeg"/><Relationship Id="rId65" Type="http://schemas.openxmlformats.org/officeDocument/2006/relationships/image" Target="media/image32.jpeg"/><Relationship Id="rId66" Type="http://schemas.openxmlformats.org/officeDocument/2006/relationships/image" Target="media/image33.jpeg"/><Relationship Id="rId67" Type="http://schemas.openxmlformats.org/officeDocument/2006/relationships/image" Target="media/image34.jpeg"/><Relationship Id="rId68" Type="http://schemas.openxmlformats.org/officeDocument/2006/relationships/image" Target="media/image35.jpeg"/><Relationship Id="rId69" Type="http://schemas.openxmlformats.org/officeDocument/2006/relationships/image" Target="media/image36.jpeg"/><Relationship Id="rId70" Type="http://schemas.openxmlformats.org/officeDocument/2006/relationships/image" Target="media/image37.jpeg"/><Relationship Id="rId71" Type="http://schemas.openxmlformats.org/officeDocument/2006/relationships/image" Target="media/image38.jpeg"/><Relationship Id="rId72" Type="http://schemas.openxmlformats.org/officeDocument/2006/relationships/image" Target="media/image39.jpeg"/><Relationship Id="rId73" Type="http://schemas.openxmlformats.org/officeDocument/2006/relationships/image" Target="media/image40.jpeg"/><Relationship Id="rId74" Type="http://schemas.openxmlformats.org/officeDocument/2006/relationships/image" Target="media/image41.jpeg"/><Relationship Id="rId75" Type="http://schemas.openxmlformats.org/officeDocument/2006/relationships/image" Target="media/image42.jpeg"/><Relationship Id="rId76" Type="http://schemas.openxmlformats.org/officeDocument/2006/relationships/image" Target="media/image43.jpeg"/><Relationship Id="rId77" Type="http://schemas.openxmlformats.org/officeDocument/2006/relationships/image" Target="media/image44.jpeg"/><Relationship Id="rId78" Type="http://schemas.openxmlformats.org/officeDocument/2006/relationships/image" Target="media/image45.jpeg"/><Relationship Id="rId79" Type="http://schemas.openxmlformats.org/officeDocument/2006/relationships/image" Target="media/image46.jpeg"/><Relationship Id="rId80" Type="http://schemas.openxmlformats.org/officeDocument/2006/relationships/image" Target="media/image47.jpeg"/><Relationship Id="rId81" Type="http://schemas.openxmlformats.org/officeDocument/2006/relationships/image" Target="media/image48.jpeg"/><Relationship Id="rId82" Type="http://schemas.openxmlformats.org/officeDocument/2006/relationships/image" Target="media/image49.jpeg"/><Relationship Id="rId83" Type="http://schemas.openxmlformats.org/officeDocument/2006/relationships/image" Target="media/image50.jpeg"/><Relationship Id="rId84" Type="http://schemas.openxmlformats.org/officeDocument/2006/relationships/image" Target="media/image51.jpeg"/><Relationship Id="rId85" Type="http://schemas.openxmlformats.org/officeDocument/2006/relationships/image" Target="media/image52.jpeg"/><Relationship Id="rId86" Type="http://schemas.openxmlformats.org/officeDocument/2006/relationships/image" Target="media/image53.jpeg"/><Relationship Id="rId87" Type="http://schemas.openxmlformats.org/officeDocument/2006/relationships/image" Target="media/image54.jpeg"/><Relationship Id="rId88" Type="http://schemas.openxmlformats.org/officeDocument/2006/relationships/image" Target="media/image55.jpeg"/><Relationship Id="rId89" Type="http://schemas.openxmlformats.org/officeDocument/2006/relationships/image" Target="media/image56.jpeg"/><Relationship Id="rId90" Type="http://schemas.openxmlformats.org/officeDocument/2006/relationships/image" Target="media/image57.jpeg"/><Relationship Id="rId91" Type="http://schemas.openxmlformats.org/officeDocument/2006/relationships/image" Target="media/image58.jpeg"/><Relationship Id="rId92" Type="http://schemas.openxmlformats.org/officeDocument/2006/relationships/image" Target="media/image59.jpeg"/><Relationship Id="rId93" Type="http://schemas.openxmlformats.org/officeDocument/2006/relationships/image" Target="media/image60.jpeg"/><Relationship Id="rId94" Type="http://schemas.openxmlformats.org/officeDocument/2006/relationships/image" Target="media/image61.jpeg"/><Relationship Id="rId95" Type="http://schemas.openxmlformats.org/officeDocument/2006/relationships/image" Target="media/image62.jpeg"/><Relationship Id="rId96" Type="http://schemas.openxmlformats.org/officeDocument/2006/relationships/image" Target="media/image63.jpeg"/><Relationship Id="rId97" Type="http://schemas.openxmlformats.org/officeDocument/2006/relationships/image" Target="media/image64.jpeg"/><Relationship Id="rId98" Type="http://schemas.openxmlformats.org/officeDocument/2006/relationships/image" Target="media/image65.jpeg"/><Relationship Id="rId99" Type="http://schemas.openxmlformats.org/officeDocument/2006/relationships/image" Target="media/image66.jpeg"/><Relationship Id="rId100" Type="http://schemas.openxmlformats.org/officeDocument/2006/relationships/image" Target="media/image67.jpeg"/><Relationship Id="rId101" Type="http://schemas.openxmlformats.org/officeDocument/2006/relationships/image" Target="media/image68.jpeg"/><Relationship Id="rId102" Type="http://schemas.openxmlformats.org/officeDocument/2006/relationships/image" Target="media/image69.jpeg"/><Relationship Id="rId103" Type="http://schemas.openxmlformats.org/officeDocument/2006/relationships/image" Target="media/image70.jpeg"/><Relationship Id="rId104" Type="http://schemas.openxmlformats.org/officeDocument/2006/relationships/comments" Target="comments.xml"/><Relationship Id="rId105" Type="http://schemas.openxmlformats.org/officeDocument/2006/relationships/fontTable" Target="fontTable.xml"/><Relationship Id="rId1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73467</Words>
  <CharactersWithSpaces>471612</CharactersWithSpaces>
  <Paragraphs>11369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